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05e665ce6704bc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F08B9" w14:textId="0DEECC37" w:rsidR="00254C53" w:rsidRPr="00ED096B" w:rsidRDefault="00BF6257" w:rsidP="00BF6257">
      <w:pPr>
        <w:spacing w:after="0" w:line="240" w:lineRule="auto"/>
        <w:jc w:val="center"/>
        <w:rPr>
          <w:rFonts w:ascii="Garamond" w:hAnsi="Garamond"/>
          <w:sz w:val="34"/>
          <w:szCs w:val="34"/>
          <w:lang w:val="en-US"/>
        </w:rPr>
      </w:pPr>
      <w:r w:rsidRPr="00ED096B">
        <w:rPr>
          <w:rFonts w:ascii="Garamond" w:hAnsi="Garamond"/>
          <w:sz w:val="34"/>
          <w:szCs w:val="34"/>
          <w:lang w:val="en-US"/>
        </w:rPr>
        <w:t>The Victorian Population Gambling and Health Study 2023</w:t>
      </w:r>
    </w:p>
    <w:p w14:paraId="646CCCC1" w14:textId="5C3432CE" w:rsidR="00BF6257" w:rsidRDefault="00BF6257" w:rsidP="00BF6257">
      <w:pPr>
        <w:jc w:val="center"/>
        <w:rPr>
          <w:lang w:val="en-US"/>
        </w:rPr>
      </w:pPr>
      <w:r>
        <w:rPr>
          <w:lang w:val="en-US"/>
        </w:rPr>
        <w:t>A brief summary of its findings.</w:t>
      </w:r>
    </w:p>
    <w:p w14:paraId="76B26A61" w14:textId="77777777" w:rsidR="00EC0B5F" w:rsidRDefault="00EC0B5F" w:rsidP="00870057">
      <w:pPr>
        <w:spacing w:after="60"/>
        <w:rPr>
          <w:sz w:val="18"/>
          <w:szCs w:val="18"/>
          <w:lang w:val="en-US"/>
        </w:rPr>
      </w:pPr>
    </w:p>
    <w:p w14:paraId="16D5936D" w14:textId="77777777" w:rsidR="002B004D" w:rsidRDefault="002B004D" w:rsidP="00870057">
      <w:pPr>
        <w:spacing w:after="60"/>
        <w:rPr>
          <w:b/>
          <w:bCs/>
          <w:lang w:val="en-US"/>
        </w:rPr>
      </w:pPr>
    </w:p>
    <w:p w14:paraId="43CE5E2D" w14:textId="0347DB3D" w:rsidR="0030413B" w:rsidRPr="00C25A9D" w:rsidRDefault="00EC0B5F" w:rsidP="00870057">
      <w:pPr>
        <w:spacing w:after="60"/>
        <w:rPr>
          <w:b/>
          <w:bCs/>
          <w:color w:val="153D63" w:themeColor="text2" w:themeTint="E6"/>
          <w:lang w:val="en-US"/>
        </w:rPr>
      </w:pPr>
      <w:r w:rsidRPr="00C25A9D">
        <w:rPr>
          <w:b/>
          <w:bCs/>
          <w:color w:val="153D63" w:themeColor="text2" w:themeTint="E6"/>
          <w:lang w:val="en-US"/>
        </w:rPr>
        <w:t>About the Survey</w:t>
      </w:r>
    </w:p>
    <w:p w14:paraId="1C848DD5" w14:textId="762952D6" w:rsidR="0030413B" w:rsidRDefault="0030413B" w:rsidP="00EC0B5F">
      <w:pPr>
        <w:spacing w:after="0" w:line="288" w:lineRule="auto"/>
        <w:jc w:val="both"/>
      </w:pPr>
      <w:r w:rsidRPr="0030413B">
        <w:t xml:space="preserve">The Victorian Population Gambling and Health Study was </w:t>
      </w:r>
      <w:r w:rsidR="00EC0B5F">
        <w:t xml:space="preserve">conducted as </w:t>
      </w:r>
      <w:r w:rsidRPr="0030413B">
        <w:t xml:space="preserve">a phone survey of 11,000 Victorian adults in 2023, </w:t>
      </w:r>
      <w:r w:rsidR="00B86D17">
        <w:t>exploring</w:t>
      </w:r>
      <w:r w:rsidRPr="0030413B">
        <w:t xml:space="preserve"> patterns of gambling activity</w:t>
      </w:r>
      <w:r w:rsidR="00EC0B5F">
        <w:t xml:space="preserve"> and</w:t>
      </w:r>
      <w:r w:rsidRPr="0030413B">
        <w:t xml:space="preserve"> associated</w:t>
      </w:r>
      <w:r w:rsidR="00AD597E">
        <w:t xml:space="preserve"> financial and</w:t>
      </w:r>
      <w:r w:rsidRPr="0030413B">
        <w:t xml:space="preserve"> health issues.</w:t>
      </w:r>
    </w:p>
    <w:p w14:paraId="2897B12F" w14:textId="21ABF717" w:rsidR="00BF6257" w:rsidRPr="002B004D" w:rsidRDefault="0030413B" w:rsidP="002B004D">
      <w:pPr>
        <w:spacing w:after="0" w:line="288" w:lineRule="auto"/>
        <w:jc w:val="both"/>
      </w:pPr>
      <w:r w:rsidRPr="0030413B">
        <w:t xml:space="preserve">The report </w:t>
      </w:r>
      <w:r w:rsidR="00EC0B5F">
        <w:t xml:space="preserve">mentions some </w:t>
      </w:r>
      <w:r w:rsidR="00B86D17">
        <w:t>challenges facing such investigations</w:t>
      </w:r>
      <w:r w:rsidR="00AD597E">
        <w:t>, its authors conceding</w:t>
      </w:r>
      <w:r w:rsidRPr="0030413B">
        <w:t xml:space="preserve"> that declining response rates, typically lower than 5% in Australian phone surveys, may reduce the representativeness through "...non-response errors, which refers to differences between those who are selected into a particular sample and those who end up completing the survey</w:t>
      </w:r>
      <w:r w:rsidR="00AD597E">
        <w:t>”</w:t>
      </w:r>
      <w:r w:rsidRPr="0030413B">
        <w:t>.</w:t>
      </w:r>
      <w:r w:rsidR="00B86D17">
        <w:t xml:space="preserve"> Mention is also made of</w:t>
      </w:r>
      <w:r w:rsidRPr="0030413B">
        <w:t xml:space="preserve"> a tendency for </w:t>
      </w:r>
      <w:r w:rsidR="00B86D17">
        <w:t>survey participants</w:t>
      </w:r>
      <w:r w:rsidRPr="0030413B">
        <w:t xml:space="preserve"> to under-report "...expenditure, frequency and negative consequences of gambling" due to a selective failure to recall such experiences or a reluctance to candidly report them.</w:t>
      </w:r>
      <w:r w:rsidR="002B004D">
        <w:t xml:space="preserve"> T</w:t>
      </w:r>
      <w:r w:rsidR="00AD597E">
        <w:rPr>
          <w:lang w:val="en-US"/>
        </w:rPr>
        <w:t>he findings of this investigation may be read with these considerations in mind.</w:t>
      </w:r>
    </w:p>
    <w:p w14:paraId="575F195E" w14:textId="77777777" w:rsidR="00B86D17" w:rsidRDefault="00B86D17">
      <w:pPr>
        <w:rPr>
          <w:lang w:val="en-US"/>
        </w:rPr>
      </w:pPr>
    </w:p>
    <w:p w14:paraId="488F0009" w14:textId="7DF1CB6E" w:rsidR="0030413B" w:rsidRPr="00C25A9D" w:rsidRDefault="0030413B" w:rsidP="00870057">
      <w:pPr>
        <w:spacing w:after="60"/>
        <w:rPr>
          <w:b/>
          <w:bCs/>
          <w:color w:val="153D63" w:themeColor="text2" w:themeTint="E6"/>
          <w:lang w:val="en-US"/>
        </w:rPr>
      </w:pPr>
      <w:r w:rsidRPr="00C25A9D">
        <w:rPr>
          <w:b/>
          <w:bCs/>
          <w:color w:val="153D63" w:themeColor="text2" w:themeTint="E6"/>
          <w:lang w:val="en-US"/>
        </w:rPr>
        <w:t>The Prevalence of Gambling</w:t>
      </w:r>
    </w:p>
    <w:p w14:paraId="1780A985" w14:textId="42E4E206" w:rsidR="0030413B" w:rsidRPr="0030413B" w:rsidRDefault="00B86D17" w:rsidP="00EC0B5F">
      <w:pPr>
        <w:spacing w:after="0" w:line="288" w:lineRule="auto"/>
        <w:jc w:val="both"/>
      </w:pPr>
      <w:r>
        <w:t>The survey found that a</w:t>
      </w:r>
      <w:r w:rsidR="0030413B" w:rsidRPr="0030413B">
        <w:t>pproximately half (53%) of Victorian adults had gambled during the previous 12 months, including similar proportions of women and men - at 51% and 56%, respectively.</w:t>
      </w:r>
    </w:p>
    <w:p w14:paraId="3DF40239" w14:textId="48A614B3" w:rsidR="0030413B" w:rsidRDefault="0030413B" w:rsidP="00EC0B5F">
      <w:pPr>
        <w:spacing w:after="0" w:line="288" w:lineRule="auto"/>
        <w:jc w:val="both"/>
      </w:pPr>
      <w:r w:rsidRPr="0030413B">
        <w:t>The proportion of adults who had gambled</w:t>
      </w:r>
      <w:r w:rsidR="00AD597E">
        <w:t xml:space="preserve">, rose </w:t>
      </w:r>
      <w:r w:rsidRPr="0030413B">
        <w:t xml:space="preserve">with age, from 40% </w:t>
      </w:r>
      <w:r w:rsidR="002B004D">
        <w:t xml:space="preserve">of </w:t>
      </w:r>
      <w:r w:rsidRPr="0030413B">
        <w:t>18-24</w:t>
      </w:r>
      <w:r w:rsidR="002B004D">
        <w:t>-year-olds</w:t>
      </w:r>
      <w:r w:rsidRPr="0030413B">
        <w:t>, to its peak of 62% among people aged 65-74.</w:t>
      </w:r>
    </w:p>
    <w:p w14:paraId="2AEB291B" w14:textId="77777777" w:rsidR="00870057" w:rsidRDefault="00870057" w:rsidP="00C13D75">
      <w:pPr>
        <w:spacing w:after="0" w:line="288" w:lineRule="auto"/>
      </w:pPr>
    </w:p>
    <w:p w14:paraId="1CC4C19A" w14:textId="1458FC72" w:rsidR="00EC0B5F" w:rsidRPr="0030413B" w:rsidRDefault="00EC0B5F" w:rsidP="00C13D75">
      <w:pPr>
        <w:spacing w:after="0" w:line="288" w:lineRule="auto"/>
      </w:pPr>
    </w:p>
    <w:p w14:paraId="2FBA8E13" w14:textId="34D94D06" w:rsidR="0030413B" w:rsidRPr="00870057" w:rsidRDefault="00B86D17" w:rsidP="00870057">
      <w:pPr>
        <w:spacing w:after="0" w:line="240" w:lineRule="auto"/>
        <w:rPr>
          <w:color w:val="7F7F7F" w:themeColor="text1" w:themeTint="80"/>
          <w:sz w:val="20"/>
          <w:szCs w:val="20"/>
        </w:rPr>
      </w:pPr>
      <w:r>
        <w:rPr>
          <w:noProof/>
          <w:lang w:val="en-US"/>
        </w:rPr>
        <w:drawing>
          <wp:anchor distT="0" distB="0" distL="114300" distR="114300" simplePos="0" relativeHeight="251658240" behindDoc="0" locked="0" layoutInCell="1" allowOverlap="1" wp14:anchorId="1D2B547F" wp14:editId="67C03711">
            <wp:simplePos x="0" y="0"/>
            <wp:positionH relativeFrom="column">
              <wp:posOffset>1624965</wp:posOffset>
            </wp:positionH>
            <wp:positionV relativeFrom="paragraph">
              <wp:posOffset>7620</wp:posOffset>
            </wp:positionV>
            <wp:extent cx="4724400" cy="3350895"/>
            <wp:effectExtent l="0" t="0" r="0" b="1905"/>
            <wp:wrapSquare wrapText="bothSides"/>
            <wp:docPr id="1354587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3350895"/>
                    </a:xfrm>
                    <a:prstGeom prst="rect">
                      <a:avLst/>
                    </a:prstGeom>
                    <a:noFill/>
                  </pic:spPr>
                </pic:pic>
              </a:graphicData>
            </a:graphic>
            <wp14:sizeRelH relativeFrom="page">
              <wp14:pctWidth>0</wp14:pctWidth>
            </wp14:sizeRelH>
            <wp14:sizeRelV relativeFrom="page">
              <wp14:pctHeight>0</wp14:pctHeight>
            </wp14:sizeRelV>
          </wp:anchor>
        </w:drawing>
      </w:r>
      <w:r w:rsidR="0030413B" w:rsidRPr="00870057">
        <w:rPr>
          <w:color w:val="7F7F7F" w:themeColor="text1" w:themeTint="80"/>
          <w:sz w:val="20"/>
          <w:szCs w:val="20"/>
        </w:rPr>
        <w:t>Per cent of adults who gambled in the previous 12 months, by characteristics: Victoria, 2023</w:t>
      </w:r>
    </w:p>
    <w:p w14:paraId="4E766D4B" w14:textId="448BB00A" w:rsidR="00BF6257" w:rsidRDefault="00BF6257">
      <w:pPr>
        <w:rPr>
          <w:lang w:val="en-US"/>
        </w:rPr>
      </w:pPr>
    </w:p>
    <w:p w14:paraId="371929B2" w14:textId="77777777" w:rsidR="00B86D17" w:rsidRDefault="00B86D17">
      <w:pPr>
        <w:rPr>
          <w:lang w:val="en-US"/>
        </w:rPr>
      </w:pPr>
    </w:p>
    <w:p w14:paraId="61B3484C" w14:textId="77777777" w:rsidR="0030413B" w:rsidRPr="0030413B" w:rsidRDefault="0030413B" w:rsidP="00EC0B5F">
      <w:pPr>
        <w:spacing w:after="0" w:line="288" w:lineRule="auto"/>
        <w:jc w:val="both"/>
      </w:pPr>
      <w:r w:rsidRPr="0030413B">
        <w:t>The proportion of Victorian adults who had gambled in the previous 12 months was generally higher among people who speak English only in their homes, among those with more limited formal education and among people on higher incomes.</w:t>
      </w:r>
    </w:p>
    <w:p w14:paraId="3EFBD65B" w14:textId="77777777" w:rsidR="0030413B" w:rsidRDefault="0030413B" w:rsidP="00EC0B5F">
      <w:pPr>
        <w:jc w:val="both"/>
        <w:rPr>
          <w:lang w:val="en-US"/>
        </w:rPr>
      </w:pPr>
    </w:p>
    <w:p w14:paraId="007E2B18" w14:textId="77777777" w:rsidR="00EC0B5F" w:rsidRDefault="00EC0B5F">
      <w:pPr>
        <w:rPr>
          <w:lang w:val="en-US"/>
        </w:rPr>
      </w:pPr>
      <w:r>
        <w:rPr>
          <w:lang w:val="en-US"/>
        </w:rPr>
        <w:br w:type="page"/>
      </w:r>
    </w:p>
    <w:p w14:paraId="444EEDC7" w14:textId="48CD212A" w:rsidR="0030413B" w:rsidRPr="00C25A9D" w:rsidRDefault="0030413B" w:rsidP="00870057">
      <w:pPr>
        <w:spacing w:after="60"/>
        <w:rPr>
          <w:b/>
          <w:bCs/>
          <w:color w:val="153D63" w:themeColor="text2" w:themeTint="E6"/>
          <w:lang w:val="en-US"/>
        </w:rPr>
      </w:pPr>
      <w:r w:rsidRPr="00C25A9D">
        <w:rPr>
          <w:b/>
          <w:bCs/>
          <w:color w:val="153D63" w:themeColor="text2" w:themeTint="E6"/>
          <w:lang w:val="en-US"/>
        </w:rPr>
        <w:lastRenderedPageBreak/>
        <w:t>Participation in Gambling Types</w:t>
      </w:r>
    </w:p>
    <w:p w14:paraId="5ECC5F6F" w14:textId="5FCF7BC9" w:rsidR="00870057" w:rsidRDefault="0030413B" w:rsidP="00EC0B5F">
      <w:pPr>
        <w:spacing w:after="0" w:line="288" w:lineRule="auto"/>
        <w:jc w:val="both"/>
      </w:pPr>
      <w:r w:rsidRPr="0030413B">
        <w:t xml:space="preserve">Approximately half (53%) of Victorian adults gambled in the previous 12 months, including over a third who participated in lotteries and one fifth in raffles. </w:t>
      </w:r>
    </w:p>
    <w:p w14:paraId="2F99B795" w14:textId="35CCAC35" w:rsidR="0030413B" w:rsidRPr="0030413B" w:rsidRDefault="00870057" w:rsidP="00EC0B5F">
      <w:pPr>
        <w:spacing w:after="0" w:line="288" w:lineRule="auto"/>
        <w:jc w:val="both"/>
      </w:pPr>
      <w:r>
        <w:rPr>
          <w:noProof/>
          <w:lang w:val="en-US"/>
        </w:rPr>
        <w:drawing>
          <wp:anchor distT="0" distB="0" distL="114300" distR="114300" simplePos="0" relativeHeight="251659264" behindDoc="0" locked="0" layoutInCell="1" allowOverlap="1" wp14:anchorId="005279DA" wp14:editId="6F222087">
            <wp:simplePos x="0" y="0"/>
            <wp:positionH relativeFrom="column">
              <wp:posOffset>2388870</wp:posOffset>
            </wp:positionH>
            <wp:positionV relativeFrom="paragraph">
              <wp:posOffset>13335</wp:posOffset>
            </wp:positionV>
            <wp:extent cx="3969385" cy="2576830"/>
            <wp:effectExtent l="0" t="0" r="0" b="0"/>
            <wp:wrapSquare wrapText="bothSides"/>
            <wp:docPr id="17785504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9385" cy="2576830"/>
                    </a:xfrm>
                    <a:prstGeom prst="rect">
                      <a:avLst/>
                    </a:prstGeom>
                    <a:noFill/>
                  </pic:spPr>
                </pic:pic>
              </a:graphicData>
            </a:graphic>
            <wp14:sizeRelH relativeFrom="page">
              <wp14:pctWidth>0</wp14:pctWidth>
            </wp14:sizeRelH>
            <wp14:sizeRelV relativeFrom="page">
              <wp14:pctHeight>0</wp14:pctHeight>
            </wp14:sizeRelV>
          </wp:anchor>
        </w:drawing>
      </w:r>
      <w:r w:rsidR="0030413B" w:rsidRPr="0030413B">
        <w:t>Approximately one in nine (10.7%) Victorian adults had participated in EGM gambling and about one in twenty (5.1%) in sports betting.</w:t>
      </w:r>
    </w:p>
    <w:p w14:paraId="6ED5255E" w14:textId="5077AE8A" w:rsidR="0030413B" w:rsidRDefault="0030413B">
      <w:pPr>
        <w:rPr>
          <w:lang w:val="en-US"/>
        </w:rPr>
      </w:pPr>
    </w:p>
    <w:p w14:paraId="7EF36ECB" w14:textId="1FF5BBAE" w:rsidR="0030413B" w:rsidRPr="00870057" w:rsidRDefault="0030413B" w:rsidP="00870057">
      <w:pPr>
        <w:spacing w:after="0" w:line="240" w:lineRule="auto"/>
        <w:rPr>
          <w:color w:val="7F7F7F" w:themeColor="text1" w:themeTint="80"/>
          <w:sz w:val="20"/>
          <w:szCs w:val="20"/>
        </w:rPr>
      </w:pPr>
      <w:r w:rsidRPr="00870057">
        <w:rPr>
          <w:color w:val="7F7F7F" w:themeColor="text1" w:themeTint="80"/>
          <w:sz w:val="20"/>
          <w:szCs w:val="20"/>
        </w:rPr>
        <w:t>Per cent of adults who gambled in the previous 12 months, by type of gambling: Victoria, 2023</w:t>
      </w:r>
    </w:p>
    <w:p w14:paraId="1D31B5B1" w14:textId="77777777" w:rsidR="00870057" w:rsidRDefault="00870057">
      <w:pPr>
        <w:rPr>
          <w:lang w:val="en-US"/>
        </w:rPr>
      </w:pPr>
    </w:p>
    <w:p w14:paraId="385B9160" w14:textId="77777777" w:rsidR="00805DD9" w:rsidRDefault="00805DD9">
      <w:pPr>
        <w:rPr>
          <w:lang w:val="en-US"/>
        </w:rPr>
      </w:pPr>
    </w:p>
    <w:p w14:paraId="57D7CDFF" w14:textId="77777777" w:rsidR="00805DD9" w:rsidRDefault="00805DD9">
      <w:pPr>
        <w:rPr>
          <w:lang w:val="en-US"/>
        </w:rPr>
      </w:pPr>
    </w:p>
    <w:p w14:paraId="2B0710F7" w14:textId="53433EA8" w:rsidR="0030413B" w:rsidRPr="0030413B" w:rsidRDefault="0030413B" w:rsidP="00C13D75">
      <w:pPr>
        <w:spacing w:after="0" w:line="288" w:lineRule="auto"/>
        <w:jc w:val="both"/>
      </w:pPr>
      <w:r w:rsidRPr="0030413B">
        <w:t>Further information presented in the report shows that the proportion of Victorian adults who participated in gambling during the previous 12 months</w:t>
      </w:r>
      <w:r w:rsidR="00AD597E">
        <w:t>,</w:t>
      </w:r>
      <w:r w:rsidRPr="0030413B">
        <w:t xml:space="preserve"> had declined from 73% in 2008 to its present level of 53%, including a halving in</w:t>
      </w:r>
      <w:r w:rsidR="003F2E70">
        <w:t xml:space="preserve"> rates of</w:t>
      </w:r>
      <w:r w:rsidRPr="0030413B">
        <w:t xml:space="preserve"> participation in EGM gambling from 21.5% to 10.7% during that period. Alone among the major forms of gambling, sports betting recorded a rise in participation, from 4% in 2008, to 5.1% by 2023.</w:t>
      </w:r>
    </w:p>
    <w:p w14:paraId="5C4F58C5" w14:textId="79E58E2D" w:rsidR="00870057" w:rsidRDefault="0030413B" w:rsidP="00C13D75">
      <w:pPr>
        <w:spacing w:after="0" w:line="288" w:lineRule="auto"/>
        <w:jc w:val="both"/>
      </w:pPr>
      <w:r w:rsidRPr="0030413B">
        <w:t>Rates of participation in gambling var</w:t>
      </w:r>
      <w:r w:rsidR="003F2E70">
        <w:t>y</w:t>
      </w:r>
      <w:r w:rsidRPr="0030413B">
        <w:t xml:space="preserve"> widely among the various types of legal gambling. The diagrams presented </w:t>
      </w:r>
      <w:r w:rsidR="003F2E70">
        <w:t>below</w:t>
      </w:r>
      <w:r w:rsidRPr="0030413B">
        <w:t xml:space="preserve">, illustrate these differences with odds ratios. For each variable shown here, such as sex, age, spoken language, educational attainment and income, one category is assigned the value '1', with the number assigned to other categories of that variable showing the rate of participation, relative to that category. </w:t>
      </w:r>
    </w:p>
    <w:p w14:paraId="33212A07" w14:textId="3376DE67" w:rsidR="0030413B" w:rsidRPr="0030413B" w:rsidRDefault="0030413B" w:rsidP="00C13D75">
      <w:pPr>
        <w:spacing w:after="0" w:line="288" w:lineRule="auto"/>
        <w:jc w:val="both"/>
      </w:pPr>
      <w:r w:rsidRPr="0030413B">
        <w:t>For example, in the diagram</w:t>
      </w:r>
      <w:r w:rsidR="003F2E70">
        <w:t xml:space="preserve"> below,</w:t>
      </w:r>
      <w:r w:rsidRPr="0030413B">
        <w:t xml:space="preserve"> illustrating levels of participation in EGM gambling, the number 1 is assigned to males, with the number 0.9, assigned to females, showing that women are 90% as likely to participate in such gambling as men.</w:t>
      </w:r>
    </w:p>
    <w:p w14:paraId="31A664C4" w14:textId="77777777" w:rsidR="00805DD9" w:rsidRPr="002B004D" w:rsidRDefault="00805DD9" w:rsidP="00805DD9">
      <w:pPr>
        <w:spacing w:after="0" w:line="240" w:lineRule="auto"/>
        <w:jc w:val="both"/>
        <w:rPr>
          <w:i/>
          <w:iCs/>
          <w:color w:val="FF0000"/>
          <w:sz w:val="20"/>
          <w:szCs w:val="20"/>
        </w:rPr>
      </w:pPr>
      <w:r w:rsidRPr="002B004D">
        <w:rPr>
          <w:i/>
          <w:iCs/>
          <w:color w:val="FF0000"/>
          <w:sz w:val="20"/>
          <w:szCs w:val="20"/>
        </w:rPr>
        <w:t>Note: these odds ratios may only be compared among categories of a particular variable,  such as sex, age, income and so on. The odds ratios may not be compared between categories of different variables, for instance, between 26-34 year-olds and people with year 12 education.</w:t>
      </w:r>
    </w:p>
    <w:p w14:paraId="34E3583C" w14:textId="723EDF4B" w:rsidR="00870057" w:rsidRDefault="00C25A9D" w:rsidP="00C13D75">
      <w:pPr>
        <w:spacing w:after="0" w:line="288" w:lineRule="auto"/>
        <w:jc w:val="both"/>
      </w:pPr>
      <w:r>
        <w:rPr>
          <w:noProof/>
          <w:lang w:val="en-US"/>
        </w:rPr>
        <w:drawing>
          <wp:anchor distT="0" distB="0" distL="114300" distR="114300" simplePos="0" relativeHeight="251660288" behindDoc="0" locked="0" layoutInCell="1" allowOverlap="1" wp14:anchorId="4027B0AA" wp14:editId="48A9F5E7">
            <wp:simplePos x="0" y="0"/>
            <wp:positionH relativeFrom="margin">
              <wp:align>right</wp:align>
            </wp:positionH>
            <wp:positionV relativeFrom="paragraph">
              <wp:posOffset>115147</wp:posOffset>
            </wp:positionV>
            <wp:extent cx="4810125" cy="3406775"/>
            <wp:effectExtent l="0" t="0" r="9525" b="3175"/>
            <wp:wrapSquare wrapText="bothSides"/>
            <wp:docPr id="95713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125" cy="3406775"/>
                    </a:xfrm>
                    <a:prstGeom prst="rect">
                      <a:avLst/>
                    </a:prstGeom>
                    <a:noFill/>
                  </pic:spPr>
                </pic:pic>
              </a:graphicData>
            </a:graphic>
            <wp14:sizeRelH relativeFrom="page">
              <wp14:pctWidth>0</wp14:pctWidth>
            </wp14:sizeRelH>
            <wp14:sizeRelV relativeFrom="page">
              <wp14:pctHeight>0</wp14:pctHeight>
            </wp14:sizeRelV>
          </wp:anchor>
        </w:drawing>
      </w:r>
    </w:p>
    <w:p w14:paraId="67622B6B" w14:textId="77777777" w:rsidR="00AD597E" w:rsidRDefault="00AD597E" w:rsidP="00C13D75">
      <w:pPr>
        <w:spacing w:after="0" w:line="288" w:lineRule="auto"/>
        <w:jc w:val="both"/>
      </w:pPr>
    </w:p>
    <w:p w14:paraId="324ED0C7" w14:textId="77777777" w:rsidR="00870057" w:rsidRPr="00870057" w:rsidRDefault="00870057" w:rsidP="00870057">
      <w:pPr>
        <w:spacing w:after="0" w:line="240" w:lineRule="auto"/>
        <w:rPr>
          <w:color w:val="7F7F7F" w:themeColor="text1" w:themeTint="80"/>
          <w:sz w:val="20"/>
          <w:szCs w:val="20"/>
        </w:rPr>
      </w:pPr>
      <w:r w:rsidRPr="00870057">
        <w:rPr>
          <w:color w:val="7F7F7F" w:themeColor="text1" w:themeTint="80"/>
          <w:sz w:val="20"/>
          <w:szCs w:val="20"/>
        </w:rPr>
        <w:t>Odds Ratios, for participation in EGM gambling, by social characteristic: Victoria, 2023</w:t>
      </w:r>
    </w:p>
    <w:p w14:paraId="46D25737" w14:textId="77777777" w:rsidR="00870057" w:rsidRDefault="00870057" w:rsidP="00C13D75">
      <w:pPr>
        <w:spacing w:after="0" w:line="288" w:lineRule="auto"/>
        <w:jc w:val="both"/>
      </w:pPr>
    </w:p>
    <w:p w14:paraId="7B43DAEC" w14:textId="77777777" w:rsidR="00AD597E" w:rsidRDefault="00AD597E" w:rsidP="00C13D75">
      <w:pPr>
        <w:spacing w:after="0" w:line="288" w:lineRule="auto"/>
        <w:jc w:val="both"/>
      </w:pPr>
    </w:p>
    <w:p w14:paraId="1A56301A" w14:textId="1C89932B" w:rsidR="0030413B" w:rsidRDefault="0030413B" w:rsidP="00C13D75">
      <w:pPr>
        <w:spacing w:after="0" w:line="288" w:lineRule="auto"/>
        <w:jc w:val="both"/>
      </w:pPr>
      <w:r w:rsidRPr="0030413B">
        <w:t>Participation in EGM gambling tends to be slightly higher among men, younger adults, English-only speakers and those with limited formal education, and rises with increasing income</w:t>
      </w:r>
      <w:r w:rsidR="00870057">
        <w:t>.</w:t>
      </w:r>
    </w:p>
    <w:p w14:paraId="77801BF3" w14:textId="75327CE7" w:rsidR="0030413B" w:rsidRDefault="0030413B" w:rsidP="00C13D75">
      <w:pPr>
        <w:spacing w:after="0" w:line="288" w:lineRule="auto"/>
        <w:jc w:val="both"/>
      </w:pPr>
      <w:r w:rsidRPr="0030413B">
        <w:lastRenderedPageBreak/>
        <w:t>The proportion of Victorian adults who participate in Casino gambling is more than twice as high among males as among women, is highest among young people, is somewhat higher among people with more limited formal education, and rises with increasing income.</w:t>
      </w:r>
    </w:p>
    <w:p w14:paraId="4B0F3424" w14:textId="77777777" w:rsidR="003634D3" w:rsidRDefault="003634D3" w:rsidP="00C13D75">
      <w:pPr>
        <w:spacing w:after="0" w:line="288" w:lineRule="auto"/>
        <w:jc w:val="both"/>
      </w:pPr>
    </w:p>
    <w:p w14:paraId="7DF1BC01" w14:textId="77777777" w:rsidR="00805DD9" w:rsidRDefault="00805DD9" w:rsidP="00C13D75">
      <w:pPr>
        <w:spacing w:after="0" w:line="288" w:lineRule="auto"/>
        <w:jc w:val="both"/>
      </w:pPr>
    </w:p>
    <w:p w14:paraId="0F3C321B" w14:textId="59FFF2B7" w:rsidR="00870057" w:rsidRDefault="00870057" w:rsidP="00C13D75">
      <w:pPr>
        <w:spacing w:after="0" w:line="288" w:lineRule="auto"/>
        <w:jc w:val="both"/>
      </w:pPr>
      <w:r>
        <w:rPr>
          <w:noProof/>
          <w:lang w:val="en-US"/>
        </w:rPr>
        <w:drawing>
          <wp:anchor distT="0" distB="0" distL="114300" distR="114300" simplePos="0" relativeHeight="251661312" behindDoc="0" locked="0" layoutInCell="1" allowOverlap="1" wp14:anchorId="2403564B" wp14:editId="3742E49C">
            <wp:simplePos x="0" y="0"/>
            <wp:positionH relativeFrom="margin">
              <wp:posOffset>12065</wp:posOffset>
            </wp:positionH>
            <wp:positionV relativeFrom="paragraph">
              <wp:posOffset>135890</wp:posOffset>
            </wp:positionV>
            <wp:extent cx="4784400" cy="3387600"/>
            <wp:effectExtent l="0" t="0" r="0" b="3810"/>
            <wp:wrapSquare wrapText="bothSides"/>
            <wp:docPr id="21122424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4400" cy="3387600"/>
                    </a:xfrm>
                    <a:prstGeom prst="rect">
                      <a:avLst/>
                    </a:prstGeom>
                    <a:noFill/>
                  </pic:spPr>
                </pic:pic>
              </a:graphicData>
            </a:graphic>
            <wp14:sizeRelH relativeFrom="page">
              <wp14:pctWidth>0</wp14:pctWidth>
            </wp14:sizeRelH>
            <wp14:sizeRelV relativeFrom="page">
              <wp14:pctHeight>0</wp14:pctHeight>
            </wp14:sizeRelV>
          </wp:anchor>
        </w:drawing>
      </w:r>
    </w:p>
    <w:p w14:paraId="364FDD52" w14:textId="33E64F33" w:rsidR="00870057" w:rsidRPr="00870057" w:rsidRDefault="00870057" w:rsidP="00870057">
      <w:pPr>
        <w:spacing w:after="0" w:line="240" w:lineRule="auto"/>
        <w:rPr>
          <w:color w:val="7F7F7F" w:themeColor="text1" w:themeTint="80"/>
          <w:sz w:val="20"/>
          <w:szCs w:val="20"/>
        </w:rPr>
      </w:pPr>
      <w:r w:rsidRPr="00870057">
        <w:rPr>
          <w:color w:val="7F7F7F" w:themeColor="text1" w:themeTint="80"/>
          <w:sz w:val="20"/>
          <w:szCs w:val="20"/>
        </w:rPr>
        <w:t>Odds Ratios, for casino gambling, by social characteristic: Victoria, 2023</w:t>
      </w:r>
    </w:p>
    <w:p w14:paraId="233B559B" w14:textId="77777777" w:rsidR="00870057" w:rsidRPr="0030413B" w:rsidRDefault="00870057" w:rsidP="00C13D75">
      <w:pPr>
        <w:spacing w:after="0" w:line="288" w:lineRule="auto"/>
        <w:jc w:val="both"/>
      </w:pPr>
    </w:p>
    <w:p w14:paraId="6D4C2DB4" w14:textId="77777777" w:rsidR="00870057" w:rsidRDefault="00870057" w:rsidP="00C13D75">
      <w:pPr>
        <w:spacing w:after="0" w:line="288" w:lineRule="auto"/>
        <w:jc w:val="both"/>
      </w:pPr>
    </w:p>
    <w:p w14:paraId="061520A9" w14:textId="77777777" w:rsidR="00870057" w:rsidRDefault="00870057" w:rsidP="00C13D75">
      <w:pPr>
        <w:spacing w:after="0" w:line="288" w:lineRule="auto"/>
        <w:jc w:val="both"/>
      </w:pPr>
    </w:p>
    <w:p w14:paraId="5BD0ADEA" w14:textId="77777777" w:rsidR="00870057" w:rsidRDefault="00870057" w:rsidP="00C13D75">
      <w:pPr>
        <w:spacing w:after="0" w:line="288" w:lineRule="auto"/>
        <w:jc w:val="both"/>
      </w:pPr>
    </w:p>
    <w:p w14:paraId="30DACE45" w14:textId="77777777" w:rsidR="00870057" w:rsidRDefault="00870057" w:rsidP="00C13D75">
      <w:pPr>
        <w:spacing w:after="0" w:line="288" w:lineRule="auto"/>
        <w:jc w:val="both"/>
      </w:pPr>
    </w:p>
    <w:p w14:paraId="7AD48D01" w14:textId="77777777" w:rsidR="00870057" w:rsidRDefault="00870057" w:rsidP="00C13D75">
      <w:pPr>
        <w:spacing w:after="0" w:line="288" w:lineRule="auto"/>
        <w:jc w:val="both"/>
      </w:pPr>
    </w:p>
    <w:p w14:paraId="6FB4B003" w14:textId="77777777" w:rsidR="00870057" w:rsidRDefault="00870057" w:rsidP="00C13D75">
      <w:pPr>
        <w:spacing w:after="0" w:line="288" w:lineRule="auto"/>
        <w:jc w:val="both"/>
      </w:pPr>
    </w:p>
    <w:p w14:paraId="547CD860" w14:textId="77777777" w:rsidR="00870057" w:rsidRDefault="00870057" w:rsidP="00C13D75">
      <w:pPr>
        <w:spacing w:after="0" w:line="288" w:lineRule="auto"/>
        <w:jc w:val="both"/>
      </w:pPr>
    </w:p>
    <w:p w14:paraId="293ECFFA" w14:textId="77777777" w:rsidR="00870057" w:rsidRDefault="00870057" w:rsidP="00C13D75">
      <w:pPr>
        <w:spacing w:after="0" w:line="288" w:lineRule="auto"/>
        <w:jc w:val="both"/>
      </w:pPr>
    </w:p>
    <w:p w14:paraId="51FC8F32" w14:textId="77777777" w:rsidR="00870057" w:rsidRDefault="00870057" w:rsidP="00C13D75">
      <w:pPr>
        <w:spacing w:after="0" w:line="288" w:lineRule="auto"/>
        <w:jc w:val="both"/>
      </w:pPr>
    </w:p>
    <w:p w14:paraId="7BDBFCFB" w14:textId="77777777" w:rsidR="00870057" w:rsidRDefault="00870057" w:rsidP="00C13D75">
      <w:pPr>
        <w:spacing w:after="0" w:line="288" w:lineRule="auto"/>
        <w:jc w:val="both"/>
      </w:pPr>
    </w:p>
    <w:p w14:paraId="185E692C" w14:textId="77777777" w:rsidR="003634D3" w:rsidRDefault="003634D3" w:rsidP="00C13D75">
      <w:pPr>
        <w:spacing w:after="0" w:line="288" w:lineRule="auto"/>
        <w:jc w:val="both"/>
      </w:pPr>
    </w:p>
    <w:p w14:paraId="4DC0EB68" w14:textId="77777777" w:rsidR="00805DD9" w:rsidRDefault="00805DD9" w:rsidP="00C13D75">
      <w:pPr>
        <w:spacing w:after="0" w:line="288" w:lineRule="auto"/>
        <w:jc w:val="both"/>
      </w:pPr>
    </w:p>
    <w:p w14:paraId="7BEAE4E5" w14:textId="77777777" w:rsidR="003634D3" w:rsidRDefault="003634D3" w:rsidP="00C13D75">
      <w:pPr>
        <w:spacing w:after="0" w:line="288" w:lineRule="auto"/>
        <w:jc w:val="both"/>
      </w:pPr>
    </w:p>
    <w:p w14:paraId="0E4E1E75" w14:textId="77777777" w:rsidR="005A5C03" w:rsidRDefault="005A5C03" w:rsidP="00C13D75">
      <w:pPr>
        <w:spacing w:after="0" w:line="288" w:lineRule="auto"/>
        <w:jc w:val="both"/>
      </w:pPr>
    </w:p>
    <w:p w14:paraId="302F5098" w14:textId="77777777" w:rsidR="00870057" w:rsidRDefault="00870057" w:rsidP="00C13D75">
      <w:pPr>
        <w:spacing w:after="0" w:line="288" w:lineRule="auto"/>
        <w:jc w:val="both"/>
      </w:pPr>
    </w:p>
    <w:p w14:paraId="1AA31FAF" w14:textId="3C21C628" w:rsidR="003634D3" w:rsidRDefault="0030413B" w:rsidP="00C13D75">
      <w:pPr>
        <w:spacing w:after="0" w:line="288" w:lineRule="auto"/>
        <w:jc w:val="both"/>
      </w:pPr>
      <w:r w:rsidRPr="0030413B">
        <w:t>The proportion of men who participate in sports betting is five times higher than for women, is highest among young people and those who speak English</w:t>
      </w:r>
      <w:r w:rsidR="00AD597E">
        <w:t>-only</w:t>
      </w:r>
      <w:r w:rsidRPr="0030413B">
        <w:t xml:space="preserve"> at home, and </w:t>
      </w:r>
      <w:r w:rsidR="00AD597E">
        <w:t xml:space="preserve">also </w:t>
      </w:r>
      <w:r w:rsidRPr="0030413B">
        <w:t>rises with increasing</w:t>
      </w:r>
      <w:r w:rsidR="00870057">
        <w:t xml:space="preserve"> income.</w:t>
      </w:r>
    </w:p>
    <w:p w14:paraId="7DA52784" w14:textId="77777777" w:rsidR="00805DD9" w:rsidRDefault="00805DD9" w:rsidP="00C13D75">
      <w:pPr>
        <w:spacing w:after="0" w:line="288" w:lineRule="auto"/>
        <w:jc w:val="both"/>
      </w:pPr>
    </w:p>
    <w:p w14:paraId="54EAD03A" w14:textId="01D77877" w:rsidR="003634D3" w:rsidRPr="00805DD9" w:rsidRDefault="003634D3" w:rsidP="00C13D75">
      <w:pPr>
        <w:spacing w:after="0" w:line="288" w:lineRule="auto"/>
        <w:jc w:val="both"/>
        <w:rPr>
          <w:sz w:val="8"/>
          <w:szCs w:val="8"/>
        </w:rPr>
      </w:pPr>
    </w:p>
    <w:p w14:paraId="46CCB840" w14:textId="25792322" w:rsidR="0030413B" w:rsidRPr="00870057" w:rsidRDefault="00805DD9" w:rsidP="00870057">
      <w:pPr>
        <w:spacing w:after="0" w:line="240" w:lineRule="auto"/>
        <w:rPr>
          <w:color w:val="7F7F7F" w:themeColor="text1" w:themeTint="80"/>
          <w:sz w:val="20"/>
          <w:szCs w:val="20"/>
        </w:rPr>
      </w:pPr>
      <w:r w:rsidRPr="00805DD9">
        <w:rPr>
          <w:noProof/>
          <w:sz w:val="8"/>
          <w:szCs w:val="8"/>
          <w:lang w:val="en-US"/>
        </w:rPr>
        <w:drawing>
          <wp:anchor distT="0" distB="0" distL="114300" distR="114300" simplePos="0" relativeHeight="251662336" behindDoc="0" locked="0" layoutInCell="1" allowOverlap="1" wp14:anchorId="259A4A11" wp14:editId="6B8150C7">
            <wp:simplePos x="0" y="0"/>
            <wp:positionH relativeFrom="margin">
              <wp:align>right</wp:align>
            </wp:positionH>
            <wp:positionV relativeFrom="paragraph">
              <wp:posOffset>4445</wp:posOffset>
            </wp:positionV>
            <wp:extent cx="4784400" cy="3265200"/>
            <wp:effectExtent l="0" t="0" r="0" b="0"/>
            <wp:wrapSquare wrapText="bothSides"/>
            <wp:docPr id="16750835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4400" cy="3265200"/>
                    </a:xfrm>
                    <a:prstGeom prst="rect">
                      <a:avLst/>
                    </a:prstGeom>
                    <a:noFill/>
                  </pic:spPr>
                </pic:pic>
              </a:graphicData>
            </a:graphic>
            <wp14:sizeRelH relativeFrom="page">
              <wp14:pctWidth>0</wp14:pctWidth>
            </wp14:sizeRelH>
            <wp14:sizeRelV relativeFrom="page">
              <wp14:pctHeight>0</wp14:pctHeight>
            </wp14:sizeRelV>
          </wp:anchor>
        </w:drawing>
      </w:r>
      <w:r w:rsidR="0030413B" w:rsidRPr="00870057">
        <w:rPr>
          <w:color w:val="7F7F7F" w:themeColor="text1" w:themeTint="80"/>
          <w:sz w:val="20"/>
          <w:szCs w:val="20"/>
        </w:rPr>
        <w:t>Odds Ratios, for sports betting, by social characteristic: Victoria, 2023</w:t>
      </w:r>
    </w:p>
    <w:p w14:paraId="0E4BF8DE" w14:textId="5E39E48A" w:rsidR="0030413B" w:rsidRDefault="0030413B">
      <w:pPr>
        <w:rPr>
          <w:lang w:val="en-US"/>
        </w:rPr>
      </w:pPr>
    </w:p>
    <w:p w14:paraId="4DF74635" w14:textId="77777777" w:rsidR="0030413B" w:rsidRDefault="0030413B">
      <w:pPr>
        <w:rPr>
          <w:lang w:val="en-US"/>
        </w:rPr>
      </w:pPr>
    </w:p>
    <w:p w14:paraId="02593735" w14:textId="77777777" w:rsidR="00870057" w:rsidRDefault="00870057">
      <w:pPr>
        <w:rPr>
          <w:lang w:val="en-US"/>
        </w:rPr>
      </w:pPr>
    </w:p>
    <w:p w14:paraId="3E9F5204" w14:textId="77777777" w:rsidR="00870057" w:rsidRDefault="00870057">
      <w:pPr>
        <w:rPr>
          <w:lang w:val="en-US"/>
        </w:rPr>
      </w:pPr>
    </w:p>
    <w:p w14:paraId="66DC35D9" w14:textId="77777777" w:rsidR="00870057" w:rsidRDefault="00870057">
      <w:pPr>
        <w:rPr>
          <w:lang w:val="en-US"/>
        </w:rPr>
      </w:pPr>
    </w:p>
    <w:p w14:paraId="192914C7" w14:textId="77777777" w:rsidR="00870057" w:rsidRDefault="00870057">
      <w:pPr>
        <w:rPr>
          <w:lang w:val="en-US"/>
        </w:rPr>
      </w:pPr>
    </w:p>
    <w:p w14:paraId="4A1D3F36" w14:textId="77777777" w:rsidR="00870057" w:rsidRDefault="00870057">
      <w:pPr>
        <w:rPr>
          <w:lang w:val="en-US"/>
        </w:rPr>
      </w:pPr>
    </w:p>
    <w:p w14:paraId="66EF6989" w14:textId="77777777" w:rsidR="00870057" w:rsidRDefault="00870057">
      <w:pPr>
        <w:rPr>
          <w:lang w:val="en-US"/>
        </w:rPr>
      </w:pPr>
    </w:p>
    <w:p w14:paraId="0EF9C018" w14:textId="77777777" w:rsidR="003634D3" w:rsidRDefault="003634D3">
      <w:pPr>
        <w:rPr>
          <w:lang w:val="en-US"/>
        </w:rPr>
      </w:pPr>
      <w:r>
        <w:rPr>
          <w:lang w:val="en-US"/>
        </w:rPr>
        <w:br w:type="page"/>
      </w:r>
    </w:p>
    <w:p w14:paraId="08AAF2DA" w14:textId="2ED83D7E" w:rsidR="0030413B" w:rsidRPr="00C25A9D" w:rsidRDefault="003634D3" w:rsidP="00870057">
      <w:pPr>
        <w:spacing w:after="60"/>
        <w:rPr>
          <w:b/>
          <w:bCs/>
          <w:color w:val="153D63" w:themeColor="text2" w:themeTint="E6"/>
          <w:lang w:val="en-US"/>
        </w:rPr>
      </w:pPr>
      <w:r w:rsidRPr="00C25A9D">
        <w:rPr>
          <w:noProof/>
          <w:color w:val="153D63" w:themeColor="text2" w:themeTint="E6"/>
          <w:lang w:val="en-US"/>
        </w:rPr>
        <w:lastRenderedPageBreak/>
        <w:drawing>
          <wp:anchor distT="0" distB="0" distL="114300" distR="114300" simplePos="0" relativeHeight="251663360" behindDoc="0" locked="0" layoutInCell="1" allowOverlap="1" wp14:anchorId="4983C563" wp14:editId="57EFFC89">
            <wp:simplePos x="0" y="0"/>
            <wp:positionH relativeFrom="column">
              <wp:posOffset>2799715</wp:posOffset>
            </wp:positionH>
            <wp:positionV relativeFrom="paragraph">
              <wp:posOffset>100965</wp:posOffset>
            </wp:positionV>
            <wp:extent cx="3564000" cy="2448000"/>
            <wp:effectExtent l="0" t="0" r="0" b="0"/>
            <wp:wrapSquare wrapText="bothSides"/>
            <wp:docPr id="30731817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4000" cy="2448000"/>
                    </a:xfrm>
                    <a:prstGeom prst="rect">
                      <a:avLst/>
                    </a:prstGeom>
                    <a:noFill/>
                  </pic:spPr>
                </pic:pic>
              </a:graphicData>
            </a:graphic>
            <wp14:sizeRelH relativeFrom="page">
              <wp14:pctWidth>0</wp14:pctWidth>
            </wp14:sizeRelH>
            <wp14:sizeRelV relativeFrom="page">
              <wp14:pctHeight>0</wp14:pctHeight>
            </wp14:sizeRelV>
          </wp:anchor>
        </w:drawing>
      </w:r>
      <w:r w:rsidR="0030413B" w:rsidRPr="00C25A9D">
        <w:rPr>
          <w:b/>
          <w:bCs/>
          <w:color w:val="153D63" w:themeColor="text2" w:themeTint="E6"/>
          <w:lang w:val="en-US"/>
        </w:rPr>
        <w:t>Gambling Frequency</w:t>
      </w:r>
    </w:p>
    <w:p w14:paraId="2CF00544" w14:textId="47DAAFF3" w:rsidR="003634D3" w:rsidRDefault="00AD597E" w:rsidP="00C13D75">
      <w:pPr>
        <w:spacing w:after="0" w:line="288" w:lineRule="auto"/>
        <w:jc w:val="both"/>
      </w:pPr>
      <w:r>
        <w:t>H</w:t>
      </w:r>
      <w:r w:rsidR="0030413B" w:rsidRPr="0030413B">
        <w:t xml:space="preserve">alf of Victorians who participate in gambling do so less than monthly, with </w:t>
      </w:r>
      <w:r w:rsidR="003F2E70">
        <w:t>about a</w:t>
      </w:r>
      <w:r w:rsidR="0030413B" w:rsidRPr="0030413B">
        <w:t xml:space="preserve"> quarter gambling at least monthly, but not weekly, and </w:t>
      </w:r>
      <w:r w:rsidR="003F2E70">
        <w:t>the balance</w:t>
      </w:r>
      <w:r w:rsidR="0030413B" w:rsidRPr="0030413B">
        <w:t xml:space="preserve"> participating </w:t>
      </w:r>
      <w:r w:rsidR="00EE37EF">
        <w:t>at least every week</w:t>
      </w:r>
      <w:r w:rsidR="0030413B" w:rsidRPr="0030413B">
        <w:t xml:space="preserve">. </w:t>
      </w:r>
    </w:p>
    <w:p w14:paraId="12135859" w14:textId="6E2E42C2" w:rsidR="003634D3" w:rsidRPr="0030413B" w:rsidRDefault="003634D3" w:rsidP="00C13D75">
      <w:pPr>
        <w:spacing w:after="0" w:line="288" w:lineRule="auto"/>
        <w:jc w:val="both"/>
      </w:pPr>
    </w:p>
    <w:p w14:paraId="41D26441" w14:textId="3FE3189E" w:rsidR="0030413B" w:rsidRPr="00870057" w:rsidRDefault="0030413B" w:rsidP="00870057">
      <w:pPr>
        <w:spacing w:after="0" w:line="240" w:lineRule="auto"/>
        <w:rPr>
          <w:color w:val="7F7F7F" w:themeColor="text1" w:themeTint="80"/>
          <w:sz w:val="20"/>
          <w:szCs w:val="20"/>
        </w:rPr>
      </w:pPr>
      <w:r w:rsidRPr="00870057">
        <w:rPr>
          <w:color w:val="7F7F7F" w:themeColor="text1" w:themeTint="80"/>
          <w:sz w:val="20"/>
          <w:szCs w:val="20"/>
        </w:rPr>
        <w:t>Per cent of gamblers, by frequency of gambling: all gambling, Victoria, 2023</w:t>
      </w:r>
    </w:p>
    <w:p w14:paraId="1BE021A7" w14:textId="40DEA539" w:rsidR="0030413B" w:rsidRDefault="0030413B">
      <w:pPr>
        <w:rPr>
          <w:lang w:val="en-US"/>
        </w:rPr>
      </w:pPr>
    </w:p>
    <w:p w14:paraId="752A758B" w14:textId="6A5B34F3" w:rsidR="003634D3" w:rsidRDefault="00C25A9D">
      <w:pPr>
        <w:rPr>
          <w:lang w:val="en-US"/>
        </w:rPr>
      </w:pPr>
      <w:r>
        <w:rPr>
          <w:noProof/>
          <w:lang w:val="en-US"/>
        </w:rPr>
        <w:drawing>
          <wp:anchor distT="0" distB="0" distL="114300" distR="114300" simplePos="0" relativeHeight="251664384" behindDoc="0" locked="0" layoutInCell="1" allowOverlap="1" wp14:anchorId="0EA0D66D" wp14:editId="26B6775E">
            <wp:simplePos x="0" y="0"/>
            <wp:positionH relativeFrom="margin">
              <wp:align>left</wp:align>
            </wp:positionH>
            <wp:positionV relativeFrom="paragraph">
              <wp:posOffset>334645</wp:posOffset>
            </wp:positionV>
            <wp:extent cx="3564000" cy="2448000"/>
            <wp:effectExtent l="0" t="0" r="0" b="0"/>
            <wp:wrapSquare wrapText="bothSides"/>
            <wp:docPr id="2062412340"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4000" cy="2448000"/>
                    </a:xfrm>
                    <a:prstGeom prst="rect">
                      <a:avLst/>
                    </a:prstGeom>
                    <a:noFill/>
                  </pic:spPr>
                </pic:pic>
              </a:graphicData>
            </a:graphic>
            <wp14:sizeRelH relativeFrom="page">
              <wp14:pctWidth>0</wp14:pctWidth>
            </wp14:sizeRelH>
            <wp14:sizeRelV relativeFrom="page">
              <wp14:pctHeight>0</wp14:pctHeight>
            </wp14:sizeRelV>
          </wp:anchor>
        </w:drawing>
      </w:r>
    </w:p>
    <w:p w14:paraId="35F6379A" w14:textId="44541FF8" w:rsidR="003634D3" w:rsidRDefault="003634D3">
      <w:pPr>
        <w:rPr>
          <w:lang w:val="en-US"/>
        </w:rPr>
      </w:pPr>
    </w:p>
    <w:p w14:paraId="62263C39" w14:textId="77777777" w:rsidR="003634D3" w:rsidRDefault="003634D3"/>
    <w:p w14:paraId="0D82E38E" w14:textId="26467337" w:rsidR="0030413B" w:rsidRDefault="003634D3">
      <w:pPr>
        <w:rPr>
          <w:lang w:val="en-US"/>
        </w:rPr>
      </w:pPr>
      <w:r w:rsidRPr="0030413B">
        <w:t xml:space="preserve">Among EGM gamblers, 71% participate less often than monthly, with only one-tenth - </w:t>
      </w:r>
      <w:r w:rsidR="003F2E70">
        <w:t>representing</w:t>
      </w:r>
      <w:r w:rsidRPr="0030413B">
        <w:t xml:space="preserve"> about 1% of Victorian adult</w:t>
      </w:r>
      <w:r w:rsidR="003F2E70">
        <w:t>s</w:t>
      </w:r>
      <w:r w:rsidRPr="0030413B">
        <w:t xml:space="preserve"> - participating weekly.</w:t>
      </w:r>
    </w:p>
    <w:p w14:paraId="776458C7" w14:textId="43AB877F" w:rsidR="0030413B" w:rsidRPr="00870057" w:rsidRDefault="0030413B" w:rsidP="00870057">
      <w:pPr>
        <w:spacing w:after="0" w:line="240" w:lineRule="auto"/>
        <w:rPr>
          <w:color w:val="7F7F7F" w:themeColor="text1" w:themeTint="80"/>
          <w:sz w:val="20"/>
          <w:szCs w:val="20"/>
        </w:rPr>
      </w:pPr>
      <w:r w:rsidRPr="00870057">
        <w:rPr>
          <w:color w:val="7F7F7F" w:themeColor="text1" w:themeTint="80"/>
          <w:sz w:val="20"/>
          <w:szCs w:val="20"/>
        </w:rPr>
        <w:t>Per cent of gamblers, by frequency of gambling: EGM gambling, Victoria, 2023</w:t>
      </w:r>
    </w:p>
    <w:p w14:paraId="3D516A35" w14:textId="73288C53" w:rsidR="0030413B" w:rsidRDefault="00C25A9D">
      <w:pPr>
        <w:rPr>
          <w:lang w:val="en-US"/>
        </w:rPr>
      </w:pPr>
      <w:r>
        <w:rPr>
          <w:noProof/>
          <w:lang w:val="en-US"/>
        </w:rPr>
        <w:drawing>
          <wp:anchor distT="0" distB="0" distL="114300" distR="114300" simplePos="0" relativeHeight="251665408" behindDoc="0" locked="0" layoutInCell="1" allowOverlap="1" wp14:anchorId="17EF71A7" wp14:editId="075B1A1F">
            <wp:simplePos x="0" y="0"/>
            <wp:positionH relativeFrom="column">
              <wp:posOffset>2778125</wp:posOffset>
            </wp:positionH>
            <wp:positionV relativeFrom="paragraph">
              <wp:posOffset>489585</wp:posOffset>
            </wp:positionV>
            <wp:extent cx="3564000" cy="2448000"/>
            <wp:effectExtent l="0" t="0" r="0" b="0"/>
            <wp:wrapSquare wrapText="bothSides"/>
            <wp:docPr id="73598437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4000" cy="2448000"/>
                    </a:xfrm>
                    <a:prstGeom prst="rect">
                      <a:avLst/>
                    </a:prstGeom>
                    <a:noFill/>
                  </pic:spPr>
                </pic:pic>
              </a:graphicData>
            </a:graphic>
            <wp14:sizeRelH relativeFrom="page">
              <wp14:pctWidth>0</wp14:pctWidth>
            </wp14:sizeRelH>
            <wp14:sizeRelV relativeFrom="page">
              <wp14:pctHeight>0</wp14:pctHeight>
            </wp14:sizeRelV>
          </wp:anchor>
        </w:drawing>
      </w:r>
    </w:p>
    <w:p w14:paraId="4392E7FC" w14:textId="5FB12CCF" w:rsidR="003634D3" w:rsidRDefault="003634D3">
      <w:pPr>
        <w:rPr>
          <w:lang w:val="en-US"/>
        </w:rPr>
      </w:pPr>
    </w:p>
    <w:p w14:paraId="3682AFF1" w14:textId="5A186B5C" w:rsidR="003634D3" w:rsidRDefault="003634D3">
      <w:pPr>
        <w:rPr>
          <w:lang w:val="en-US"/>
        </w:rPr>
      </w:pPr>
    </w:p>
    <w:p w14:paraId="009A1B7F" w14:textId="2661519A" w:rsidR="003634D3" w:rsidRDefault="003634D3">
      <w:pPr>
        <w:rPr>
          <w:lang w:val="en-US"/>
        </w:rPr>
      </w:pPr>
    </w:p>
    <w:p w14:paraId="1B7D9311" w14:textId="513D960C" w:rsidR="0030413B" w:rsidRDefault="003634D3">
      <w:pPr>
        <w:rPr>
          <w:lang w:val="en-US"/>
        </w:rPr>
      </w:pPr>
      <w:r w:rsidRPr="0030413B">
        <w:t>Similarly, among people who participate in Casino gambling, nearly nine-tenths do so less than monthly and only 2.9% as often as weekly.</w:t>
      </w:r>
    </w:p>
    <w:p w14:paraId="6AA3F93A" w14:textId="069B5C29" w:rsidR="0030413B" w:rsidRPr="00870057" w:rsidRDefault="0030413B" w:rsidP="00870057">
      <w:pPr>
        <w:spacing w:after="0" w:line="240" w:lineRule="auto"/>
        <w:rPr>
          <w:color w:val="7F7F7F" w:themeColor="text1" w:themeTint="80"/>
          <w:sz w:val="20"/>
          <w:szCs w:val="20"/>
        </w:rPr>
      </w:pPr>
      <w:r w:rsidRPr="00870057">
        <w:rPr>
          <w:color w:val="7F7F7F" w:themeColor="text1" w:themeTint="80"/>
          <w:sz w:val="20"/>
          <w:szCs w:val="20"/>
        </w:rPr>
        <w:t xml:space="preserve">Per cent of gamblers, by frequency of gambling: </w:t>
      </w:r>
      <w:r w:rsidR="00E77618" w:rsidRPr="00870057">
        <w:rPr>
          <w:color w:val="7F7F7F" w:themeColor="text1" w:themeTint="80"/>
          <w:sz w:val="20"/>
          <w:szCs w:val="20"/>
        </w:rPr>
        <w:t>casino</w:t>
      </w:r>
      <w:r w:rsidRPr="00870057">
        <w:rPr>
          <w:color w:val="7F7F7F" w:themeColor="text1" w:themeTint="80"/>
          <w:sz w:val="20"/>
          <w:szCs w:val="20"/>
        </w:rPr>
        <w:t xml:space="preserve"> gambling, Victoria, 2023</w:t>
      </w:r>
    </w:p>
    <w:p w14:paraId="6E9EE693" w14:textId="7DABA186" w:rsidR="0030413B" w:rsidRDefault="0030413B">
      <w:pPr>
        <w:rPr>
          <w:lang w:val="en-US"/>
        </w:rPr>
      </w:pPr>
    </w:p>
    <w:p w14:paraId="44FC7CBD" w14:textId="6CCA9D91" w:rsidR="0030413B" w:rsidRDefault="0030413B">
      <w:pPr>
        <w:rPr>
          <w:lang w:val="en-US"/>
        </w:rPr>
      </w:pPr>
    </w:p>
    <w:p w14:paraId="2B32D815" w14:textId="29DEB822" w:rsidR="00E77618" w:rsidRDefault="00E77618">
      <w:pPr>
        <w:rPr>
          <w:lang w:val="en-US"/>
        </w:rPr>
      </w:pPr>
    </w:p>
    <w:p w14:paraId="0E22A59C" w14:textId="340BC2C1" w:rsidR="003634D3" w:rsidRDefault="00C25A9D" w:rsidP="003634D3">
      <w:pPr>
        <w:spacing w:after="0" w:line="288" w:lineRule="auto"/>
        <w:jc w:val="both"/>
      </w:pPr>
      <w:r>
        <w:rPr>
          <w:noProof/>
          <w:lang w:val="en-US"/>
        </w:rPr>
        <w:drawing>
          <wp:anchor distT="0" distB="0" distL="114300" distR="114300" simplePos="0" relativeHeight="251666432" behindDoc="0" locked="0" layoutInCell="1" allowOverlap="1" wp14:anchorId="1DBADB7C" wp14:editId="423B425A">
            <wp:simplePos x="0" y="0"/>
            <wp:positionH relativeFrom="margin">
              <wp:align>left</wp:align>
            </wp:positionH>
            <wp:positionV relativeFrom="paragraph">
              <wp:posOffset>-323215</wp:posOffset>
            </wp:positionV>
            <wp:extent cx="3564000" cy="2448000"/>
            <wp:effectExtent l="0" t="0" r="0" b="0"/>
            <wp:wrapSquare wrapText="bothSides"/>
            <wp:docPr id="616972008"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4000" cy="2448000"/>
                    </a:xfrm>
                    <a:prstGeom prst="rect">
                      <a:avLst/>
                    </a:prstGeom>
                    <a:noFill/>
                  </pic:spPr>
                </pic:pic>
              </a:graphicData>
            </a:graphic>
            <wp14:sizeRelH relativeFrom="page">
              <wp14:pctWidth>0</wp14:pctWidth>
            </wp14:sizeRelH>
            <wp14:sizeRelV relativeFrom="page">
              <wp14:pctHeight>0</wp14:pctHeight>
            </wp14:sizeRelV>
          </wp:anchor>
        </w:drawing>
      </w:r>
      <w:r w:rsidR="003634D3" w:rsidRPr="0030413B">
        <w:t xml:space="preserve">Sports betters </w:t>
      </w:r>
      <w:r w:rsidR="00AD597E">
        <w:t>gamble</w:t>
      </w:r>
      <w:r w:rsidR="003634D3" w:rsidRPr="0030413B">
        <w:t xml:space="preserve"> more frequently than EGM or casino gamblers, with over half participating less often than monthly, </w:t>
      </w:r>
      <w:r w:rsidR="00AD597E">
        <w:t>but</w:t>
      </w:r>
      <w:r w:rsidR="003634D3" w:rsidRPr="0030413B">
        <w:t xml:space="preserve"> </w:t>
      </w:r>
      <w:r w:rsidR="003F2E70">
        <w:t>nearly</w:t>
      </w:r>
      <w:r w:rsidR="003634D3" w:rsidRPr="0030413B">
        <w:t xml:space="preserve"> one-fifth participating at least every week.</w:t>
      </w:r>
    </w:p>
    <w:p w14:paraId="6C90A3BD" w14:textId="62FAC26C" w:rsidR="00E77618" w:rsidRDefault="00E77618" w:rsidP="003634D3">
      <w:pPr>
        <w:spacing w:after="0" w:line="240" w:lineRule="auto"/>
        <w:rPr>
          <w:lang w:val="en-US"/>
        </w:rPr>
      </w:pPr>
    </w:p>
    <w:p w14:paraId="6BC9D4D2" w14:textId="1DEBD502" w:rsidR="00E77618" w:rsidRPr="00870057" w:rsidRDefault="00E77618" w:rsidP="00870057">
      <w:pPr>
        <w:spacing w:after="0" w:line="240" w:lineRule="auto"/>
        <w:rPr>
          <w:color w:val="7F7F7F" w:themeColor="text1" w:themeTint="80"/>
          <w:sz w:val="20"/>
          <w:szCs w:val="20"/>
        </w:rPr>
      </w:pPr>
      <w:r w:rsidRPr="00870057">
        <w:rPr>
          <w:color w:val="7F7F7F" w:themeColor="text1" w:themeTint="80"/>
          <w:sz w:val="20"/>
          <w:szCs w:val="20"/>
        </w:rPr>
        <w:t>Per cent of gamblers, by frequency of gambling: sports gambling, Victoria, 2023</w:t>
      </w:r>
    </w:p>
    <w:p w14:paraId="587FC851" w14:textId="1023C076" w:rsidR="00E77618" w:rsidRDefault="00E77618">
      <w:pPr>
        <w:rPr>
          <w:lang w:val="en-US"/>
        </w:rPr>
      </w:pPr>
    </w:p>
    <w:p w14:paraId="21BA3F50" w14:textId="77777777" w:rsidR="00E77618" w:rsidRDefault="00E77618">
      <w:pPr>
        <w:rPr>
          <w:lang w:val="en-US"/>
        </w:rPr>
      </w:pPr>
    </w:p>
    <w:p w14:paraId="76386AAC" w14:textId="45EEFF14" w:rsidR="00E77618" w:rsidRPr="00C25A9D" w:rsidRDefault="00E77618" w:rsidP="00AD597E">
      <w:pPr>
        <w:tabs>
          <w:tab w:val="left" w:pos="6296"/>
        </w:tabs>
        <w:spacing w:after="60"/>
        <w:rPr>
          <w:b/>
          <w:bCs/>
          <w:color w:val="153D63" w:themeColor="text2" w:themeTint="E6"/>
          <w:lang w:val="en-US"/>
        </w:rPr>
      </w:pPr>
      <w:r w:rsidRPr="00C25A9D">
        <w:rPr>
          <w:b/>
          <w:bCs/>
          <w:color w:val="153D63" w:themeColor="text2" w:themeTint="E6"/>
          <w:lang w:val="en-US"/>
        </w:rPr>
        <w:lastRenderedPageBreak/>
        <w:t>Gambling Losses</w:t>
      </w:r>
    </w:p>
    <w:p w14:paraId="1B2B341A" w14:textId="0794EB5B" w:rsidR="003F2E70" w:rsidRDefault="003F2E70" w:rsidP="00C13D75">
      <w:pPr>
        <w:spacing w:after="0" w:line="288" w:lineRule="auto"/>
        <w:jc w:val="both"/>
      </w:pPr>
      <w:r>
        <w:t>Survey respondents who</w:t>
      </w:r>
      <w:r w:rsidR="00E77618" w:rsidRPr="00E77618">
        <w:t xml:space="preserve"> participate in gambling </w:t>
      </w:r>
      <w:r>
        <w:t xml:space="preserve">acknowledged </w:t>
      </w:r>
      <w:r w:rsidR="00AD597E">
        <w:t>gambling</w:t>
      </w:r>
      <w:r>
        <w:t xml:space="preserve"> losses </w:t>
      </w:r>
      <w:r w:rsidR="00AD597E">
        <w:t>averaging</w:t>
      </w:r>
      <w:r w:rsidR="00E77618" w:rsidRPr="00E77618">
        <w:t xml:space="preserve"> $2,453 in the preceding 12 months. The gambling activity associated with the highest level of losses was racing, accounting for average </w:t>
      </w:r>
      <w:r>
        <w:t xml:space="preserve">acknowledged </w:t>
      </w:r>
      <w:r w:rsidR="00E77618" w:rsidRPr="00E77618">
        <w:t xml:space="preserve">losses of $5,915 per annum. </w:t>
      </w:r>
      <w:r w:rsidR="00D95808">
        <w:rPr>
          <w:rStyle w:val="FootnoteReference"/>
        </w:rPr>
        <w:footnoteReference w:id="1"/>
      </w:r>
    </w:p>
    <w:p w14:paraId="4967DFEC" w14:textId="61BBC8E7" w:rsidR="00E77618" w:rsidRPr="00E77618" w:rsidRDefault="00E77618" w:rsidP="00C13D75">
      <w:pPr>
        <w:spacing w:after="0" w:line="288" w:lineRule="auto"/>
        <w:jc w:val="both"/>
      </w:pPr>
      <w:r w:rsidRPr="00E77618">
        <w:t>Among people who participate in EGM gambling, losses to such gambling in the previous 12 months averaged $2,656 - a level which ranged from $158 among those who gambled on EGMs less often than monthly, to $8,212 among those who gambled at least weekly.</w:t>
      </w:r>
    </w:p>
    <w:p w14:paraId="7E6F9828" w14:textId="12BE62C0" w:rsidR="00FB6850" w:rsidRDefault="00D95808" w:rsidP="00825323">
      <w:pPr>
        <w:spacing w:after="0" w:line="240" w:lineRule="auto"/>
      </w:pPr>
      <w:r>
        <w:rPr>
          <w:noProof/>
        </w:rPr>
        <w:drawing>
          <wp:anchor distT="0" distB="0" distL="114300" distR="114300" simplePos="0" relativeHeight="251667456" behindDoc="0" locked="0" layoutInCell="1" allowOverlap="1" wp14:anchorId="77980FAF" wp14:editId="29552747">
            <wp:simplePos x="0" y="0"/>
            <wp:positionH relativeFrom="column">
              <wp:posOffset>2016125</wp:posOffset>
            </wp:positionH>
            <wp:positionV relativeFrom="paragraph">
              <wp:posOffset>41910</wp:posOffset>
            </wp:positionV>
            <wp:extent cx="4428490" cy="2882900"/>
            <wp:effectExtent l="0" t="0" r="0" b="0"/>
            <wp:wrapSquare wrapText="bothSides"/>
            <wp:docPr id="69786766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8490" cy="2882900"/>
                    </a:xfrm>
                    <a:prstGeom prst="rect">
                      <a:avLst/>
                    </a:prstGeom>
                    <a:noFill/>
                  </pic:spPr>
                </pic:pic>
              </a:graphicData>
            </a:graphic>
            <wp14:sizeRelH relativeFrom="page">
              <wp14:pctWidth>0</wp14:pctWidth>
            </wp14:sizeRelH>
            <wp14:sizeRelV relativeFrom="page">
              <wp14:pctHeight>0</wp14:pctHeight>
            </wp14:sizeRelV>
          </wp:anchor>
        </w:drawing>
      </w:r>
    </w:p>
    <w:p w14:paraId="5579A685" w14:textId="1C5C0F29" w:rsidR="00FB6850" w:rsidRDefault="00FB6850" w:rsidP="00825323">
      <w:pPr>
        <w:spacing w:after="0" w:line="240" w:lineRule="auto"/>
      </w:pPr>
    </w:p>
    <w:p w14:paraId="39E58A40" w14:textId="495E3BEE" w:rsidR="00E77618" w:rsidRDefault="00E77618" w:rsidP="00825323">
      <w:pPr>
        <w:spacing w:after="0" w:line="240" w:lineRule="auto"/>
      </w:pPr>
    </w:p>
    <w:p w14:paraId="305EB503" w14:textId="0D6FBD08" w:rsidR="00E77618" w:rsidRPr="00870057" w:rsidRDefault="00E77618" w:rsidP="00870057">
      <w:pPr>
        <w:spacing w:after="0" w:line="240" w:lineRule="auto"/>
        <w:rPr>
          <w:color w:val="7F7F7F" w:themeColor="text1" w:themeTint="80"/>
          <w:sz w:val="20"/>
          <w:szCs w:val="20"/>
        </w:rPr>
      </w:pPr>
      <w:r w:rsidRPr="00870057">
        <w:rPr>
          <w:color w:val="7F7F7F" w:themeColor="text1" w:themeTint="80"/>
          <w:sz w:val="20"/>
          <w:szCs w:val="20"/>
        </w:rPr>
        <w:t xml:space="preserve">Average annual </w:t>
      </w:r>
      <w:r w:rsidR="003634D3">
        <w:rPr>
          <w:color w:val="7F7F7F" w:themeColor="text1" w:themeTint="80"/>
          <w:sz w:val="20"/>
          <w:szCs w:val="20"/>
        </w:rPr>
        <w:t>losses</w:t>
      </w:r>
      <w:r w:rsidRPr="00870057">
        <w:rPr>
          <w:color w:val="7F7F7F" w:themeColor="text1" w:themeTint="80"/>
          <w:sz w:val="20"/>
          <w:szCs w:val="20"/>
        </w:rPr>
        <w:t xml:space="preserve"> by gamblers, by type of gambling: Victoria, 2023</w:t>
      </w:r>
    </w:p>
    <w:p w14:paraId="43B00EAD" w14:textId="77777777" w:rsidR="00E77618" w:rsidRPr="00825323" w:rsidRDefault="00E77618" w:rsidP="00E77618">
      <w:pPr>
        <w:rPr>
          <w:sz w:val="36"/>
          <w:szCs w:val="36"/>
        </w:rPr>
      </w:pPr>
    </w:p>
    <w:p w14:paraId="6DD151DA" w14:textId="2935D80B" w:rsidR="00FB6850" w:rsidRDefault="00FB6850" w:rsidP="00C13D75">
      <w:pPr>
        <w:spacing w:after="0" w:line="288" w:lineRule="auto"/>
        <w:jc w:val="both"/>
      </w:pPr>
    </w:p>
    <w:p w14:paraId="7171C749" w14:textId="77777777" w:rsidR="00FB6850" w:rsidRDefault="00FB6850" w:rsidP="00C13D75">
      <w:pPr>
        <w:spacing w:after="0" w:line="288" w:lineRule="auto"/>
        <w:jc w:val="both"/>
      </w:pPr>
    </w:p>
    <w:p w14:paraId="4E307478" w14:textId="77777777" w:rsidR="00FB6850" w:rsidRDefault="00FB6850" w:rsidP="00C13D75">
      <w:pPr>
        <w:spacing w:after="0" w:line="288" w:lineRule="auto"/>
        <w:jc w:val="both"/>
      </w:pPr>
    </w:p>
    <w:p w14:paraId="40869303" w14:textId="4697CBCC" w:rsidR="00FB6850" w:rsidRDefault="00FB6850" w:rsidP="00C13D75">
      <w:pPr>
        <w:spacing w:after="0" w:line="288" w:lineRule="auto"/>
        <w:jc w:val="both"/>
      </w:pPr>
    </w:p>
    <w:p w14:paraId="17EB153E" w14:textId="77777777" w:rsidR="00FB6850" w:rsidRDefault="00FB6850" w:rsidP="00C13D75">
      <w:pPr>
        <w:spacing w:after="0" w:line="288" w:lineRule="auto"/>
        <w:jc w:val="both"/>
      </w:pPr>
    </w:p>
    <w:p w14:paraId="36FAD2DD" w14:textId="77777777" w:rsidR="00FB6850" w:rsidRDefault="00FB6850" w:rsidP="00C13D75">
      <w:pPr>
        <w:spacing w:after="0" w:line="288" w:lineRule="auto"/>
        <w:jc w:val="both"/>
      </w:pPr>
    </w:p>
    <w:p w14:paraId="5096B970" w14:textId="030CB42B" w:rsidR="00FB6850" w:rsidRDefault="00FB6850" w:rsidP="00C13D75">
      <w:pPr>
        <w:spacing w:after="0" w:line="288" w:lineRule="auto"/>
        <w:jc w:val="both"/>
      </w:pPr>
    </w:p>
    <w:p w14:paraId="0C1F9581" w14:textId="524C9399" w:rsidR="00FB6850" w:rsidRDefault="00FB6850" w:rsidP="00C13D75">
      <w:pPr>
        <w:spacing w:after="0" w:line="288" w:lineRule="auto"/>
        <w:jc w:val="both"/>
      </w:pPr>
    </w:p>
    <w:p w14:paraId="624017A4" w14:textId="5B0C5316" w:rsidR="003F2E70" w:rsidRDefault="00E77618" w:rsidP="00C13D75">
      <w:pPr>
        <w:spacing w:after="0" w:line="288" w:lineRule="auto"/>
        <w:jc w:val="both"/>
      </w:pPr>
      <w:r w:rsidRPr="00E77618">
        <w:t xml:space="preserve">The accompanying chart sets out the proportion of gamblers who </w:t>
      </w:r>
      <w:r w:rsidR="003F2E70">
        <w:t>acknowledged losses of</w:t>
      </w:r>
      <w:r w:rsidRPr="00E77618">
        <w:t xml:space="preserve"> more than $10,000 in the previous 12 months, a figure which </w:t>
      </w:r>
      <w:r w:rsidR="00042841">
        <w:t>stood at</w:t>
      </w:r>
      <w:r w:rsidRPr="00E77618">
        <w:t xml:space="preserve"> 2.5% among gamblers in general. </w:t>
      </w:r>
    </w:p>
    <w:p w14:paraId="1020FA2F" w14:textId="6A229009" w:rsidR="00E77618" w:rsidRDefault="00E77618" w:rsidP="00C13D75">
      <w:pPr>
        <w:spacing w:after="0" w:line="288" w:lineRule="auto"/>
        <w:jc w:val="both"/>
      </w:pPr>
      <w:r w:rsidRPr="00E77618">
        <w:t xml:space="preserve">Among EGM </w:t>
      </w:r>
      <w:r w:rsidR="00042841">
        <w:t xml:space="preserve">gamblers </w:t>
      </w:r>
      <w:r w:rsidRPr="00E77618">
        <w:t>though, this rose to 6.1% - the highest percentage among all gambling types. Among Casino gamblers, 4.5% lost over $10,000 in the previous year, while for sports gamblers the figure was 4.2%. By contrast, less than 1% of scratch, raffle, lottery and Keno gamblers recorded such losses.</w:t>
      </w:r>
    </w:p>
    <w:p w14:paraId="66FBBE1D" w14:textId="36D4963C" w:rsidR="00FB6850" w:rsidRDefault="00FB6850" w:rsidP="00C13D75">
      <w:pPr>
        <w:spacing w:after="0" w:line="288" w:lineRule="auto"/>
        <w:jc w:val="both"/>
      </w:pPr>
      <w:r>
        <w:rPr>
          <w:noProof/>
          <w:lang w:val="en-US"/>
        </w:rPr>
        <w:drawing>
          <wp:anchor distT="0" distB="0" distL="114300" distR="114300" simplePos="0" relativeHeight="251668480" behindDoc="0" locked="0" layoutInCell="1" allowOverlap="1" wp14:anchorId="5954143E" wp14:editId="1B73FBE4">
            <wp:simplePos x="0" y="0"/>
            <wp:positionH relativeFrom="column">
              <wp:posOffset>69215</wp:posOffset>
            </wp:positionH>
            <wp:positionV relativeFrom="paragraph">
              <wp:posOffset>67945</wp:posOffset>
            </wp:positionV>
            <wp:extent cx="4438650" cy="2889250"/>
            <wp:effectExtent l="0" t="0" r="0" b="6350"/>
            <wp:wrapSquare wrapText="bothSides"/>
            <wp:docPr id="109179370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8650" cy="2889250"/>
                    </a:xfrm>
                    <a:prstGeom prst="rect">
                      <a:avLst/>
                    </a:prstGeom>
                    <a:noFill/>
                  </pic:spPr>
                </pic:pic>
              </a:graphicData>
            </a:graphic>
            <wp14:sizeRelH relativeFrom="page">
              <wp14:pctWidth>0</wp14:pctWidth>
            </wp14:sizeRelH>
            <wp14:sizeRelV relativeFrom="page">
              <wp14:pctHeight>0</wp14:pctHeight>
            </wp14:sizeRelV>
          </wp:anchor>
        </w:drawing>
      </w:r>
    </w:p>
    <w:p w14:paraId="76EB2A16" w14:textId="77777777" w:rsidR="00FB6850" w:rsidRDefault="00FB6850" w:rsidP="00C13D75">
      <w:pPr>
        <w:spacing w:after="0" w:line="288" w:lineRule="auto"/>
        <w:jc w:val="both"/>
      </w:pPr>
    </w:p>
    <w:p w14:paraId="2DA04954" w14:textId="38DA80BE" w:rsidR="00FB6850" w:rsidRPr="00D95808" w:rsidRDefault="00FB6850" w:rsidP="00C13D75">
      <w:pPr>
        <w:spacing w:after="0" w:line="288" w:lineRule="auto"/>
        <w:jc w:val="both"/>
        <w:rPr>
          <w:sz w:val="16"/>
          <w:szCs w:val="16"/>
        </w:rPr>
      </w:pPr>
    </w:p>
    <w:p w14:paraId="1A1907E4" w14:textId="3AFDF2A6" w:rsidR="003634D3" w:rsidRPr="00AD597E" w:rsidRDefault="003634D3" w:rsidP="00C13D75">
      <w:pPr>
        <w:spacing w:after="0" w:line="288" w:lineRule="auto"/>
        <w:jc w:val="both"/>
        <w:rPr>
          <w:sz w:val="12"/>
          <w:szCs w:val="12"/>
        </w:rPr>
      </w:pPr>
    </w:p>
    <w:p w14:paraId="4C1CD7F3" w14:textId="46A83657" w:rsidR="00E77618" w:rsidRDefault="00E77618" w:rsidP="00870057">
      <w:pPr>
        <w:spacing w:after="0" w:line="240" w:lineRule="auto"/>
        <w:rPr>
          <w:color w:val="7F7F7F" w:themeColor="text1" w:themeTint="80"/>
          <w:sz w:val="20"/>
          <w:szCs w:val="20"/>
        </w:rPr>
      </w:pPr>
      <w:r w:rsidRPr="00870057">
        <w:rPr>
          <w:color w:val="7F7F7F" w:themeColor="text1" w:themeTint="80"/>
          <w:sz w:val="20"/>
          <w:szCs w:val="20"/>
        </w:rPr>
        <w:t>Per cent of gamblers who lost over $10,000 in the previous 12 months to gambling, by type of gambling: Victoria, 2023</w:t>
      </w:r>
    </w:p>
    <w:p w14:paraId="6864ADCD" w14:textId="77777777" w:rsidR="00FB6850" w:rsidRDefault="00FB6850" w:rsidP="00870057">
      <w:pPr>
        <w:spacing w:after="0" w:line="240" w:lineRule="auto"/>
        <w:rPr>
          <w:color w:val="7F7F7F" w:themeColor="text1" w:themeTint="80"/>
          <w:sz w:val="20"/>
          <w:szCs w:val="20"/>
        </w:rPr>
      </w:pPr>
    </w:p>
    <w:p w14:paraId="53A4DC76" w14:textId="77777777" w:rsidR="00FB6850" w:rsidRPr="00870057" w:rsidRDefault="00FB6850" w:rsidP="00870057">
      <w:pPr>
        <w:spacing w:after="0" w:line="240" w:lineRule="auto"/>
        <w:rPr>
          <w:color w:val="7F7F7F" w:themeColor="text1" w:themeTint="80"/>
          <w:sz w:val="20"/>
          <w:szCs w:val="20"/>
        </w:rPr>
      </w:pPr>
    </w:p>
    <w:p w14:paraId="24CF4E6A" w14:textId="7BB4629B" w:rsidR="003F2E70" w:rsidRDefault="003F2E70">
      <w:pPr>
        <w:rPr>
          <w:lang w:val="en-US"/>
        </w:rPr>
      </w:pPr>
      <w:r>
        <w:rPr>
          <w:lang w:val="en-US"/>
        </w:rPr>
        <w:br w:type="page"/>
      </w:r>
    </w:p>
    <w:p w14:paraId="58AF1D5E" w14:textId="569A359B" w:rsidR="00E77618" w:rsidRPr="00C25A9D" w:rsidRDefault="00E77618" w:rsidP="00870057">
      <w:pPr>
        <w:spacing w:after="60"/>
        <w:rPr>
          <w:b/>
          <w:bCs/>
          <w:color w:val="153D63" w:themeColor="text2" w:themeTint="E6"/>
          <w:lang w:val="en-US"/>
        </w:rPr>
      </w:pPr>
      <w:r w:rsidRPr="00C25A9D">
        <w:rPr>
          <w:b/>
          <w:bCs/>
          <w:color w:val="153D63" w:themeColor="text2" w:themeTint="E6"/>
          <w:lang w:val="en-US"/>
        </w:rPr>
        <w:lastRenderedPageBreak/>
        <w:t>Gambling Losses and Social Characteristics</w:t>
      </w:r>
    </w:p>
    <w:p w14:paraId="76220A78" w14:textId="07FB2AE2" w:rsidR="00E77618" w:rsidRDefault="00E77618" w:rsidP="00C13D75">
      <w:pPr>
        <w:spacing w:after="0" w:line="288" w:lineRule="auto"/>
        <w:jc w:val="both"/>
      </w:pPr>
      <w:r w:rsidRPr="00E77618">
        <w:t>We have seen that average annual losses acknowledged by gamblers in this survey was $2,453. This figure was over six times higher for males than for females, and highest among young people and those in their older age, among English speakers, those with tertiary qualifications and people on higher incomes.</w:t>
      </w:r>
    </w:p>
    <w:p w14:paraId="52CFB3C0" w14:textId="77777777" w:rsidR="003634D3" w:rsidRDefault="003634D3" w:rsidP="00870057">
      <w:pPr>
        <w:spacing w:after="0" w:line="240" w:lineRule="auto"/>
        <w:rPr>
          <w:color w:val="7F7F7F" w:themeColor="text1" w:themeTint="80"/>
          <w:sz w:val="20"/>
          <w:szCs w:val="20"/>
        </w:rPr>
      </w:pPr>
    </w:p>
    <w:p w14:paraId="7CCC73DB" w14:textId="1283611B" w:rsidR="003634D3" w:rsidRDefault="003634D3" w:rsidP="00870057">
      <w:pPr>
        <w:spacing w:after="0" w:line="240" w:lineRule="auto"/>
        <w:rPr>
          <w:color w:val="7F7F7F" w:themeColor="text1" w:themeTint="80"/>
          <w:sz w:val="20"/>
          <w:szCs w:val="20"/>
        </w:rPr>
      </w:pPr>
      <w:r>
        <w:rPr>
          <w:noProof/>
          <w:lang w:val="en-US"/>
        </w:rPr>
        <w:drawing>
          <wp:anchor distT="0" distB="0" distL="114300" distR="114300" simplePos="0" relativeHeight="251670528" behindDoc="0" locked="0" layoutInCell="1" allowOverlap="1" wp14:anchorId="50FCF073" wp14:editId="05B95011">
            <wp:simplePos x="0" y="0"/>
            <wp:positionH relativeFrom="margin">
              <wp:posOffset>247015</wp:posOffset>
            </wp:positionH>
            <wp:positionV relativeFrom="paragraph">
              <wp:posOffset>17780</wp:posOffset>
            </wp:positionV>
            <wp:extent cx="4648200" cy="3625850"/>
            <wp:effectExtent l="0" t="0" r="0" b="0"/>
            <wp:wrapSquare wrapText="bothSides"/>
            <wp:docPr id="204405587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8">
                      <a:extLst>
                        <a:ext uri="{28A0092B-C50C-407E-A947-70E740481C1C}">
                          <a14:useLocalDpi xmlns:a14="http://schemas.microsoft.com/office/drawing/2010/main" val="0"/>
                        </a:ext>
                      </a:extLst>
                    </a:blip>
                    <a:srcRect r="6045"/>
                    <a:stretch/>
                  </pic:blipFill>
                  <pic:spPr bwMode="auto">
                    <a:xfrm>
                      <a:off x="0" y="0"/>
                      <a:ext cx="4648200" cy="362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1F0C74" w14:textId="77777777" w:rsidR="003634D3" w:rsidRDefault="003634D3" w:rsidP="00870057">
      <w:pPr>
        <w:spacing w:after="0" w:line="240" w:lineRule="auto"/>
        <w:rPr>
          <w:color w:val="7F7F7F" w:themeColor="text1" w:themeTint="80"/>
          <w:sz w:val="20"/>
          <w:szCs w:val="20"/>
        </w:rPr>
      </w:pPr>
    </w:p>
    <w:p w14:paraId="61704EB8" w14:textId="77777777" w:rsidR="003634D3" w:rsidRDefault="003634D3" w:rsidP="00870057">
      <w:pPr>
        <w:spacing w:after="0" w:line="240" w:lineRule="auto"/>
        <w:rPr>
          <w:color w:val="7F7F7F" w:themeColor="text1" w:themeTint="80"/>
          <w:sz w:val="20"/>
          <w:szCs w:val="20"/>
        </w:rPr>
      </w:pPr>
    </w:p>
    <w:p w14:paraId="1A1991C7" w14:textId="77777777" w:rsidR="003634D3" w:rsidRDefault="003634D3" w:rsidP="00870057">
      <w:pPr>
        <w:spacing w:after="0" w:line="240" w:lineRule="auto"/>
        <w:rPr>
          <w:color w:val="7F7F7F" w:themeColor="text1" w:themeTint="80"/>
          <w:sz w:val="20"/>
          <w:szCs w:val="20"/>
        </w:rPr>
      </w:pPr>
    </w:p>
    <w:p w14:paraId="57D371B8" w14:textId="77777777" w:rsidR="003634D3" w:rsidRDefault="003634D3" w:rsidP="00870057">
      <w:pPr>
        <w:spacing w:after="0" w:line="240" w:lineRule="auto"/>
        <w:rPr>
          <w:color w:val="7F7F7F" w:themeColor="text1" w:themeTint="80"/>
          <w:sz w:val="20"/>
          <w:szCs w:val="20"/>
        </w:rPr>
      </w:pPr>
    </w:p>
    <w:p w14:paraId="71B185C3" w14:textId="5CA1D047" w:rsidR="00E77618" w:rsidRPr="00870057" w:rsidRDefault="00E77618" w:rsidP="003F2E70">
      <w:pPr>
        <w:spacing w:after="0" w:line="240" w:lineRule="auto"/>
        <w:rPr>
          <w:color w:val="7F7F7F" w:themeColor="text1" w:themeTint="80"/>
          <w:sz w:val="20"/>
          <w:szCs w:val="20"/>
        </w:rPr>
      </w:pPr>
      <w:r w:rsidRPr="00870057">
        <w:rPr>
          <w:color w:val="7F7F7F" w:themeColor="text1" w:themeTint="80"/>
          <w:sz w:val="20"/>
          <w:szCs w:val="20"/>
        </w:rPr>
        <w:t xml:space="preserve">Average acknowledged losses to all forms of gambling </w:t>
      </w:r>
      <w:r w:rsidRPr="00042841">
        <w:rPr>
          <w:i/>
          <w:iCs/>
          <w:color w:val="7F7F7F" w:themeColor="text1" w:themeTint="80"/>
          <w:sz w:val="20"/>
          <w:szCs w:val="20"/>
        </w:rPr>
        <w:t>by gamblers</w:t>
      </w:r>
      <w:r w:rsidRPr="00870057">
        <w:rPr>
          <w:color w:val="7F7F7F" w:themeColor="text1" w:themeTint="80"/>
          <w:sz w:val="20"/>
          <w:szCs w:val="20"/>
        </w:rPr>
        <w:t>, in the previous 12 months, by community characteristics: Victor</w:t>
      </w:r>
      <w:r w:rsidR="003F2E70">
        <w:rPr>
          <w:color w:val="7F7F7F" w:themeColor="text1" w:themeTint="80"/>
          <w:sz w:val="20"/>
          <w:szCs w:val="20"/>
        </w:rPr>
        <w:t>i</w:t>
      </w:r>
      <w:r w:rsidRPr="00870057">
        <w:rPr>
          <w:color w:val="7F7F7F" w:themeColor="text1" w:themeTint="80"/>
          <w:sz w:val="20"/>
          <w:szCs w:val="20"/>
        </w:rPr>
        <w:t>a, 2023</w:t>
      </w:r>
    </w:p>
    <w:p w14:paraId="43BACB00" w14:textId="69ADD108" w:rsidR="00E77618" w:rsidRDefault="00E77618">
      <w:pPr>
        <w:rPr>
          <w:lang w:val="en-US"/>
        </w:rPr>
      </w:pPr>
    </w:p>
    <w:p w14:paraId="3D1235C5" w14:textId="1B5F02ED" w:rsidR="00E77618" w:rsidRDefault="00E77618">
      <w:pPr>
        <w:rPr>
          <w:lang w:val="en-US"/>
        </w:rPr>
      </w:pPr>
    </w:p>
    <w:p w14:paraId="57DEB9C7" w14:textId="77777777" w:rsidR="003634D3" w:rsidRDefault="003634D3">
      <w:pPr>
        <w:rPr>
          <w:lang w:val="en-US"/>
        </w:rPr>
      </w:pPr>
    </w:p>
    <w:p w14:paraId="461AFE28" w14:textId="77777777" w:rsidR="003634D3" w:rsidRDefault="003634D3">
      <w:pPr>
        <w:rPr>
          <w:lang w:val="en-US"/>
        </w:rPr>
      </w:pPr>
    </w:p>
    <w:p w14:paraId="37FA3157" w14:textId="77777777" w:rsidR="003634D3" w:rsidRDefault="003634D3">
      <w:pPr>
        <w:rPr>
          <w:lang w:val="en-US"/>
        </w:rPr>
      </w:pPr>
    </w:p>
    <w:p w14:paraId="01ACEFEC" w14:textId="77777777" w:rsidR="003634D3" w:rsidRDefault="003634D3">
      <w:pPr>
        <w:rPr>
          <w:lang w:val="en-US"/>
        </w:rPr>
      </w:pPr>
    </w:p>
    <w:p w14:paraId="1C210D41" w14:textId="77777777" w:rsidR="004E2EDD" w:rsidRPr="004E2EDD" w:rsidRDefault="004E2EDD">
      <w:pPr>
        <w:rPr>
          <w:sz w:val="40"/>
          <w:szCs w:val="40"/>
          <w:lang w:val="en-US"/>
        </w:rPr>
      </w:pPr>
    </w:p>
    <w:p w14:paraId="42DA71F7" w14:textId="2E0FB439" w:rsidR="003634D3" w:rsidRPr="00AD597E" w:rsidRDefault="00AD597E" w:rsidP="00AD597E">
      <w:pPr>
        <w:spacing w:after="0" w:line="288" w:lineRule="auto"/>
        <w:jc w:val="both"/>
      </w:pPr>
      <w:r w:rsidRPr="00AD597E">
        <w:t xml:space="preserve">Among EGM gamblers, average acknowledged losses </w:t>
      </w:r>
      <w:r w:rsidR="00E04C20">
        <w:t>stood</w:t>
      </w:r>
      <w:r w:rsidRPr="00AD597E">
        <w:t xml:space="preserve"> at $2,656. Losses were higher among non-English speakers, people with limited formal education and higher income earners.</w:t>
      </w:r>
    </w:p>
    <w:p w14:paraId="73FB0059" w14:textId="2EE0C22B" w:rsidR="003634D3" w:rsidRDefault="004E2EDD">
      <w:pPr>
        <w:rPr>
          <w:lang w:val="en-US"/>
        </w:rPr>
      </w:pPr>
      <w:r>
        <w:rPr>
          <w:noProof/>
          <w:lang w:val="en-US"/>
        </w:rPr>
        <w:drawing>
          <wp:anchor distT="0" distB="0" distL="114300" distR="114300" simplePos="0" relativeHeight="251671552" behindDoc="0" locked="0" layoutInCell="1" allowOverlap="1" wp14:anchorId="1BBC2CC6" wp14:editId="18193F60">
            <wp:simplePos x="0" y="0"/>
            <wp:positionH relativeFrom="margin">
              <wp:align>right</wp:align>
            </wp:positionH>
            <wp:positionV relativeFrom="paragraph">
              <wp:posOffset>104775</wp:posOffset>
            </wp:positionV>
            <wp:extent cx="4787900" cy="3797935"/>
            <wp:effectExtent l="0" t="0" r="0" b="0"/>
            <wp:wrapSquare wrapText="bothSides"/>
            <wp:docPr id="125803220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9">
                      <a:extLst>
                        <a:ext uri="{28A0092B-C50C-407E-A947-70E740481C1C}">
                          <a14:useLocalDpi xmlns:a14="http://schemas.microsoft.com/office/drawing/2010/main" val="0"/>
                        </a:ext>
                      </a:extLst>
                    </a:blip>
                    <a:srcRect r="7621"/>
                    <a:stretch/>
                  </pic:blipFill>
                  <pic:spPr bwMode="auto">
                    <a:xfrm>
                      <a:off x="0" y="0"/>
                      <a:ext cx="4787900" cy="3797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B351C6" w14:textId="5137E5A7" w:rsidR="003634D3" w:rsidRDefault="003634D3">
      <w:pPr>
        <w:rPr>
          <w:lang w:val="en-US"/>
        </w:rPr>
      </w:pPr>
    </w:p>
    <w:p w14:paraId="39BE49BE" w14:textId="46C02682" w:rsidR="00E77618" w:rsidRPr="00870057" w:rsidRDefault="00E77618" w:rsidP="00870057">
      <w:pPr>
        <w:spacing w:after="0" w:line="240" w:lineRule="auto"/>
        <w:rPr>
          <w:color w:val="7F7F7F" w:themeColor="text1" w:themeTint="80"/>
          <w:sz w:val="20"/>
          <w:szCs w:val="20"/>
        </w:rPr>
      </w:pPr>
      <w:r w:rsidRPr="00870057">
        <w:rPr>
          <w:color w:val="7F7F7F" w:themeColor="text1" w:themeTint="80"/>
          <w:sz w:val="20"/>
          <w:szCs w:val="20"/>
        </w:rPr>
        <w:t>Average acknowledged losses to all forms of gambling by EGM gamblers, in the previous 12 months, by community characteristics: Victor</w:t>
      </w:r>
      <w:r w:rsidR="003F2E70">
        <w:rPr>
          <w:color w:val="7F7F7F" w:themeColor="text1" w:themeTint="80"/>
          <w:sz w:val="20"/>
          <w:szCs w:val="20"/>
        </w:rPr>
        <w:t>i</w:t>
      </w:r>
      <w:r w:rsidRPr="00870057">
        <w:rPr>
          <w:color w:val="7F7F7F" w:themeColor="text1" w:themeTint="80"/>
          <w:sz w:val="20"/>
          <w:szCs w:val="20"/>
        </w:rPr>
        <w:t>a, 2023</w:t>
      </w:r>
    </w:p>
    <w:p w14:paraId="4C42CCF9" w14:textId="19008A21" w:rsidR="00E77618" w:rsidRDefault="00E77618">
      <w:pPr>
        <w:rPr>
          <w:lang w:val="en-US"/>
        </w:rPr>
      </w:pPr>
    </w:p>
    <w:p w14:paraId="134C1270" w14:textId="77777777" w:rsidR="003634D3" w:rsidRDefault="003634D3">
      <w:pPr>
        <w:rPr>
          <w:lang w:val="en-US"/>
        </w:rPr>
      </w:pPr>
    </w:p>
    <w:p w14:paraId="4D14D291" w14:textId="77777777" w:rsidR="003634D3" w:rsidRDefault="003634D3">
      <w:pPr>
        <w:rPr>
          <w:lang w:val="en-US"/>
        </w:rPr>
      </w:pPr>
    </w:p>
    <w:p w14:paraId="2D94E266" w14:textId="77777777" w:rsidR="003634D3" w:rsidRDefault="003634D3">
      <w:pPr>
        <w:rPr>
          <w:lang w:val="en-US"/>
        </w:rPr>
      </w:pPr>
    </w:p>
    <w:p w14:paraId="72898200" w14:textId="77777777" w:rsidR="003634D3" w:rsidRDefault="003634D3">
      <w:pPr>
        <w:rPr>
          <w:lang w:val="en-US"/>
        </w:rPr>
      </w:pPr>
    </w:p>
    <w:p w14:paraId="4D17F623" w14:textId="77777777" w:rsidR="003634D3" w:rsidRDefault="003634D3">
      <w:pPr>
        <w:rPr>
          <w:lang w:val="en-US"/>
        </w:rPr>
      </w:pPr>
    </w:p>
    <w:p w14:paraId="65003CBE" w14:textId="77777777" w:rsidR="003634D3" w:rsidRDefault="003634D3">
      <w:pPr>
        <w:rPr>
          <w:lang w:val="en-US"/>
        </w:rPr>
      </w:pPr>
    </w:p>
    <w:p w14:paraId="3CC39249" w14:textId="77777777" w:rsidR="003634D3" w:rsidRDefault="003634D3">
      <w:pPr>
        <w:rPr>
          <w:lang w:val="en-US"/>
        </w:rPr>
      </w:pPr>
    </w:p>
    <w:p w14:paraId="55454964" w14:textId="6CB87A5E" w:rsidR="00E77618" w:rsidRPr="00E77618" w:rsidRDefault="00E77618" w:rsidP="00C13D75">
      <w:pPr>
        <w:spacing w:after="0" w:line="288" w:lineRule="auto"/>
        <w:jc w:val="both"/>
      </w:pPr>
      <w:r w:rsidRPr="00E77618">
        <w:lastRenderedPageBreak/>
        <w:t xml:space="preserve">It is scarcely surprising that losses incurred in the previous 12 months were highest among people who participate in gambling more frequently. For example, among those who gamble at least weekly, average </w:t>
      </w:r>
      <w:r w:rsidR="00AD597E">
        <w:t xml:space="preserve">acknowledged </w:t>
      </w:r>
      <w:r w:rsidRPr="00E77618">
        <w:t xml:space="preserve">losses </w:t>
      </w:r>
      <w:r w:rsidR="00AD597E">
        <w:t xml:space="preserve">during the previous 12 months </w:t>
      </w:r>
      <w:r w:rsidRPr="00E77618">
        <w:t>were $8,212, compared with $158 among those who participate less often than monthly. Similarly, among EGM gamblers, average losses among weekly gamblers stood at $5,344 compared with $312 among those who gambled less often than monthly.</w:t>
      </w:r>
    </w:p>
    <w:p w14:paraId="29EDF02C" w14:textId="77777777" w:rsidR="00E77618" w:rsidRDefault="00E77618">
      <w:pPr>
        <w:rPr>
          <w:lang w:val="en-US"/>
        </w:rPr>
      </w:pPr>
    </w:p>
    <w:p w14:paraId="610B962F" w14:textId="77777777" w:rsidR="003634D3" w:rsidRDefault="003634D3">
      <w:pPr>
        <w:rPr>
          <w:lang w:val="en-US"/>
        </w:rPr>
      </w:pPr>
    </w:p>
    <w:p w14:paraId="7532C4CD" w14:textId="3A2BEAE5" w:rsidR="00E77618" w:rsidRPr="00C25A9D" w:rsidRDefault="00E77618" w:rsidP="00870057">
      <w:pPr>
        <w:spacing w:after="60"/>
        <w:rPr>
          <w:b/>
          <w:bCs/>
          <w:color w:val="153D63" w:themeColor="text2" w:themeTint="E6"/>
          <w:lang w:val="en-US"/>
        </w:rPr>
      </w:pPr>
      <w:r w:rsidRPr="00C25A9D">
        <w:rPr>
          <w:b/>
          <w:bCs/>
          <w:color w:val="153D63" w:themeColor="text2" w:themeTint="E6"/>
          <w:lang w:val="en-US"/>
        </w:rPr>
        <w:t>Online Gambling</w:t>
      </w:r>
    </w:p>
    <w:p w14:paraId="0E09C668" w14:textId="013FCE84" w:rsidR="00A45B7A" w:rsidRDefault="00AD597E" w:rsidP="00C13D75">
      <w:pPr>
        <w:spacing w:after="0" w:line="288" w:lineRule="auto"/>
        <w:jc w:val="both"/>
      </w:pPr>
      <w:r>
        <w:t>Nearly a quarter (</w:t>
      </w:r>
      <w:r w:rsidR="00E77618" w:rsidRPr="00E77618">
        <w:t>23%</w:t>
      </w:r>
      <w:r>
        <w:t>)</w:t>
      </w:r>
      <w:r w:rsidR="00E77618" w:rsidRPr="00E77618">
        <w:t xml:space="preserve"> of Victorian adults (up from 19.2% in 2018/19), and 44% of gamblers, gambled online in the previous 12 months. </w:t>
      </w:r>
      <w:r w:rsidR="00A45B7A" w:rsidRPr="00E77618">
        <w:t>The popularity of online gambling has risen in recent years. The proportion of Victorian adults who gamble online rose from 19% in 2018/19 to 23% by 2023, while among gamblers, the prevalence of online gambling increased from 27.6% to 44%.</w:t>
      </w:r>
      <w:r w:rsidR="00A45B7A">
        <w:t xml:space="preserve"> </w:t>
      </w:r>
      <w:r w:rsidR="00A45B7A" w:rsidRPr="00E77618">
        <w:t xml:space="preserve">Among the most pronounced rises is the proportion of sports betters who gambled online, which </w:t>
      </w:r>
      <w:r>
        <w:t>quadrupled</w:t>
      </w:r>
      <w:r w:rsidR="00A45B7A" w:rsidRPr="00E77618">
        <w:t xml:space="preserve"> from 22% in 2008 to 86% by 2023; while the proportion of racing gamblers who bet online, rose</w:t>
      </w:r>
      <w:r>
        <w:t xml:space="preserve"> eight-fold,</w:t>
      </w:r>
      <w:r w:rsidR="00A45B7A" w:rsidRPr="00E77618">
        <w:t xml:space="preserve"> from 6.8% to 55% in that period.</w:t>
      </w:r>
    </w:p>
    <w:p w14:paraId="05DF2EC6" w14:textId="77777777" w:rsidR="003F2E70" w:rsidRPr="00E77618" w:rsidRDefault="003F2E70" w:rsidP="00C13D75">
      <w:pPr>
        <w:spacing w:after="0" w:line="288" w:lineRule="auto"/>
        <w:jc w:val="both"/>
      </w:pPr>
    </w:p>
    <w:p w14:paraId="289714E9" w14:textId="48ACE01E" w:rsidR="00E77618" w:rsidRDefault="00E77618" w:rsidP="00C13D75">
      <w:pPr>
        <w:spacing w:after="0" w:line="288" w:lineRule="auto"/>
        <w:jc w:val="both"/>
      </w:pPr>
      <w:r w:rsidRPr="00E77618">
        <w:t>The proportion of gamblers who gambled online was similar for males and females, at approximately 48% and 40% respectively</w:t>
      </w:r>
      <w:r w:rsidR="003F2E70">
        <w:t>;</w:t>
      </w:r>
      <w:r w:rsidRPr="00E77618">
        <w:t xml:space="preserve"> declined gradually with age, from 61% of 25-34 year olds to 20.5% of people aged 75 or more; was similar for English and non-English speakers; was higher among people with tertiary qualifications, at 51%, compared with 30% of those with less than year 12 education; and was highest among high income earners, at 59% of those earning $156,000 or more p.a. compared with 35% of those on less than $20,799 p.a.</w:t>
      </w:r>
    </w:p>
    <w:p w14:paraId="12C75244" w14:textId="77777777" w:rsidR="003634D3" w:rsidRDefault="003634D3" w:rsidP="00C13D75">
      <w:pPr>
        <w:spacing w:after="0" w:line="288" w:lineRule="auto"/>
        <w:jc w:val="both"/>
      </w:pPr>
    </w:p>
    <w:p w14:paraId="6ADBBCAD" w14:textId="77777777" w:rsidR="003634D3" w:rsidRDefault="003634D3" w:rsidP="00C13D75">
      <w:pPr>
        <w:spacing w:after="0" w:line="288" w:lineRule="auto"/>
        <w:jc w:val="both"/>
      </w:pPr>
    </w:p>
    <w:p w14:paraId="20F61907" w14:textId="77777777" w:rsidR="003634D3" w:rsidRDefault="003634D3" w:rsidP="00C13D75">
      <w:pPr>
        <w:spacing w:after="0" w:line="288" w:lineRule="auto"/>
        <w:jc w:val="both"/>
      </w:pPr>
    </w:p>
    <w:p w14:paraId="346B7945" w14:textId="77777777" w:rsidR="003634D3" w:rsidRDefault="003634D3" w:rsidP="00C13D75">
      <w:pPr>
        <w:spacing w:after="0" w:line="288" w:lineRule="auto"/>
        <w:jc w:val="both"/>
      </w:pPr>
    </w:p>
    <w:p w14:paraId="2AC4EAF0" w14:textId="0512E14A" w:rsidR="003634D3" w:rsidRDefault="003634D3" w:rsidP="00870057">
      <w:pPr>
        <w:spacing w:after="0" w:line="240" w:lineRule="auto"/>
        <w:rPr>
          <w:color w:val="7F7F7F" w:themeColor="text1" w:themeTint="80"/>
          <w:sz w:val="20"/>
          <w:szCs w:val="20"/>
        </w:rPr>
      </w:pPr>
      <w:r>
        <w:rPr>
          <w:noProof/>
        </w:rPr>
        <w:drawing>
          <wp:anchor distT="0" distB="0" distL="114300" distR="114300" simplePos="0" relativeHeight="251672576" behindDoc="0" locked="0" layoutInCell="1" allowOverlap="1" wp14:anchorId="3B17E367" wp14:editId="73A6BA8B">
            <wp:simplePos x="0" y="0"/>
            <wp:positionH relativeFrom="margin">
              <wp:posOffset>62865</wp:posOffset>
            </wp:positionH>
            <wp:positionV relativeFrom="paragraph">
              <wp:posOffset>74930</wp:posOffset>
            </wp:positionV>
            <wp:extent cx="4864100" cy="3615055"/>
            <wp:effectExtent l="0" t="0" r="0" b="4445"/>
            <wp:wrapSquare wrapText="bothSides"/>
            <wp:docPr id="104537588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4100" cy="3615055"/>
                    </a:xfrm>
                    <a:prstGeom prst="rect">
                      <a:avLst/>
                    </a:prstGeom>
                    <a:noFill/>
                  </pic:spPr>
                </pic:pic>
              </a:graphicData>
            </a:graphic>
            <wp14:sizeRelH relativeFrom="page">
              <wp14:pctWidth>0</wp14:pctWidth>
            </wp14:sizeRelH>
            <wp14:sizeRelV relativeFrom="page">
              <wp14:pctHeight>0</wp14:pctHeight>
            </wp14:sizeRelV>
          </wp:anchor>
        </w:drawing>
      </w:r>
    </w:p>
    <w:p w14:paraId="42EECA97" w14:textId="58F31A3B" w:rsidR="003634D3" w:rsidRDefault="003634D3" w:rsidP="00870057">
      <w:pPr>
        <w:spacing w:after="0" w:line="240" w:lineRule="auto"/>
        <w:rPr>
          <w:color w:val="7F7F7F" w:themeColor="text1" w:themeTint="80"/>
          <w:sz w:val="20"/>
          <w:szCs w:val="20"/>
        </w:rPr>
      </w:pPr>
    </w:p>
    <w:p w14:paraId="49F64823" w14:textId="77777777" w:rsidR="003634D3" w:rsidRDefault="003634D3" w:rsidP="00870057">
      <w:pPr>
        <w:spacing w:after="0" w:line="240" w:lineRule="auto"/>
        <w:rPr>
          <w:color w:val="7F7F7F" w:themeColor="text1" w:themeTint="80"/>
          <w:sz w:val="20"/>
          <w:szCs w:val="20"/>
        </w:rPr>
      </w:pPr>
    </w:p>
    <w:p w14:paraId="3EB9EE86" w14:textId="416F9C96" w:rsidR="003634D3" w:rsidRDefault="003634D3" w:rsidP="00870057">
      <w:pPr>
        <w:spacing w:after="0" w:line="240" w:lineRule="auto"/>
        <w:rPr>
          <w:color w:val="7F7F7F" w:themeColor="text1" w:themeTint="80"/>
          <w:sz w:val="20"/>
          <w:szCs w:val="20"/>
        </w:rPr>
      </w:pPr>
    </w:p>
    <w:p w14:paraId="34773D32" w14:textId="77777777" w:rsidR="00ED096B" w:rsidRDefault="00ED096B" w:rsidP="00870057">
      <w:pPr>
        <w:spacing w:after="0" w:line="240" w:lineRule="auto"/>
        <w:rPr>
          <w:color w:val="7F7F7F" w:themeColor="text1" w:themeTint="80"/>
          <w:sz w:val="20"/>
          <w:szCs w:val="20"/>
        </w:rPr>
      </w:pPr>
    </w:p>
    <w:p w14:paraId="7DB981B9" w14:textId="38B14E3A" w:rsidR="00E77618" w:rsidRPr="00870057" w:rsidRDefault="00E77618" w:rsidP="00870057">
      <w:pPr>
        <w:spacing w:after="0" w:line="240" w:lineRule="auto"/>
        <w:rPr>
          <w:color w:val="7F7F7F" w:themeColor="text1" w:themeTint="80"/>
          <w:sz w:val="20"/>
          <w:szCs w:val="20"/>
        </w:rPr>
      </w:pPr>
      <w:r w:rsidRPr="00870057">
        <w:rPr>
          <w:color w:val="7F7F7F" w:themeColor="text1" w:themeTint="80"/>
          <w:sz w:val="20"/>
          <w:szCs w:val="20"/>
        </w:rPr>
        <w:t xml:space="preserve">Per cent of </w:t>
      </w:r>
      <w:r w:rsidR="00A45B7A" w:rsidRPr="00870057">
        <w:rPr>
          <w:color w:val="7F7F7F" w:themeColor="text1" w:themeTint="80"/>
          <w:sz w:val="20"/>
          <w:szCs w:val="20"/>
        </w:rPr>
        <w:t>gamblers</w:t>
      </w:r>
      <w:r w:rsidRPr="00870057">
        <w:rPr>
          <w:color w:val="7F7F7F" w:themeColor="text1" w:themeTint="80"/>
          <w:sz w:val="20"/>
          <w:szCs w:val="20"/>
        </w:rPr>
        <w:t xml:space="preserve"> who used online platforms to gamble in the previous 12 months, by characteristics: Victoria, 2023</w:t>
      </w:r>
    </w:p>
    <w:p w14:paraId="19BDCD64" w14:textId="51D6FDCD" w:rsidR="003634D3" w:rsidRDefault="003634D3" w:rsidP="00E77618"/>
    <w:p w14:paraId="5DA100D3" w14:textId="7CCC5285" w:rsidR="003634D3" w:rsidRDefault="003634D3" w:rsidP="00E77618"/>
    <w:p w14:paraId="5D4CA34C" w14:textId="4E56540A" w:rsidR="003634D3" w:rsidRDefault="003634D3" w:rsidP="00E77618"/>
    <w:p w14:paraId="7F12AAB9" w14:textId="77777777" w:rsidR="003634D3" w:rsidRDefault="003634D3" w:rsidP="00E77618"/>
    <w:p w14:paraId="6417A477" w14:textId="77777777" w:rsidR="003634D3" w:rsidRDefault="003634D3" w:rsidP="00E77618"/>
    <w:p w14:paraId="6A0F387E" w14:textId="2B5FD522" w:rsidR="003634D3" w:rsidRDefault="003634D3" w:rsidP="00E77618"/>
    <w:p w14:paraId="4A72899F" w14:textId="77777777" w:rsidR="003634D3" w:rsidRDefault="003634D3" w:rsidP="00E77618"/>
    <w:p w14:paraId="6CEAFB34" w14:textId="1D98468C" w:rsidR="00E77618" w:rsidRDefault="00E77618" w:rsidP="00E77618"/>
    <w:p w14:paraId="30FB2E20" w14:textId="77777777" w:rsidR="00ED096B" w:rsidRDefault="00ED096B" w:rsidP="00E77618"/>
    <w:p w14:paraId="362DD2B7" w14:textId="12C87B63" w:rsidR="00A45B7A" w:rsidRDefault="003634D3" w:rsidP="00C13D75">
      <w:pPr>
        <w:spacing w:after="0" w:line="288" w:lineRule="auto"/>
        <w:jc w:val="both"/>
      </w:pPr>
      <w:r>
        <w:rPr>
          <w:noProof/>
          <w:lang w:val="en-US"/>
        </w:rPr>
        <w:lastRenderedPageBreak/>
        <w:drawing>
          <wp:anchor distT="0" distB="0" distL="114300" distR="114300" simplePos="0" relativeHeight="251673600" behindDoc="0" locked="0" layoutInCell="1" allowOverlap="1" wp14:anchorId="495E78C4" wp14:editId="647883EE">
            <wp:simplePos x="0" y="0"/>
            <wp:positionH relativeFrom="column">
              <wp:posOffset>2202815</wp:posOffset>
            </wp:positionH>
            <wp:positionV relativeFrom="paragraph">
              <wp:posOffset>5715</wp:posOffset>
            </wp:positionV>
            <wp:extent cx="4082415" cy="2832100"/>
            <wp:effectExtent l="0" t="0" r="0" b="6350"/>
            <wp:wrapSquare wrapText="bothSides"/>
            <wp:docPr id="7587087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82415" cy="2832100"/>
                    </a:xfrm>
                    <a:prstGeom prst="rect">
                      <a:avLst/>
                    </a:prstGeom>
                    <a:noFill/>
                  </pic:spPr>
                </pic:pic>
              </a:graphicData>
            </a:graphic>
            <wp14:sizeRelH relativeFrom="page">
              <wp14:pctWidth>0</wp14:pctWidth>
            </wp14:sizeRelH>
            <wp14:sizeRelV relativeFrom="page">
              <wp14:pctHeight>0</wp14:pctHeight>
            </wp14:sizeRelV>
          </wp:anchor>
        </w:drawing>
      </w:r>
      <w:r w:rsidR="00A45B7A" w:rsidRPr="00A45B7A">
        <w:t xml:space="preserve">The accompanying chart shows the percentage of </w:t>
      </w:r>
      <w:r w:rsidR="00763664">
        <w:t>gamblers</w:t>
      </w:r>
      <w:r w:rsidR="00A45B7A" w:rsidRPr="00A45B7A">
        <w:t xml:space="preserve"> who gambled online at some time during the previous 12 months. Among them, over four-fifths of sports gamblers and more than half of those who gambled on racing, used online means to participate in these activities.</w:t>
      </w:r>
    </w:p>
    <w:p w14:paraId="334FB374" w14:textId="77777777" w:rsidR="003634D3" w:rsidRPr="00A45B7A" w:rsidRDefault="003634D3" w:rsidP="00C13D75">
      <w:pPr>
        <w:spacing w:after="0" w:line="288" w:lineRule="auto"/>
        <w:jc w:val="both"/>
      </w:pPr>
    </w:p>
    <w:p w14:paraId="16F98036" w14:textId="70B3A41C" w:rsidR="00A45B7A" w:rsidRPr="00870057" w:rsidRDefault="00A45B7A" w:rsidP="00870057">
      <w:pPr>
        <w:spacing w:after="0" w:line="240" w:lineRule="auto"/>
        <w:rPr>
          <w:color w:val="7F7F7F" w:themeColor="text1" w:themeTint="80"/>
          <w:sz w:val="20"/>
          <w:szCs w:val="20"/>
        </w:rPr>
      </w:pPr>
      <w:r w:rsidRPr="00870057">
        <w:rPr>
          <w:color w:val="7F7F7F" w:themeColor="text1" w:themeTint="80"/>
          <w:sz w:val="20"/>
          <w:szCs w:val="20"/>
        </w:rPr>
        <w:t>Per cent of gamblers who participated in gambling online during the previous 12 months, by type of gambling: Victoria, 2023</w:t>
      </w:r>
    </w:p>
    <w:p w14:paraId="7CB86743" w14:textId="1D319908" w:rsidR="00A45B7A" w:rsidRDefault="00A45B7A" w:rsidP="00A45B7A">
      <w:pPr>
        <w:rPr>
          <w:lang w:val="en-US"/>
        </w:rPr>
      </w:pPr>
    </w:p>
    <w:p w14:paraId="29B86A14" w14:textId="77777777" w:rsidR="00E77618" w:rsidRDefault="00E77618">
      <w:pPr>
        <w:rPr>
          <w:lang w:val="en-US"/>
        </w:rPr>
      </w:pPr>
    </w:p>
    <w:p w14:paraId="7554B78D" w14:textId="77777777" w:rsidR="003634D3" w:rsidRDefault="003634D3">
      <w:pPr>
        <w:rPr>
          <w:lang w:val="en-US"/>
        </w:rPr>
      </w:pPr>
    </w:p>
    <w:p w14:paraId="37E54E85" w14:textId="15CA97F9" w:rsidR="00A60840" w:rsidRPr="00C25A9D" w:rsidRDefault="00A60840" w:rsidP="00870057">
      <w:pPr>
        <w:spacing w:after="60"/>
        <w:rPr>
          <w:b/>
          <w:bCs/>
          <w:color w:val="153D63" w:themeColor="text2" w:themeTint="E6"/>
          <w:lang w:val="en-US"/>
        </w:rPr>
      </w:pPr>
      <w:r w:rsidRPr="00C25A9D">
        <w:rPr>
          <w:b/>
          <w:bCs/>
          <w:color w:val="153D63" w:themeColor="text2" w:themeTint="E6"/>
          <w:lang w:val="en-US"/>
        </w:rPr>
        <w:t xml:space="preserve">Participation in Online-only </w:t>
      </w:r>
      <w:r w:rsidR="00A45B7A" w:rsidRPr="00C25A9D">
        <w:rPr>
          <w:b/>
          <w:bCs/>
          <w:color w:val="153D63" w:themeColor="text2" w:themeTint="E6"/>
          <w:lang w:val="en-US"/>
        </w:rPr>
        <w:t>Gambling</w:t>
      </w:r>
      <w:r w:rsidR="00042841" w:rsidRPr="00C25A9D">
        <w:rPr>
          <w:b/>
          <w:bCs/>
          <w:color w:val="153D63" w:themeColor="text2" w:themeTint="E6"/>
          <w:lang w:val="en-US"/>
        </w:rPr>
        <w:t>-like</w:t>
      </w:r>
      <w:r w:rsidR="00A45B7A" w:rsidRPr="00C25A9D">
        <w:rPr>
          <w:b/>
          <w:bCs/>
          <w:color w:val="153D63" w:themeColor="text2" w:themeTint="E6"/>
          <w:lang w:val="en-US"/>
        </w:rPr>
        <w:t xml:space="preserve"> </w:t>
      </w:r>
      <w:r w:rsidRPr="00C25A9D">
        <w:rPr>
          <w:b/>
          <w:bCs/>
          <w:color w:val="153D63" w:themeColor="text2" w:themeTint="E6"/>
          <w:lang w:val="en-US"/>
        </w:rPr>
        <w:t>Activities</w:t>
      </w:r>
    </w:p>
    <w:p w14:paraId="67093A1D" w14:textId="2949ADEA" w:rsidR="00A60840" w:rsidRPr="00A60840" w:rsidRDefault="00A60840" w:rsidP="00C13D75">
      <w:pPr>
        <w:spacing w:after="0" w:line="288" w:lineRule="auto"/>
        <w:jc w:val="both"/>
      </w:pPr>
      <w:r w:rsidRPr="00A60840">
        <w:t>In addition, 2.7% of Victorian adults participated in online-only gambling</w:t>
      </w:r>
      <w:r w:rsidR="00042841">
        <w:t>-like</w:t>
      </w:r>
      <w:r w:rsidRPr="00A60840">
        <w:t xml:space="preserve"> activities - generally through video gaming - including loot boxes, skins, fantasy sports and eSports betting. Levels of participation in these activities were seven times greater among males, and nearly 100 times more prevalent among young adults than among older people.</w:t>
      </w:r>
    </w:p>
    <w:p w14:paraId="6807680A" w14:textId="15224349" w:rsidR="00A60840" w:rsidRDefault="00A60840" w:rsidP="00C13D75">
      <w:pPr>
        <w:spacing w:after="0" w:line="288" w:lineRule="auto"/>
        <w:jc w:val="both"/>
      </w:pPr>
      <w:r w:rsidRPr="00A60840">
        <w:t>The pattern of participation in such online-only activities, with respect to such social characteristics</w:t>
      </w:r>
      <w:r>
        <w:t>,</w:t>
      </w:r>
      <w:r w:rsidRPr="00A60840">
        <w:t xml:space="preserve"> is </w:t>
      </w:r>
      <w:r w:rsidR="003F2E70">
        <w:t>reminiscent to</w:t>
      </w:r>
      <w:r w:rsidRPr="00A60840">
        <w:t xml:space="preserve"> that for online gambling, with the principal exception that levels of engagement differed little with income level.</w:t>
      </w:r>
    </w:p>
    <w:p w14:paraId="3C07A7C3" w14:textId="77777777" w:rsidR="003634D3" w:rsidRDefault="003634D3" w:rsidP="00C13D75">
      <w:pPr>
        <w:spacing w:after="0" w:line="288" w:lineRule="auto"/>
        <w:jc w:val="both"/>
      </w:pPr>
    </w:p>
    <w:p w14:paraId="71281D38" w14:textId="6FD81EF1" w:rsidR="00A60840" w:rsidRPr="00870057" w:rsidRDefault="00A60840" w:rsidP="00870057">
      <w:pPr>
        <w:spacing w:after="0" w:line="240" w:lineRule="auto"/>
        <w:rPr>
          <w:color w:val="7F7F7F" w:themeColor="text1" w:themeTint="80"/>
          <w:sz w:val="20"/>
          <w:szCs w:val="20"/>
        </w:rPr>
      </w:pPr>
      <w:r w:rsidRPr="00870057">
        <w:rPr>
          <w:color w:val="7F7F7F" w:themeColor="text1" w:themeTint="80"/>
          <w:sz w:val="20"/>
          <w:szCs w:val="20"/>
        </w:rPr>
        <w:t xml:space="preserve">Per cent of adults who participated in online-only </w:t>
      </w:r>
      <w:r w:rsidR="00A45B7A" w:rsidRPr="00870057">
        <w:rPr>
          <w:color w:val="7F7F7F" w:themeColor="text1" w:themeTint="80"/>
          <w:sz w:val="20"/>
          <w:szCs w:val="20"/>
        </w:rPr>
        <w:t>gambling</w:t>
      </w:r>
      <w:r w:rsidR="00042841">
        <w:rPr>
          <w:color w:val="7F7F7F" w:themeColor="text1" w:themeTint="80"/>
          <w:sz w:val="20"/>
          <w:szCs w:val="20"/>
        </w:rPr>
        <w:t>-like</w:t>
      </w:r>
      <w:r w:rsidR="00A45B7A" w:rsidRPr="00870057">
        <w:rPr>
          <w:color w:val="7F7F7F" w:themeColor="text1" w:themeTint="80"/>
          <w:sz w:val="20"/>
          <w:szCs w:val="20"/>
        </w:rPr>
        <w:t xml:space="preserve"> activities</w:t>
      </w:r>
      <w:r w:rsidRPr="00870057">
        <w:rPr>
          <w:color w:val="7F7F7F" w:themeColor="text1" w:themeTint="80"/>
          <w:sz w:val="20"/>
          <w:szCs w:val="20"/>
        </w:rPr>
        <w:t xml:space="preserve"> in the previous 12 months, by characteristics: Victoria, 2023</w:t>
      </w:r>
    </w:p>
    <w:p w14:paraId="67F7933C" w14:textId="3F8700CA" w:rsidR="00A60840" w:rsidRDefault="004E2EDD">
      <w:pPr>
        <w:rPr>
          <w:lang w:val="en-US"/>
        </w:rPr>
      </w:pPr>
      <w:r>
        <w:rPr>
          <w:noProof/>
          <w:lang w:val="en-US"/>
        </w:rPr>
        <w:drawing>
          <wp:anchor distT="0" distB="0" distL="114300" distR="114300" simplePos="0" relativeHeight="251674624" behindDoc="0" locked="0" layoutInCell="1" allowOverlap="1" wp14:anchorId="4868C80C" wp14:editId="74AEB0FE">
            <wp:simplePos x="0" y="0"/>
            <wp:positionH relativeFrom="margin">
              <wp:posOffset>24765</wp:posOffset>
            </wp:positionH>
            <wp:positionV relativeFrom="paragraph">
              <wp:posOffset>167640</wp:posOffset>
            </wp:positionV>
            <wp:extent cx="5226050" cy="3494405"/>
            <wp:effectExtent l="0" t="0" r="0" b="0"/>
            <wp:wrapSquare wrapText="bothSides"/>
            <wp:docPr id="20750260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2">
                      <a:extLst>
                        <a:ext uri="{28A0092B-C50C-407E-A947-70E740481C1C}">
                          <a14:useLocalDpi xmlns:a14="http://schemas.microsoft.com/office/drawing/2010/main" val="0"/>
                        </a:ext>
                      </a:extLst>
                    </a:blip>
                    <a:srcRect l="757" t="13936" r="1136"/>
                    <a:stretch/>
                  </pic:blipFill>
                  <pic:spPr bwMode="auto">
                    <a:xfrm>
                      <a:off x="0" y="0"/>
                      <a:ext cx="5226050" cy="3494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2D5BC" w14:textId="386CC324" w:rsidR="00E77618" w:rsidRDefault="00E77618">
      <w:pPr>
        <w:rPr>
          <w:lang w:val="en-US"/>
        </w:rPr>
      </w:pPr>
    </w:p>
    <w:p w14:paraId="2D560E21" w14:textId="77777777" w:rsidR="003634D3" w:rsidRDefault="003634D3">
      <w:pPr>
        <w:rPr>
          <w:lang w:val="en-US"/>
        </w:rPr>
      </w:pPr>
    </w:p>
    <w:p w14:paraId="05CD0D95" w14:textId="77777777" w:rsidR="003634D3" w:rsidRDefault="003634D3">
      <w:pPr>
        <w:rPr>
          <w:lang w:val="en-US"/>
        </w:rPr>
      </w:pPr>
    </w:p>
    <w:p w14:paraId="505FAADF" w14:textId="77777777" w:rsidR="003634D3" w:rsidRDefault="003634D3">
      <w:pPr>
        <w:rPr>
          <w:lang w:val="en-US"/>
        </w:rPr>
      </w:pPr>
    </w:p>
    <w:p w14:paraId="6D814A89" w14:textId="77777777" w:rsidR="003634D3" w:rsidRDefault="003634D3">
      <w:pPr>
        <w:rPr>
          <w:lang w:val="en-US"/>
        </w:rPr>
      </w:pPr>
    </w:p>
    <w:p w14:paraId="0F930C2B" w14:textId="77777777" w:rsidR="003634D3" w:rsidRDefault="003634D3">
      <w:pPr>
        <w:rPr>
          <w:lang w:val="en-US"/>
        </w:rPr>
      </w:pPr>
    </w:p>
    <w:p w14:paraId="05E4D87E" w14:textId="77777777" w:rsidR="003634D3" w:rsidRDefault="003634D3">
      <w:pPr>
        <w:rPr>
          <w:lang w:val="en-US"/>
        </w:rPr>
      </w:pPr>
    </w:p>
    <w:p w14:paraId="61464842" w14:textId="77777777" w:rsidR="003634D3" w:rsidRDefault="003634D3">
      <w:pPr>
        <w:rPr>
          <w:lang w:val="en-US"/>
        </w:rPr>
      </w:pPr>
    </w:p>
    <w:p w14:paraId="4F4623EA" w14:textId="77777777" w:rsidR="003634D3" w:rsidRDefault="003634D3">
      <w:pPr>
        <w:rPr>
          <w:lang w:val="en-US"/>
        </w:rPr>
      </w:pPr>
    </w:p>
    <w:p w14:paraId="10B01E47" w14:textId="77777777" w:rsidR="003F2E70" w:rsidRDefault="003F2E70">
      <w:pPr>
        <w:rPr>
          <w:lang w:val="en-US"/>
        </w:rPr>
      </w:pPr>
    </w:p>
    <w:p w14:paraId="6E3F36D6" w14:textId="77777777" w:rsidR="003F2E70" w:rsidRDefault="003F2E70">
      <w:pPr>
        <w:rPr>
          <w:lang w:val="en-US"/>
        </w:rPr>
      </w:pPr>
    </w:p>
    <w:p w14:paraId="2D8A8033" w14:textId="77777777" w:rsidR="003F2E70" w:rsidRDefault="003F2E70">
      <w:pPr>
        <w:rPr>
          <w:lang w:val="en-US"/>
        </w:rPr>
      </w:pPr>
    </w:p>
    <w:p w14:paraId="01B40082" w14:textId="72516E4B" w:rsidR="00763664" w:rsidRPr="00C25A9D" w:rsidRDefault="00763664" w:rsidP="00870057">
      <w:pPr>
        <w:spacing w:after="60"/>
        <w:rPr>
          <w:b/>
          <w:bCs/>
          <w:color w:val="153D63" w:themeColor="text2" w:themeTint="E6"/>
          <w:lang w:val="en-US"/>
        </w:rPr>
      </w:pPr>
      <w:r w:rsidRPr="00C25A9D">
        <w:rPr>
          <w:b/>
          <w:bCs/>
          <w:color w:val="153D63" w:themeColor="text2" w:themeTint="E6"/>
          <w:lang w:val="en-US"/>
        </w:rPr>
        <w:lastRenderedPageBreak/>
        <w:t>Gambling Problems</w:t>
      </w:r>
    </w:p>
    <w:p w14:paraId="1F7C07E2" w14:textId="561C5058" w:rsidR="00763664" w:rsidRPr="00763664" w:rsidRDefault="00763664" w:rsidP="00C13D75">
      <w:pPr>
        <w:spacing w:after="0" w:line="288" w:lineRule="auto"/>
        <w:jc w:val="both"/>
      </w:pPr>
      <w:r w:rsidRPr="00763664">
        <w:t>The prevalence of gambling problems</w:t>
      </w:r>
      <w:r w:rsidR="00AD597E">
        <w:t>,</w:t>
      </w:r>
      <w:r w:rsidR="003F2E70">
        <w:t xml:space="preserve"> and</w:t>
      </w:r>
      <w:r w:rsidR="00AD597E">
        <w:t xml:space="preserve"> the</w:t>
      </w:r>
      <w:r w:rsidR="003F2E70">
        <w:t xml:space="preserve"> risk of problems</w:t>
      </w:r>
      <w:r w:rsidR="00AD597E">
        <w:t>,</w:t>
      </w:r>
      <w:r w:rsidRPr="00763664">
        <w:t xml:space="preserve"> </w:t>
      </w:r>
      <w:r w:rsidR="00AD597E">
        <w:t>were</w:t>
      </w:r>
      <w:r w:rsidRPr="00763664">
        <w:t xml:space="preserve"> measured in the study with the Problem Gambling Severity Index (PGSI), which features nine questions about feelings concerning gambling, financial problems stemming from gambling losses, and responses of friends of family to their gambling. </w:t>
      </w:r>
    </w:p>
    <w:p w14:paraId="74472FC2" w14:textId="77777777" w:rsidR="00763664" w:rsidRPr="00763664" w:rsidRDefault="00763664" w:rsidP="00C13D75">
      <w:pPr>
        <w:spacing w:after="0" w:line="288" w:lineRule="auto"/>
        <w:jc w:val="both"/>
      </w:pPr>
      <w:r w:rsidRPr="00763664">
        <w:t xml:space="preserve">Overall, 8.5% of Victorian adults, including 11.2% of males and 5.9% of females, reported patterns of behaviour or consequences of gambling which placed them in the categories of low risk (5.3%), moderate risk (2.3%) or problem gambling (0.9%). </w:t>
      </w:r>
    </w:p>
    <w:p w14:paraId="6A000A54" w14:textId="0129A179" w:rsidR="00763664" w:rsidRDefault="00763664" w:rsidP="00C13D75">
      <w:pPr>
        <w:spacing w:after="0" w:line="288" w:lineRule="auto"/>
        <w:jc w:val="both"/>
      </w:pPr>
      <w:r w:rsidRPr="00763664">
        <w:t>Among the gambling population 15.8% fell into this range</w:t>
      </w:r>
      <w:r w:rsidR="003F2E70">
        <w:t xml:space="preserve">, </w:t>
      </w:r>
      <w:r w:rsidR="00AD597E">
        <w:t>with</w:t>
      </w:r>
      <w:r w:rsidRPr="00763664">
        <w:t xml:space="preserve"> 9.9% </w:t>
      </w:r>
      <w:r w:rsidR="003F2E70">
        <w:t xml:space="preserve">deemed </w:t>
      </w:r>
      <w:r w:rsidRPr="00763664">
        <w:t xml:space="preserve">at </w:t>
      </w:r>
      <w:r w:rsidRPr="00763664">
        <w:rPr>
          <w:i/>
          <w:iCs/>
        </w:rPr>
        <w:t>low risk</w:t>
      </w:r>
      <w:r w:rsidRPr="00763664">
        <w:t xml:space="preserve"> of gambling problems, 4.2% at </w:t>
      </w:r>
      <w:r w:rsidRPr="00763664">
        <w:rPr>
          <w:i/>
          <w:iCs/>
        </w:rPr>
        <w:t>moderate risk</w:t>
      </w:r>
      <w:r w:rsidRPr="00763664">
        <w:t xml:space="preserve"> and 1.7% classified as </w:t>
      </w:r>
      <w:r w:rsidRPr="00763664">
        <w:rPr>
          <w:i/>
          <w:iCs/>
        </w:rPr>
        <w:t>problem gamblers</w:t>
      </w:r>
      <w:r w:rsidRPr="00763664">
        <w:t xml:space="preserve"> - the latter including 2.5% of males and 1% of females. (accompanying chart)</w:t>
      </w:r>
      <w:r w:rsidR="003634D3">
        <w:t>.</w:t>
      </w:r>
    </w:p>
    <w:p w14:paraId="2FAFC62B" w14:textId="6FD28F73" w:rsidR="003634D3" w:rsidRDefault="004E2EDD" w:rsidP="00C13D75">
      <w:pPr>
        <w:spacing w:after="0" w:line="288" w:lineRule="auto"/>
        <w:jc w:val="both"/>
      </w:pPr>
      <w:r>
        <w:rPr>
          <w:noProof/>
          <w:lang w:val="en-US"/>
        </w:rPr>
        <w:drawing>
          <wp:anchor distT="0" distB="0" distL="114300" distR="114300" simplePos="0" relativeHeight="251675648" behindDoc="0" locked="0" layoutInCell="1" allowOverlap="1" wp14:anchorId="5ED8D319" wp14:editId="7BD6211D">
            <wp:simplePos x="0" y="0"/>
            <wp:positionH relativeFrom="margin">
              <wp:align>right</wp:align>
            </wp:positionH>
            <wp:positionV relativeFrom="paragraph">
              <wp:posOffset>5715</wp:posOffset>
            </wp:positionV>
            <wp:extent cx="4349750" cy="2647950"/>
            <wp:effectExtent l="0" t="0" r="0" b="0"/>
            <wp:wrapSquare wrapText="bothSides"/>
            <wp:docPr id="45967882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3">
                      <a:extLst>
                        <a:ext uri="{28A0092B-C50C-407E-A947-70E740481C1C}">
                          <a14:useLocalDpi xmlns:a14="http://schemas.microsoft.com/office/drawing/2010/main" val="0"/>
                        </a:ext>
                      </a:extLst>
                    </a:blip>
                    <a:srcRect t="9175"/>
                    <a:stretch/>
                  </pic:blipFill>
                  <pic:spPr bwMode="auto">
                    <a:xfrm>
                      <a:off x="0" y="0"/>
                      <a:ext cx="4349750" cy="2647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0AB5D9" w14:textId="6488D14E" w:rsidR="003634D3" w:rsidRDefault="003634D3" w:rsidP="00C13D75">
      <w:pPr>
        <w:spacing w:after="0" w:line="288" w:lineRule="auto"/>
        <w:jc w:val="both"/>
      </w:pPr>
    </w:p>
    <w:p w14:paraId="4B5A09C5" w14:textId="6614AB4C" w:rsidR="003634D3" w:rsidRPr="00763664" w:rsidRDefault="003634D3" w:rsidP="00C13D75">
      <w:pPr>
        <w:spacing w:after="0" w:line="288" w:lineRule="auto"/>
        <w:jc w:val="both"/>
      </w:pPr>
    </w:p>
    <w:p w14:paraId="3BFEEE2E" w14:textId="0CE5AD1D" w:rsidR="00A45B7A" w:rsidRPr="00870057" w:rsidRDefault="00763664" w:rsidP="00870057">
      <w:pPr>
        <w:spacing w:after="0" w:line="240" w:lineRule="auto"/>
        <w:rPr>
          <w:color w:val="7F7F7F" w:themeColor="text1" w:themeTint="80"/>
          <w:sz w:val="20"/>
          <w:szCs w:val="20"/>
        </w:rPr>
      </w:pPr>
      <w:r w:rsidRPr="00870057">
        <w:rPr>
          <w:color w:val="7F7F7F" w:themeColor="text1" w:themeTint="80"/>
          <w:sz w:val="20"/>
          <w:szCs w:val="20"/>
        </w:rPr>
        <w:t xml:space="preserve">Per cent of gamblers classified </w:t>
      </w:r>
      <w:r w:rsidR="00F327C4">
        <w:rPr>
          <w:color w:val="7F7F7F" w:themeColor="text1" w:themeTint="80"/>
          <w:sz w:val="20"/>
          <w:szCs w:val="20"/>
        </w:rPr>
        <w:t>as low-risk, moderate risk or as ‘problem gamblers’</w:t>
      </w:r>
      <w:r w:rsidR="00AD597E">
        <w:rPr>
          <w:color w:val="7F7F7F" w:themeColor="text1" w:themeTint="80"/>
          <w:sz w:val="20"/>
          <w:szCs w:val="20"/>
        </w:rPr>
        <w:t>, by sex</w:t>
      </w:r>
      <w:r w:rsidRPr="00870057">
        <w:rPr>
          <w:color w:val="7F7F7F" w:themeColor="text1" w:themeTint="80"/>
          <w:sz w:val="20"/>
          <w:szCs w:val="20"/>
        </w:rPr>
        <w:t>: Victoria, 2023</w:t>
      </w:r>
    </w:p>
    <w:p w14:paraId="6E3B9A7B" w14:textId="15F98565" w:rsidR="00E77618" w:rsidRDefault="00E77618">
      <w:pPr>
        <w:rPr>
          <w:lang w:val="en-US"/>
        </w:rPr>
      </w:pPr>
    </w:p>
    <w:p w14:paraId="1BE399B4" w14:textId="77777777" w:rsidR="00763664" w:rsidRDefault="00763664">
      <w:pPr>
        <w:rPr>
          <w:lang w:val="en-US"/>
        </w:rPr>
      </w:pPr>
    </w:p>
    <w:p w14:paraId="43D3C0F7" w14:textId="77777777" w:rsidR="003634D3" w:rsidRDefault="003634D3">
      <w:pPr>
        <w:rPr>
          <w:lang w:val="en-US"/>
        </w:rPr>
      </w:pPr>
    </w:p>
    <w:p w14:paraId="0143C0EC" w14:textId="77777777" w:rsidR="003634D3" w:rsidRDefault="003634D3">
      <w:pPr>
        <w:rPr>
          <w:lang w:val="en-US"/>
        </w:rPr>
      </w:pPr>
    </w:p>
    <w:p w14:paraId="61141583" w14:textId="77777777" w:rsidR="003634D3" w:rsidRDefault="003634D3">
      <w:pPr>
        <w:rPr>
          <w:lang w:val="en-US"/>
        </w:rPr>
      </w:pPr>
    </w:p>
    <w:p w14:paraId="03249F10" w14:textId="77777777" w:rsidR="003634D3" w:rsidRDefault="003634D3">
      <w:pPr>
        <w:rPr>
          <w:lang w:val="en-US"/>
        </w:rPr>
      </w:pPr>
    </w:p>
    <w:p w14:paraId="23F2248E" w14:textId="32AD8105" w:rsidR="003634D3" w:rsidRDefault="00763664" w:rsidP="00C13D75">
      <w:pPr>
        <w:spacing w:after="0" w:line="288" w:lineRule="auto"/>
        <w:jc w:val="both"/>
      </w:pPr>
      <w:r w:rsidRPr="00763664">
        <w:t>The proportion of gamblers classified as problem gamblers declined with age from 2.8% among 18-24</w:t>
      </w:r>
      <w:r w:rsidR="00F327C4">
        <w:t>-</w:t>
      </w:r>
      <w:r w:rsidRPr="00763664">
        <w:t>year</w:t>
      </w:r>
      <w:r w:rsidR="00F327C4">
        <w:t>-</w:t>
      </w:r>
      <w:r w:rsidRPr="00763664">
        <w:t xml:space="preserve">olds, to less than 1% among people aged 65 or more. </w:t>
      </w:r>
    </w:p>
    <w:p w14:paraId="3F944AD5" w14:textId="2D628B59" w:rsidR="00763664" w:rsidRDefault="00763664" w:rsidP="00C13D75">
      <w:pPr>
        <w:spacing w:after="0" w:line="288" w:lineRule="auto"/>
        <w:jc w:val="both"/>
      </w:pPr>
      <w:r w:rsidRPr="00763664">
        <w:t>The prevalence of problem gambling was also highest among people who spoke languages other than English, those of lesser formal educational levels and people on lower incomes.</w:t>
      </w:r>
    </w:p>
    <w:p w14:paraId="5F74DB47" w14:textId="47705CDE" w:rsidR="003634D3" w:rsidRPr="00763664" w:rsidRDefault="004E2EDD" w:rsidP="00C13D75">
      <w:pPr>
        <w:spacing w:after="0" w:line="288" w:lineRule="auto"/>
        <w:jc w:val="both"/>
      </w:pPr>
      <w:r>
        <w:rPr>
          <w:noProof/>
          <w:lang w:val="en-US"/>
        </w:rPr>
        <w:drawing>
          <wp:anchor distT="0" distB="0" distL="114300" distR="114300" simplePos="0" relativeHeight="251676672" behindDoc="0" locked="0" layoutInCell="1" allowOverlap="1" wp14:anchorId="39855B48" wp14:editId="5F372463">
            <wp:simplePos x="0" y="0"/>
            <wp:positionH relativeFrom="column">
              <wp:posOffset>50165</wp:posOffset>
            </wp:positionH>
            <wp:positionV relativeFrom="paragraph">
              <wp:posOffset>112395</wp:posOffset>
            </wp:positionV>
            <wp:extent cx="4673600" cy="3403600"/>
            <wp:effectExtent l="0" t="0" r="0" b="6350"/>
            <wp:wrapSquare wrapText="bothSides"/>
            <wp:docPr id="62276867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4">
                      <a:extLst>
                        <a:ext uri="{28A0092B-C50C-407E-A947-70E740481C1C}">
                          <a14:useLocalDpi xmlns:a14="http://schemas.microsoft.com/office/drawing/2010/main" val="0"/>
                        </a:ext>
                      </a:extLst>
                    </a:blip>
                    <a:srcRect t="4673" b="1496"/>
                    <a:stretch/>
                  </pic:blipFill>
                  <pic:spPr bwMode="auto">
                    <a:xfrm>
                      <a:off x="0" y="0"/>
                      <a:ext cx="4673600" cy="340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268F0D" w14:textId="3123DA09" w:rsidR="00763664" w:rsidRPr="00870057" w:rsidRDefault="00763664" w:rsidP="00870057">
      <w:pPr>
        <w:spacing w:after="0" w:line="240" w:lineRule="auto"/>
        <w:rPr>
          <w:color w:val="7F7F7F" w:themeColor="text1" w:themeTint="80"/>
          <w:sz w:val="20"/>
          <w:szCs w:val="20"/>
        </w:rPr>
      </w:pPr>
      <w:r w:rsidRPr="00870057">
        <w:rPr>
          <w:color w:val="7F7F7F" w:themeColor="text1" w:themeTint="80"/>
          <w:sz w:val="20"/>
          <w:szCs w:val="20"/>
        </w:rPr>
        <w:t>Per cent of gamblers who were classified as problem gamblers, by characteristic: Victoria, 20023</w:t>
      </w:r>
    </w:p>
    <w:p w14:paraId="24304BC7" w14:textId="22A6CDDE" w:rsidR="00763664" w:rsidRDefault="00763664">
      <w:pPr>
        <w:rPr>
          <w:lang w:val="en-US"/>
        </w:rPr>
      </w:pPr>
    </w:p>
    <w:p w14:paraId="240D28F4" w14:textId="0EC8AD6E" w:rsidR="000B791C" w:rsidRPr="000B791C" w:rsidRDefault="000B791C" w:rsidP="00C13D75">
      <w:pPr>
        <w:spacing w:after="0" w:line="288" w:lineRule="auto"/>
        <w:jc w:val="both"/>
      </w:pPr>
      <w:r w:rsidRPr="000B791C">
        <w:t>The proportion of gamblers who were classed as problem gamblers, also varied with gambling activity. Problem gambling was identified among 7.1% of EGM gamblers, 7.3% of those who gamble at the casino, 6.7% of sports betters and 3.7% of participants in racing gambling.</w:t>
      </w:r>
    </w:p>
    <w:p w14:paraId="5DAF0DDA" w14:textId="7CCA02EA" w:rsidR="000B791C" w:rsidRDefault="000B791C" w:rsidP="00C13D75">
      <w:pPr>
        <w:spacing w:after="0" w:line="288" w:lineRule="auto"/>
        <w:jc w:val="both"/>
      </w:pPr>
      <w:r w:rsidRPr="000B791C">
        <w:lastRenderedPageBreak/>
        <w:t xml:space="preserve">Among Victorian gamblers, 1.9% had been asked to take a break from their gambling, by venue staff, a figure which rose to </w:t>
      </w:r>
      <w:r w:rsidR="00E421DC">
        <w:t xml:space="preserve">5.9% among people who gambled for 3 hours or more and </w:t>
      </w:r>
      <w:r w:rsidRPr="000B791C">
        <w:t xml:space="preserve">6.9% among problem gamblers. This finding appears to </w:t>
      </w:r>
      <w:r w:rsidR="00A9623F">
        <w:t>discredit</w:t>
      </w:r>
      <w:r w:rsidRPr="000B791C">
        <w:t xml:space="preserve"> the often-repeated claim by EGM venue operators that their staff closely scrutinise patrons for </w:t>
      </w:r>
      <w:r w:rsidR="001D37C2">
        <w:t xml:space="preserve">signs of </w:t>
      </w:r>
      <w:r w:rsidRPr="000B791C">
        <w:t>problem</w:t>
      </w:r>
      <w:r w:rsidR="001D37C2">
        <w:t>atic</w:t>
      </w:r>
      <w:r w:rsidRPr="000B791C">
        <w:t xml:space="preserve"> gambling and</w:t>
      </w:r>
      <w:r w:rsidR="00A9623F">
        <w:t xml:space="preserve"> diligently</w:t>
      </w:r>
      <w:r w:rsidRPr="000B791C">
        <w:t xml:space="preserve"> intervene to curtail such behaviour.</w:t>
      </w:r>
    </w:p>
    <w:p w14:paraId="7A749B5C" w14:textId="77777777" w:rsidR="001D49D7" w:rsidRDefault="001D49D7" w:rsidP="00C13D75">
      <w:pPr>
        <w:spacing w:after="0" w:line="288" w:lineRule="auto"/>
        <w:jc w:val="both"/>
      </w:pPr>
    </w:p>
    <w:p w14:paraId="5538F55F" w14:textId="77777777" w:rsidR="007766D1" w:rsidRPr="000B791C" w:rsidRDefault="007766D1" w:rsidP="00C13D75">
      <w:pPr>
        <w:spacing w:after="0" w:line="288" w:lineRule="auto"/>
        <w:jc w:val="both"/>
      </w:pPr>
    </w:p>
    <w:p w14:paraId="0DB09152" w14:textId="5A4ADA16" w:rsidR="000B791C" w:rsidRPr="00C25A9D" w:rsidRDefault="000B791C" w:rsidP="00870057">
      <w:pPr>
        <w:spacing w:after="60"/>
        <w:rPr>
          <w:b/>
          <w:bCs/>
          <w:color w:val="153D63" w:themeColor="text2" w:themeTint="E6"/>
          <w:lang w:val="en-US"/>
        </w:rPr>
      </w:pPr>
      <w:r w:rsidRPr="00C25A9D">
        <w:rPr>
          <w:b/>
          <w:bCs/>
          <w:color w:val="153D63" w:themeColor="text2" w:themeTint="E6"/>
          <w:lang w:val="en-US"/>
        </w:rPr>
        <w:t>Gambling Harm</w:t>
      </w:r>
    </w:p>
    <w:p w14:paraId="3E1D0DFC" w14:textId="2E0C3F4C" w:rsidR="000B791C" w:rsidRDefault="001D49D7" w:rsidP="00C13D75">
      <w:pPr>
        <w:spacing w:after="0" w:line="288" w:lineRule="auto"/>
        <w:jc w:val="both"/>
      </w:pPr>
      <w:r>
        <w:rPr>
          <w:noProof/>
          <w:lang w:val="en-US"/>
        </w:rPr>
        <w:drawing>
          <wp:anchor distT="0" distB="0" distL="114300" distR="114300" simplePos="0" relativeHeight="251677696" behindDoc="0" locked="0" layoutInCell="1" allowOverlap="1" wp14:anchorId="21406CB7" wp14:editId="06656CF3">
            <wp:simplePos x="0" y="0"/>
            <wp:positionH relativeFrom="margin">
              <wp:posOffset>1708785</wp:posOffset>
            </wp:positionH>
            <wp:positionV relativeFrom="paragraph">
              <wp:posOffset>1014730</wp:posOffset>
            </wp:positionV>
            <wp:extent cx="4747895" cy="3219450"/>
            <wp:effectExtent l="0" t="0" r="0" b="0"/>
            <wp:wrapSquare wrapText="bothSides"/>
            <wp:docPr id="57535584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25">
                      <a:extLst>
                        <a:ext uri="{28A0092B-C50C-407E-A947-70E740481C1C}">
                          <a14:useLocalDpi xmlns:a14="http://schemas.microsoft.com/office/drawing/2010/main" val="0"/>
                        </a:ext>
                      </a:extLst>
                    </a:blip>
                    <a:srcRect t="5031"/>
                    <a:stretch/>
                  </pic:blipFill>
                  <pic:spPr bwMode="auto">
                    <a:xfrm>
                      <a:off x="0" y="0"/>
                      <a:ext cx="4747895" cy="321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791C" w:rsidRPr="000B791C">
        <w:t>The study found that 6.9% of Victorian</w:t>
      </w:r>
      <w:r w:rsidR="00926F1D">
        <w:t xml:space="preserve"> adults</w:t>
      </w:r>
      <w:r w:rsidR="000B791C" w:rsidRPr="000B791C">
        <w:t>, or 13% of gamblers, had experienced at least one form of gambling harm during the previous 12 months, such as financial difficulties, personal distress, or relationship conflict. The proportion of gamblers who had experienced</w:t>
      </w:r>
      <w:r w:rsidR="00F327C4">
        <w:t xml:space="preserve"> such</w:t>
      </w:r>
      <w:r w:rsidR="000B791C" w:rsidRPr="000B791C">
        <w:t xml:space="preserve"> harm was highest among males, young adults, those who spoke languages other than English at home and </w:t>
      </w:r>
      <w:r w:rsidR="00A9623F">
        <w:t>people</w:t>
      </w:r>
      <w:r w:rsidR="000B791C" w:rsidRPr="000B791C">
        <w:t xml:space="preserve"> with year 12-only education. Little difference in the prevalence of gambling harm was observed by income level.</w:t>
      </w:r>
    </w:p>
    <w:p w14:paraId="59FC4DDB" w14:textId="77777777" w:rsidR="001D49D7" w:rsidRDefault="001D49D7" w:rsidP="00C13D75">
      <w:pPr>
        <w:spacing w:after="0" w:line="288" w:lineRule="auto"/>
        <w:jc w:val="both"/>
      </w:pPr>
    </w:p>
    <w:p w14:paraId="7418E3B5" w14:textId="77777777" w:rsidR="001D49D7" w:rsidRPr="000B791C" w:rsidRDefault="001D49D7" w:rsidP="00C13D75">
      <w:pPr>
        <w:spacing w:after="0" w:line="288" w:lineRule="auto"/>
        <w:jc w:val="both"/>
      </w:pPr>
    </w:p>
    <w:p w14:paraId="17D5513D" w14:textId="06F2B481" w:rsidR="000B791C" w:rsidRPr="00870057" w:rsidRDefault="000B791C" w:rsidP="00870057">
      <w:pPr>
        <w:spacing w:after="0" w:line="240" w:lineRule="auto"/>
        <w:rPr>
          <w:color w:val="7F7F7F" w:themeColor="text1" w:themeTint="80"/>
          <w:sz w:val="20"/>
          <w:szCs w:val="20"/>
        </w:rPr>
      </w:pPr>
      <w:r w:rsidRPr="00870057">
        <w:rPr>
          <w:color w:val="7F7F7F" w:themeColor="text1" w:themeTint="80"/>
          <w:sz w:val="20"/>
          <w:szCs w:val="20"/>
        </w:rPr>
        <w:t>Per cent of gamblers who experienced any gambling harm, by characteristic: Victoria, 2023</w:t>
      </w:r>
    </w:p>
    <w:p w14:paraId="266B96C3" w14:textId="7BB98A09" w:rsidR="000B791C" w:rsidRDefault="000B791C">
      <w:pPr>
        <w:rPr>
          <w:lang w:val="en-US"/>
        </w:rPr>
      </w:pPr>
    </w:p>
    <w:p w14:paraId="21A1E7BF" w14:textId="77777777" w:rsidR="001D49D7" w:rsidRDefault="001D49D7">
      <w:pPr>
        <w:rPr>
          <w:lang w:val="en-US"/>
        </w:rPr>
      </w:pPr>
    </w:p>
    <w:p w14:paraId="651A0C8A" w14:textId="77777777" w:rsidR="001D49D7" w:rsidRDefault="001D49D7">
      <w:pPr>
        <w:rPr>
          <w:lang w:val="en-US"/>
        </w:rPr>
      </w:pPr>
    </w:p>
    <w:p w14:paraId="049C2C63" w14:textId="77777777" w:rsidR="001D49D7" w:rsidRDefault="001D49D7">
      <w:pPr>
        <w:rPr>
          <w:lang w:val="en-US"/>
        </w:rPr>
      </w:pPr>
    </w:p>
    <w:p w14:paraId="48869D9F" w14:textId="77777777" w:rsidR="001D49D7" w:rsidRDefault="001D49D7">
      <w:pPr>
        <w:rPr>
          <w:lang w:val="en-US"/>
        </w:rPr>
      </w:pPr>
    </w:p>
    <w:p w14:paraId="5F070BE4" w14:textId="77777777" w:rsidR="001D49D7" w:rsidRDefault="001D49D7">
      <w:pPr>
        <w:rPr>
          <w:lang w:val="en-US"/>
        </w:rPr>
      </w:pPr>
    </w:p>
    <w:p w14:paraId="7F75CF5E" w14:textId="77777777" w:rsidR="001D49D7" w:rsidRDefault="001D49D7">
      <w:pPr>
        <w:rPr>
          <w:lang w:val="en-US"/>
        </w:rPr>
      </w:pPr>
    </w:p>
    <w:p w14:paraId="7937000A" w14:textId="77777777" w:rsidR="001D49D7" w:rsidRDefault="001D49D7">
      <w:pPr>
        <w:rPr>
          <w:lang w:val="en-US"/>
        </w:rPr>
      </w:pPr>
    </w:p>
    <w:p w14:paraId="3EE40759" w14:textId="77777777" w:rsidR="007766D1" w:rsidRDefault="007766D1">
      <w:pPr>
        <w:rPr>
          <w:lang w:val="en-US"/>
        </w:rPr>
      </w:pPr>
    </w:p>
    <w:p w14:paraId="3327E010" w14:textId="1342986F" w:rsidR="000B791C" w:rsidRPr="000B791C" w:rsidRDefault="000B791C" w:rsidP="00C13D75">
      <w:pPr>
        <w:spacing w:after="0" w:line="288" w:lineRule="auto"/>
        <w:jc w:val="both"/>
      </w:pPr>
      <w:r w:rsidRPr="000B791C">
        <w:t xml:space="preserve">The prevalence of the experience of gambling harm varied widely </w:t>
      </w:r>
      <w:r w:rsidR="00A9623F">
        <w:t>among</w:t>
      </w:r>
      <w:r w:rsidRPr="000B791C">
        <w:t xml:space="preserve"> gambling activities, </w:t>
      </w:r>
      <w:r w:rsidR="00A9623F">
        <w:t>ranging from</w:t>
      </w:r>
      <w:r w:rsidRPr="000B791C">
        <w:t xml:space="preserve"> 36% of </w:t>
      </w:r>
      <w:r w:rsidR="00E421DC">
        <w:t>people</w:t>
      </w:r>
      <w:r w:rsidRPr="000B791C">
        <w:t xml:space="preserve"> who gambled at the Casino, 35% of sports gamblers, 29% of those who gambled on EGMs, and 20% of racing gamblers. </w:t>
      </w:r>
    </w:p>
    <w:p w14:paraId="68E4DDF5" w14:textId="77777777" w:rsidR="000B791C" w:rsidRDefault="000B791C">
      <w:pPr>
        <w:rPr>
          <w:lang w:val="en-US"/>
        </w:rPr>
      </w:pPr>
    </w:p>
    <w:p w14:paraId="054C8AC3" w14:textId="77777777" w:rsidR="007766D1" w:rsidRDefault="007766D1">
      <w:pPr>
        <w:rPr>
          <w:lang w:val="en-US"/>
        </w:rPr>
      </w:pPr>
    </w:p>
    <w:p w14:paraId="21E053D7" w14:textId="202EFA02" w:rsidR="000B791C" w:rsidRPr="00C25A9D" w:rsidRDefault="000B791C" w:rsidP="00870057">
      <w:pPr>
        <w:spacing w:after="60"/>
        <w:rPr>
          <w:b/>
          <w:bCs/>
          <w:color w:val="153D63" w:themeColor="text2" w:themeTint="E6"/>
          <w:lang w:val="en-US"/>
        </w:rPr>
      </w:pPr>
      <w:r w:rsidRPr="00C25A9D">
        <w:rPr>
          <w:b/>
          <w:bCs/>
          <w:color w:val="153D63" w:themeColor="text2" w:themeTint="E6"/>
          <w:lang w:val="en-US"/>
        </w:rPr>
        <w:t>Gambling and Health</w:t>
      </w:r>
    </w:p>
    <w:p w14:paraId="20DD49CB" w14:textId="37488455" w:rsidR="000B791C" w:rsidRDefault="000B791C" w:rsidP="00C13D75">
      <w:pPr>
        <w:spacing w:after="0" w:line="288" w:lineRule="auto"/>
        <w:jc w:val="both"/>
      </w:pPr>
      <w:r w:rsidRPr="000B791C">
        <w:t>Problem gamblers tended to have poorer self</w:t>
      </w:r>
      <w:r>
        <w:t>-</w:t>
      </w:r>
      <w:r w:rsidRPr="000B791C">
        <w:t>assessed heath, higher levels of psychological distress and risk</w:t>
      </w:r>
      <w:r w:rsidR="00A9623F">
        <w:t>y</w:t>
      </w:r>
      <w:r w:rsidRPr="000B791C">
        <w:t xml:space="preserve"> drinking, and mor</w:t>
      </w:r>
      <w:r>
        <w:t>e</w:t>
      </w:r>
      <w:r w:rsidRPr="000B791C">
        <w:t xml:space="preserve"> often smoked, than non-gamblers. </w:t>
      </w:r>
    </w:p>
    <w:p w14:paraId="6DF5F183" w14:textId="769DF1FF" w:rsidR="000B791C" w:rsidRDefault="000B791C" w:rsidP="00C13D75">
      <w:pPr>
        <w:spacing w:after="0" w:line="288" w:lineRule="auto"/>
        <w:jc w:val="both"/>
      </w:pPr>
      <w:r w:rsidRPr="000B791C">
        <w:t>In particular, 34% of non-gamblers were ranked among the lowest quartile of general self-assessed wellbeing, compared with 86% of problem gamblers; 5.2% of non-gamblers were rated as experiencing psychological distress, compared with 43% of problem gamblers; 31% of non-gamblers were classified as risky drinkers, in contrast to 55% of problem gamblers, and 9.8% of non-gamblers smoke</w:t>
      </w:r>
      <w:r w:rsidR="00E421DC">
        <w:t xml:space="preserve"> weekly</w:t>
      </w:r>
      <w:r w:rsidRPr="000B791C">
        <w:t>, compared with 47% of problem gamblers.</w:t>
      </w:r>
    </w:p>
    <w:p w14:paraId="3A786D3F" w14:textId="77777777" w:rsidR="007766D1" w:rsidRDefault="007766D1">
      <w:r>
        <w:br w:type="page"/>
      </w:r>
    </w:p>
    <w:p w14:paraId="5566B590" w14:textId="052A151B" w:rsidR="000B791C" w:rsidRPr="00C25A9D" w:rsidRDefault="000B791C" w:rsidP="00870057">
      <w:pPr>
        <w:spacing w:after="60"/>
        <w:rPr>
          <w:b/>
          <w:bCs/>
          <w:color w:val="153D63" w:themeColor="text2" w:themeTint="E6"/>
          <w:lang w:val="en-US"/>
        </w:rPr>
      </w:pPr>
      <w:r w:rsidRPr="00C25A9D">
        <w:rPr>
          <w:b/>
          <w:bCs/>
          <w:color w:val="153D63" w:themeColor="text2" w:themeTint="E6"/>
          <w:lang w:val="en-US"/>
        </w:rPr>
        <w:lastRenderedPageBreak/>
        <w:t>Awareness and Use of Gambler’s Support Services</w:t>
      </w:r>
    </w:p>
    <w:p w14:paraId="62CFF4BC" w14:textId="6FA707FF" w:rsidR="000B791C" w:rsidRDefault="000B791C" w:rsidP="00C13D75">
      <w:pPr>
        <w:spacing w:after="0" w:line="288" w:lineRule="auto"/>
        <w:jc w:val="both"/>
      </w:pPr>
      <w:r>
        <w:t>Nearly half (</w:t>
      </w:r>
      <w:r w:rsidRPr="000B791C">
        <w:t>49%</w:t>
      </w:r>
      <w:r>
        <w:t>)</w:t>
      </w:r>
      <w:r w:rsidRPr="000B791C">
        <w:t xml:space="preserve"> of Victorian adults overall, and 42% of gamblers, did not know of any gambling support services. Among gamblers, those services most widely cited were the national Gambling Helpline, known to 34%, and Gamblers Anonymous, known of by 12%.</w:t>
      </w:r>
    </w:p>
    <w:p w14:paraId="5B879878" w14:textId="7646A975" w:rsidR="001D49D7" w:rsidRDefault="001D49D7" w:rsidP="00C13D75">
      <w:pPr>
        <w:spacing w:after="0" w:line="288" w:lineRule="auto"/>
        <w:jc w:val="both"/>
      </w:pPr>
      <w:r>
        <w:rPr>
          <w:noProof/>
          <w:lang w:val="en-US"/>
        </w:rPr>
        <w:drawing>
          <wp:anchor distT="0" distB="0" distL="114300" distR="114300" simplePos="0" relativeHeight="251678720" behindDoc="0" locked="0" layoutInCell="1" allowOverlap="1" wp14:anchorId="19435404" wp14:editId="356D2C5E">
            <wp:simplePos x="0" y="0"/>
            <wp:positionH relativeFrom="margin">
              <wp:posOffset>-635</wp:posOffset>
            </wp:positionH>
            <wp:positionV relativeFrom="paragraph">
              <wp:posOffset>126365</wp:posOffset>
            </wp:positionV>
            <wp:extent cx="4654550" cy="3708400"/>
            <wp:effectExtent l="0" t="0" r="0" b="6350"/>
            <wp:wrapSquare wrapText="bothSides"/>
            <wp:docPr id="212954278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6">
                      <a:extLst>
                        <a:ext uri="{28A0092B-C50C-407E-A947-70E740481C1C}">
                          <a14:useLocalDpi xmlns:a14="http://schemas.microsoft.com/office/drawing/2010/main" val="0"/>
                        </a:ext>
                      </a:extLst>
                    </a:blip>
                    <a:srcRect r="1703"/>
                    <a:stretch/>
                  </pic:blipFill>
                  <pic:spPr bwMode="auto">
                    <a:xfrm>
                      <a:off x="0" y="0"/>
                      <a:ext cx="4654550" cy="370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96EAB9" w14:textId="79DF9A29" w:rsidR="001D49D7" w:rsidRDefault="001D49D7" w:rsidP="00C13D75">
      <w:pPr>
        <w:spacing w:after="0" w:line="288" w:lineRule="auto"/>
        <w:jc w:val="both"/>
      </w:pPr>
    </w:p>
    <w:p w14:paraId="0A6DC08B" w14:textId="3CADE568" w:rsidR="001D49D7" w:rsidRDefault="001D49D7" w:rsidP="00C13D75">
      <w:pPr>
        <w:spacing w:after="0" w:line="288" w:lineRule="auto"/>
        <w:jc w:val="both"/>
      </w:pPr>
    </w:p>
    <w:p w14:paraId="1DF3DBD0" w14:textId="77777777" w:rsidR="001D49D7" w:rsidRDefault="001D49D7" w:rsidP="00C13D75">
      <w:pPr>
        <w:spacing w:after="0" w:line="288" w:lineRule="auto"/>
        <w:jc w:val="both"/>
      </w:pPr>
    </w:p>
    <w:p w14:paraId="3B14DCB7" w14:textId="77777777" w:rsidR="001D49D7" w:rsidRDefault="001D49D7" w:rsidP="00C13D75">
      <w:pPr>
        <w:spacing w:after="0" w:line="288" w:lineRule="auto"/>
        <w:jc w:val="both"/>
      </w:pPr>
    </w:p>
    <w:p w14:paraId="7392DA18" w14:textId="77777777" w:rsidR="001D49D7" w:rsidRPr="000B791C" w:rsidRDefault="001D49D7" w:rsidP="001D49D7">
      <w:pPr>
        <w:spacing w:after="0" w:line="240" w:lineRule="auto"/>
        <w:rPr>
          <w:color w:val="7F7F7F" w:themeColor="text1" w:themeTint="80"/>
          <w:sz w:val="20"/>
          <w:szCs w:val="20"/>
        </w:rPr>
      </w:pPr>
      <w:r w:rsidRPr="00870057">
        <w:rPr>
          <w:color w:val="7F7F7F" w:themeColor="text1" w:themeTint="80"/>
          <w:sz w:val="20"/>
          <w:szCs w:val="20"/>
        </w:rPr>
        <w:t>Per cent of gamblers who were aware of support services, by type of service: Victoria, 2023</w:t>
      </w:r>
    </w:p>
    <w:p w14:paraId="4F707887" w14:textId="77777777" w:rsidR="001D49D7" w:rsidRDefault="001D49D7" w:rsidP="00C13D75">
      <w:pPr>
        <w:spacing w:after="0" w:line="288" w:lineRule="auto"/>
        <w:jc w:val="both"/>
      </w:pPr>
    </w:p>
    <w:p w14:paraId="50DFF6F4" w14:textId="77777777" w:rsidR="001D49D7" w:rsidRDefault="001D49D7" w:rsidP="00C13D75">
      <w:pPr>
        <w:spacing w:after="0" w:line="288" w:lineRule="auto"/>
        <w:jc w:val="both"/>
      </w:pPr>
    </w:p>
    <w:p w14:paraId="5FB1F38E" w14:textId="77777777" w:rsidR="001D49D7" w:rsidRDefault="001D49D7" w:rsidP="00C13D75">
      <w:pPr>
        <w:spacing w:after="0" w:line="288" w:lineRule="auto"/>
        <w:jc w:val="both"/>
      </w:pPr>
    </w:p>
    <w:p w14:paraId="5B8A2119" w14:textId="77777777" w:rsidR="001D49D7" w:rsidRDefault="001D49D7" w:rsidP="00C13D75">
      <w:pPr>
        <w:spacing w:after="0" w:line="288" w:lineRule="auto"/>
        <w:jc w:val="both"/>
      </w:pPr>
    </w:p>
    <w:p w14:paraId="6344461D" w14:textId="77777777" w:rsidR="001D49D7" w:rsidRDefault="001D49D7" w:rsidP="00C13D75">
      <w:pPr>
        <w:spacing w:after="0" w:line="288" w:lineRule="auto"/>
        <w:jc w:val="both"/>
      </w:pPr>
    </w:p>
    <w:p w14:paraId="1502FB84" w14:textId="77777777" w:rsidR="001D49D7" w:rsidRDefault="001D49D7" w:rsidP="00C13D75">
      <w:pPr>
        <w:spacing w:after="0" w:line="288" w:lineRule="auto"/>
        <w:jc w:val="both"/>
      </w:pPr>
    </w:p>
    <w:p w14:paraId="435B86E5" w14:textId="77777777" w:rsidR="001D49D7" w:rsidRDefault="001D49D7" w:rsidP="00C13D75">
      <w:pPr>
        <w:spacing w:after="0" w:line="288" w:lineRule="auto"/>
        <w:jc w:val="both"/>
      </w:pPr>
    </w:p>
    <w:p w14:paraId="6B3A2F9E" w14:textId="77777777" w:rsidR="001D49D7" w:rsidRDefault="001D49D7" w:rsidP="00C13D75">
      <w:pPr>
        <w:spacing w:after="0" w:line="288" w:lineRule="auto"/>
        <w:jc w:val="both"/>
      </w:pPr>
    </w:p>
    <w:p w14:paraId="1DE5D886" w14:textId="77777777" w:rsidR="001D49D7" w:rsidRDefault="001D49D7" w:rsidP="00C13D75">
      <w:pPr>
        <w:spacing w:after="0" w:line="288" w:lineRule="auto"/>
        <w:jc w:val="both"/>
      </w:pPr>
    </w:p>
    <w:p w14:paraId="252FB4FD" w14:textId="77777777" w:rsidR="001D49D7" w:rsidRDefault="001D49D7" w:rsidP="00C13D75">
      <w:pPr>
        <w:spacing w:after="0" w:line="288" w:lineRule="auto"/>
        <w:jc w:val="both"/>
      </w:pPr>
    </w:p>
    <w:p w14:paraId="3BAE24E1" w14:textId="77777777" w:rsidR="001D49D7" w:rsidRDefault="001D49D7" w:rsidP="00C13D75">
      <w:pPr>
        <w:spacing w:after="0" w:line="288" w:lineRule="auto"/>
        <w:jc w:val="both"/>
      </w:pPr>
    </w:p>
    <w:p w14:paraId="27EDCA89" w14:textId="77777777" w:rsidR="001D49D7" w:rsidRDefault="001D49D7" w:rsidP="00C13D75">
      <w:pPr>
        <w:spacing w:after="0" w:line="288" w:lineRule="auto"/>
        <w:jc w:val="both"/>
      </w:pPr>
    </w:p>
    <w:p w14:paraId="5EECB992" w14:textId="43C3A7DA" w:rsidR="000B791C" w:rsidRPr="000B791C" w:rsidRDefault="000B791C" w:rsidP="00C13D75">
      <w:pPr>
        <w:spacing w:after="0" w:line="288" w:lineRule="auto"/>
        <w:jc w:val="both"/>
      </w:pPr>
      <w:r w:rsidRPr="000B791C">
        <w:t>Help had been sought for gambling problems in the previous 12 months by 23% of people classified as problem gamblers and 2.8% categorised as moderate risk gamblers.</w:t>
      </w:r>
    </w:p>
    <w:p w14:paraId="569DE26C" w14:textId="087E7399" w:rsidR="000B791C" w:rsidRDefault="000B791C">
      <w:pPr>
        <w:rPr>
          <w:lang w:val="en-US"/>
        </w:rPr>
      </w:pPr>
    </w:p>
    <w:p w14:paraId="5346D149" w14:textId="0BD07268" w:rsidR="000B791C" w:rsidRPr="000B791C" w:rsidRDefault="000B791C" w:rsidP="00870057">
      <w:pPr>
        <w:spacing w:after="60"/>
        <w:rPr>
          <w:b/>
          <w:bCs/>
          <w:lang w:val="en-US"/>
        </w:rPr>
      </w:pPr>
      <w:r w:rsidRPr="000B791C">
        <w:rPr>
          <w:b/>
          <w:bCs/>
          <w:lang w:val="en-US"/>
        </w:rPr>
        <w:t>Gambling Advertising</w:t>
      </w:r>
    </w:p>
    <w:p w14:paraId="7B4793D1" w14:textId="0A62BDFF" w:rsidR="000B791C" w:rsidRPr="000B791C" w:rsidRDefault="000B791C" w:rsidP="00C13D75">
      <w:pPr>
        <w:spacing w:after="0" w:line="288" w:lineRule="auto"/>
        <w:jc w:val="both"/>
      </w:pPr>
      <w:r w:rsidRPr="000B791C">
        <w:t xml:space="preserve">78% of Victorians had seen or heard gambling advertising in the previous week, chiefly on TV (51% of Victorians) through sport (38%), on posters (29%) and </w:t>
      </w:r>
      <w:r w:rsidR="00A9623F">
        <w:t>by</w:t>
      </w:r>
      <w:r w:rsidRPr="000B791C">
        <w:t xml:space="preserve"> radio (25%).</w:t>
      </w:r>
    </w:p>
    <w:p w14:paraId="1FD8222B" w14:textId="77777777" w:rsidR="00E421DC" w:rsidRDefault="00E421DC">
      <w:pPr>
        <w:rPr>
          <w:lang w:val="en-US"/>
        </w:rPr>
      </w:pPr>
      <w:r>
        <w:rPr>
          <w:lang w:val="en-US"/>
        </w:rPr>
        <w:br w:type="page"/>
      </w:r>
    </w:p>
    <w:p w14:paraId="424638E3" w14:textId="2459B096" w:rsidR="000B791C" w:rsidRPr="00C25A9D" w:rsidRDefault="000B791C" w:rsidP="00870057">
      <w:pPr>
        <w:spacing w:after="60"/>
        <w:rPr>
          <w:b/>
          <w:bCs/>
          <w:color w:val="153D63" w:themeColor="text2" w:themeTint="E6"/>
          <w:lang w:val="en-US"/>
        </w:rPr>
      </w:pPr>
      <w:r w:rsidRPr="00C25A9D">
        <w:rPr>
          <w:b/>
          <w:bCs/>
          <w:color w:val="153D63" w:themeColor="text2" w:themeTint="E6"/>
          <w:lang w:val="en-US"/>
        </w:rPr>
        <w:lastRenderedPageBreak/>
        <w:t>Brief Profiles of Gamblers by Demographic Segment</w:t>
      </w:r>
    </w:p>
    <w:p w14:paraId="1C1308B9" w14:textId="21C4D473" w:rsidR="000B791C" w:rsidRPr="00C25A9D" w:rsidRDefault="000B791C" w:rsidP="00870057">
      <w:pPr>
        <w:spacing w:after="0"/>
        <w:rPr>
          <w:b/>
          <w:bCs/>
          <w:i/>
          <w:iCs/>
          <w:color w:val="008000"/>
          <w:lang w:val="en-US"/>
        </w:rPr>
      </w:pPr>
      <w:r w:rsidRPr="00C25A9D">
        <w:rPr>
          <w:b/>
          <w:bCs/>
          <w:i/>
          <w:iCs/>
          <w:color w:val="008000"/>
          <w:lang w:val="en-US"/>
        </w:rPr>
        <w:t>Sex</w:t>
      </w:r>
    </w:p>
    <w:p w14:paraId="1BE8D263" w14:textId="6592CF89" w:rsidR="001D49D7" w:rsidRPr="00C25A9D" w:rsidRDefault="000B791C" w:rsidP="00C25A9D">
      <w:pPr>
        <w:spacing w:after="0" w:line="288" w:lineRule="auto"/>
        <w:jc w:val="both"/>
      </w:pPr>
      <w:r w:rsidRPr="000B791C">
        <w:t xml:space="preserve">A similar proportion of women and men participate in gambling, including EGM gambling, and similar proportions participate in gambling online. </w:t>
      </w:r>
      <w:proofErr w:type="gramStart"/>
      <w:r w:rsidRPr="000B791C">
        <w:t>Men</w:t>
      </w:r>
      <w:proofErr w:type="gramEnd"/>
      <w:r w:rsidRPr="000B791C">
        <w:t xml:space="preserve"> however, are </w:t>
      </w:r>
      <w:r w:rsidR="00803415">
        <w:t>five times</w:t>
      </w:r>
      <w:r w:rsidRPr="000B791C">
        <w:t xml:space="preserve"> more likely to participate in sports gambling and </w:t>
      </w:r>
      <w:r w:rsidR="00803415">
        <w:t>more often engage in</w:t>
      </w:r>
      <w:r w:rsidRPr="000B791C">
        <w:t xml:space="preserve"> online-only gambling</w:t>
      </w:r>
      <w:r w:rsidR="00926F1D">
        <w:t>-like activities</w:t>
      </w:r>
      <w:r w:rsidRPr="000B791C">
        <w:t xml:space="preserve">. Moreover, levels of gambling losses </w:t>
      </w:r>
      <w:r w:rsidR="00926F1D">
        <w:t>acknowledged</w:t>
      </w:r>
      <w:r w:rsidRPr="000B791C">
        <w:t xml:space="preserve"> by </w:t>
      </w:r>
      <w:r w:rsidR="00803415">
        <w:t>male gamblers</w:t>
      </w:r>
      <w:r w:rsidRPr="000B791C">
        <w:t xml:space="preserve"> are nearly five times higher than for women </w:t>
      </w:r>
      <w:r w:rsidR="00803415">
        <w:t>and their EGM losses are over twice those for</w:t>
      </w:r>
      <w:r w:rsidRPr="000B791C">
        <w:t xml:space="preserve"> women.</w:t>
      </w:r>
      <w:r w:rsidR="00803415">
        <w:t xml:space="preserve"> Gambling problems are twice as common</w:t>
      </w:r>
      <w:r w:rsidRPr="000B791C">
        <w:t xml:space="preserve"> among </w:t>
      </w:r>
      <w:r w:rsidR="00803415">
        <w:t>male gamblers</w:t>
      </w:r>
      <w:r w:rsidRPr="000B791C">
        <w:t>, is about twice that among women: 2.5% of men being classified as problem gamblers, compared with 1% of women; and 17% of men, compared with 9% of women, experience gambling problems.</w:t>
      </w:r>
    </w:p>
    <w:tbl>
      <w:tblPr>
        <w:tblW w:w="5900" w:type="dxa"/>
        <w:tblLook w:val="04A0" w:firstRow="1" w:lastRow="0" w:firstColumn="1" w:lastColumn="0" w:noHBand="0" w:noVBand="1"/>
      </w:tblPr>
      <w:tblGrid>
        <w:gridCol w:w="2552"/>
        <w:gridCol w:w="779"/>
        <w:gridCol w:w="1000"/>
        <w:gridCol w:w="1569"/>
      </w:tblGrid>
      <w:tr w:rsidR="00C25A9D" w:rsidRPr="00C25A9D" w14:paraId="574EF5F8" w14:textId="77777777" w:rsidTr="000B791C">
        <w:trPr>
          <w:trHeight w:val="420"/>
        </w:trPr>
        <w:tc>
          <w:tcPr>
            <w:tcW w:w="2552" w:type="dxa"/>
            <w:tcBorders>
              <w:top w:val="nil"/>
              <w:left w:val="nil"/>
              <w:bottom w:val="single" w:sz="4" w:space="0" w:color="auto"/>
              <w:right w:val="nil"/>
            </w:tcBorders>
            <w:shd w:val="clear" w:color="auto" w:fill="auto"/>
            <w:noWrap/>
            <w:vAlign w:val="center"/>
            <w:hideMark/>
          </w:tcPr>
          <w:p w14:paraId="420602E2"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779" w:type="dxa"/>
            <w:tcBorders>
              <w:top w:val="nil"/>
              <w:left w:val="nil"/>
              <w:bottom w:val="single" w:sz="4" w:space="0" w:color="auto"/>
              <w:right w:val="nil"/>
            </w:tcBorders>
            <w:shd w:val="clear" w:color="auto" w:fill="auto"/>
            <w:noWrap/>
            <w:vAlign w:val="center"/>
            <w:hideMark/>
          </w:tcPr>
          <w:p w14:paraId="7BA96367"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Males</w:t>
            </w:r>
          </w:p>
        </w:tc>
        <w:tc>
          <w:tcPr>
            <w:tcW w:w="1000" w:type="dxa"/>
            <w:tcBorders>
              <w:top w:val="nil"/>
              <w:left w:val="nil"/>
              <w:bottom w:val="single" w:sz="4" w:space="0" w:color="auto"/>
              <w:right w:val="nil"/>
            </w:tcBorders>
            <w:shd w:val="clear" w:color="auto" w:fill="auto"/>
            <w:noWrap/>
            <w:vAlign w:val="center"/>
            <w:hideMark/>
          </w:tcPr>
          <w:p w14:paraId="2C575550"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Females</w:t>
            </w:r>
          </w:p>
        </w:tc>
        <w:tc>
          <w:tcPr>
            <w:tcW w:w="1569" w:type="dxa"/>
            <w:tcBorders>
              <w:top w:val="nil"/>
              <w:left w:val="nil"/>
              <w:bottom w:val="single" w:sz="4" w:space="0" w:color="auto"/>
              <w:right w:val="nil"/>
            </w:tcBorders>
            <w:shd w:val="clear" w:color="auto" w:fill="auto"/>
            <w:vAlign w:val="center"/>
            <w:hideMark/>
          </w:tcPr>
          <w:p w14:paraId="2D70B14F"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Males: % higher or lower than females</w:t>
            </w:r>
          </w:p>
        </w:tc>
      </w:tr>
      <w:tr w:rsidR="000B791C" w:rsidRPr="000B791C" w14:paraId="0121A037"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0B3F15DF"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779" w:type="dxa"/>
            <w:tcBorders>
              <w:top w:val="nil"/>
              <w:left w:val="nil"/>
              <w:bottom w:val="single" w:sz="4" w:space="0" w:color="auto"/>
              <w:right w:val="nil"/>
            </w:tcBorders>
            <w:shd w:val="clear" w:color="000000" w:fill="E8FEE9"/>
            <w:noWrap/>
            <w:vAlign w:val="center"/>
            <w:hideMark/>
          </w:tcPr>
          <w:p w14:paraId="0E36B94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56.6</w:t>
            </w:r>
          </w:p>
        </w:tc>
        <w:tc>
          <w:tcPr>
            <w:tcW w:w="1000" w:type="dxa"/>
            <w:tcBorders>
              <w:top w:val="nil"/>
              <w:left w:val="nil"/>
              <w:bottom w:val="single" w:sz="4" w:space="0" w:color="auto"/>
              <w:right w:val="nil"/>
            </w:tcBorders>
            <w:shd w:val="clear" w:color="000000" w:fill="E8FEE9"/>
            <w:noWrap/>
            <w:vAlign w:val="center"/>
            <w:hideMark/>
          </w:tcPr>
          <w:p w14:paraId="646E5AD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51</w:t>
            </w:r>
          </w:p>
        </w:tc>
        <w:tc>
          <w:tcPr>
            <w:tcW w:w="1569" w:type="dxa"/>
            <w:tcBorders>
              <w:top w:val="nil"/>
              <w:left w:val="nil"/>
              <w:bottom w:val="single" w:sz="4" w:space="0" w:color="auto"/>
              <w:right w:val="nil"/>
            </w:tcBorders>
            <w:shd w:val="clear" w:color="000000" w:fill="E8FEE9"/>
            <w:noWrap/>
            <w:vAlign w:val="bottom"/>
            <w:hideMark/>
          </w:tcPr>
          <w:p w14:paraId="789EDA1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11</w:t>
            </w:r>
          </w:p>
        </w:tc>
      </w:tr>
      <w:tr w:rsidR="000B791C" w:rsidRPr="000B791C" w14:paraId="01C8061C"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020C1B3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779" w:type="dxa"/>
            <w:tcBorders>
              <w:top w:val="nil"/>
              <w:left w:val="nil"/>
              <w:bottom w:val="single" w:sz="4" w:space="0" w:color="auto"/>
              <w:right w:val="nil"/>
            </w:tcBorders>
            <w:shd w:val="clear" w:color="auto" w:fill="auto"/>
            <w:noWrap/>
            <w:vAlign w:val="center"/>
            <w:hideMark/>
          </w:tcPr>
          <w:p w14:paraId="257C365E"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293E740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0.9</w:t>
            </w:r>
          </w:p>
        </w:tc>
        <w:tc>
          <w:tcPr>
            <w:tcW w:w="1569" w:type="dxa"/>
            <w:tcBorders>
              <w:top w:val="nil"/>
              <w:left w:val="nil"/>
              <w:bottom w:val="single" w:sz="4" w:space="0" w:color="auto"/>
              <w:right w:val="nil"/>
            </w:tcBorders>
            <w:shd w:val="clear" w:color="auto" w:fill="auto"/>
            <w:noWrap/>
            <w:vAlign w:val="bottom"/>
            <w:hideMark/>
          </w:tcPr>
          <w:p w14:paraId="5BF5DA6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11</w:t>
            </w:r>
          </w:p>
        </w:tc>
      </w:tr>
      <w:tr w:rsidR="000B791C" w:rsidRPr="000B791C" w14:paraId="55E98523"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19F1ECF"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779" w:type="dxa"/>
            <w:tcBorders>
              <w:top w:val="nil"/>
              <w:left w:val="nil"/>
              <w:bottom w:val="single" w:sz="4" w:space="0" w:color="auto"/>
              <w:right w:val="nil"/>
            </w:tcBorders>
            <w:shd w:val="clear" w:color="000000" w:fill="E8FEE9"/>
            <w:noWrap/>
            <w:vAlign w:val="center"/>
            <w:hideMark/>
          </w:tcPr>
          <w:p w14:paraId="006DE5B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131240E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0.2</w:t>
            </w:r>
          </w:p>
        </w:tc>
        <w:tc>
          <w:tcPr>
            <w:tcW w:w="1569" w:type="dxa"/>
            <w:tcBorders>
              <w:top w:val="nil"/>
              <w:left w:val="nil"/>
              <w:bottom w:val="single" w:sz="4" w:space="0" w:color="auto"/>
              <w:right w:val="nil"/>
            </w:tcBorders>
            <w:shd w:val="clear" w:color="000000" w:fill="E8FEE9"/>
            <w:noWrap/>
            <w:vAlign w:val="bottom"/>
            <w:hideMark/>
          </w:tcPr>
          <w:p w14:paraId="3E51745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400</w:t>
            </w:r>
          </w:p>
        </w:tc>
      </w:tr>
      <w:tr w:rsidR="000B791C" w:rsidRPr="000B791C" w14:paraId="64B9D2AC"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7AA5692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779" w:type="dxa"/>
            <w:tcBorders>
              <w:top w:val="nil"/>
              <w:left w:val="nil"/>
              <w:bottom w:val="single" w:sz="4" w:space="0" w:color="auto"/>
              <w:right w:val="nil"/>
            </w:tcBorders>
            <w:shd w:val="clear" w:color="auto" w:fill="auto"/>
            <w:noWrap/>
            <w:vAlign w:val="center"/>
            <w:hideMark/>
          </w:tcPr>
          <w:p w14:paraId="36C0DEE8"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48.2</w:t>
            </w:r>
          </w:p>
        </w:tc>
        <w:tc>
          <w:tcPr>
            <w:tcW w:w="1000" w:type="dxa"/>
            <w:tcBorders>
              <w:top w:val="nil"/>
              <w:left w:val="nil"/>
              <w:bottom w:val="single" w:sz="4" w:space="0" w:color="auto"/>
              <w:right w:val="nil"/>
            </w:tcBorders>
            <w:shd w:val="clear" w:color="auto" w:fill="auto"/>
            <w:noWrap/>
            <w:vAlign w:val="center"/>
            <w:hideMark/>
          </w:tcPr>
          <w:p w14:paraId="203431F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w:t>
            </w:r>
          </w:p>
        </w:tc>
        <w:tc>
          <w:tcPr>
            <w:tcW w:w="1569" w:type="dxa"/>
            <w:tcBorders>
              <w:top w:val="nil"/>
              <w:left w:val="nil"/>
              <w:bottom w:val="single" w:sz="4" w:space="0" w:color="auto"/>
              <w:right w:val="nil"/>
            </w:tcBorders>
            <w:shd w:val="clear" w:color="auto" w:fill="auto"/>
            <w:noWrap/>
            <w:vAlign w:val="bottom"/>
            <w:hideMark/>
          </w:tcPr>
          <w:p w14:paraId="0D6E8A3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21</w:t>
            </w:r>
          </w:p>
        </w:tc>
      </w:tr>
      <w:tr w:rsidR="000B791C" w:rsidRPr="000B791C" w14:paraId="30EDDD8F"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47D3F72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779" w:type="dxa"/>
            <w:tcBorders>
              <w:top w:val="nil"/>
              <w:left w:val="nil"/>
              <w:bottom w:val="single" w:sz="4" w:space="0" w:color="auto"/>
              <w:right w:val="nil"/>
            </w:tcBorders>
            <w:shd w:val="clear" w:color="000000" w:fill="E8FEE9"/>
            <w:noWrap/>
            <w:vAlign w:val="center"/>
            <w:hideMark/>
          </w:tcPr>
          <w:p w14:paraId="29BCCDB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4.8</w:t>
            </w:r>
          </w:p>
        </w:tc>
        <w:tc>
          <w:tcPr>
            <w:tcW w:w="1000" w:type="dxa"/>
            <w:tcBorders>
              <w:top w:val="nil"/>
              <w:left w:val="nil"/>
              <w:bottom w:val="single" w:sz="4" w:space="0" w:color="auto"/>
              <w:right w:val="nil"/>
            </w:tcBorders>
            <w:shd w:val="clear" w:color="000000" w:fill="E8FEE9"/>
            <w:noWrap/>
            <w:vAlign w:val="center"/>
            <w:hideMark/>
          </w:tcPr>
          <w:p w14:paraId="4B2C8A58"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0.7</w:t>
            </w:r>
          </w:p>
        </w:tc>
        <w:tc>
          <w:tcPr>
            <w:tcW w:w="1569" w:type="dxa"/>
            <w:tcBorders>
              <w:top w:val="nil"/>
              <w:left w:val="nil"/>
              <w:bottom w:val="single" w:sz="4" w:space="0" w:color="auto"/>
              <w:right w:val="nil"/>
            </w:tcBorders>
            <w:shd w:val="clear" w:color="000000" w:fill="E8FEE9"/>
            <w:noWrap/>
            <w:vAlign w:val="bottom"/>
            <w:hideMark/>
          </w:tcPr>
          <w:p w14:paraId="06C439E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586</w:t>
            </w:r>
          </w:p>
        </w:tc>
      </w:tr>
      <w:tr w:rsidR="000B791C" w:rsidRPr="000B791C" w14:paraId="525E7C5E"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305988D9"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779" w:type="dxa"/>
            <w:tcBorders>
              <w:top w:val="nil"/>
              <w:left w:val="nil"/>
              <w:bottom w:val="single" w:sz="4" w:space="0" w:color="auto"/>
              <w:right w:val="nil"/>
            </w:tcBorders>
            <w:shd w:val="clear" w:color="auto" w:fill="auto"/>
            <w:noWrap/>
            <w:vAlign w:val="center"/>
            <w:hideMark/>
          </w:tcPr>
          <w:p w14:paraId="75E3B4C3" w14:textId="1F87FC75"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4,191</w:t>
            </w:r>
          </w:p>
        </w:tc>
        <w:tc>
          <w:tcPr>
            <w:tcW w:w="1000" w:type="dxa"/>
            <w:tcBorders>
              <w:top w:val="nil"/>
              <w:left w:val="nil"/>
              <w:bottom w:val="single" w:sz="4" w:space="0" w:color="auto"/>
              <w:right w:val="nil"/>
            </w:tcBorders>
            <w:shd w:val="clear" w:color="auto" w:fill="auto"/>
            <w:noWrap/>
            <w:vAlign w:val="center"/>
            <w:hideMark/>
          </w:tcPr>
          <w:p w14:paraId="3B9A8511" w14:textId="3EECE3B4"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706</w:t>
            </w:r>
          </w:p>
        </w:tc>
        <w:tc>
          <w:tcPr>
            <w:tcW w:w="1569" w:type="dxa"/>
            <w:tcBorders>
              <w:top w:val="nil"/>
              <w:left w:val="nil"/>
              <w:bottom w:val="single" w:sz="4" w:space="0" w:color="auto"/>
              <w:right w:val="nil"/>
            </w:tcBorders>
            <w:shd w:val="clear" w:color="auto" w:fill="auto"/>
            <w:noWrap/>
            <w:vAlign w:val="bottom"/>
            <w:hideMark/>
          </w:tcPr>
          <w:p w14:paraId="31EFAA2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494</w:t>
            </w:r>
          </w:p>
        </w:tc>
      </w:tr>
      <w:tr w:rsidR="000B791C" w:rsidRPr="000B791C" w14:paraId="64120D11"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0DD60DD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779" w:type="dxa"/>
            <w:tcBorders>
              <w:top w:val="nil"/>
              <w:left w:val="nil"/>
              <w:bottom w:val="single" w:sz="4" w:space="0" w:color="auto"/>
              <w:right w:val="nil"/>
            </w:tcBorders>
            <w:shd w:val="clear" w:color="000000" w:fill="E8FEE9"/>
            <w:noWrap/>
            <w:vAlign w:val="center"/>
            <w:hideMark/>
          </w:tcPr>
          <w:p w14:paraId="67DD0BCD" w14:textId="20E84A02"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3,799</w:t>
            </w:r>
          </w:p>
        </w:tc>
        <w:tc>
          <w:tcPr>
            <w:tcW w:w="1000" w:type="dxa"/>
            <w:tcBorders>
              <w:top w:val="nil"/>
              <w:left w:val="nil"/>
              <w:bottom w:val="single" w:sz="4" w:space="0" w:color="auto"/>
              <w:right w:val="nil"/>
            </w:tcBorders>
            <w:shd w:val="clear" w:color="000000" w:fill="E8FEE9"/>
            <w:noWrap/>
            <w:vAlign w:val="center"/>
            <w:hideMark/>
          </w:tcPr>
          <w:p w14:paraId="261AA180" w14:textId="0A6BEB7F"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1,429</w:t>
            </w:r>
          </w:p>
        </w:tc>
        <w:tc>
          <w:tcPr>
            <w:tcW w:w="1569" w:type="dxa"/>
            <w:tcBorders>
              <w:top w:val="nil"/>
              <w:left w:val="nil"/>
              <w:bottom w:val="single" w:sz="4" w:space="0" w:color="auto"/>
              <w:right w:val="nil"/>
            </w:tcBorders>
            <w:shd w:val="clear" w:color="000000" w:fill="E8FEE9"/>
            <w:noWrap/>
            <w:vAlign w:val="bottom"/>
            <w:hideMark/>
          </w:tcPr>
          <w:p w14:paraId="66B25FC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166</w:t>
            </w:r>
          </w:p>
        </w:tc>
      </w:tr>
      <w:tr w:rsidR="000B791C" w:rsidRPr="000B791C" w14:paraId="7A2FB05B"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238C3DF6"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779" w:type="dxa"/>
            <w:tcBorders>
              <w:top w:val="nil"/>
              <w:left w:val="nil"/>
              <w:bottom w:val="single" w:sz="4" w:space="0" w:color="auto"/>
              <w:right w:val="nil"/>
            </w:tcBorders>
            <w:shd w:val="clear" w:color="auto" w:fill="auto"/>
            <w:noWrap/>
            <w:vAlign w:val="center"/>
            <w:hideMark/>
          </w:tcPr>
          <w:p w14:paraId="5631D8B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2.5</w:t>
            </w:r>
          </w:p>
        </w:tc>
        <w:tc>
          <w:tcPr>
            <w:tcW w:w="1000" w:type="dxa"/>
            <w:tcBorders>
              <w:top w:val="nil"/>
              <w:left w:val="nil"/>
              <w:bottom w:val="single" w:sz="4" w:space="0" w:color="auto"/>
              <w:right w:val="nil"/>
            </w:tcBorders>
            <w:shd w:val="clear" w:color="auto" w:fill="auto"/>
            <w:noWrap/>
            <w:vAlign w:val="center"/>
            <w:hideMark/>
          </w:tcPr>
          <w:p w14:paraId="5153AFD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w:t>
            </w:r>
          </w:p>
        </w:tc>
        <w:tc>
          <w:tcPr>
            <w:tcW w:w="1569" w:type="dxa"/>
            <w:tcBorders>
              <w:top w:val="nil"/>
              <w:left w:val="nil"/>
              <w:bottom w:val="single" w:sz="4" w:space="0" w:color="auto"/>
              <w:right w:val="nil"/>
            </w:tcBorders>
            <w:shd w:val="clear" w:color="auto" w:fill="auto"/>
            <w:noWrap/>
            <w:vAlign w:val="bottom"/>
            <w:hideMark/>
          </w:tcPr>
          <w:p w14:paraId="128E5A6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150</w:t>
            </w:r>
          </w:p>
        </w:tc>
      </w:tr>
      <w:tr w:rsidR="000B791C" w:rsidRPr="000B791C" w14:paraId="15050A2E"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128D8C12"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779" w:type="dxa"/>
            <w:tcBorders>
              <w:top w:val="nil"/>
              <w:left w:val="nil"/>
              <w:bottom w:val="single" w:sz="4" w:space="0" w:color="auto"/>
              <w:right w:val="nil"/>
            </w:tcBorders>
            <w:shd w:val="clear" w:color="000000" w:fill="E8FEE9"/>
            <w:noWrap/>
            <w:vAlign w:val="center"/>
            <w:hideMark/>
          </w:tcPr>
          <w:p w14:paraId="5B434F8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16.6</w:t>
            </w:r>
          </w:p>
        </w:tc>
        <w:tc>
          <w:tcPr>
            <w:tcW w:w="1000" w:type="dxa"/>
            <w:tcBorders>
              <w:top w:val="nil"/>
              <w:left w:val="nil"/>
              <w:bottom w:val="single" w:sz="4" w:space="0" w:color="auto"/>
              <w:right w:val="nil"/>
            </w:tcBorders>
            <w:shd w:val="clear" w:color="000000" w:fill="E8FEE9"/>
            <w:noWrap/>
            <w:vAlign w:val="center"/>
            <w:hideMark/>
          </w:tcPr>
          <w:p w14:paraId="404DCDD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9</w:t>
            </w:r>
          </w:p>
        </w:tc>
        <w:tc>
          <w:tcPr>
            <w:tcW w:w="1569" w:type="dxa"/>
            <w:tcBorders>
              <w:top w:val="nil"/>
              <w:left w:val="nil"/>
              <w:bottom w:val="single" w:sz="4" w:space="0" w:color="auto"/>
              <w:right w:val="nil"/>
            </w:tcBorders>
            <w:shd w:val="clear" w:color="000000" w:fill="E8FEE9"/>
            <w:noWrap/>
            <w:vAlign w:val="bottom"/>
            <w:hideMark/>
          </w:tcPr>
          <w:p w14:paraId="03DECA5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84</w:t>
            </w:r>
          </w:p>
        </w:tc>
      </w:tr>
    </w:tbl>
    <w:p w14:paraId="6A86C7DB" w14:textId="77777777" w:rsidR="000B791C" w:rsidRDefault="000B791C">
      <w:pPr>
        <w:rPr>
          <w:lang w:val="en-US"/>
        </w:rPr>
      </w:pPr>
    </w:p>
    <w:p w14:paraId="09BA0DDF" w14:textId="004D1056" w:rsidR="000B791C" w:rsidRPr="00C25A9D" w:rsidRDefault="000B791C" w:rsidP="00870057">
      <w:pPr>
        <w:spacing w:after="0"/>
        <w:rPr>
          <w:b/>
          <w:bCs/>
          <w:i/>
          <w:iCs/>
          <w:color w:val="008000"/>
          <w:lang w:val="en-US"/>
        </w:rPr>
      </w:pPr>
      <w:r w:rsidRPr="00C25A9D">
        <w:rPr>
          <w:b/>
          <w:bCs/>
          <w:i/>
          <w:iCs/>
          <w:color w:val="008000"/>
          <w:lang w:val="en-US"/>
        </w:rPr>
        <w:t>Age</w:t>
      </w:r>
    </w:p>
    <w:p w14:paraId="2EF1BD58" w14:textId="4AF91DC6" w:rsidR="000B791C" w:rsidRPr="000B791C" w:rsidRDefault="000B791C" w:rsidP="00C13D75">
      <w:pPr>
        <w:spacing w:after="0" w:line="288" w:lineRule="auto"/>
        <w:jc w:val="both"/>
      </w:pPr>
      <w:r w:rsidRPr="000B791C">
        <w:t>While younger people (aged 18-24 for this comparison) are less likely to participate in gambling than older people (here, 55-64</w:t>
      </w:r>
      <w:r w:rsidR="00A9623F">
        <w:t>-</w:t>
      </w:r>
      <w:r w:rsidRPr="000B791C">
        <w:t>year</w:t>
      </w:r>
      <w:r w:rsidR="00A9623F">
        <w:t>-</w:t>
      </w:r>
      <w:r w:rsidRPr="000B791C">
        <w:t>olds), they are more likely to engage in EGM</w:t>
      </w:r>
      <w:r w:rsidR="00103732">
        <w:t xml:space="preserve">, </w:t>
      </w:r>
      <w:r w:rsidRPr="000B791C">
        <w:t>sports</w:t>
      </w:r>
      <w:r w:rsidR="00103732">
        <w:t xml:space="preserve">, </w:t>
      </w:r>
      <w:r w:rsidRPr="000B791C">
        <w:t xml:space="preserve">online and online-only </w:t>
      </w:r>
      <w:r w:rsidR="00103732">
        <w:t>gambling</w:t>
      </w:r>
      <w:r w:rsidRPr="000B791C">
        <w:t xml:space="preserve">. </w:t>
      </w:r>
    </w:p>
    <w:p w14:paraId="0AF9936B" w14:textId="4ED57245" w:rsidR="000B791C" w:rsidRPr="000B791C" w:rsidRDefault="00103732" w:rsidP="00C13D75">
      <w:pPr>
        <w:spacing w:after="0" w:line="288" w:lineRule="auto"/>
        <w:jc w:val="both"/>
      </w:pPr>
      <w:r>
        <w:t xml:space="preserve">Though losses to gambling overall, </w:t>
      </w:r>
      <w:r w:rsidR="00926F1D">
        <w:t>and to</w:t>
      </w:r>
      <w:r>
        <w:t xml:space="preserve"> EGMs, </w:t>
      </w:r>
      <w:r w:rsidR="000B791C" w:rsidRPr="000B791C">
        <w:t>is lower</w:t>
      </w:r>
      <w:r>
        <w:t xml:space="preserve"> among young </w:t>
      </w:r>
      <w:r w:rsidR="00803415">
        <w:t>gamblers</w:t>
      </w:r>
      <w:r>
        <w:t xml:space="preserve">, gambling problems </w:t>
      </w:r>
      <w:r w:rsidR="00926F1D">
        <w:t xml:space="preserve">among younger people </w:t>
      </w:r>
      <w:r>
        <w:t>are more prevalent</w:t>
      </w:r>
      <w:r w:rsidR="000B791C" w:rsidRPr="000B791C">
        <w:t xml:space="preserve"> than </w:t>
      </w:r>
      <w:r w:rsidR="00926F1D">
        <w:t>for</w:t>
      </w:r>
      <w:r w:rsidR="000B791C" w:rsidRPr="000B791C">
        <w:t xml:space="preserve"> older people, at 2.8% vs 1.4% </w:t>
      </w:r>
      <w:r w:rsidR="00A9623F">
        <w:t xml:space="preserve">respectively </w:t>
      </w:r>
      <w:r w:rsidR="000B791C" w:rsidRPr="000B791C">
        <w:t>for problem gambling, and 27% vs 5.5% for gambling problems.</w:t>
      </w:r>
    </w:p>
    <w:tbl>
      <w:tblPr>
        <w:tblW w:w="5900" w:type="dxa"/>
        <w:tblLook w:val="04A0" w:firstRow="1" w:lastRow="0" w:firstColumn="1" w:lastColumn="0" w:noHBand="0" w:noVBand="1"/>
      </w:tblPr>
      <w:tblGrid>
        <w:gridCol w:w="2552"/>
        <w:gridCol w:w="779"/>
        <w:gridCol w:w="1000"/>
        <w:gridCol w:w="1569"/>
      </w:tblGrid>
      <w:tr w:rsidR="00C25A9D" w:rsidRPr="00C25A9D" w14:paraId="5A1120F2" w14:textId="77777777" w:rsidTr="000B791C">
        <w:trPr>
          <w:trHeight w:val="420"/>
        </w:trPr>
        <w:tc>
          <w:tcPr>
            <w:tcW w:w="2552" w:type="dxa"/>
            <w:tcBorders>
              <w:top w:val="nil"/>
              <w:left w:val="nil"/>
              <w:bottom w:val="single" w:sz="4" w:space="0" w:color="auto"/>
              <w:right w:val="nil"/>
            </w:tcBorders>
            <w:shd w:val="clear" w:color="auto" w:fill="auto"/>
            <w:noWrap/>
            <w:vAlign w:val="center"/>
            <w:hideMark/>
          </w:tcPr>
          <w:p w14:paraId="0A98CF9A"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779" w:type="dxa"/>
            <w:tcBorders>
              <w:top w:val="nil"/>
              <w:left w:val="nil"/>
              <w:bottom w:val="single" w:sz="4" w:space="0" w:color="auto"/>
              <w:right w:val="nil"/>
            </w:tcBorders>
            <w:shd w:val="clear" w:color="auto" w:fill="auto"/>
            <w:noWrap/>
            <w:vAlign w:val="center"/>
            <w:hideMark/>
          </w:tcPr>
          <w:p w14:paraId="236100CB"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18-24</w:t>
            </w:r>
          </w:p>
        </w:tc>
        <w:tc>
          <w:tcPr>
            <w:tcW w:w="1000" w:type="dxa"/>
            <w:tcBorders>
              <w:top w:val="nil"/>
              <w:left w:val="nil"/>
              <w:bottom w:val="single" w:sz="4" w:space="0" w:color="auto"/>
              <w:right w:val="nil"/>
            </w:tcBorders>
            <w:shd w:val="clear" w:color="auto" w:fill="auto"/>
            <w:noWrap/>
            <w:vAlign w:val="center"/>
            <w:hideMark/>
          </w:tcPr>
          <w:p w14:paraId="5B6827EA"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55-64</w:t>
            </w:r>
          </w:p>
        </w:tc>
        <w:tc>
          <w:tcPr>
            <w:tcW w:w="1569" w:type="dxa"/>
            <w:tcBorders>
              <w:top w:val="nil"/>
              <w:left w:val="nil"/>
              <w:bottom w:val="single" w:sz="4" w:space="0" w:color="auto"/>
              <w:right w:val="nil"/>
            </w:tcBorders>
            <w:shd w:val="clear" w:color="auto" w:fill="auto"/>
            <w:vAlign w:val="center"/>
            <w:hideMark/>
          </w:tcPr>
          <w:p w14:paraId="45D01061"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 xml:space="preserve">18-24 </w:t>
            </w:r>
            <w:proofErr w:type="spellStart"/>
            <w:r w:rsidRPr="00C25A9D">
              <w:rPr>
                <w:rFonts w:ascii="Aptos Narrow" w:eastAsia="Times New Roman" w:hAnsi="Aptos Narrow" w:cs="Times New Roman"/>
                <w:color w:val="008000"/>
                <w:kern w:val="0"/>
                <w:sz w:val="16"/>
                <w:szCs w:val="16"/>
                <w:lang w:eastAsia="en-AU"/>
                <w14:ligatures w14:val="none"/>
              </w:rPr>
              <w:t>y.o</w:t>
            </w:r>
            <w:proofErr w:type="spellEnd"/>
            <w:r w:rsidRPr="00C25A9D">
              <w:rPr>
                <w:rFonts w:ascii="Aptos Narrow" w:eastAsia="Times New Roman" w:hAnsi="Aptos Narrow" w:cs="Times New Roman"/>
                <w:color w:val="008000"/>
                <w:kern w:val="0"/>
                <w:sz w:val="16"/>
                <w:szCs w:val="16"/>
                <w:lang w:eastAsia="en-AU"/>
                <w14:ligatures w14:val="none"/>
              </w:rPr>
              <w:t xml:space="preserve">.: % higher or lower than 55-64 </w:t>
            </w:r>
            <w:proofErr w:type="spellStart"/>
            <w:r w:rsidRPr="00C25A9D">
              <w:rPr>
                <w:rFonts w:ascii="Aptos Narrow" w:eastAsia="Times New Roman" w:hAnsi="Aptos Narrow" w:cs="Times New Roman"/>
                <w:color w:val="008000"/>
                <w:kern w:val="0"/>
                <w:sz w:val="16"/>
                <w:szCs w:val="16"/>
                <w:lang w:eastAsia="en-AU"/>
                <w14:ligatures w14:val="none"/>
              </w:rPr>
              <w:t>y.o</w:t>
            </w:r>
            <w:proofErr w:type="spellEnd"/>
            <w:r w:rsidRPr="00C25A9D">
              <w:rPr>
                <w:rFonts w:ascii="Aptos Narrow" w:eastAsia="Times New Roman" w:hAnsi="Aptos Narrow" w:cs="Times New Roman"/>
                <w:color w:val="008000"/>
                <w:kern w:val="0"/>
                <w:sz w:val="16"/>
                <w:szCs w:val="16"/>
                <w:lang w:eastAsia="en-AU"/>
                <w14:ligatures w14:val="none"/>
              </w:rPr>
              <w:t>.</w:t>
            </w:r>
          </w:p>
        </w:tc>
      </w:tr>
      <w:tr w:rsidR="000B791C" w:rsidRPr="000B791C" w14:paraId="3BB7BAC7"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5E29B73C"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779" w:type="dxa"/>
            <w:tcBorders>
              <w:top w:val="nil"/>
              <w:left w:val="nil"/>
              <w:bottom w:val="single" w:sz="4" w:space="0" w:color="auto"/>
              <w:right w:val="nil"/>
            </w:tcBorders>
            <w:shd w:val="clear" w:color="000000" w:fill="E8FEE9"/>
            <w:noWrap/>
            <w:vAlign w:val="center"/>
            <w:hideMark/>
          </w:tcPr>
          <w:p w14:paraId="0167520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40.0</w:t>
            </w:r>
          </w:p>
        </w:tc>
        <w:tc>
          <w:tcPr>
            <w:tcW w:w="1000" w:type="dxa"/>
            <w:tcBorders>
              <w:top w:val="nil"/>
              <w:left w:val="nil"/>
              <w:bottom w:val="single" w:sz="4" w:space="0" w:color="auto"/>
              <w:right w:val="nil"/>
            </w:tcBorders>
            <w:shd w:val="clear" w:color="000000" w:fill="E8FEE9"/>
            <w:noWrap/>
            <w:vAlign w:val="center"/>
            <w:hideMark/>
          </w:tcPr>
          <w:p w14:paraId="73C309E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62</w:t>
            </w:r>
          </w:p>
        </w:tc>
        <w:tc>
          <w:tcPr>
            <w:tcW w:w="1569" w:type="dxa"/>
            <w:tcBorders>
              <w:top w:val="nil"/>
              <w:left w:val="nil"/>
              <w:bottom w:val="single" w:sz="4" w:space="0" w:color="auto"/>
              <w:right w:val="nil"/>
            </w:tcBorders>
            <w:shd w:val="clear" w:color="000000" w:fill="E8FEE9"/>
            <w:noWrap/>
            <w:vAlign w:val="bottom"/>
            <w:hideMark/>
          </w:tcPr>
          <w:p w14:paraId="1C6076B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-35</w:t>
            </w:r>
          </w:p>
        </w:tc>
      </w:tr>
      <w:tr w:rsidR="000B791C" w:rsidRPr="000B791C" w14:paraId="086D990E"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12852BC7"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779" w:type="dxa"/>
            <w:tcBorders>
              <w:top w:val="nil"/>
              <w:left w:val="nil"/>
              <w:bottom w:val="single" w:sz="4" w:space="0" w:color="auto"/>
              <w:right w:val="nil"/>
            </w:tcBorders>
            <w:shd w:val="clear" w:color="auto" w:fill="auto"/>
            <w:noWrap/>
            <w:vAlign w:val="center"/>
            <w:hideMark/>
          </w:tcPr>
          <w:p w14:paraId="19ED2FB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3B4C185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0.6</w:t>
            </w:r>
          </w:p>
        </w:tc>
        <w:tc>
          <w:tcPr>
            <w:tcW w:w="1569" w:type="dxa"/>
            <w:tcBorders>
              <w:top w:val="nil"/>
              <w:left w:val="nil"/>
              <w:bottom w:val="single" w:sz="4" w:space="0" w:color="auto"/>
              <w:right w:val="nil"/>
            </w:tcBorders>
            <w:shd w:val="clear" w:color="auto" w:fill="auto"/>
            <w:noWrap/>
            <w:vAlign w:val="bottom"/>
            <w:hideMark/>
          </w:tcPr>
          <w:p w14:paraId="714F409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67</w:t>
            </w:r>
          </w:p>
        </w:tc>
      </w:tr>
      <w:tr w:rsidR="000B791C" w:rsidRPr="000B791C" w14:paraId="457BAD52"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6F956A8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779" w:type="dxa"/>
            <w:tcBorders>
              <w:top w:val="nil"/>
              <w:left w:val="nil"/>
              <w:bottom w:val="single" w:sz="4" w:space="0" w:color="auto"/>
              <w:right w:val="nil"/>
            </w:tcBorders>
            <w:shd w:val="clear" w:color="000000" w:fill="E8FEE9"/>
            <w:noWrap/>
            <w:vAlign w:val="center"/>
            <w:hideMark/>
          </w:tcPr>
          <w:p w14:paraId="5225937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069719F8"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0.2</w:t>
            </w:r>
          </w:p>
        </w:tc>
        <w:tc>
          <w:tcPr>
            <w:tcW w:w="1569" w:type="dxa"/>
            <w:tcBorders>
              <w:top w:val="nil"/>
              <w:left w:val="nil"/>
              <w:bottom w:val="single" w:sz="4" w:space="0" w:color="auto"/>
              <w:right w:val="nil"/>
            </w:tcBorders>
            <w:shd w:val="clear" w:color="000000" w:fill="E8FEE9"/>
            <w:noWrap/>
            <w:vAlign w:val="bottom"/>
            <w:hideMark/>
          </w:tcPr>
          <w:p w14:paraId="6DCBFB7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400</w:t>
            </w:r>
          </w:p>
        </w:tc>
      </w:tr>
      <w:tr w:rsidR="000B791C" w:rsidRPr="000B791C" w14:paraId="34F48241"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34B50492"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779" w:type="dxa"/>
            <w:tcBorders>
              <w:top w:val="nil"/>
              <w:left w:val="nil"/>
              <w:bottom w:val="single" w:sz="4" w:space="0" w:color="auto"/>
              <w:right w:val="nil"/>
            </w:tcBorders>
            <w:shd w:val="clear" w:color="auto" w:fill="auto"/>
            <w:noWrap/>
            <w:vAlign w:val="center"/>
            <w:hideMark/>
          </w:tcPr>
          <w:p w14:paraId="1F7D307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54.0</w:t>
            </w:r>
          </w:p>
        </w:tc>
        <w:tc>
          <w:tcPr>
            <w:tcW w:w="1000" w:type="dxa"/>
            <w:tcBorders>
              <w:top w:val="nil"/>
              <w:left w:val="nil"/>
              <w:bottom w:val="single" w:sz="4" w:space="0" w:color="auto"/>
              <w:right w:val="nil"/>
            </w:tcBorders>
            <w:shd w:val="clear" w:color="auto" w:fill="auto"/>
            <w:noWrap/>
            <w:vAlign w:val="center"/>
            <w:hideMark/>
          </w:tcPr>
          <w:p w14:paraId="20B89CB2"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39</w:t>
            </w:r>
          </w:p>
        </w:tc>
        <w:tc>
          <w:tcPr>
            <w:tcW w:w="1569" w:type="dxa"/>
            <w:tcBorders>
              <w:top w:val="nil"/>
              <w:left w:val="nil"/>
              <w:bottom w:val="single" w:sz="4" w:space="0" w:color="auto"/>
              <w:right w:val="nil"/>
            </w:tcBorders>
            <w:shd w:val="clear" w:color="auto" w:fill="auto"/>
            <w:noWrap/>
            <w:vAlign w:val="bottom"/>
            <w:hideMark/>
          </w:tcPr>
          <w:p w14:paraId="6560283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38</w:t>
            </w:r>
          </w:p>
        </w:tc>
      </w:tr>
      <w:tr w:rsidR="000B791C" w:rsidRPr="000B791C" w14:paraId="662AF1AE"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2335C624"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779" w:type="dxa"/>
            <w:tcBorders>
              <w:top w:val="nil"/>
              <w:left w:val="nil"/>
              <w:bottom w:val="single" w:sz="4" w:space="0" w:color="auto"/>
              <w:right w:val="nil"/>
            </w:tcBorders>
            <w:shd w:val="clear" w:color="000000" w:fill="E8FEE9"/>
            <w:noWrap/>
            <w:vAlign w:val="center"/>
            <w:hideMark/>
          </w:tcPr>
          <w:p w14:paraId="60FF145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9.7</w:t>
            </w:r>
          </w:p>
        </w:tc>
        <w:tc>
          <w:tcPr>
            <w:tcW w:w="1000" w:type="dxa"/>
            <w:tcBorders>
              <w:top w:val="nil"/>
              <w:left w:val="nil"/>
              <w:bottom w:val="single" w:sz="4" w:space="0" w:color="auto"/>
              <w:right w:val="nil"/>
            </w:tcBorders>
            <w:shd w:val="clear" w:color="000000" w:fill="E8FEE9"/>
            <w:noWrap/>
            <w:vAlign w:val="center"/>
            <w:hideMark/>
          </w:tcPr>
          <w:p w14:paraId="34BC2F7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0.5</w:t>
            </w:r>
          </w:p>
        </w:tc>
        <w:tc>
          <w:tcPr>
            <w:tcW w:w="1569" w:type="dxa"/>
            <w:tcBorders>
              <w:top w:val="nil"/>
              <w:left w:val="nil"/>
              <w:bottom w:val="single" w:sz="4" w:space="0" w:color="auto"/>
              <w:right w:val="nil"/>
            </w:tcBorders>
            <w:shd w:val="clear" w:color="000000" w:fill="E8FEE9"/>
            <w:noWrap/>
            <w:vAlign w:val="bottom"/>
            <w:hideMark/>
          </w:tcPr>
          <w:p w14:paraId="3275A44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1840</w:t>
            </w:r>
          </w:p>
        </w:tc>
      </w:tr>
      <w:tr w:rsidR="000B791C" w:rsidRPr="000B791C" w14:paraId="181BBE67"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18869687"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779" w:type="dxa"/>
            <w:tcBorders>
              <w:top w:val="nil"/>
              <w:left w:val="nil"/>
              <w:bottom w:val="single" w:sz="4" w:space="0" w:color="auto"/>
              <w:right w:val="nil"/>
            </w:tcBorders>
            <w:shd w:val="clear" w:color="auto" w:fill="auto"/>
            <w:noWrap/>
            <w:vAlign w:val="center"/>
            <w:hideMark/>
          </w:tcPr>
          <w:p w14:paraId="7E49653F" w14:textId="69362686"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3,646</w:t>
            </w:r>
          </w:p>
        </w:tc>
        <w:tc>
          <w:tcPr>
            <w:tcW w:w="1000" w:type="dxa"/>
            <w:tcBorders>
              <w:top w:val="nil"/>
              <w:left w:val="nil"/>
              <w:bottom w:val="single" w:sz="4" w:space="0" w:color="auto"/>
              <w:right w:val="nil"/>
            </w:tcBorders>
            <w:shd w:val="clear" w:color="auto" w:fill="auto"/>
            <w:noWrap/>
            <w:vAlign w:val="center"/>
            <w:hideMark/>
          </w:tcPr>
          <w:p w14:paraId="60BE2888" w14:textId="5D70D625"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4,891</w:t>
            </w:r>
          </w:p>
        </w:tc>
        <w:tc>
          <w:tcPr>
            <w:tcW w:w="1569" w:type="dxa"/>
            <w:tcBorders>
              <w:top w:val="nil"/>
              <w:left w:val="nil"/>
              <w:bottom w:val="single" w:sz="4" w:space="0" w:color="auto"/>
              <w:right w:val="nil"/>
            </w:tcBorders>
            <w:shd w:val="clear" w:color="auto" w:fill="auto"/>
            <w:noWrap/>
            <w:vAlign w:val="bottom"/>
            <w:hideMark/>
          </w:tcPr>
          <w:p w14:paraId="7A25D2F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-25</w:t>
            </w:r>
          </w:p>
        </w:tc>
      </w:tr>
      <w:tr w:rsidR="000B791C" w:rsidRPr="000B791C" w14:paraId="3F73BD9E"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B643960"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779" w:type="dxa"/>
            <w:tcBorders>
              <w:top w:val="nil"/>
              <w:left w:val="nil"/>
              <w:bottom w:val="single" w:sz="4" w:space="0" w:color="auto"/>
              <w:right w:val="nil"/>
            </w:tcBorders>
            <w:shd w:val="clear" w:color="000000" w:fill="E8FEE9"/>
            <w:noWrap/>
            <w:vAlign w:val="center"/>
            <w:hideMark/>
          </w:tcPr>
          <w:p w14:paraId="4EFA0E69" w14:textId="4CD41FC2"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1,390</w:t>
            </w:r>
          </w:p>
        </w:tc>
        <w:tc>
          <w:tcPr>
            <w:tcW w:w="1000" w:type="dxa"/>
            <w:tcBorders>
              <w:top w:val="nil"/>
              <w:left w:val="nil"/>
              <w:bottom w:val="single" w:sz="4" w:space="0" w:color="auto"/>
              <w:right w:val="nil"/>
            </w:tcBorders>
            <w:shd w:val="clear" w:color="000000" w:fill="E8FEE9"/>
            <w:noWrap/>
            <w:vAlign w:val="center"/>
            <w:hideMark/>
          </w:tcPr>
          <w:p w14:paraId="6A07B9C5" w14:textId="00D338E9"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4,286</w:t>
            </w:r>
          </w:p>
        </w:tc>
        <w:tc>
          <w:tcPr>
            <w:tcW w:w="1569" w:type="dxa"/>
            <w:tcBorders>
              <w:top w:val="nil"/>
              <w:left w:val="nil"/>
              <w:bottom w:val="single" w:sz="4" w:space="0" w:color="auto"/>
              <w:right w:val="nil"/>
            </w:tcBorders>
            <w:shd w:val="clear" w:color="000000" w:fill="E8FEE9"/>
            <w:noWrap/>
            <w:vAlign w:val="bottom"/>
            <w:hideMark/>
          </w:tcPr>
          <w:p w14:paraId="456E9C6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-68</w:t>
            </w:r>
          </w:p>
        </w:tc>
      </w:tr>
      <w:tr w:rsidR="000B791C" w:rsidRPr="000B791C" w14:paraId="37E856EE"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563E1CD4"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779" w:type="dxa"/>
            <w:tcBorders>
              <w:top w:val="nil"/>
              <w:left w:val="nil"/>
              <w:bottom w:val="single" w:sz="4" w:space="0" w:color="auto"/>
              <w:right w:val="nil"/>
            </w:tcBorders>
            <w:shd w:val="clear" w:color="auto" w:fill="auto"/>
            <w:noWrap/>
            <w:vAlign w:val="center"/>
            <w:hideMark/>
          </w:tcPr>
          <w:p w14:paraId="27E4E75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2.8</w:t>
            </w:r>
          </w:p>
        </w:tc>
        <w:tc>
          <w:tcPr>
            <w:tcW w:w="1000" w:type="dxa"/>
            <w:tcBorders>
              <w:top w:val="nil"/>
              <w:left w:val="nil"/>
              <w:bottom w:val="single" w:sz="4" w:space="0" w:color="auto"/>
              <w:right w:val="nil"/>
            </w:tcBorders>
            <w:shd w:val="clear" w:color="auto" w:fill="auto"/>
            <w:noWrap/>
            <w:vAlign w:val="center"/>
            <w:hideMark/>
          </w:tcPr>
          <w:p w14:paraId="138B541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1.4</w:t>
            </w:r>
          </w:p>
        </w:tc>
        <w:tc>
          <w:tcPr>
            <w:tcW w:w="1569" w:type="dxa"/>
            <w:tcBorders>
              <w:top w:val="nil"/>
              <w:left w:val="nil"/>
              <w:bottom w:val="single" w:sz="4" w:space="0" w:color="auto"/>
              <w:right w:val="nil"/>
            </w:tcBorders>
            <w:shd w:val="clear" w:color="auto" w:fill="auto"/>
            <w:noWrap/>
            <w:vAlign w:val="bottom"/>
            <w:hideMark/>
          </w:tcPr>
          <w:p w14:paraId="6325B04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100</w:t>
            </w:r>
          </w:p>
        </w:tc>
      </w:tr>
      <w:tr w:rsidR="000B791C" w:rsidRPr="000B791C" w14:paraId="451F3B54"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675BB8B5"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779" w:type="dxa"/>
            <w:tcBorders>
              <w:top w:val="nil"/>
              <w:left w:val="nil"/>
              <w:bottom w:val="single" w:sz="4" w:space="0" w:color="auto"/>
              <w:right w:val="nil"/>
            </w:tcBorders>
            <w:shd w:val="clear" w:color="000000" w:fill="E8FEE9"/>
            <w:noWrap/>
            <w:vAlign w:val="center"/>
            <w:hideMark/>
          </w:tcPr>
          <w:p w14:paraId="44C9E63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27.0</w:t>
            </w:r>
          </w:p>
        </w:tc>
        <w:tc>
          <w:tcPr>
            <w:tcW w:w="1000" w:type="dxa"/>
            <w:tcBorders>
              <w:top w:val="nil"/>
              <w:left w:val="nil"/>
              <w:bottom w:val="single" w:sz="4" w:space="0" w:color="auto"/>
              <w:right w:val="nil"/>
            </w:tcBorders>
            <w:shd w:val="clear" w:color="000000" w:fill="E8FEE9"/>
            <w:noWrap/>
            <w:vAlign w:val="center"/>
            <w:hideMark/>
          </w:tcPr>
          <w:p w14:paraId="1091025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5.5</w:t>
            </w:r>
          </w:p>
        </w:tc>
        <w:tc>
          <w:tcPr>
            <w:tcW w:w="1569" w:type="dxa"/>
            <w:tcBorders>
              <w:top w:val="nil"/>
              <w:left w:val="nil"/>
              <w:bottom w:val="single" w:sz="4" w:space="0" w:color="auto"/>
              <w:right w:val="nil"/>
            </w:tcBorders>
            <w:shd w:val="clear" w:color="000000" w:fill="E8FEE9"/>
            <w:noWrap/>
            <w:vAlign w:val="bottom"/>
            <w:hideMark/>
          </w:tcPr>
          <w:p w14:paraId="2613152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391</w:t>
            </w:r>
          </w:p>
        </w:tc>
      </w:tr>
    </w:tbl>
    <w:p w14:paraId="4E9F6E52" w14:textId="77777777" w:rsidR="000B791C" w:rsidRDefault="000B791C" w:rsidP="00C25A9D">
      <w:pPr>
        <w:spacing w:after="0"/>
        <w:rPr>
          <w:lang w:val="en-US"/>
        </w:rPr>
      </w:pPr>
    </w:p>
    <w:p w14:paraId="15487DFF" w14:textId="06ED369E" w:rsidR="000B791C" w:rsidRPr="00C25A9D" w:rsidRDefault="000B791C" w:rsidP="00870057">
      <w:pPr>
        <w:spacing w:after="0"/>
        <w:rPr>
          <w:b/>
          <w:bCs/>
          <w:i/>
          <w:iCs/>
          <w:color w:val="008000"/>
          <w:lang w:val="en-US"/>
        </w:rPr>
      </w:pPr>
      <w:r w:rsidRPr="00C25A9D">
        <w:rPr>
          <w:b/>
          <w:bCs/>
          <w:i/>
          <w:iCs/>
          <w:color w:val="008000"/>
          <w:lang w:val="en-US"/>
        </w:rPr>
        <w:t>Educational Attainment</w:t>
      </w:r>
    </w:p>
    <w:p w14:paraId="69BF152F" w14:textId="19A7E019" w:rsidR="000B791C" w:rsidRPr="000B791C" w:rsidRDefault="000B791C" w:rsidP="00C13D75">
      <w:pPr>
        <w:spacing w:after="0" w:line="288" w:lineRule="auto"/>
        <w:jc w:val="both"/>
      </w:pPr>
      <w:r w:rsidRPr="000B791C">
        <w:t>People with limited formal education (less than year 12) are more likely to participate in gambling overall and on EGMs, through less likely to engage in online gambling</w:t>
      </w:r>
      <w:r w:rsidR="00926F1D">
        <w:t>; and they</w:t>
      </w:r>
      <w:r w:rsidRPr="000B791C">
        <w:t xml:space="preserve"> have a similar level of participation in sports gambling and in online-only </w:t>
      </w:r>
      <w:r w:rsidR="00103732">
        <w:t>gambling</w:t>
      </w:r>
      <w:r w:rsidRPr="000B791C">
        <w:t xml:space="preserve">. </w:t>
      </w:r>
      <w:r w:rsidR="00803415">
        <w:t>L</w:t>
      </w:r>
      <w:r w:rsidR="00103732">
        <w:t xml:space="preserve">osses </w:t>
      </w:r>
      <w:r w:rsidR="00A9623F">
        <w:t xml:space="preserve">among </w:t>
      </w:r>
      <w:r w:rsidR="00803415">
        <w:t>gamblers</w:t>
      </w:r>
      <w:r w:rsidR="00A9623F">
        <w:t xml:space="preserve"> of limited education </w:t>
      </w:r>
      <w:r w:rsidR="00103732">
        <w:t xml:space="preserve">are about half </w:t>
      </w:r>
      <w:r w:rsidR="00803415">
        <w:t>of those for people</w:t>
      </w:r>
      <w:r w:rsidRPr="000B791C">
        <w:t xml:space="preserve"> with a tertiary education - though higher for EGM gambling.</w:t>
      </w:r>
    </w:p>
    <w:p w14:paraId="629C9C3D" w14:textId="386135C0" w:rsidR="00C25A9D" w:rsidRDefault="000B791C" w:rsidP="00C13D75">
      <w:pPr>
        <w:spacing w:after="0" w:line="288" w:lineRule="auto"/>
        <w:jc w:val="both"/>
      </w:pPr>
      <w:r w:rsidRPr="000B791C">
        <w:t xml:space="preserve">At 2.8%, problem gambling is more prevalent among </w:t>
      </w:r>
      <w:r w:rsidR="00803415">
        <w:t>gamblers</w:t>
      </w:r>
      <w:r w:rsidRPr="000B791C">
        <w:t xml:space="preserve"> with limited education than </w:t>
      </w:r>
      <w:r w:rsidR="00103732">
        <w:t>for</w:t>
      </w:r>
      <w:r w:rsidRPr="000B791C">
        <w:t xml:space="preserve"> those with tertiary education (0.8%), though rates of gambling problems are similar.</w:t>
      </w:r>
    </w:p>
    <w:p w14:paraId="0457EA2F" w14:textId="77777777" w:rsidR="00C25A9D" w:rsidRDefault="00C25A9D">
      <w:r>
        <w:br w:type="page"/>
      </w:r>
    </w:p>
    <w:p w14:paraId="7F5D465C" w14:textId="77777777" w:rsidR="000B791C" w:rsidRPr="00C25A9D" w:rsidRDefault="000B791C" w:rsidP="00C13D75">
      <w:pPr>
        <w:spacing w:after="0" w:line="288" w:lineRule="auto"/>
        <w:jc w:val="both"/>
        <w:rPr>
          <w:sz w:val="8"/>
          <w:szCs w:val="8"/>
        </w:rPr>
      </w:pPr>
    </w:p>
    <w:tbl>
      <w:tblPr>
        <w:tblW w:w="5900" w:type="dxa"/>
        <w:tblLook w:val="04A0" w:firstRow="1" w:lastRow="0" w:firstColumn="1" w:lastColumn="0" w:noHBand="0" w:noVBand="1"/>
      </w:tblPr>
      <w:tblGrid>
        <w:gridCol w:w="2694"/>
        <w:gridCol w:w="664"/>
        <w:gridCol w:w="1000"/>
        <w:gridCol w:w="1569"/>
      </w:tblGrid>
      <w:tr w:rsidR="00C25A9D" w:rsidRPr="00C25A9D" w14:paraId="169C8B1C" w14:textId="77777777" w:rsidTr="000B791C">
        <w:trPr>
          <w:trHeight w:val="420"/>
        </w:trPr>
        <w:tc>
          <w:tcPr>
            <w:tcW w:w="2694" w:type="dxa"/>
            <w:tcBorders>
              <w:top w:val="nil"/>
              <w:left w:val="nil"/>
              <w:bottom w:val="single" w:sz="4" w:space="0" w:color="auto"/>
              <w:right w:val="nil"/>
            </w:tcBorders>
            <w:shd w:val="clear" w:color="auto" w:fill="auto"/>
            <w:noWrap/>
            <w:vAlign w:val="center"/>
            <w:hideMark/>
          </w:tcPr>
          <w:p w14:paraId="7930C3E5"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637" w:type="dxa"/>
            <w:tcBorders>
              <w:top w:val="nil"/>
              <w:left w:val="nil"/>
              <w:bottom w:val="single" w:sz="4" w:space="0" w:color="auto"/>
              <w:right w:val="nil"/>
            </w:tcBorders>
            <w:shd w:val="clear" w:color="auto" w:fill="auto"/>
            <w:noWrap/>
            <w:vAlign w:val="center"/>
            <w:hideMark/>
          </w:tcPr>
          <w:p w14:paraId="5ED831E8"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less than yr 12</w:t>
            </w:r>
          </w:p>
        </w:tc>
        <w:tc>
          <w:tcPr>
            <w:tcW w:w="1000" w:type="dxa"/>
            <w:tcBorders>
              <w:top w:val="nil"/>
              <w:left w:val="nil"/>
              <w:bottom w:val="single" w:sz="4" w:space="0" w:color="auto"/>
              <w:right w:val="nil"/>
            </w:tcBorders>
            <w:shd w:val="clear" w:color="auto" w:fill="auto"/>
            <w:noWrap/>
            <w:vAlign w:val="center"/>
            <w:hideMark/>
          </w:tcPr>
          <w:p w14:paraId="26FF8C17"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Tertiary</w:t>
            </w:r>
          </w:p>
        </w:tc>
        <w:tc>
          <w:tcPr>
            <w:tcW w:w="1569" w:type="dxa"/>
            <w:tcBorders>
              <w:top w:val="nil"/>
              <w:left w:val="nil"/>
              <w:bottom w:val="single" w:sz="4" w:space="0" w:color="auto"/>
              <w:right w:val="nil"/>
            </w:tcBorders>
            <w:shd w:val="clear" w:color="auto" w:fill="auto"/>
            <w:vAlign w:val="center"/>
            <w:hideMark/>
          </w:tcPr>
          <w:p w14:paraId="34AE1D08"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&lt; Yr 12: % higher or lower than tertiary</w:t>
            </w:r>
          </w:p>
        </w:tc>
      </w:tr>
      <w:tr w:rsidR="000B791C" w:rsidRPr="000B791C" w14:paraId="68697DDA"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0E91646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637" w:type="dxa"/>
            <w:tcBorders>
              <w:top w:val="nil"/>
              <w:left w:val="nil"/>
              <w:bottom w:val="single" w:sz="4" w:space="0" w:color="auto"/>
              <w:right w:val="nil"/>
            </w:tcBorders>
            <w:shd w:val="clear" w:color="000000" w:fill="E8FEE9"/>
            <w:noWrap/>
            <w:vAlign w:val="center"/>
            <w:hideMark/>
          </w:tcPr>
          <w:p w14:paraId="7AC6665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61.0</w:t>
            </w:r>
          </w:p>
        </w:tc>
        <w:tc>
          <w:tcPr>
            <w:tcW w:w="1000" w:type="dxa"/>
            <w:tcBorders>
              <w:top w:val="nil"/>
              <w:left w:val="nil"/>
              <w:bottom w:val="single" w:sz="4" w:space="0" w:color="auto"/>
              <w:right w:val="nil"/>
            </w:tcBorders>
            <w:shd w:val="clear" w:color="000000" w:fill="E8FEE9"/>
            <w:noWrap/>
            <w:vAlign w:val="center"/>
            <w:hideMark/>
          </w:tcPr>
          <w:p w14:paraId="2851E38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46</w:t>
            </w:r>
          </w:p>
        </w:tc>
        <w:tc>
          <w:tcPr>
            <w:tcW w:w="1569" w:type="dxa"/>
            <w:tcBorders>
              <w:top w:val="nil"/>
              <w:left w:val="nil"/>
              <w:bottom w:val="single" w:sz="4" w:space="0" w:color="auto"/>
              <w:right w:val="nil"/>
            </w:tcBorders>
            <w:shd w:val="clear" w:color="000000" w:fill="E8FEE9"/>
            <w:noWrap/>
            <w:vAlign w:val="bottom"/>
            <w:hideMark/>
          </w:tcPr>
          <w:p w14:paraId="6892F262"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33</w:t>
            </w:r>
          </w:p>
        </w:tc>
      </w:tr>
      <w:tr w:rsidR="000B791C" w:rsidRPr="000B791C" w14:paraId="6F1724C3" w14:textId="77777777" w:rsidTr="000B791C">
        <w:trPr>
          <w:trHeight w:val="290"/>
        </w:trPr>
        <w:tc>
          <w:tcPr>
            <w:tcW w:w="2694" w:type="dxa"/>
            <w:tcBorders>
              <w:top w:val="nil"/>
              <w:left w:val="nil"/>
              <w:bottom w:val="single" w:sz="4" w:space="0" w:color="auto"/>
              <w:right w:val="nil"/>
            </w:tcBorders>
            <w:shd w:val="clear" w:color="auto" w:fill="auto"/>
            <w:noWrap/>
            <w:vAlign w:val="center"/>
            <w:hideMark/>
          </w:tcPr>
          <w:p w14:paraId="320E15BF"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637" w:type="dxa"/>
            <w:tcBorders>
              <w:top w:val="nil"/>
              <w:left w:val="nil"/>
              <w:bottom w:val="single" w:sz="4" w:space="0" w:color="auto"/>
              <w:right w:val="nil"/>
            </w:tcBorders>
            <w:shd w:val="clear" w:color="auto" w:fill="auto"/>
            <w:noWrap/>
            <w:vAlign w:val="center"/>
            <w:hideMark/>
          </w:tcPr>
          <w:p w14:paraId="61651C6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7EFF50F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0.3</w:t>
            </w:r>
          </w:p>
        </w:tc>
        <w:tc>
          <w:tcPr>
            <w:tcW w:w="1569" w:type="dxa"/>
            <w:tcBorders>
              <w:top w:val="nil"/>
              <w:left w:val="nil"/>
              <w:bottom w:val="single" w:sz="4" w:space="0" w:color="auto"/>
              <w:right w:val="nil"/>
            </w:tcBorders>
            <w:shd w:val="clear" w:color="auto" w:fill="auto"/>
            <w:noWrap/>
            <w:vAlign w:val="bottom"/>
            <w:hideMark/>
          </w:tcPr>
          <w:p w14:paraId="23D2F53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233</w:t>
            </w:r>
          </w:p>
        </w:tc>
      </w:tr>
      <w:tr w:rsidR="000B791C" w:rsidRPr="000B791C" w14:paraId="7AD66141"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65EA337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637" w:type="dxa"/>
            <w:tcBorders>
              <w:top w:val="nil"/>
              <w:left w:val="nil"/>
              <w:bottom w:val="single" w:sz="4" w:space="0" w:color="auto"/>
              <w:right w:val="nil"/>
            </w:tcBorders>
            <w:shd w:val="clear" w:color="000000" w:fill="E8FEE9"/>
            <w:noWrap/>
            <w:vAlign w:val="center"/>
            <w:hideMark/>
          </w:tcPr>
          <w:p w14:paraId="64C63CE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241BDC8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w:t>
            </w:r>
          </w:p>
        </w:tc>
        <w:tc>
          <w:tcPr>
            <w:tcW w:w="1569" w:type="dxa"/>
            <w:tcBorders>
              <w:top w:val="nil"/>
              <w:left w:val="nil"/>
              <w:bottom w:val="single" w:sz="4" w:space="0" w:color="auto"/>
              <w:right w:val="nil"/>
            </w:tcBorders>
            <w:shd w:val="clear" w:color="000000" w:fill="E8FEE9"/>
            <w:noWrap/>
            <w:vAlign w:val="bottom"/>
            <w:hideMark/>
          </w:tcPr>
          <w:p w14:paraId="5BE8537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w:t>
            </w:r>
          </w:p>
        </w:tc>
      </w:tr>
      <w:tr w:rsidR="000B791C" w:rsidRPr="000B791C" w14:paraId="0A3C38BC" w14:textId="77777777" w:rsidTr="000B791C">
        <w:trPr>
          <w:trHeight w:val="290"/>
        </w:trPr>
        <w:tc>
          <w:tcPr>
            <w:tcW w:w="2694" w:type="dxa"/>
            <w:tcBorders>
              <w:top w:val="nil"/>
              <w:left w:val="nil"/>
              <w:bottom w:val="single" w:sz="4" w:space="0" w:color="auto"/>
              <w:right w:val="nil"/>
            </w:tcBorders>
            <w:shd w:val="clear" w:color="auto" w:fill="auto"/>
            <w:noWrap/>
            <w:vAlign w:val="center"/>
            <w:hideMark/>
          </w:tcPr>
          <w:p w14:paraId="0D5DEBD5"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637" w:type="dxa"/>
            <w:tcBorders>
              <w:top w:val="nil"/>
              <w:left w:val="nil"/>
              <w:bottom w:val="single" w:sz="4" w:space="0" w:color="auto"/>
              <w:right w:val="nil"/>
            </w:tcBorders>
            <w:shd w:val="clear" w:color="auto" w:fill="auto"/>
            <w:noWrap/>
            <w:vAlign w:val="center"/>
            <w:hideMark/>
          </w:tcPr>
          <w:p w14:paraId="672D0F8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30.0</w:t>
            </w:r>
          </w:p>
        </w:tc>
        <w:tc>
          <w:tcPr>
            <w:tcW w:w="1000" w:type="dxa"/>
            <w:tcBorders>
              <w:top w:val="nil"/>
              <w:left w:val="nil"/>
              <w:bottom w:val="single" w:sz="4" w:space="0" w:color="auto"/>
              <w:right w:val="nil"/>
            </w:tcBorders>
            <w:shd w:val="clear" w:color="auto" w:fill="auto"/>
            <w:noWrap/>
            <w:vAlign w:val="center"/>
            <w:hideMark/>
          </w:tcPr>
          <w:p w14:paraId="46B9EDB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51</w:t>
            </w:r>
          </w:p>
        </w:tc>
        <w:tc>
          <w:tcPr>
            <w:tcW w:w="1569" w:type="dxa"/>
            <w:tcBorders>
              <w:top w:val="nil"/>
              <w:left w:val="nil"/>
              <w:bottom w:val="single" w:sz="4" w:space="0" w:color="auto"/>
              <w:right w:val="nil"/>
            </w:tcBorders>
            <w:shd w:val="clear" w:color="auto" w:fill="auto"/>
            <w:noWrap/>
            <w:vAlign w:val="bottom"/>
            <w:hideMark/>
          </w:tcPr>
          <w:p w14:paraId="65E12B0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-41</w:t>
            </w:r>
          </w:p>
        </w:tc>
      </w:tr>
      <w:tr w:rsidR="000B791C" w:rsidRPr="000B791C" w14:paraId="034E0B72"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4359369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637" w:type="dxa"/>
            <w:tcBorders>
              <w:top w:val="nil"/>
              <w:left w:val="nil"/>
              <w:bottom w:val="single" w:sz="4" w:space="0" w:color="auto"/>
              <w:right w:val="nil"/>
            </w:tcBorders>
            <w:shd w:val="clear" w:color="000000" w:fill="E8FEE9"/>
            <w:noWrap/>
            <w:vAlign w:val="center"/>
            <w:hideMark/>
          </w:tcPr>
          <w:p w14:paraId="508F7AA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1.7</w:t>
            </w:r>
          </w:p>
        </w:tc>
        <w:tc>
          <w:tcPr>
            <w:tcW w:w="1000" w:type="dxa"/>
            <w:tcBorders>
              <w:top w:val="nil"/>
              <w:left w:val="nil"/>
              <w:bottom w:val="single" w:sz="4" w:space="0" w:color="auto"/>
              <w:right w:val="nil"/>
            </w:tcBorders>
            <w:shd w:val="clear" w:color="000000" w:fill="E8FEE9"/>
            <w:noWrap/>
            <w:vAlign w:val="center"/>
            <w:hideMark/>
          </w:tcPr>
          <w:p w14:paraId="2B61E71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w:t>
            </w:r>
          </w:p>
        </w:tc>
        <w:tc>
          <w:tcPr>
            <w:tcW w:w="1569" w:type="dxa"/>
            <w:tcBorders>
              <w:top w:val="nil"/>
              <w:left w:val="nil"/>
              <w:bottom w:val="single" w:sz="4" w:space="0" w:color="auto"/>
              <w:right w:val="nil"/>
            </w:tcBorders>
            <w:shd w:val="clear" w:color="000000" w:fill="E8FEE9"/>
            <w:noWrap/>
            <w:vAlign w:val="bottom"/>
            <w:hideMark/>
          </w:tcPr>
          <w:p w14:paraId="65EAFF3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-15</w:t>
            </w:r>
          </w:p>
        </w:tc>
      </w:tr>
      <w:tr w:rsidR="000B791C" w:rsidRPr="000B791C" w14:paraId="5A82552E" w14:textId="77777777" w:rsidTr="000B791C">
        <w:trPr>
          <w:trHeight w:val="290"/>
        </w:trPr>
        <w:tc>
          <w:tcPr>
            <w:tcW w:w="2694" w:type="dxa"/>
            <w:tcBorders>
              <w:top w:val="nil"/>
              <w:left w:val="nil"/>
              <w:bottom w:val="single" w:sz="4" w:space="0" w:color="auto"/>
              <w:right w:val="nil"/>
            </w:tcBorders>
            <w:shd w:val="clear" w:color="auto" w:fill="auto"/>
            <w:noWrap/>
            <w:vAlign w:val="center"/>
            <w:hideMark/>
          </w:tcPr>
          <w:p w14:paraId="6419D0CE"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637" w:type="dxa"/>
            <w:tcBorders>
              <w:top w:val="nil"/>
              <w:left w:val="nil"/>
              <w:bottom w:val="single" w:sz="4" w:space="0" w:color="auto"/>
              <w:right w:val="nil"/>
            </w:tcBorders>
            <w:shd w:val="clear" w:color="auto" w:fill="auto"/>
            <w:noWrap/>
            <w:vAlign w:val="center"/>
            <w:hideMark/>
          </w:tcPr>
          <w:p w14:paraId="4D6C581D" w14:textId="423AF78B"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1,698</w:t>
            </w:r>
          </w:p>
        </w:tc>
        <w:tc>
          <w:tcPr>
            <w:tcW w:w="1000" w:type="dxa"/>
            <w:tcBorders>
              <w:top w:val="nil"/>
              <w:left w:val="nil"/>
              <w:bottom w:val="single" w:sz="4" w:space="0" w:color="auto"/>
              <w:right w:val="nil"/>
            </w:tcBorders>
            <w:shd w:val="clear" w:color="auto" w:fill="auto"/>
            <w:noWrap/>
            <w:vAlign w:val="center"/>
            <w:hideMark/>
          </w:tcPr>
          <w:p w14:paraId="507D22E1" w14:textId="6B37727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4,119</w:t>
            </w:r>
          </w:p>
        </w:tc>
        <w:tc>
          <w:tcPr>
            <w:tcW w:w="1569" w:type="dxa"/>
            <w:tcBorders>
              <w:top w:val="nil"/>
              <w:left w:val="nil"/>
              <w:bottom w:val="single" w:sz="4" w:space="0" w:color="auto"/>
              <w:right w:val="nil"/>
            </w:tcBorders>
            <w:shd w:val="clear" w:color="auto" w:fill="auto"/>
            <w:noWrap/>
            <w:vAlign w:val="bottom"/>
            <w:hideMark/>
          </w:tcPr>
          <w:p w14:paraId="6BB0037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-59</w:t>
            </w:r>
          </w:p>
        </w:tc>
      </w:tr>
      <w:tr w:rsidR="000B791C" w:rsidRPr="000B791C" w14:paraId="58C99257"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550ABB46"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637" w:type="dxa"/>
            <w:tcBorders>
              <w:top w:val="nil"/>
              <w:left w:val="nil"/>
              <w:bottom w:val="single" w:sz="4" w:space="0" w:color="auto"/>
              <w:right w:val="nil"/>
            </w:tcBorders>
            <w:shd w:val="clear" w:color="000000" w:fill="E8FEE9"/>
            <w:noWrap/>
            <w:vAlign w:val="center"/>
            <w:hideMark/>
          </w:tcPr>
          <w:p w14:paraId="17BF460C" w14:textId="492F959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3,754</w:t>
            </w:r>
          </w:p>
        </w:tc>
        <w:tc>
          <w:tcPr>
            <w:tcW w:w="1000" w:type="dxa"/>
            <w:tcBorders>
              <w:top w:val="nil"/>
              <w:left w:val="nil"/>
              <w:bottom w:val="single" w:sz="4" w:space="0" w:color="auto"/>
              <w:right w:val="nil"/>
            </w:tcBorders>
            <w:shd w:val="clear" w:color="000000" w:fill="E8FEE9"/>
            <w:noWrap/>
            <w:vAlign w:val="center"/>
            <w:hideMark/>
          </w:tcPr>
          <w:p w14:paraId="1FEEF721" w14:textId="418B0259"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2,814</w:t>
            </w:r>
          </w:p>
        </w:tc>
        <w:tc>
          <w:tcPr>
            <w:tcW w:w="1569" w:type="dxa"/>
            <w:tcBorders>
              <w:top w:val="nil"/>
              <w:left w:val="nil"/>
              <w:bottom w:val="single" w:sz="4" w:space="0" w:color="auto"/>
              <w:right w:val="nil"/>
            </w:tcBorders>
            <w:shd w:val="clear" w:color="000000" w:fill="E8FEE9"/>
            <w:noWrap/>
            <w:vAlign w:val="bottom"/>
            <w:hideMark/>
          </w:tcPr>
          <w:p w14:paraId="2D8B6C6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33</w:t>
            </w:r>
          </w:p>
        </w:tc>
      </w:tr>
      <w:tr w:rsidR="000B791C" w:rsidRPr="000B791C" w14:paraId="40867C80" w14:textId="77777777" w:rsidTr="000B791C">
        <w:trPr>
          <w:trHeight w:val="290"/>
        </w:trPr>
        <w:tc>
          <w:tcPr>
            <w:tcW w:w="2694" w:type="dxa"/>
            <w:tcBorders>
              <w:top w:val="nil"/>
              <w:left w:val="nil"/>
              <w:bottom w:val="single" w:sz="4" w:space="0" w:color="auto"/>
              <w:right w:val="nil"/>
            </w:tcBorders>
            <w:shd w:val="clear" w:color="auto" w:fill="auto"/>
            <w:noWrap/>
            <w:vAlign w:val="center"/>
            <w:hideMark/>
          </w:tcPr>
          <w:p w14:paraId="47FFE9EC"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637" w:type="dxa"/>
            <w:tcBorders>
              <w:top w:val="nil"/>
              <w:left w:val="nil"/>
              <w:bottom w:val="single" w:sz="4" w:space="0" w:color="auto"/>
              <w:right w:val="nil"/>
            </w:tcBorders>
            <w:shd w:val="clear" w:color="auto" w:fill="auto"/>
            <w:noWrap/>
            <w:vAlign w:val="center"/>
            <w:hideMark/>
          </w:tcPr>
          <w:p w14:paraId="3FBDE62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2.8</w:t>
            </w:r>
          </w:p>
        </w:tc>
        <w:tc>
          <w:tcPr>
            <w:tcW w:w="1000" w:type="dxa"/>
            <w:tcBorders>
              <w:top w:val="nil"/>
              <w:left w:val="nil"/>
              <w:bottom w:val="single" w:sz="4" w:space="0" w:color="auto"/>
              <w:right w:val="nil"/>
            </w:tcBorders>
            <w:shd w:val="clear" w:color="auto" w:fill="auto"/>
            <w:noWrap/>
            <w:vAlign w:val="center"/>
            <w:hideMark/>
          </w:tcPr>
          <w:p w14:paraId="7333B48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0.8</w:t>
            </w:r>
          </w:p>
        </w:tc>
        <w:tc>
          <w:tcPr>
            <w:tcW w:w="1569" w:type="dxa"/>
            <w:tcBorders>
              <w:top w:val="nil"/>
              <w:left w:val="nil"/>
              <w:bottom w:val="single" w:sz="4" w:space="0" w:color="auto"/>
              <w:right w:val="nil"/>
            </w:tcBorders>
            <w:shd w:val="clear" w:color="auto" w:fill="auto"/>
            <w:noWrap/>
            <w:vAlign w:val="bottom"/>
            <w:hideMark/>
          </w:tcPr>
          <w:p w14:paraId="21A1354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250</w:t>
            </w:r>
          </w:p>
        </w:tc>
      </w:tr>
      <w:tr w:rsidR="000B791C" w:rsidRPr="000B791C" w14:paraId="2CF52633" w14:textId="77777777" w:rsidTr="000B791C">
        <w:trPr>
          <w:trHeight w:val="290"/>
        </w:trPr>
        <w:tc>
          <w:tcPr>
            <w:tcW w:w="2694" w:type="dxa"/>
            <w:tcBorders>
              <w:top w:val="nil"/>
              <w:left w:val="nil"/>
              <w:bottom w:val="single" w:sz="4" w:space="0" w:color="auto"/>
              <w:right w:val="nil"/>
            </w:tcBorders>
            <w:shd w:val="clear" w:color="000000" w:fill="E8FEE9"/>
            <w:noWrap/>
            <w:vAlign w:val="center"/>
            <w:hideMark/>
          </w:tcPr>
          <w:p w14:paraId="026316D1"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637" w:type="dxa"/>
            <w:tcBorders>
              <w:top w:val="nil"/>
              <w:left w:val="nil"/>
              <w:bottom w:val="single" w:sz="4" w:space="0" w:color="auto"/>
              <w:right w:val="nil"/>
            </w:tcBorders>
            <w:shd w:val="clear" w:color="000000" w:fill="E8FEE9"/>
            <w:noWrap/>
            <w:vAlign w:val="center"/>
            <w:hideMark/>
          </w:tcPr>
          <w:p w14:paraId="2E6EFB0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12.1</w:t>
            </w:r>
          </w:p>
        </w:tc>
        <w:tc>
          <w:tcPr>
            <w:tcW w:w="1000" w:type="dxa"/>
            <w:tcBorders>
              <w:top w:val="nil"/>
              <w:left w:val="nil"/>
              <w:bottom w:val="single" w:sz="4" w:space="0" w:color="auto"/>
              <w:right w:val="nil"/>
            </w:tcBorders>
            <w:shd w:val="clear" w:color="000000" w:fill="E8FEE9"/>
            <w:noWrap/>
            <w:vAlign w:val="center"/>
            <w:hideMark/>
          </w:tcPr>
          <w:p w14:paraId="72A0669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12.4</w:t>
            </w:r>
          </w:p>
        </w:tc>
        <w:tc>
          <w:tcPr>
            <w:tcW w:w="1569" w:type="dxa"/>
            <w:tcBorders>
              <w:top w:val="nil"/>
              <w:left w:val="nil"/>
              <w:bottom w:val="single" w:sz="4" w:space="0" w:color="auto"/>
              <w:right w:val="nil"/>
            </w:tcBorders>
            <w:shd w:val="clear" w:color="000000" w:fill="E8FEE9"/>
            <w:noWrap/>
            <w:vAlign w:val="bottom"/>
            <w:hideMark/>
          </w:tcPr>
          <w:p w14:paraId="0E8C06F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w:t>
            </w:r>
          </w:p>
        </w:tc>
      </w:tr>
    </w:tbl>
    <w:p w14:paraId="36F99D9C" w14:textId="77777777" w:rsidR="000B791C" w:rsidRPr="00C25A9D" w:rsidRDefault="000B791C" w:rsidP="001D49D7">
      <w:pPr>
        <w:spacing w:after="0" w:line="240" w:lineRule="auto"/>
        <w:rPr>
          <w:sz w:val="24"/>
          <w:szCs w:val="24"/>
          <w:lang w:val="en-US"/>
        </w:rPr>
      </w:pPr>
    </w:p>
    <w:p w14:paraId="1F6AA817" w14:textId="1D806246" w:rsidR="000B791C" w:rsidRPr="00C25A9D" w:rsidRDefault="000B791C" w:rsidP="00870057">
      <w:pPr>
        <w:spacing w:after="0"/>
        <w:rPr>
          <w:b/>
          <w:bCs/>
          <w:i/>
          <w:iCs/>
          <w:color w:val="008000"/>
          <w:lang w:val="en-US"/>
        </w:rPr>
      </w:pPr>
      <w:r w:rsidRPr="00C25A9D">
        <w:rPr>
          <w:b/>
          <w:bCs/>
          <w:i/>
          <w:iCs/>
          <w:color w:val="008000"/>
          <w:lang w:val="en-US"/>
        </w:rPr>
        <w:t>Use of Languages other than English</w:t>
      </w:r>
    </w:p>
    <w:p w14:paraId="599BF9A1" w14:textId="259525BE" w:rsidR="000B791C" w:rsidRPr="000B791C" w:rsidRDefault="000B791C" w:rsidP="00870057">
      <w:pPr>
        <w:spacing w:after="0" w:line="288" w:lineRule="auto"/>
        <w:jc w:val="both"/>
      </w:pPr>
      <w:r w:rsidRPr="000B791C">
        <w:t xml:space="preserve">People who speak English only have slightly higher rates of participation in gambling, EGMs and sports gambling than those who speak languages other than English at home. The level of engagement in online gambling and online-only activities is similar among the two groups. </w:t>
      </w:r>
    </w:p>
    <w:p w14:paraId="4FC470AD" w14:textId="2F98569F" w:rsidR="000B791C" w:rsidRPr="000B791C" w:rsidRDefault="00803415" w:rsidP="00870057">
      <w:pPr>
        <w:spacing w:after="0" w:line="288" w:lineRule="auto"/>
        <w:jc w:val="both"/>
      </w:pPr>
      <w:r>
        <w:t>Gamblers</w:t>
      </w:r>
      <w:r w:rsidR="000B791C" w:rsidRPr="000B791C">
        <w:t xml:space="preserve"> who speak languages other th</w:t>
      </w:r>
      <w:r w:rsidR="00A9623F">
        <w:t>a</w:t>
      </w:r>
      <w:r w:rsidR="000B791C" w:rsidRPr="000B791C">
        <w:t xml:space="preserve">n English have lower rates of annual </w:t>
      </w:r>
      <w:r w:rsidR="00103732">
        <w:t>gambling losses</w:t>
      </w:r>
      <w:r w:rsidR="000B791C" w:rsidRPr="000B791C">
        <w:t xml:space="preserve"> - though </w:t>
      </w:r>
      <w:r w:rsidR="00103732">
        <w:t>they have higher rates of losses to EGM</w:t>
      </w:r>
      <w:r w:rsidR="000B791C" w:rsidRPr="000B791C">
        <w:t xml:space="preserve"> gambling ($5,798 vs $1,902) - and are more likely to be problem gamblers (</w:t>
      </w:r>
      <w:r w:rsidR="00103732">
        <w:t xml:space="preserve">at </w:t>
      </w:r>
      <w:r w:rsidR="000B791C" w:rsidRPr="000B791C">
        <w:t>2.4%</w:t>
      </w:r>
      <w:r w:rsidR="00103732">
        <w:t xml:space="preserve">) </w:t>
      </w:r>
      <w:r w:rsidR="000B791C" w:rsidRPr="000B791C">
        <w:t>than those who speak English only</w:t>
      </w:r>
      <w:r w:rsidR="00103732">
        <w:t xml:space="preserve"> (</w:t>
      </w:r>
      <w:r w:rsidR="00103732" w:rsidRPr="000B791C">
        <w:t>1.5%)</w:t>
      </w:r>
      <w:r w:rsidR="000B791C" w:rsidRPr="000B791C">
        <w:t>.</w:t>
      </w:r>
    </w:p>
    <w:tbl>
      <w:tblPr>
        <w:tblW w:w="5900" w:type="dxa"/>
        <w:tblLook w:val="04A0" w:firstRow="1" w:lastRow="0" w:firstColumn="1" w:lastColumn="0" w:noHBand="0" w:noVBand="1"/>
      </w:tblPr>
      <w:tblGrid>
        <w:gridCol w:w="2552"/>
        <w:gridCol w:w="779"/>
        <w:gridCol w:w="1000"/>
        <w:gridCol w:w="1569"/>
      </w:tblGrid>
      <w:tr w:rsidR="00C25A9D" w:rsidRPr="00C25A9D" w14:paraId="5971129D" w14:textId="77777777" w:rsidTr="000B791C">
        <w:trPr>
          <w:trHeight w:val="420"/>
        </w:trPr>
        <w:tc>
          <w:tcPr>
            <w:tcW w:w="2552" w:type="dxa"/>
            <w:tcBorders>
              <w:top w:val="nil"/>
              <w:left w:val="nil"/>
              <w:bottom w:val="single" w:sz="4" w:space="0" w:color="auto"/>
              <w:right w:val="nil"/>
            </w:tcBorders>
            <w:shd w:val="clear" w:color="auto" w:fill="auto"/>
            <w:noWrap/>
            <w:vAlign w:val="center"/>
            <w:hideMark/>
          </w:tcPr>
          <w:p w14:paraId="3EBE3262"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779" w:type="dxa"/>
            <w:tcBorders>
              <w:top w:val="nil"/>
              <w:left w:val="nil"/>
              <w:bottom w:val="single" w:sz="4" w:space="0" w:color="auto"/>
              <w:right w:val="nil"/>
            </w:tcBorders>
            <w:shd w:val="clear" w:color="auto" w:fill="auto"/>
            <w:noWrap/>
            <w:vAlign w:val="center"/>
            <w:hideMark/>
          </w:tcPr>
          <w:p w14:paraId="219FBE75"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English</w:t>
            </w:r>
          </w:p>
        </w:tc>
        <w:tc>
          <w:tcPr>
            <w:tcW w:w="1000" w:type="dxa"/>
            <w:tcBorders>
              <w:top w:val="nil"/>
              <w:left w:val="nil"/>
              <w:bottom w:val="single" w:sz="4" w:space="0" w:color="auto"/>
              <w:right w:val="nil"/>
            </w:tcBorders>
            <w:shd w:val="clear" w:color="auto" w:fill="auto"/>
            <w:noWrap/>
            <w:vAlign w:val="center"/>
            <w:hideMark/>
          </w:tcPr>
          <w:p w14:paraId="085A54B7"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LOTE</w:t>
            </w:r>
          </w:p>
        </w:tc>
        <w:tc>
          <w:tcPr>
            <w:tcW w:w="1569" w:type="dxa"/>
            <w:tcBorders>
              <w:top w:val="nil"/>
              <w:left w:val="nil"/>
              <w:bottom w:val="single" w:sz="4" w:space="0" w:color="auto"/>
              <w:right w:val="nil"/>
            </w:tcBorders>
            <w:shd w:val="clear" w:color="auto" w:fill="auto"/>
            <w:vAlign w:val="center"/>
            <w:hideMark/>
          </w:tcPr>
          <w:p w14:paraId="0C70AB87"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English only: % higher or lower than LOTE</w:t>
            </w:r>
          </w:p>
        </w:tc>
      </w:tr>
      <w:tr w:rsidR="000B791C" w:rsidRPr="000B791C" w14:paraId="6182F645"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61E3F031"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779" w:type="dxa"/>
            <w:tcBorders>
              <w:top w:val="nil"/>
              <w:left w:val="nil"/>
              <w:bottom w:val="single" w:sz="4" w:space="0" w:color="auto"/>
              <w:right w:val="nil"/>
            </w:tcBorders>
            <w:shd w:val="clear" w:color="000000" w:fill="E8FEE9"/>
            <w:noWrap/>
            <w:vAlign w:val="center"/>
            <w:hideMark/>
          </w:tcPr>
          <w:p w14:paraId="00827BDE"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59.0</w:t>
            </w:r>
          </w:p>
        </w:tc>
        <w:tc>
          <w:tcPr>
            <w:tcW w:w="1000" w:type="dxa"/>
            <w:tcBorders>
              <w:top w:val="nil"/>
              <w:left w:val="nil"/>
              <w:bottom w:val="single" w:sz="4" w:space="0" w:color="auto"/>
              <w:right w:val="nil"/>
            </w:tcBorders>
            <w:shd w:val="clear" w:color="000000" w:fill="E8FEE9"/>
            <w:noWrap/>
            <w:vAlign w:val="center"/>
            <w:hideMark/>
          </w:tcPr>
          <w:p w14:paraId="28D6B4F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40</w:t>
            </w:r>
          </w:p>
        </w:tc>
        <w:tc>
          <w:tcPr>
            <w:tcW w:w="1569" w:type="dxa"/>
            <w:tcBorders>
              <w:top w:val="nil"/>
              <w:left w:val="nil"/>
              <w:bottom w:val="single" w:sz="4" w:space="0" w:color="auto"/>
              <w:right w:val="nil"/>
            </w:tcBorders>
            <w:shd w:val="clear" w:color="000000" w:fill="E8FEE9"/>
            <w:noWrap/>
            <w:vAlign w:val="bottom"/>
            <w:hideMark/>
          </w:tcPr>
          <w:p w14:paraId="4FEA105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48</w:t>
            </w:r>
          </w:p>
        </w:tc>
      </w:tr>
      <w:tr w:rsidR="000B791C" w:rsidRPr="000B791C" w14:paraId="33B9D627"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782EB0D8"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779" w:type="dxa"/>
            <w:tcBorders>
              <w:top w:val="nil"/>
              <w:left w:val="nil"/>
              <w:bottom w:val="single" w:sz="4" w:space="0" w:color="auto"/>
              <w:right w:val="nil"/>
            </w:tcBorders>
            <w:shd w:val="clear" w:color="auto" w:fill="auto"/>
            <w:noWrap/>
            <w:vAlign w:val="center"/>
            <w:hideMark/>
          </w:tcPr>
          <w:p w14:paraId="3243515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5B95699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0.7</w:t>
            </w:r>
          </w:p>
        </w:tc>
        <w:tc>
          <w:tcPr>
            <w:tcW w:w="1569" w:type="dxa"/>
            <w:tcBorders>
              <w:top w:val="nil"/>
              <w:left w:val="nil"/>
              <w:bottom w:val="single" w:sz="4" w:space="0" w:color="auto"/>
              <w:right w:val="nil"/>
            </w:tcBorders>
            <w:shd w:val="clear" w:color="auto" w:fill="auto"/>
            <w:noWrap/>
            <w:vAlign w:val="bottom"/>
            <w:hideMark/>
          </w:tcPr>
          <w:p w14:paraId="0E0011D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43</w:t>
            </w:r>
          </w:p>
        </w:tc>
      </w:tr>
      <w:tr w:rsidR="000B791C" w:rsidRPr="000B791C" w14:paraId="28F2C622"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B59569A"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779" w:type="dxa"/>
            <w:tcBorders>
              <w:top w:val="nil"/>
              <w:left w:val="nil"/>
              <w:bottom w:val="single" w:sz="4" w:space="0" w:color="auto"/>
              <w:right w:val="nil"/>
            </w:tcBorders>
            <w:shd w:val="clear" w:color="000000" w:fill="E8FEE9"/>
            <w:noWrap/>
            <w:vAlign w:val="center"/>
            <w:hideMark/>
          </w:tcPr>
          <w:p w14:paraId="2D5C5A3E"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4AFEBF9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0.6</w:t>
            </w:r>
          </w:p>
        </w:tc>
        <w:tc>
          <w:tcPr>
            <w:tcW w:w="1569" w:type="dxa"/>
            <w:tcBorders>
              <w:top w:val="nil"/>
              <w:left w:val="nil"/>
              <w:bottom w:val="single" w:sz="4" w:space="0" w:color="auto"/>
              <w:right w:val="nil"/>
            </w:tcBorders>
            <w:shd w:val="clear" w:color="000000" w:fill="E8FEE9"/>
            <w:noWrap/>
            <w:vAlign w:val="bottom"/>
            <w:hideMark/>
          </w:tcPr>
          <w:p w14:paraId="2A08A6C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67</w:t>
            </w:r>
          </w:p>
        </w:tc>
      </w:tr>
      <w:tr w:rsidR="000B791C" w:rsidRPr="000B791C" w14:paraId="15E11D6A"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04A7D5C8"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779" w:type="dxa"/>
            <w:tcBorders>
              <w:top w:val="nil"/>
              <w:left w:val="nil"/>
              <w:bottom w:val="single" w:sz="4" w:space="0" w:color="auto"/>
              <w:right w:val="nil"/>
            </w:tcBorders>
            <w:shd w:val="clear" w:color="auto" w:fill="auto"/>
            <w:noWrap/>
            <w:vAlign w:val="center"/>
            <w:hideMark/>
          </w:tcPr>
          <w:p w14:paraId="35C0FB7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44.0</w:t>
            </w:r>
          </w:p>
        </w:tc>
        <w:tc>
          <w:tcPr>
            <w:tcW w:w="1000" w:type="dxa"/>
            <w:tcBorders>
              <w:top w:val="nil"/>
              <w:left w:val="nil"/>
              <w:bottom w:val="single" w:sz="4" w:space="0" w:color="auto"/>
              <w:right w:val="nil"/>
            </w:tcBorders>
            <w:shd w:val="clear" w:color="auto" w:fill="auto"/>
            <w:noWrap/>
            <w:vAlign w:val="center"/>
            <w:hideMark/>
          </w:tcPr>
          <w:p w14:paraId="477B418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44</w:t>
            </w:r>
          </w:p>
        </w:tc>
        <w:tc>
          <w:tcPr>
            <w:tcW w:w="1569" w:type="dxa"/>
            <w:tcBorders>
              <w:top w:val="nil"/>
              <w:left w:val="nil"/>
              <w:bottom w:val="single" w:sz="4" w:space="0" w:color="auto"/>
              <w:right w:val="nil"/>
            </w:tcBorders>
            <w:shd w:val="clear" w:color="auto" w:fill="auto"/>
            <w:noWrap/>
            <w:vAlign w:val="bottom"/>
            <w:hideMark/>
          </w:tcPr>
          <w:p w14:paraId="5E8E585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w:t>
            </w:r>
          </w:p>
        </w:tc>
      </w:tr>
      <w:tr w:rsidR="000B791C" w:rsidRPr="000B791C" w14:paraId="3543B24D"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8322A5F"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779" w:type="dxa"/>
            <w:tcBorders>
              <w:top w:val="nil"/>
              <w:left w:val="nil"/>
              <w:bottom w:val="single" w:sz="4" w:space="0" w:color="auto"/>
              <w:right w:val="nil"/>
            </w:tcBorders>
            <w:shd w:val="clear" w:color="000000" w:fill="E8FEE9"/>
            <w:noWrap/>
            <w:vAlign w:val="center"/>
            <w:hideMark/>
          </w:tcPr>
          <w:p w14:paraId="3790679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2.7</w:t>
            </w:r>
          </w:p>
        </w:tc>
        <w:tc>
          <w:tcPr>
            <w:tcW w:w="1000" w:type="dxa"/>
            <w:tcBorders>
              <w:top w:val="nil"/>
              <w:left w:val="nil"/>
              <w:bottom w:val="single" w:sz="4" w:space="0" w:color="auto"/>
              <w:right w:val="nil"/>
            </w:tcBorders>
            <w:shd w:val="clear" w:color="000000" w:fill="E8FEE9"/>
            <w:noWrap/>
            <w:vAlign w:val="center"/>
            <w:hideMark/>
          </w:tcPr>
          <w:p w14:paraId="39E1CC4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2.7</w:t>
            </w:r>
          </w:p>
        </w:tc>
        <w:tc>
          <w:tcPr>
            <w:tcW w:w="1569" w:type="dxa"/>
            <w:tcBorders>
              <w:top w:val="nil"/>
              <w:left w:val="nil"/>
              <w:bottom w:val="single" w:sz="4" w:space="0" w:color="auto"/>
              <w:right w:val="nil"/>
            </w:tcBorders>
            <w:shd w:val="clear" w:color="000000" w:fill="E8FEE9"/>
            <w:noWrap/>
            <w:vAlign w:val="bottom"/>
            <w:hideMark/>
          </w:tcPr>
          <w:p w14:paraId="2666151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0</w:t>
            </w:r>
          </w:p>
        </w:tc>
      </w:tr>
      <w:tr w:rsidR="000B791C" w:rsidRPr="000B791C" w14:paraId="312B13FB"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011C0E7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779" w:type="dxa"/>
            <w:tcBorders>
              <w:top w:val="nil"/>
              <w:left w:val="nil"/>
              <w:bottom w:val="single" w:sz="4" w:space="0" w:color="auto"/>
              <w:right w:val="nil"/>
            </w:tcBorders>
            <w:shd w:val="clear" w:color="auto" w:fill="auto"/>
            <w:noWrap/>
            <w:vAlign w:val="center"/>
            <w:hideMark/>
          </w:tcPr>
          <w:p w14:paraId="2C649512" w14:textId="0CE5DC2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2,619</w:t>
            </w:r>
          </w:p>
        </w:tc>
        <w:tc>
          <w:tcPr>
            <w:tcW w:w="1000" w:type="dxa"/>
            <w:tcBorders>
              <w:top w:val="nil"/>
              <w:left w:val="nil"/>
              <w:bottom w:val="single" w:sz="4" w:space="0" w:color="auto"/>
              <w:right w:val="nil"/>
            </w:tcBorders>
            <w:shd w:val="clear" w:color="auto" w:fill="auto"/>
            <w:noWrap/>
            <w:vAlign w:val="center"/>
            <w:hideMark/>
          </w:tcPr>
          <w:p w14:paraId="29B7AE35" w14:textId="693BE3D7"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1,838</w:t>
            </w:r>
          </w:p>
        </w:tc>
        <w:tc>
          <w:tcPr>
            <w:tcW w:w="1569" w:type="dxa"/>
            <w:tcBorders>
              <w:top w:val="nil"/>
              <w:left w:val="nil"/>
              <w:bottom w:val="single" w:sz="4" w:space="0" w:color="auto"/>
              <w:right w:val="nil"/>
            </w:tcBorders>
            <w:shd w:val="clear" w:color="auto" w:fill="auto"/>
            <w:noWrap/>
            <w:vAlign w:val="bottom"/>
            <w:hideMark/>
          </w:tcPr>
          <w:p w14:paraId="06A2DDFE"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42</w:t>
            </w:r>
          </w:p>
        </w:tc>
      </w:tr>
      <w:tr w:rsidR="000B791C" w:rsidRPr="000B791C" w14:paraId="7D7CC65A"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5CAA56F1"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779" w:type="dxa"/>
            <w:tcBorders>
              <w:top w:val="nil"/>
              <w:left w:val="nil"/>
              <w:bottom w:val="single" w:sz="4" w:space="0" w:color="auto"/>
              <w:right w:val="nil"/>
            </w:tcBorders>
            <w:shd w:val="clear" w:color="000000" w:fill="E8FEE9"/>
            <w:noWrap/>
            <w:vAlign w:val="center"/>
            <w:hideMark/>
          </w:tcPr>
          <w:p w14:paraId="0DD63A14" w14:textId="39A08BDE"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1,902</w:t>
            </w:r>
          </w:p>
        </w:tc>
        <w:tc>
          <w:tcPr>
            <w:tcW w:w="1000" w:type="dxa"/>
            <w:tcBorders>
              <w:top w:val="nil"/>
              <w:left w:val="nil"/>
              <w:bottom w:val="single" w:sz="4" w:space="0" w:color="auto"/>
              <w:right w:val="nil"/>
            </w:tcBorders>
            <w:shd w:val="clear" w:color="000000" w:fill="E8FEE9"/>
            <w:noWrap/>
            <w:vAlign w:val="center"/>
            <w:hideMark/>
          </w:tcPr>
          <w:p w14:paraId="6E7EB6E1" w14:textId="5F22988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5,798</w:t>
            </w:r>
          </w:p>
        </w:tc>
        <w:tc>
          <w:tcPr>
            <w:tcW w:w="1569" w:type="dxa"/>
            <w:tcBorders>
              <w:top w:val="nil"/>
              <w:left w:val="nil"/>
              <w:bottom w:val="single" w:sz="4" w:space="0" w:color="auto"/>
              <w:right w:val="nil"/>
            </w:tcBorders>
            <w:shd w:val="clear" w:color="000000" w:fill="E8FEE9"/>
            <w:noWrap/>
            <w:vAlign w:val="bottom"/>
            <w:hideMark/>
          </w:tcPr>
          <w:p w14:paraId="0E3AB6A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-67</w:t>
            </w:r>
          </w:p>
        </w:tc>
      </w:tr>
      <w:tr w:rsidR="000B791C" w:rsidRPr="000B791C" w14:paraId="601F3F1F"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36D26DAC"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779" w:type="dxa"/>
            <w:tcBorders>
              <w:top w:val="nil"/>
              <w:left w:val="nil"/>
              <w:bottom w:val="single" w:sz="4" w:space="0" w:color="auto"/>
              <w:right w:val="nil"/>
            </w:tcBorders>
            <w:shd w:val="clear" w:color="auto" w:fill="auto"/>
            <w:noWrap/>
            <w:vAlign w:val="center"/>
            <w:hideMark/>
          </w:tcPr>
          <w:p w14:paraId="41C6267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1.5</w:t>
            </w:r>
          </w:p>
        </w:tc>
        <w:tc>
          <w:tcPr>
            <w:tcW w:w="1000" w:type="dxa"/>
            <w:tcBorders>
              <w:top w:val="nil"/>
              <w:left w:val="nil"/>
              <w:bottom w:val="single" w:sz="4" w:space="0" w:color="auto"/>
              <w:right w:val="nil"/>
            </w:tcBorders>
            <w:shd w:val="clear" w:color="auto" w:fill="auto"/>
            <w:noWrap/>
            <w:vAlign w:val="center"/>
            <w:hideMark/>
          </w:tcPr>
          <w:p w14:paraId="69BD976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2.4</w:t>
            </w:r>
          </w:p>
        </w:tc>
        <w:tc>
          <w:tcPr>
            <w:tcW w:w="1569" w:type="dxa"/>
            <w:tcBorders>
              <w:top w:val="nil"/>
              <w:left w:val="nil"/>
              <w:bottom w:val="single" w:sz="4" w:space="0" w:color="auto"/>
              <w:right w:val="nil"/>
            </w:tcBorders>
            <w:shd w:val="clear" w:color="auto" w:fill="auto"/>
            <w:noWrap/>
            <w:vAlign w:val="bottom"/>
            <w:hideMark/>
          </w:tcPr>
          <w:p w14:paraId="2966999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-38</w:t>
            </w:r>
          </w:p>
        </w:tc>
      </w:tr>
      <w:tr w:rsidR="000B791C" w:rsidRPr="000B791C" w14:paraId="0B7BA493"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29C57F79"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779" w:type="dxa"/>
            <w:tcBorders>
              <w:top w:val="nil"/>
              <w:left w:val="nil"/>
              <w:bottom w:val="single" w:sz="4" w:space="0" w:color="auto"/>
              <w:right w:val="nil"/>
            </w:tcBorders>
            <w:shd w:val="clear" w:color="000000" w:fill="E8FEE9"/>
            <w:noWrap/>
            <w:vAlign w:val="center"/>
            <w:hideMark/>
          </w:tcPr>
          <w:p w14:paraId="18B81E6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11.2</w:t>
            </w:r>
          </w:p>
        </w:tc>
        <w:tc>
          <w:tcPr>
            <w:tcW w:w="1000" w:type="dxa"/>
            <w:tcBorders>
              <w:top w:val="nil"/>
              <w:left w:val="nil"/>
              <w:bottom w:val="single" w:sz="4" w:space="0" w:color="auto"/>
              <w:right w:val="nil"/>
            </w:tcBorders>
            <w:shd w:val="clear" w:color="000000" w:fill="E8FEE9"/>
            <w:noWrap/>
            <w:vAlign w:val="center"/>
            <w:hideMark/>
          </w:tcPr>
          <w:p w14:paraId="6A73EA6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19.3</w:t>
            </w:r>
          </w:p>
        </w:tc>
        <w:tc>
          <w:tcPr>
            <w:tcW w:w="1569" w:type="dxa"/>
            <w:tcBorders>
              <w:top w:val="nil"/>
              <w:left w:val="nil"/>
              <w:bottom w:val="single" w:sz="4" w:space="0" w:color="auto"/>
              <w:right w:val="nil"/>
            </w:tcBorders>
            <w:shd w:val="clear" w:color="000000" w:fill="E8FEE9"/>
            <w:noWrap/>
            <w:vAlign w:val="bottom"/>
            <w:hideMark/>
          </w:tcPr>
          <w:p w14:paraId="7BF54597"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-42</w:t>
            </w:r>
          </w:p>
        </w:tc>
      </w:tr>
    </w:tbl>
    <w:p w14:paraId="7794AD67" w14:textId="77777777" w:rsidR="000B791C" w:rsidRPr="00C25A9D" w:rsidRDefault="000B791C" w:rsidP="001D49D7">
      <w:pPr>
        <w:spacing w:after="0" w:line="240" w:lineRule="auto"/>
        <w:rPr>
          <w:sz w:val="24"/>
          <w:szCs w:val="24"/>
          <w:lang w:val="en-US"/>
        </w:rPr>
      </w:pPr>
    </w:p>
    <w:p w14:paraId="4719D934" w14:textId="6707813F" w:rsidR="000B791C" w:rsidRPr="00C25A9D" w:rsidRDefault="000B791C" w:rsidP="00870057">
      <w:pPr>
        <w:spacing w:after="0"/>
        <w:rPr>
          <w:b/>
          <w:bCs/>
          <w:i/>
          <w:iCs/>
          <w:color w:val="008000"/>
          <w:lang w:val="en-US"/>
        </w:rPr>
      </w:pPr>
      <w:r w:rsidRPr="00C25A9D">
        <w:rPr>
          <w:b/>
          <w:bCs/>
          <w:i/>
          <w:iCs/>
          <w:color w:val="008000"/>
          <w:lang w:val="en-US"/>
        </w:rPr>
        <w:t>Income</w:t>
      </w:r>
    </w:p>
    <w:p w14:paraId="03462370" w14:textId="74B009B9" w:rsidR="000B791C" w:rsidRPr="000B791C" w:rsidRDefault="000B791C" w:rsidP="00870057">
      <w:pPr>
        <w:spacing w:after="0" w:line="288" w:lineRule="auto"/>
        <w:jc w:val="both"/>
      </w:pPr>
      <w:r w:rsidRPr="000B791C">
        <w:t xml:space="preserve">People on the highest range of incomes (&gt;$156,000) are more likely than those on </w:t>
      </w:r>
      <w:r w:rsidR="00103732">
        <w:t>lower</w:t>
      </w:r>
      <w:r w:rsidRPr="000B791C">
        <w:t xml:space="preserve"> incomes (&lt;$12,600) to participate in gambling, including EGMs, sports and online, though less likely to engage in online-only activities. </w:t>
      </w:r>
    </w:p>
    <w:p w14:paraId="34CA3DF4" w14:textId="35307868" w:rsidR="000B791C" w:rsidRPr="000B791C" w:rsidRDefault="000B791C" w:rsidP="00870057">
      <w:pPr>
        <w:spacing w:after="0" w:line="288" w:lineRule="auto"/>
        <w:jc w:val="both"/>
      </w:pPr>
      <w:r w:rsidRPr="000B791C">
        <w:t>Though</w:t>
      </w:r>
      <w:r w:rsidR="005A5C03">
        <w:t xml:space="preserve"> gambling losses</w:t>
      </w:r>
      <w:r w:rsidRPr="000B791C">
        <w:t xml:space="preserve"> overall</w:t>
      </w:r>
      <w:r w:rsidR="005A5C03">
        <w:t>,</w:t>
      </w:r>
      <w:r w:rsidRPr="000B791C">
        <w:t xml:space="preserve"> and on EGMs</w:t>
      </w:r>
      <w:r w:rsidR="005A5C03">
        <w:t>,</w:t>
      </w:r>
      <w:r w:rsidRPr="000B791C">
        <w:t xml:space="preserve"> </w:t>
      </w:r>
      <w:r w:rsidR="005A5C03">
        <w:t>are</w:t>
      </w:r>
      <w:r w:rsidRPr="000B791C">
        <w:t xml:space="preserve"> </w:t>
      </w:r>
      <w:r w:rsidR="005A5C03">
        <w:t>greater</w:t>
      </w:r>
      <w:r w:rsidRPr="000B791C">
        <w:t xml:space="preserve"> among higher income </w:t>
      </w:r>
      <w:r w:rsidR="00803415">
        <w:t>gamblers</w:t>
      </w:r>
      <w:r w:rsidRPr="000B791C">
        <w:t xml:space="preserve">, </w:t>
      </w:r>
      <w:r w:rsidR="00103732">
        <w:t>more</w:t>
      </w:r>
      <w:r w:rsidRPr="000B791C">
        <w:t xml:space="preserve"> lower income earners are problem gamblers</w:t>
      </w:r>
      <w:r w:rsidR="00A9623F">
        <w:t xml:space="preserve">, at </w:t>
      </w:r>
      <w:r w:rsidRPr="000B791C">
        <w:t xml:space="preserve">2.7% </w:t>
      </w:r>
      <w:r w:rsidR="00A9623F">
        <w:t>compared with</w:t>
      </w:r>
      <w:r w:rsidRPr="000B791C">
        <w:t xml:space="preserve"> 1.4%</w:t>
      </w:r>
      <w:r w:rsidR="00A9623F">
        <w:t xml:space="preserve"> among </w:t>
      </w:r>
      <w:r w:rsidR="00103732">
        <w:t>higher income</w:t>
      </w:r>
      <w:r w:rsidR="005A5C03">
        <w:t xml:space="preserve"> earners</w:t>
      </w:r>
      <w:r w:rsidRPr="000B791C">
        <w:t>.</w:t>
      </w:r>
    </w:p>
    <w:tbl>
      <w:tblPr>
        <w:tblW w:w="5900" w:type="dxa"/>
        <w:tblLook w:val="04A0" w:firstRow="1" w:lastRow="0" w:firstColumn="1" w:lastColumn="0" w:noHBand="0" w:noVBand="1"/>
      </w:tblPr>
      <w:tblGrid>
        <w:gridCol w:w="2552"/>
        <w:gridCol w:w="779"/>
        <w:gridCol w:w="1000"/>
        <w:gridCol w:w="1569"/>
      </w:tblGrid>
      <w:tr w:rsidR="00C25A9D" w:rsidRPr="00C25A9D" w14:paraId="4355ACB3" w14:textId="77777777" w:rsidTr="000B791C">
        <w:trPr>
          <w:trHeight w:val="420"/>
        </w:trPr>
        <w:tc>
          <w:tcPr>
            <w:tcW w:w="2552" w:type="dxa"/>
            <w:tcBorders>
              <w:top w:val="nil"/>
              <w:left w:val="nil"/>
              <w:bottom w:val="single" w:sz="4" w:space="0" w:color="auto"/>
              <w:right w:val="nil"/>
            </w:tcBorders>
            <w:shd w:val="clear" w:color="auto" w:fill="auto"/>
            <w:noWrap/>
            <w:vAlign w:val="center"/>
            <w:hideMark/>
          </w:tcPr>
          <w:p w14:paraId="0AB42585" w14:textId="77777777" w:rsidR="000B791C" w:rsidRPr="00C25A9D" w:rsidRDefault="000B791C" w:rsidP="000B791C">
            <w:pPr>
              <w:spacing w:after="0" w:line="240" w:lineRule="auto"/>
              <w:rPr>
                <w:rFonts w:ascii="Aptos Narrow" w:eastAsia="Times New Roman" w:hAnsi="Aptos Narrow" w:cs="Times New Roman"/>
                <w:color w:val="008000"/>
                <w:kern w:val="0"/>
                <w:sz w:val="18"/>
                <w:szCs w:val="18"/>
                <w:lang w:eastAsia="en-AU"/>
                <w14:ligatures w14:val="none"/>
              </w:rPr>
            </w:pPr>
            <w:r w:rsidRPr="00C25A9D">
              <w:rPr>
                <w:rFonts w:ascii="Aptos Narrow" w:eastAsia="Times New Roman" w:hAnsi="Aptos Narrow" w:cs="Times New Roman"/>
                <w:color w:val="008000"/>
                <w:kern w:val="0"/>
                <w:sz w:val="18"/>
                <w:szCs w:val="18"/>
                <w:lang w:eastAsia="en-AU"/>
                <w14:ligatures w14:val="none"/>
              </w:rPr>
              <w:t> </w:t>
            </w:r>
          </w:p>
        </w:tc>
        <w:tc>
          <w:tcPr>
            <w:tcW w:w="779" w:type="dxa"/>
            <w:tcBorders>
              <w:top w:val="nil"/>
              <w:left w:val="nil"/>
              <w:bottom w:val="single" w:sz="4" w:space="0" w:color="auto"/>
              <w:right w:val="nil"/>
            </w:tcBorders>
            <w:shd w:val="clear" w:color="auto" w:fill="auto"/>
            <w:noWrap/>
            <w:vAlign w:val="center"/>
            <w:hideMark/>
          </w:tcPr>
          <w:p w14:paraId="3C1010FF"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lowest income</w:t>
            </w:r>
          </w:p>
        </w:tc>
        <w:tc>
          <w:tcPr>
            <w:tcW w:w="1000" w:type="dxa"/>
            <w:tcBorders>
              <w:top w:val="nil"/>
              <w:left w:val="nil"/>
              <w:bottom w:val="single" w:sz="4" w:space="0" w:color="auto"/>
              <w:right w:val="nil"/>
            </w:tcBorders>
            <w:shd w:val="clear" w:color="auto" w:fill="auto"/>
            <w:noWrap/>
            <w:vAlign w:val="center"/>
            <w:hideMark/>
          </w:tcPr>
          <w:p w14:paraId="4F68CA85"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highest income</w:t>
            </w:r>
          </w:p>
        </w:tc>
        <w:tc>
          <w:tcPr>
            <w:tcW w:w="1569" w:type="dxa"/>
            <w:tcBorders>
              <w:top w:val="nil"/>
              <w:left w:val="nil"/>
              <w:bottom w:val="single" w:sz="4" w:space="0" w:color="auto"/>
              <w:right w:val="nil"/>
            </w:tcBorders>
            <w:shd w:val="clear" w:color="auto" w:fill="auto"/>
            <w:vAlign w:val="center"/>
            <w:hideMark/>
          </w:tcPr>
          <w:p w14:paraId="022E3FE4" w14:textId="77777777" w:rsidR="000B791C" w:rsidRPr="00C25A9D" w:rsidRDefault="000B791C" w:rsidP="000B791C">
            <w:pPr>
              <w:spacing w:after="0" w:line="240" w:lineRule="auto"/>
              <w:jc w:val="center"/>
              <w:rPr>
                <w:rFonts w:ascii="Aptos Narrow" w:eastAsia="Times New Roman" w:hAnsi="Aptos Narrow" w:cs="Times New Roman"/>
                <w:color w:val="008000"/>
                <w:kern w:val="0"/>
                <w:sz w:val="16"/>
                <w:szCs w:val="16"/>
                <w:lang w:eastAsia="en-AU"/>
                <w14:ligatures w14:val="none"/>
              </w:rPr>
            </w:pPr>
            <w:r w:rsidRPr="00C25A9D">
              <w:rPr>
                <w:rFonts w:ascii="Aptos Narrow" w:eastAsia="Times New Roman" w:hAnsi="Aptos Narrow" w:cs="Times New Roman"/>
                <w:color w:val="008000"/>
                <w:kern w:val="0"/>
                <w:sz w:val="16"/>
                <w:szCs w:val="16"/>
                <w:lang w:eastAsia="en-AU"/>
                <w14:ligatures w14:val="none"/>
              </w:rPr>
              <w:t>Low income: % higher or lower than highest</w:t>
            </w:r>
          </w:p>
        </w:tc>
      </w:tr>
      <w:tr w:rsidR="000B791C" w:rsidRPr="000B791C" w14:paraId="0D638132"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48CF229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gambling</w:t>
            </w:r>
          </w:p>
        </w:tc>
        <w:tc>
          <w:tcPr>
            <w:tcW w:w="779" w:type="dxa"/>
            <w:tcBorders>
              <w:top w:val="nil"/>
              <w:left w:val="nil"/>
              <w:bottom w:val="single" w:sz="4" w:space="0" w:color="auto"/>
              <w:right w:val="nil"/>
            </w:tcBorders>
            <w:shd w:val="clear" w:color="000000" w:fill="E8FEE9"/>
            <w:noWrap/>
            <w:vAlign w:val="center"/>
            <w:hideMark/>
          </w:tcPr>
          <w:p w14:paraId="4D6E403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45.0</w:t>
            </w:r>
          </w:p>
        </w:tc>
        <w:tc>
          <w:tcPr>
            <w:tcW w:w="1000" w:type="dxa"/>
            <w:tcBorders>
              <w:top w:val="nil"/>
              <w:left w:val="nil"/>
              <w:bottom w:val="single" w:sz="4" w:space="0" w:color="auto"/>
              <w:right w:val="nil"/>
            </w:tcBorders>
            <w:shd w:val="clear" w:color="000000" w:fill="E8FEE9"/>
            <w:noWrap/>
            <w:vAlign w:val="center"/>
            <w:hideMark/>
          </w:tcPr>
          <w:p w14:paraId="19A142AA"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59</w:t>
            </w:r>
          </w:p>
        </w:tc>
        <w:tc>
          <w:tcPr>
            <w:tcW w:w="1569" w:type="dxa"/>
            <w:tcBorders>
              <w:top w:val="nil"/>
              <w:left w:val="nil"/>
              <w:bottom w:val="single" w:sz="4" w:space="0" w:color="auto"/>
              <w:right w:val="nil"/>
            </w:tcBorders>
            <w:shd w:val="clear" w:color="000000" w:fill="E8FEE9"/>
            <w:noWrap/>
            <w:vAlign w:val="bottom"/>
            <w:hideMark/>
          </w:tcPr>
          <w:p w14:paraId="5A872356"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-24</w:t>
            </w:r>
          </w:p>
        </w:tc>
      </w:tr>
      <w:tr w:rsidR="000B791C" w:rsidRPr="000B791C" w14:paraId="04DB9514"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3D6024AB"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EGMs (odds ratio)</w:t>
            </w:r>
          </w:p>
        </w:tc>
        <w:tc>
          <w:tcPr>
            <w:tcW w:w="779" w:type="dxa"/>
            <w:tcBorders>
              <w:top w:val="nil"/>
              <w:left w:val="nil"/>
              <w:bottom w:val="single" w:sz="4" w:space="0" w:color="auto"/>
              <w:right w:val="nil"/>
            </w:tcBorders>
            <w:shd w:val="clear" w:color="auto" w:fill="auto"/>
            <w:noWrap/>
            <w:vAlign w:val="center"/>
            <w:hideMark/>
          </w:tcPr>
          <w:p w14:paraId="2C6B953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auto" w:fill="auto"/>
            <w:noWrap/>
            <w:vAlign w:val="center"/>
            <w:hideMark/>
          </w:tcPr>
          <w:p w14:paraId="3648BB7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1.5</w:t>
            </w:r>
          </w:p>
        </w:tc>
        <w:tc>
          <w:tcPr>
            <w:tcW w:w="1569" w:type="dxa"/>
            <w:tcBorders>
              <w:top w:val="nil"/>
              <w:left w:val="nil"/>
              <w:bottom w:val="single" w:sz="4" w:space="0" w:color="auto"/>
              <w:right w:val="nil"/>
            </w:tcBorders>
            <w:shd w:val="clear" w:color="auto" w:fill="auto"/>
            <w:noWrap/>
            <w:vAlign w:val="bottom"/>
            <w:hideMark/>
          </w:tcPr>
          <w:p w14:paraId="1F4DC06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-33</w:t>
            </w:r>
          </w:p>
        </w:tc>
      </w:tr>
      <w:tr w:rsidR="000B791C" w:rsidRPr="000B791C" w14:paraId="6B76186A"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6F2C953"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sports g. (odds ratio)</w:t>
            </w:r>
          </w:p>
        </w:tc>
        <w:tc>
          <w:tcPr>
            <w:tcW w:w="779" w:type="dxa"/>
            <w:tcBorders>
              <w:top w:val="nil"/>
              <w:left w:val="nil"/>
              <w:bottom w:val="single" w:sz="4" w:space="0" w:color="auto"/>
              <w:right w:val="nil"/>
            </w:tcBorders>
            <w:shd w:val="clear" w:color="000000" w:fill="E8FEE9"/>
            <w:noWrap/>
            <w:vAlign w:val="center"/>
            <w:hideMark/>
          </w:tcPr>
          <w:p w14:paraId="5B2263AC"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1.0</w:t>
            </w:r>
          </w:p>
        </w:tc>
        <w:tc>
          <w:tcPr>
            <w:tcW w:w="1000" w:type="dxa"/>
            <w:tcBorders>
              <w:top w:val="nil"/>
              <w:left w:val="nil"/>
              <w:bottom w:val="single" w:sz="4" w:space="0" w:color="auto"/>
              <w:right w:val="nil"/>
            </w:tcBorders>
            <w:shd w:val="clear" w:color="000000" w:fill="E8FEE9"/>
            <w:noWrap/>
            <w:vAlign w:val="center"/>
            <w:hideMark/>
          </w:tcPr>
          <w:p w14:paraId="51569453"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3.5</w:t>
            </w:r>
          </w:p>
        </w:tc>
        <w:tc>
          <w:tcPr>
            <w:tcW w:w="1569" w:type="dxa"/>
            <w:tcBorders>
              <w:top w:val="nil"/>
              <w:left w:val="nil"/>
              <w:bottom w:val="single" w:sz="4" w:space="0" w:color="auto"/>
              <w:right w:val="nil"/>
            </w:tcBorders>
            <w:shd w:val="clear" w:color="000000" w:fill="E8FEE9"/>
            <w:noWrap/>
            <w:vAlign w:val="bottom"/>
            <w:hideMark/>
          </w:tcPr>
          <w:p w14:paraId="01852200"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-71</w:t>
            </w:r>
          </w:p>
        </w:tc>
      </w:tr>
      <w:tr w:rsidR="000B791C" w:rsidRPr="000B791C" w14:paraId="74B26E83"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2C93801D"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 gambling</w:t>
            </w:r>
          </w:p>
        </w:tc>
        <w:tc>
          <w:tcPr>
            <w:tcW w:w="779" w:type="dxa"/>
            <w:tcBorders>
              <w:top w:val="nil"/>
              <w:left w:val="nil"/>
              <w:bottom w:val="single" w:sz="4" w:space="0" w:color="auto"/>
              <w:right w:val="nil"/>
            </w:tcBorders>
            <w:shd w:val="clear" w:color="auto" w:fill="auto"/>
            <w:noWrap/>
            <w:vAlign w:val="center"/>
            <w:hideMark/>
          </w:tcPr>
          <w:p w14:paraId="31A6A33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35.0</w:t>
            </w:r>
          </w:p>
        </w:tc>
        <w:tc>
          <w:tcPr>
            <w:tcW w:w="1000" w:type="dxa"/>
            <w:tcBorders>
              <w:top w:val="nil"/>
              <w:left w:val="nil"/>
              <w:bottom w:val="single" w:sz="4" w:space="0" w:color="auto"/>
              <w:right w:val="nil"/>
            </w:tcBorders>
            <w:shd w:val="clear" w:color="auto" w:fill="auto"/>
            <w:noWrap/>
            <w:vAlign w:val="center"/>
            <w:hideMark/>
          </w:tcPr>
          <w:p w14:paraId="60D138A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59</w:t>
            </w:r>
          </w:p>
        </w:tc>
        <w:tc>
          <w:tcPr>
            <w:tcW w:w="1569" w:type="dxa"/>
            <w:tcBorders>
              <w:top w:val="nil"/>
              <w:left w:val="nil"/>
              <w:bottom w:val="single" w:sz="4" w:space="0" w:color="auto"/>
              <w:right w:val="nil"/>
            </w:tcBorders>
            <w:shd w:val="clear" w:color="auto" w:fill="auto"/>
            <w:noWrap/>
            <w:vAlign w:val="bottom"/>
            <w:hideMark/>
          </w:tcPr>
          <w:p w14:paraId="5577EC5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-41</w:t>
            </w:r>
          </w:p>
        </w:tc>
      </w:tr>
      <w:tr w:rsidR="000B791C" w:rsidRPr="000B791C" w14:paraId="2A0759BC"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7C469E88"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Participation in online-only</w:t>
            </w:r>
          </w:p>
        </w:tc>
        <w:tc>
          <w:tcPr>
            <w:tcW w:w="779" w:type="dxa"/>
            <w:tcBorders>
              <w:top w:val="nil"/>
              <w:left w:val="nil"/>
              <w:bottom w:val="single" w:sz="4" w:space="0" w:color="auto"/>
              <w:right w:val="nil"/>
            </w:tcBorders>
            <w:shd w:val="clear" w:color="000000" w:fill="E8FEE9"/>
            <w:noWrap/>
            <w:vAlign w:val="center"/>
            <w:hideMark/>
          </w:tcPr>
          <w:p w14:paraId="3C3CCCDB"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3.6</w:t>
            </w:r>
          </w:p>
        </w:tc>
        <w:tc>
          <w:tcPr>
            <w:tcW w:w="1000" w:type="dxa"/>
            <w:tcBorders>
              <w:top w:val="nil"/>
              <w:left w:val="nil"/>
              <w:bottom w:val="single" w:sz="4" w:space="0" w:color="auto"/>
              <w:right w:val="nil"/>
            </w:tcBorders>
            <w:shd w:val="clear" w:color="000000" w:fill="E8FEE9"/>
            <w:noWrap/>
            <w:vAlign w:val="center"/>
            <w:hideMark/>
          </w:tcPr>
          <w:p w14:paraId="038BB45F"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2.1</w:t>
            </w:r>
          </w:p>
        </w:tc>
        <w:tc>
          <w:tcPr>
            <w:tcW w:w="1569" w:type="dxa"/>
            <w:tcBorders>
              <w:top w:val="nil"/>
              <w:left w:val="nil"/>
              <w:bottom w:val="single" w:sz="4" w:space="0" w:color="auto"/>
              <w:right w:val="nil"/>
            </w:tcBorders>
            <w:shd w:val="clear" w:color="000000" w:fill="E8FEE9"/>
            <w:noWrap/>
            <w:vAlign w:val="bottom"/>
            <w:hideMark/>
          </w:tcPr>
          <w:p w14:paraId="21934694"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71</w:t>
            </w:r>
          </w:p>
        </w:tc>
      </w:tr>
      <w:tr w:rsidR="000B791C" w:rsidRPr="000B791C" w14:paraId="44A8DA32"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770A3D16"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(gamblers)</w:t>
            </w:r>
          </w:p>
        </w:tc>
        <w:tc>
          <w:tcPr>
            <w:tcW w:w="779" w:type="dxa"/>
            <w:tcBorders>
              <w:top w:val="nil"/>
              <w:left w:val="nil"/>
              <w:bottom w:val="single" w:sz="4" w:space="0" w:color="auto"/>
              <w:right w:val="nil"/>
            </w:tcBorders>
            <w:shd w:val="clear" w:color="auto" w:fill="auto"/>
            <w:noWrap/>
            <w:vAlign w:val="center"/>
            <w:hideMark/>
          </w:tcPr>
          <w:p w14:paraId="5ED6733F" w14:textId="4D42DE9E"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1,617</w:t>
            </w:r>
          </w:p>
        </w:tc>
        <w:tc>
          <w:tcPr>
            <w:tcW w:w="1000" w:type="dxa"/>
            <w:tcBorders>
              <w:top w:val="nil"/>
              <w:left w:val="nil"/>
              <w:bottom w:val="single" w:sz="4" w:space="0" w:color="auto"/>
              <w:right w:val="nil"/>
            </w:tcBorders>
            <w:shd w:val="clear" w:color="auto" w:fill="auto"/>
            <w:noWrap/>
            <w:vAlign w:val="center"/>
            <w:hideMark/>
          </w:tcPr>
          <w:p w14:paraId="64101445" w14:textId="1963303D"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5,003</w:t>
            </w:r>
          </w:p>
        </w:tc>
        <w:tc>
          <w:tcPr>
            <w:tcW w:w="1569" w:type="dxa"/>
            <w:tcBorders>
              <w:top w:val="nil"/>
              <w:left w:val="nil"/>
              <w:bottom w:val="single" w:sz="4" w:space="0" w:color="auto"/>
              <w:right w:val="nil"/>
            </w:tcBorders>
            <w:shd w:val="clear" w:color="auto" w:fill="auto"/>
            <w:noWrap/>
            <w:vAlign w:val="bottom"/>
            <w:hideMark/>
          </w:tcPr>
          <w:p w14:paraId="57E699D8"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-68</w:t>
            </w:r>
          </w:p>
        </w:tc>
      </w:tr>
      <w:tr w:rsidR="000B791C" w:rsidRPr="000B791C" w14:paraId="23CEFF0D"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1CC78B21"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Ave. G expenditure (EGMs)</w:t>
            </w:r>
          </w:p>
        </w:tc>
        <w:tc>
          <w:tcPr>
            <w:tcW w:w="779" w:type="dxa"/>
            <w:tcBorders>
              <w:top w:val="nil"/>
              <w:left w:val="nil"/>
              <w:bottom w:val="single" w:sz="4" w:space="0" w:color="auto"/>
              <w:right w:val="nil"/>
            </w:tcBorders>
            <w:shd w:val="clear" w:color="000000" w:fill="E8FEE9"/>
            <w:noWrap/>
            <w:vAlign w:val="center"/>
            <w:hideMark/>
          </w:tcPr>
          <w:p w14:paraId="2E313819" w14:textId="1642253A"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2,972</w:t>
            </w:r>
          </w:p>
        </w:tc>
        <w:tc>
          <w:tcPr>
            <w:tcW w:w="1000" w:type="dxa"/>
            <w:tcBorders>
              <w:top w:val="nil"/>
              <w:left w:val="nil"/>
              <w:bottom w:val="single" w:sz="4" w:space="0" w:color="auto"/>
              <w:right w:val="nil"/>
            </w:tcBorders>
            <w:shd w:val="clear" w:color="000000" w:fill="E8FEE9"/>
            <w:noWrap/>
            <w:vAlign w:val="center"/>
            <w:hideMark/>
          </w:tcPr>
          <w:p w14:paraId="3141D905" w14:textId="029AE7E8" w:rsidR="000B791C" w:rsidRPr="000B791C" w:rsidRDefault="005A5C03"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Pr>
                <w:rFonts w:ascii="Aptos Narrow" w:eastAsia="Times New Roman" w:hAnsi="Aptos Narrow" w:cs="Times New Roman"/>
                <w:color w:val="000000"/>
                <w:kern w:val="0"/>
                <w:sz w:val="16"/>
                <w:szCs w:val="16"/>
                <w:lang w:eastAsia="en-AU"/>
                <w14:ligatures w14:val="none"/>
              </w:rPr>
              <w:t>$</w:t>
            </w:r>
            <w:r w:rsidR="000B791C" w:rsidRPr="000B791C">
              <w:rPr>
                <w:rFonts w:ascii="Aptos Narrow" w:eastAsia="Times New Roman" w:hAnsi="Aptos Narrow" w:cs="Times New Roman"/>
                <w:color w:val="000000"/>
                <w:kern w:val="0"/>
                <w:sz w:val="16"/>
                <w:szCs w:val="16"/>
                <w:lang w:eastAsia="en-AU"/>
                <w14:ligatures w14:val="none"/>
              </w:rPr>
              <w:t>8,745</w:t>
            </w:r>
          </w:p>
        </w:tc>
        <w:tc>
          <w:tcPr>
            <w:tcW w:w="1569" w:type="dxa"/>
            <w:tcBorders>
              <w:top w:val="nil"/>
              <w:left w:val="nil"/>
              <w:bottom w:val="single" w:sz="4" w:space="0" w:color="auto"/>
              <w:right w:val="nil"/>
            </w:tcBorders>
            <w:shd w:val="clear" w:color="000000" w:fill="E8FEE9"/>
            <w:noWrap/>
            <w:vAlign w:val="bottom"/>
            <w:hideMark/>
          </w:tcPr>
          <w:p w14:paraId="462F68A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-66</w:t>
            </w:r>
          </w:p>
        </w:tc>
      </w:tr>
      <w:tr w:rsidR="000B791C" w:rsidRPr="000B791C" w14:paraId="77294A4B" w14:textId="77777777" w:rsidTr="000B791C">
        <w:trPr>
          <w:trHeight w:val="290"/>
        </w:trPr>
        <w:tc>
          <w:tcPr>
            <w:tcW w:w="2552" w:type="dxa"/>
            <w:tcBorders>
              <w:top w:val="nil"/>
              <w:left w:val="nil"/>
              <w:bottom w:val="single" w:sz="4" w:space="0" w:color="auto"/>
              <w:right w:val="nil"/>
            </w:tcBorders>
            <w:shd w:val="clear" w:color="auto" w:fill="auto"/>
            <w:noWrap/>
            <w:vAlign w:val="center"/>
            <w:hideMark/>
          </w:tcPr>
          <w:p w14:paraId="571B5F87"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Problem gambling - % gamblers</w:t>
            </w:r>
          </w:p>
        </w:tc>
        <w:tc>
          <w:tcPr>
            <w:tcW w:w="779" w:type="dxa"/>
            <w:tcBorders>
              <w:top w:val="nil"/>
              <w:left w:val="nil"/>
              <w:bottom w:val="single" w:sz="4" w:space="0" w:color="auto"/>
              <w:right w:val="nil"/>
            </w:tcBorders>
            <w:shd w:val="clear" w:color="auto" w:fill="auto"/>
            <w:noWrap/>
            <w:vAlign w:val="center"/>
            <w:hideMark/>
          </w:tcPr>
          <w:p w14:paraId="502C94A9"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2.7</w:t>
            </w:r>
          </w:p>
        </w:tc>
        <w:tc>
          <w:tcPr>
            <w:tcW w:w="1000" w:type="dxa"/>
            <w:tcBorders>
              <w:top w:val="nil"/>
              <w:left w:val="nil"/>
              <w:bottom w:val="single" w:sz="4" w:space="0" w:color="auto"/>
              <w:right w:val="nil"/>
            </w:tcBorders>
            <w:shd w:val="clear" w:color="auto" w:fill="auto"/>
            <w:noWrap/>
            <w:vAlign w:val="center"/>
            <w:hideMark/>
          </w:tcPr>
          <w:p w14:paraId="594FF05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1.4</w:t>
            </w:r>
          </w:p>
        </w:tc>
        <w:tc>
          <w:tcPr>
            <w:tcW w:w="1569" w:type="dxa"/>
            <w:tcBorders>
              <w:top w:val="nil"/>
              <w:left w:val="nil"/>
              <w:bottom w:val="single" w:sz="4" w:space="0" w:color="auto"/>
              <w:right w:val="nil"/>
            </w:tcBorders>
            <w:shd w:val="clear" w:color="auto" w:fill="auto"/>
            <w:noWrap/>
            <w:vAlign w:val="bottom"/>
            <w:hideMark/>
          </w:tcPr>
          <w:p w14:paraId="6AC3DE05"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93</w:t>
            </w:r>
          </w:p>
        </w:tc>
      </w:tr>
      <w:tr w:rsidR="000B791C" w:rsidRPr="000B791C" w14:paraId="0E346041" w14:textId="77777777" w:rsidTr="000B791C">
        <w:trPr>
          <w:trHeight w:val="290"/>
        </w:trPr>
        <w:tc>
          <w:tcPr>
            <w:tcW w:w="2552" w:type="dxa"/>
            <w:tcBorders>
              <w:top w:val="nil"/>
              <w:left w:val="nil"/>
              <w:bottom w:val="single" w:sz="4" w:space="0" w:color="auto"/>
              <w:right w:val="nil"/>
            </w:tcBorders>
            <w:shd w:val="clear" w:color="000000" w:fill="E8FEE9"/>
            <w:noWrap/>
            <w:vAlign w:val="center"/>
            <w:hideMark/>
          </w:tcPr>
          <w:p w14:paraId="06140F58" w14:textId="77777777" w:rsidR="000B791C" w:rsidRPr="000B791C" w:rsidRDefault="000B791C" w:rsidP="000B791C">
            <w:pPr>
              <w:spacing w:after="0" w:line="240" w:lineRule="auto"/>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Gambling problems - % gamblers</w:t>
            </w:r>
          </w:p>
        </w:tc>
        <w:tc>
          <w:tcPr>
            <w:tcW w:w="779" w:type="dxa"/>
            <w:tcBorders>
              <w:top w:val="nil"/>
              <w:left w:val="nil"/>
              <w:bottom w:val="single" w:sz="4" w:space="0" w:color="auto"/>
              <w:right w:val="nil"/>
            </w:tcBorders>
            <w:shd w:val="clear" w:color="000000" w:fill="E8FEE9"/>
            <w:noWrap/>
            <w:vAlign w:val="center"/>
            <w:hideMark/>
          </w:tcPr>
          <w:p w14:paraId="4A9D4C4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16.0</w:t>
            </w:r>
          </w:p>
        </w:tc>
        <w:tc>
          <w:tcPr>
            <w:tcW w:w="1000" w:type="dxa"/>
            <w:tcBorders>
              <w:top w:val="nil"/>
              <w:left w:val="nil"/>
              <w:bottom w:val="single" w:sz="4" w:space="0" w:color="auto"/>
              <w:right w:val="nil"/>
            </w:tcBorders>
            <w:shd w:val="clear" w:color="000000" w:fill="E8FEE9"/>
            <w:noWrap/>
            <w:vAlign w:val="center"/>
            <w:hideMark/>
          </w:tcPr>
          <w:p w14:paraId="0F8336AD"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13</w:t>
            </w:r>
          </w:p>
        </w:tc>
        <w:tc>
          <w:tcPr>
            <w:tcW w:w="1569" w:type="dxa"/>
            <w:tcBorders>
              <w:top w:val="nil"/>
              <w:left w:val="nil"/>
              <w:bottom w:val="single" w:sz="4" w:space="0" w:color="auto"/>
              <w:right w:val="nil"/>
            </w:tcBorders>
            <w:shd w:val="clear" w:color="000000" w:fill="E8FEE9"/>
            <w:noWrap/>
            <w:vAlign w:val="bottom"/>
            <w:hideMark/>
          </w:tcPr>
          <w:p w14:paraId="37D55541" w14:textId="77777777" w:rsidR="000B791C" w:rsidRPr="000B791C" w:rsidRDefault="000B791C" w:rsidP="000B791C">
            <w:pPr>
              <w:spacing w:after="0" w:line="240" w:lineRule="auto"/>
              <w:jc w:val="center"/>
              <w:rPr>
                <w:rFonts w:ascii="Aptos Narrow" w:eastAsia="Times New Roman" w:hAnsi="Aptos Narrow" w:cs="Times New Roman"/>
                <w:color w:val="000000"/>
                <w:kern w:val="0"/>
                <w:sz w:val="16"/>
                <w:szCs w:val="16"/>
                <w:lang w:eastAsia="en-AU"/>
                <w14:ligatures w14:val="none"/>
              </w:rPr>
            </w:pPr>
            <w:r w:rsidRPr="000B791C">
              <w:rPr>
                <w:rFonts w:ascii="Aptos Narrow" w:eastAsia="Times New Roman" w:hAnsi="Aptos Narrow" w:cs="Times New Roman"/>
                <w:color w:val="000000"/>
                <w:kern w:val="0"/>
                <w:sz w:val="16"/>
                <w:szCs w:val="16"/>
                <w:lang w:eastAsia="en-AU"/>
                <w14:ligatures w14:val="none"/>
              </w:rPr>
              <w:t>23</w:t>
            </w:r>
          </w:p>
        </w:tc>
      </w:tr>
    </w:tbl>
    <w:p w14:paraId="1F426DF4" w14:textId="77777777" w:rsidR="000B791C" w:rsidRPr="00C25A9D" w:rsidRDefault="000B791C" w:rsidP="001D49D7">
      <w:pPr>
        <w:spacing w:after="0" w:line="240" w:lineRule="auto"/>
        <w:rPr>
          <w:sz w:val="6"/>
          <w:szCs w:val="6"/>
          <w:lang w:val="en-US"/>
        </w:rPr>
      </w:pPr>
    </w:p>
    <w:sectPr w:rsidR="000B791C" w:rsidRPr="00C25A9D" w:rsidSect="00BF6257">
      <w:footerReference w:type="default" r:id="rId2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4C3BE" w14:textId="77777777" w:rsidR="00394245" w:rsidRDefault="00394245" w:rsidP="00EC0B5F">
      <w:pPr>
        <w:spacing w:after="0" w:line="240" w:lineRule="auto"/>
      </w:pPr>
      <w:r>
        <w:separator/>
      </w:r>
    </w:p>
  </w:endnote>
  <w:endnote w:type="continuationSeparator" w:id="0">
    <w:p w14:paraId="6FDB2184" w14:textId="77777777" w:rsidR="00394245" w:rsidRDefault="00394245" w:rsidP="00EC0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513045399"/>
      <w:docPartObj>
        <w:docPartGallery w:val="Page Numbers (Bottom of Page)"/>
        <w:docPartUnique/>
      </w:docPartObj>
    </w:sdtPr>
    <w:sdtEndPr>
      <w:rPr>
        <w:color w:val="7F7F7F" w:themeColor="background1" w:themeShade="7F"/>
        <w:spacing w:val="60"/>
      </w:rPr>
    </w:sdtEndPr>
    <w:sdtContent>
      <w:p w14:paraId="053F0ADD" w14:textId="5CB7711C" w:rsidR="00EC0B5F" w:rsidRPr="00EC0B5F" w:rsidRDefault="00EC0B5F" w:rsidP="00EC0B5F">
        <w:pPr>
          <w:pStyle w:val="Footer"/>
          <w:pBdr>
            <w:top w:val="single" w:sz="4" w:space="1" w:color="D9D9D9" w:themeColor="background1" w:themeShade="D9"/>
          </w:pBdr>
          <w:rPr>
            <w:b/>
            <w:bCs/>
            <w:sz w:val="18"/>
            <w:szCs w:val="18"/>
          </w:rPr>
        </w:pPr>
        <w:r w:rsidRPr="00EC0B5F">
          <w:rPr>
            <w:sz w:val="18"/>
            <w:szCs w:val="18"/>
          </w:rPr>
          <w:fldChar w:fldCharType="begin"/>
        </w:r>
        <w:r w:rsidRPr="00EC0B5F">
          <w:rPr>
            <w:sz w:val="18"/>
            <w:szCs w:val="18"/>
          </w:rPr>
          <w:instrText xml:space="preserve"> PAGE   \* MERGEFORMAT </w:instrText>
        </w:r>
        <w:r w:rsidRPr="00EC0B5F">
          <w:rPr>
            <w:sz w:val="18"/>
            <w:szCs w:val="18"/>
          </w:rPr>
          <w:fldChar w:fldCharType="separate"/>
        </w:r>
        <w:r w:rsidRPr="00EC0B5F">
          <w:rPr>
            <w:b/>
            <w:bCs/>
            <w:noProof/>
            <w:sz w:val="18"/>
            <w:szCs w:val="18"/>
          </w:rPr>
          <w:t>2</w:t>
        </w:r>
        <w:r w:rsidRPr="00EC0B5F">
          <w:rPr>
            <w:b/>
            <w:bCs/>
            <w:noProof/>
            <w:sz w:val="18"/>
            <w:szCs w:val="18"/>
          </w:rPr>
          <w:fldChar w:fldCharType="end"/>
        </w:r>
        <w:r w:rsidRPr="00EC0B5F">
          <w:rPr>
            <w:b/>
            <w:bCs/>
            <w:sz w:val="18"/>
            <w:szCs w:val="18"/>
          </w:rPr>
          <w:t xml:space="preserve"> | </w:t>
        </w:r>
        <w:r w:rsidRPr="00EC0B5F">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E319B" w14:textId="77777777" w:rsidR="00394245" w:rsidRDefault="00394245" w:rsidP="00EC0B5F">
      <w:pPr>
        <w:spacing w:after="0" w:line="240" w:lineRule="auto"/>
      </w:pPr>
      <w:r>
        <w:separator/>
      </w:r>
    </w:p>
  </w:footnote>
  <w:footnote w:type="continuationSeparator" w:id="0">
    <w:p w14:paraId="616A1C18" w14:textId="77777777" w:rsidR="00394245" w:rsidRDefault="00394245" w:rsidP="00EC0B5F">
      <w:pPr>
        <w:spacing w:after="0" w:line="240" w:lineRule="auto"/>
      </w:pPr>
      <w:r>
        <w:continuationSeparator/>
      </w:r>
    </w:p>
  </w:footnote>
  <w:footnote w:id="1">
    <w:p w14:paraId="7715ABB7" w14:textId="4663A28A" w:rsidR="00D95808" w:rsidRPr="00D95808" w:rsidRDefault="00D95808" w:rsidP="00D95808">
      <w:pPr>
        <w:spacing w:after="0" w:line="240" w:lineRule="auto"/>
        <w:jc w:val="both"/>
      </w:pPr>
      <w:r>
        <w:rPr>
          <w:rStyle w:val="FootnoteReference"/>
        </w:rPr>
        <w:footnoteRef/>
      </w:r>
      <w:r>
        <w:t xml:space="preserve"> </w:t>
      </w:r>
      <w:r w:rsidRPr="00D95808">
        <w:rPr>
          <w:sz w:val="16"/>
          <w:szCs w:val="16"/>
        </w:rPr>
        <w:t xml:space="preserve">These expenditure figures should be </w:t>
      </w:r>
      <w:r w:rsidR="005A5C03">
        <w:rPr>
          <w:sz w:val="16"/>
          <w:szCs w:val="16"/>
        </w:rPr>
        <w:t>treated</w:t>
      </w:r>
      <w:r w:rsidRPr="00D95808">
        <w:rPr>
          <w:sz w:val="16"/>
          <w:szCs w:val="16"/>
        </w:rPr>
        <w:t xml:space="preserve"> with </w:t>
      </w:r>
      <w:r w:rsidR="005A5C03">
        <w:rPr>
          <w:sz w:val="16"/>
          <w:szCs w:val="16"/>
        </w:rPr>
        <w:t>circumspection</w:t>
      </w:r>
      <w:r w:rsidRPr="00D95808">
        <w:rPr>
          <w:sz w:val="16"/>
          <w:szCs w:val="16"/>
        </w:rPr>
        <w:t>. If the average losses per EGM gambler are multiplied by the number of EGM gamblers in Victoria (</w:t>
      </w:r>
      <w:r>
        <w:rPr>
          <w:sz w:val="16"/>
          <w:szCs w:val="16"/>
        </w:rPr>
        <w:t>equal to</w:t>
      </w:r>
      <w:r w:rsidRPr="00D95808">
        <w:rPr>
          <w:sz w:val="16"/>
          <w:szCs w:val="16"/>
        </w:rPr>
        <w:t xml:space="preserve"> 10.7% of the State adult population of 5.44 million) to give an estimate of </w:t>
      </w:r>
      <w:r>
        <w:rPr>
          <w:sz w:val="16"/>
          <w:szCs w:val="16"/>
        </w:rPr>
        <w:t xml:space="preserve">total Victorian </w:t>
      </w:r>
      <w:r w:rsidRPr="00D95808">
        <w:rPr>
          <w:sz w:val="16"/>
          <w:szCs w:val="16"/>
        </w:rPr>
        <w:t xml:space="preserve">EGM losses, the result is $1.547 billion, </w:t>
      </w:r>
      <w:r>
        <w:rPr>
          <w:sz w:val="16"/>
          <w:szCs w:val="16"/>
        </w:rPr>
        <w:t>about half</w:t>
      </w:r>
      <w:r w:rsidRPr="00D95808">
        <w:rPr>
          <w:sz w:val="16"/>
          <w:szCs w:val="16"/>
        </w:rPr>
        <w:t xml:space="preserve"> </w:t>
      </w:r>
      <w:r>
        <w:rPr>
          <w:sz w:val="16"/>
          <w:szCs w:val="16"/>
        </w:rPr>
        <w:t>(</w:t>
      </w:r>
      <w:r w:rsidRPr="00D95808">
        <w:rPr>
          <w:sz w:val="16"/>
          <w:szCs w:val="16"/>
        </w:rPr>
        <w:t>51%</w:t>
      </w:r>
      <w:r>
        <w:rPr>
          <w:sz w:val="16"/>
          <w:szCs w:val="16"/>
        </w:rPr>
        <w:t xml:space="preserve">) </w:t>
      </w:r>
      <w:r w:rsidRPr="00D95808">
        <w:rPr>
          <w:sz w:val="16"/>
          <w:szCs w:val="16"/>
        </w:rPr>
        <w:t xml:space="preserve">of </w:t>
      </w:r>
      <w:r w:rsidRPr="00D95808">
        <w:rPr>
          <w:i/>
          <w:iCs/>
          <w:sz w:val="16"/>
          <w:szCs w:val="16"/>
        </w:rPr>
        <w:t>actual</w:t>
      </w:r>
      <w:r w:rsidRPr="00D95808">
        <w:rPr>
          <w:sz w:val="16"/>
          <w:szCs w:val="16"/>
        </w:rPr>
        <w:t xml:space="preserve"> losses recorded in 2023/24. This discrepancy confirms that a substantial proportion of EGM losses was unreported by respondents to the survey. Conversely, actual EGM losses in 2023/24, divided by the population of EGM gamblers (the State adult population x 0.107), yields an approximation of average losses during that year by EGM gamblers of $5,201 - about twice the figure given in the study.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57"/>
    <w:rsid w:val="00042841"/>
    <w:rsid w:val="00064894"/>
    <w:rsid w:val="000B791C"/>
    <w:rsid w:val="00103732"/>
    <w:rsid w:val="001D37C2"/>
    <w:rsid w:val="001D49D7"/>
    <w:rsid w:val="00254C53"/>
    <w:rsid w:val="002B004D"/>
    <w:rsid w:val="0030413B"/>
    <w:rsid w:val="003514C3"/>
    <w:rsid w:val="003634D3"/>
    <w:rsid w:val="00394245"/>
    <w:rsid w:val="003A4046"/>
    <w:rsid w:val="003F2E70"/>
    <w:rsid w:val="004E2EDD"/>
    <w:rsid w:val="005A5C03"/>
    <w:rsid w:val="006228E1"/>
    <w:rsid w:val="006832EC"/>
    <w:rsid w:val="00734746"/>
    <w:rsid w:val="00763664"/>
    <w:rsid w:val="007766D1"/>
    <w:rsid w:val="007A6F2B"/>
    <w:rsid w:val="007D7C93"/>
    <w:rsid w:val="00803415"/>
    <w:rsid w:val="00805DD9"/>
    <w:rsid w:val="00825323"/>
    <w:rsid w:val="00870057"/>
    <w:rsid w:val="00926F1D"/>
    <w:rsid w:val="00A07CAD"/>
    <w:rsid w:val="00A45B7A"/>
    <w:rsid w:val="00A60840"/>
    <w:rsid w:val="00A9623F"/>
    <w:rsid w:val="00AD597E"/>
    <w:rsid w:val="00B86D17"/>
    <w:rsid w:val="00B92FB3"/>
    <w:rsid w:val="00BC1331"/>
    <w:rsid w:val="00BF6257"/>
    <w:rsid w:val="00C13D75"/>
    <w:rsid w:val="00C25A9D"/>
    <w:rsid w:val="00C348C5"/>
    <w:rsid w:val="00D332FB"/>
    <w:rsid w:val="00D334E4"/>
    <w:rsid w:val="00D95808"/>
    <w:rsid w:val="00E04C20"/>
    <w:rsid w:val="00E421DC"/>
    <w:rsid w:val="00E77618"/>
    <w:rsid w:val="00E77F4A"/>
    <w:rsid w:val="00EC0B5F"/>
    <w:rsid w:val="00ED096B"/>
    <w:rsid w:val="00EE37EF"/>
    <w:rsid w:val="00F327C4"/>
    <w:rsid w:val="00FB68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EE19"/>
  <w15:chartTrackingRefBased/>
  <w15:docId w15:val="{281F3F7B-91F7-4F24-9A88-602DEF56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2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2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2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2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2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2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2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2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2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2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2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2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2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2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2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257"/>
    <w:rPr>
      <w:rFonts w:eastAsiaTheme="majorEastAsia" w:cstheme="majorBidi"/>
      <w:color w:val="272727" w:themeColor="text1" w:themeTint="D8"/>
    </w:rPr>
  </w:style>
  <w:style w:type="paragraph" w:styleId="Title">
    <w:name w:val="Title"/>
    <w:basedOn w:val="Normal"/>
    <w:next w:val="Normal"/>
    <w:link w:val="TitleChar"/>
    <w:uiPriority w:val="10"/>
    <w:qFormat/>
    <w:rsid w:val="00BF6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2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2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2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257"/>
    <w:pPr>
      <w:spacing w:before="160"/>
      <w:jc w:val="center"/>
    </w:pPr>
    <w:rPr>
      <w:i/>
      <w:iCs/>
      <w:color w:val="404040" w:themeColor="text1" w:themeTint="BF"/>
    </w:rPr>
  </w:style>
  <w:style w:type="character" w:customStyle="1" w:styleId="QuoteChar">
    <w:name w:val="Quote Char"/>
    <w:basedOn w:val="DefaultParagraphFont"/>
    <w:link w:val="Quote"/>
    <w:uiPriority w:val="29"/>
    <w:rsid w:val="00BF6257"/>
    <w:rPr>
      <w:i/>
      <w:iCs/>
      <w:color w:val="404040" w:themeColor="text1" w:themeTint="BF"/>
    </w:rPr>
  </w:style>
  <w:style w:type="paragraph" w:styleId="ListParagraph">
    <w:name w:val="List Paragraph"/>
    <w:basedOn w:val="Normal"/>
    <w:uiPriority w:val="34"/>
    <w:qFormat/>
    <w:rsid w:val="00BF6257"/>
    <w:pPr>
      <w:ind w:left="720"/>
      <w:contextualSpacing/>
    </w:pPr>
  </w:style>
  <w:style w:type="character" w:styleId="IntenseEmphasis">
    <w:name w:val="Intense Emphasis"/>
    <w:basedOn w:val="DefaultParagraphFont"/>
    <w:uiPriority w:val="21"/>
    <w:qFormat/>
    <w:rsid w:val="00BF6257"/>
    <w:rPr>
      <w:i/>
      <w:iCs/>
      <w:color w:val="0F4761" w:themeColor="accent1" w:themeShade="BF"/>
    </w:rPr>
  </w:style>
  <w:style w:type="paragraph" w:styleId="IntenseQuote">
    <w:name w:val="Intense Quote"/>
    <w:basedOn w:val="Normal"/>
    <w:next w:val="Normal"/>
    <w:link w:val="IntenseQuoteChar"/>
    <w:uiPriority w:val="30"/>
    <w:qFormat/>
    <w:rsid w:val="00BF6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257"/>
    <w:rPr>
      <w:i/>
      <w:iCs/>
      <w:color w:val="0F4761" w:themeColor="accent1" w:themeShade="BF"/>
    </w:rPr>
  </w:style>
  <w:style w:type="character" w:styleId="IntenseReference">
    <w:name w:val="Intense Reference"/>
    <w:basedOn w:val="DefaultParagraphFont"/>
    <w:uiPriority w:val="32"/>
    <w:qFormat/>
    <w:rsid w:val="00BF6257"/>
    <w:rPr>
      <w:b/>
      <w:bCs/>
      <w:smallCaps/>
      <w:color w:val="0F4761" w:themeColor="accent1" w:themeShade="BF"/>
      <w:spacing w:val="5"/>
    </w:rPr>
  </w:style>
  <w:style w:type="character" w:styleId="Hyperlink">
    <w:name w:val="Hyperlink"/>
    <w:basedOn w:val="DefaultParagraphFont"/>
    <w:uiPriority w:val="99"/>
    <w:unhideWhenUsed/>
    <w:rsid w:val="0030413B"/>
    <w:rPr>
      <w:color w:val="467886" w:themeColor="hyperlink"/>
      <w:u w:val="single"/>
    </w:rPr>
  </w:style>
  <w:style w:type="character" w:styleId="UnresolvedMention">
    <w:name w:val="Unresolved Mention"/>
    <w:basedOn w:val="DefaultParagraphFont"/>
    <w:uiPriority w:val="99"/>
    <w:semiHidden/>
    <w:unhideWhenUsed/>
    <w:rsid w:val="0030413B"/>
    <w:rPr>
      <w:color w:val="605E5C"/>
      <w:shd w:val="clear" w:color="auto" w:fill="E1DFDD"/>
    </w:rPr>
  </w:style>
  <w:style w:type="paragraph" w:styleId="Header">
    <w:name w:val="header"/>
    <w:basedOn w:val="Normal"/>
    <w:link w:val="HeaderChar"/>
    <w:uiPriority w:val="99"/>
    <w:unhideWhenUsed/>
    <w:rsid w:val="00EC0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B5F"/>
  </w:style>
  <w:style w:type="paragraph" w:styleId="Footer">
    <w:name w:val="footer"/>
    <w:basedOn w:val="Normal"/>
    <w:link w:val="FooterChar"/>
    <w:uiPriority w:val="99"/>
    <w:unhideWhenUsed/>
    <w:rsid w:val="00EC0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B5F"/>
  </w:style>
  <w:style w:type="character" w:styleId="FollowedHyperlink">
    <w:name w:val="FollowedHyperlink"/>
    <w:basedOn w:val="DefaultParagraphFont"/>
    <w:uiPriority w:val="99"/>
    <w:semiHidden/>
    <w:unhideWhenUsed/>
    <w:rsid w:val="00B86D17"/>
    <w:rPr>
      <w:color w:val="96607D" w:themeColor="followedHyperlink"/>
      <w:u w:val="single"/>
    </w:rPr>
  </w:style>
  <w:style w:type="paragraph" w:styleId="FootnoteText">
    <w:name w:val="footnote text"/>
    <w:basedOn w:val="Normal"/>
    <w:link w:val="FootnoteTextChar"/>
    <w:uiPriority w:val="99"/>
    <w:semiHidden/>
    <w:unhideWhenUsed/>
    <w:rsid w:val="00D958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808"/>
    <w:rPr>
      <w:sz w:val="20"/>
      <w:szCs w:val="20"/>
    </w:rPr>
  </w:style>
  <w:style w:type="character" w:styleId="FootnoteReference">
    <w:name w:val="footnote reference"/>
    <w:basedOn w:val="DefaultParagraphFont"/>
    <w:uiPriority w:val="99"/>
    <w:semiHidden/>
    <w:unhideWhenUsed/>
    <w:rsid w:val="00D958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33225">
      <w:bodyDiv w:val="1"/>
      <w:marLeft w:val="0"/>
      <w:marRight w:val="0"/>
      <w:marTop w:val="0"/>
      <w:marBottom w:val="0"/>
      <w:divBdr>
        <w:top w:val="none" w:sz="0" w:space="0" w:color="auto"/>
        <w:left w:val="none" w:sz="0" w:space="0" w:color="auto"/>
        <w:bottom w:val="none" w:sz="0" w:space="0" w:color="auto"/>
        <w:right w:val="none" w:sz="0" w:space="0" w:color="auto"/>
      </w:divBdr>
    </w:div>
    <w:div w:id="136384621">
      <w:bodyDiv w:val="1"/>
      <w:marLeft w:val="0"/>
      <w:marRight w:val="0"/>
      <w:marTop w:val="0"/>
      <w:marBottom w:val="0"/>
      <w:divBdr>
        <w:top w:val="none" w:sz="0" w:space="0" w:color="auto"/>
        <w:left w:val="none" w:sz="0" w:space="0" w:color="auto"/>
        <w:bottom w:val="none" w:sz="0" w:space="0" w:color="auto"/>
        <w:right w:val="none" w:sz="0" w:space="0" w:color="auto"/>
      </w:divBdr>
    </w:div>
    <w:div w:id="138423774">
      <w:bodyDiv w:val="1"/>
      <w:marLeft w:val="0"/>
      <w:marRight w:val="0"/>
      <w:marTop w:val="0"/>
      <w:marBottom w:val="0"/>
      <w:divBdr>
        <w:top w:val="none" w:sz="0" w:space="0" w:color="auto"/>
        <w:left w:val="none" w:sz="0" w:space="0" w:color="auto"/>
        <w:bottom w:val="none" w:sz="0" w:space="0" w:color="auto"/>
        <w:right w:val="none" w:sz="0" w:space="0" w:color="auto"/>
      </w:divBdr>
    </w:div>
    <w:div w:id="211041837">
      <w:bodyDiv w:val="1"/>
      <w:marLeft w:val="0"/>
      <w:marRight w:val="0"/>
      <w:marTop w:val="0"/>
      <w:marBottom w:val="0"/>
      <w:divBdr>
        <w:top w:val="none" w:sz="0" w:space="0" w:color="auto"/>
        <w:left w:val="none" w:sz="0" w:space="0" w:color="auto"/>
        <w:bottom w:val="none" w:sz="0" w:space="0" w:color="auto"/>
        <w:right w:val="none" w:sz="0" w:space="0" w:color="auto"/>
      </w:divBdr>
    </w:div>
    <w:div w:id="346491899">
      <w:bodyDiv w:val="1"/>
      <w:marLeft w:val="0"/>
      <w:marRight w:val="0"/>
      <w:marTop w:val="0"/>
      <w:marBottom w:val="0"/>
      <w:divBdr>
        <w:top w:val="none" w:sz="0" w:space="0" w:color="auto"/>
        <w:left w:val="none" w:sz="0" w:space="0" w:color="auto"/>
        <w:bottom w:val="none" w:sz="0" w:space="0" w:color="auto"/>
        <w:right w:val="none" w:sz="0" w:space="0" w:color="auto"/>
      </w:divBdr>
    </w:div>
    <w:div w:id="349648811">
      <w:bodyDiv w:val="1"/>
      <w:marLeft w:val="0"/>
      <w:marRight w:val="0"/>
      <w:marTop w:val="0"/>
      <w:marBottom w:val="0"/>
      <w:divBdr>
        <w:top w:val="none" w:sz="0" w:space="0" w:color="auto"/>
        <w:left w:val="none" w:sz="0" w:space="0" w:color="auto"/>
        <w:bottom w:val="none" w:sz="0" w:space="0" w:color="auto"/>
        <w:right w:val="none" w:sz="0" w:space="0" w:color="auto"/>
      </w:divBdr>
    </w:div>
    <w:div w:id="408163049">
      <w:bodyDiv w:val="1"/>
      <w:marLeft w:val="0"/>
      <w:marRight w:val="0"/>
      <w:marTop w:val="0"/>
      <w:marBottom w:val="0"/>
      <w:divBdr>
        <w:top w:val="none" w:sz="0" w:space="0" w:color="auto"/>
        <w:left w:val="none" w:sz="0" w:space="0" w:color="auto"/>
        <w:bottom w:val="none" w:sz="0" w:space="0" w:color="auto"/>
        <w:right w:val="none" w:sz="0" w:space="0" w:color="auto"/>
      </w:divBdr>
    </w:div>
    <w:div w:id="438139543">
      <w:bodyDiv w:val="1"/>
      <w:marLeft w:val="0"/>
      <w:marRight w:val="0"/>
      <w:marTop w:val="0"/>
      <w:marBottom w:val="0"/>
      <w:divBdr>
        <w:top w:val="none" w:sz="0" w:space="0" w:color="auto"/>
        <w:left w:val="none" w:sz="0" w:space="0" w:color="auto"/>
        <w:bottom w:val="none" w:sz="0" w:space="0" w:color="auto"/>
        <w:right w:val="none" w:sz="0" w:space="0" w:color="auto"/>
      </w:divBdr>
    </w:div>
    <w:div w:id="477962897">
      <w:bodyDiv w:val="1"/>
      <w:marLeft w:val="0"/>
      <w:marRight w:val="0"/>
      <w:marTop w:val="0"/>
      <w:marBottom w:val="0"/>
      <w:divBdr>
        <w:top w:val="none" w:sz="0" w:space="0" w:color="auto"/>
        <w:left w:val="none" w:sz="0" w:space="0" w:color="auto"/>
        <w:bottom w:val="none" w:sz="0" w:space="0" w:color="auto"/>
        <w:right w:val="none" w:sz="0" w:space="0" w:color="auto"/>
      </w:divBdr>
    </w:div>
    <w:div w:id="518738270">
      <w:bodyDiv w:val="1"/>
      <w:marLeft w:val="0"/>
      <w:marRight w:val="0"/>
      <w:marTop w:val="0"/>
      <w:marBottom w:val="0"/>
      <w:divBdr>
        <w:top w:val="none" w:sz="0" w:space="0" w:color="auto"/>
        <w:left w:val="none" w:sz="0" w:space="0" w:color="auto"/>
        <w:bottom w:val="none" w:sz="0" w:space="0" w:color="auto"/>
        <w:right w:val="none" w:sz="0" w:space="0" w:color="auto"/>
      </w:divBdr>
    </w:div>
    <w:div w:id="536045656">
      <w:bodyDiv w:val="1"/>
      <w:marLeft w:val="0"/>
      <w:marRight w:val="0"/>
      <w:marTop w:val="0"/>
      <w:marBottom w:val="0"/>
      <w:divBdr>
        <w:top w:val="none" w:sz="0" w:space="0" w:color="auto"/>
        <w:left w:val="none" w:sz="0" w:space="0" w:color="auto"/>
        <w:bottom w:val="none" w:sz="0" w:space="0" w:color="auto"/>
        <w:right w:val="none" w:sz="0" w:space="0" w:color="auto"/>
      </w:divBdr>
    </w:div>
    <w:div w:id="566918762">
      <w:bodyDiv w:val="1"/>
      <w:marLeft w:val="0"/>
      <w:marRight w:val="0"/>
      <w:marTop w:val="0"/>
      <w:marBottom w:val="0"/>
      <w:divBdr>
        <w:top w:val="none" w:sz="0" w:space="0" w:color="auto"/>
        <w:left w:val="none" w:sz="0" w:space="0" w:color="auto"/>
        <w:bottom w:val="none" w:sz="0" w:space="0" w:color="auto"/>
        <w:right w:val="none" w:sz="0" w:space="0" w:color="auto"/>
      </w:divBdr>
    </w:div>
    <w:div w:id="572356308">
      <w:bodyDiv w:val="1"/>
      <w:marLeft w:val="0"/>
      <w:marRight w:val="0"/>
      <w:marTop w:val="0"/>
      <w:marBottom w:val="0"/>
      <w:divBdr>
        <w:top w:val="none" w:sz="0" w:space="0" w:color="auto"/>
        <w:left w:val="none" w:sz="0" w:space="0" w:color="auto"/>
        <w:bottom w:val="none" w:sz="0" w:space="0" w:color="auto"/>
        <w:right w:val="none" w:sz="0" w:space="0" w:color="auto"/>
      </w:divBdr>
    </w:div>
    <w:div w:id="576669689">
      <w:bodyDiv w:val="1"/>
      <w:marLeft w:val="0"/>
      <w:marRight w:val="0"/>
      <w:marTop w:val="0"/>
      <w:marBottom w:val="0"/>
      <w:divBdr>
        <w:top w:val="none" w:sz="0" w:space="0" w:color="auto"/>
        <w:left w:val="none" w:sz="0" w:space="0" w:color="auto"/>
        <w:bottom w:val="none" w:sz="0" w:space="0" w:color="auto"/>
        <w:right w:val="none" w:sz="0" w:space="0" w:color="auto"/>
      </w:divBdr>
    </w:div>
    <w:div w:id="727608565">
      <w:bodyDiv w:val="1"/>
      <w:marLeft w:val="0"/>
      <w:marRight w:val="0"/>
      <w:marTop w:val="0"/>
      <w:marBottom w:val="0"/>
      <w:divBdr>
        <w:top w:val="none" w:sz="0" w:space="0" w:color="auto"/>
        <w:left w:val="none" w:sz="0" w:space="0" w:color="auto"/>
        <w:bottom w:val="none" w:sz="0" w:space="0" w:color="auto"/>
        <w:right w:val="none" w:sz="0" w:space="0" w:color="auto"/>
      </w:divBdr>
    </w:div>
    <w:div w:id="829516972">
      <w:bodyDiv w:val="1"/>
      <w:marLeft w:val="0"/>
      <w:marRight w:val="0"/>
      <w:marTop w:val="0"/>
      <w:marBottom w:val="0"/>
      <w:divBdr>
        <w:top w:val="none" w:sz="0" w:space="0" w:color="auto"/>
        <w:left w:val="none" w:sz="0" w:space="0" w:color="auto"/>
        <w:bottom w:val="none" w:sz="0" w:space="0" w:color="auto"/>
        <w:right w:val="none" w:sz="0" w:space="0" w:color="auto"/>
      </w:divBdr>
    </w:div>
    <w:div w:id="833765020">
      <w:bodyDiv w:val="1"/>
      <w:marLeft w:val="0"/>
      <w:marRight w:val="0"/>
      <w:marTop w:val="0"/>
      <w:marBottom w:val="0"/>
      <w:divBdr>
        <w:top w:val="none" w:sz="0" w:space="0" w:color="auto"/>
        <w:left w:val="none" w:sz="0" w:space="0" w:color="auto"/>
        <w:bottom w:val="none" w:sz="0" w:space="0" w:color="auto"/>
        <w:right w:val="none" w:sz="0" w:space="0" w:color="auto"/>
      </w:divBdr>
    </w:div>
    <w:div w:id="893081534">
      <w:bodyDiv w:val="1"/>
      <w:marLeft w:val="0"/>
      <w:marRight w:val="0"/>
      <w:marTop w:val="0"/>
      <w:marBottom w:val="0"/>
      <w:divBdr>
        <w:top w:val="none" w:sz="0" w:space="0" w:color="auto"/>
        <w:left w:val="none" w:sz="0" w:space="0" w:color="auto"/>
        <w:bottom w:val="none" w:sz="0" w:space="0" w:color="auto"/>
        <w:right w:val="none" w:sz="0" w:space="0" w:color="auto"/>
      </w:divBdr>
    </w:div>
    <w:div w:id="950740376">
      <w:bodyDiv w:val="1"/>
      <w:marLeft w:val="0"/>
      <w:marRight w:val="0"/>
      <w:marTop w:val="0"/>
      <w:marBottom w:val="0"/>
      <w:divBdr>
        <w:top w:val="none" w:sz="0" w:space="0" w:color="auto"/>
        <w:left w:val="none" w:sz="0" w:space="0" w:color="auto"/>
        <w:bottom w:val="none" w:sz="0" w:space="0" w:color="auto"/>
        <w:right w:val="none" w:sz="0" w:space="0" w:color="auto"/>
      </w:divBdr>
    </w:div>
    <w:div w:id="1098872837">
      <w:bodyDiv w:val="1"/>
      <w:marLeft w:val="0"/>
      <w:marRight w:val="0"/>
      <w:marTop w:val="0"/>
      <w:marBottom w:val="0"/>
      <w:divBdr>
        <w:top w:val="none" w:sz="0" w:space="0" w:color="auto"/>
        <w:left w:val="none" w:sz="0" w:space="0" w:color="auto"/>
        <w:bottom w:val="none" w:sz="0" w:space="0" w:color="auto"/>
        <w:right w:val="none" w:sz="0" w:space="0" w:color="auto"/>
      </w:divBdr>
    </w:div>
    <w:div w:id="1109936147">
      <w:bodyDiv w:val="1"/>
      <w:marLeft w:val="0"/>
      <w:marRight w:val="0"/>
      <w:marTop w:val="0"/>
      <w:marBottom w:val="0"/>
      <w:divBdr>
        <w:top w:val="none" w:sz="0" w:space="0" w:color="auto"/>
        <w:left w:val="none" w:sz="0" w:space="0" w:color="auto"/>
        <w:bottom w:val="none" w:sz="0" w:space="0" w:color="auto"/>
        <w:right w:val="none" w:sz="0" w:space="0" w:color="auto"/>
      </w:divBdr>
    </w:div>
    <w:div w:id="1193615116">
      <w:bodyDiv w:val="1"/>
      <w:marLeft w:val="0"/>
      <w:marRight w:val="0"/>
      <w:marTop w:val="0"/>
      <w:marBottom w:val="0"/>
      <w:divBdr>
        <w:top w:val="none" w:sz="0" w:space="0" w:color="auto"/>
        <w:left w:val="none" w:sz="0" w:space="0" w:color="auto"/>
        <w:bottom w:val="none" w:sz="0" w:space="0" w:color="auto"/>
        <w:right w:val="none" w:sz="0" w:space="0" w:color="auto"/>
      </w:divBdr>
    </w:div>
    <w:div w:id="1261180090">
      <w:bodyDiv w:val="1"/>
      <w:marLeft w:val="0"/>
      <w:marRight w:val="0"/>
      <w:marTop w:val="0"/>
      <w:marBottom w:val="0"/>
      <w:divBdr>
        <w:top w:val="none" w:sz="0" w:space="0" w:color="auto"/>
        <w:left w:val="none" w:sz="0" w:space="0" w:color="auto"/>
        <w:bottom w:val="none" w:sz="0" w:space="0" w:color="auto"/>
        <w:right w:val="none" w:sz="0" w:space="0" w:color="auto"/>
      </w:divBdr>
    </w:div>
    <w:div w:id="1509179035">
      <w:bodyDiv w:val="1"/>
      <w:marLeft w:val="0"/>
      <w:marRight w:val="0"/>
      <w:marTop w:val="0"/>
      <w:marBottom w:val="0"/>
      <w:divBdr>
        <w:top w:val="none" w:sz="0" w:space="0" w:color="auto"/>
        <w:left w:val="none" w:sz="0" w:space="0" w:color="auto"/>
        <w:bottom w:val="none" w:sz="0" w:space="0" w:color="auto"/>
        <w:right w:val="none" w:sz="0" w:space="0" w:color="auto"/>
      </w:divBdr>
    </w:div>
    <w:div w:id="1530532969">
      <w:bodyDiv w:val="1"/>
      <w:marLeft w:val="0"/>
      <w:marRight w:val="0"/>
      <w:marTop w:val="0"/>
      <w:marBottom w:val="0"/>
      <w:divBdr>
        <w:top w:val="none" w:sz="0" w:space="0" w:color="auto"/>
        <w:left w:val="none" w:sz="0" w:space="0" w:color="auto"/>
        <w:bottom w:val="none" w:sz="0" w:space="0" w:color="auto"/>
        <w:right w:val="none" w:sz="0" w:space="0" w:color="auto"/>
      </w:divBdr>
    </w:div>
    <w:div w:id="1638729645">
      <w:bodyDiv w:val="1"/>
      <w:marLeft w:val="0"/>
      <w:marRight w:val="0"/>
      <w:marTop w:val="0"/>
      <w:marBottom w:val="0"/>
      <w:divBdr>
        <w:top w:val="none" w:sz="0" w:space="0" w:color="auto"/>
        <w:left w:val="none" w:sz="0" w:space="0" w:color="auto"/>
        <w:bottom w:val="none" w:sz="0" w:space="0" w:color="auto"/>
        <w:right w:val="none" w:sz="0" w:space="0" w:color="auto"/>
      </w:divBdr>
    </w:div>
    <w:div w:id="1741055532">
      <w:bodyDiv w:val="1"/>
      <w:marLeft w:val="0"/>
      <w:marRight w:val="0"/>
      <w:marTop w:val="0"/>
      <w:marBottom w:val="0"/>
      <w:divBdr>
        <w:top w:val="none" w:sz="0" w:space="0" w:color="auto"/>
        <w:left w:val="none" w:sz="0" w:space="0" w:color="auto"/>
        <w:bottom w:val="none" w:sz="0" w:space="0" w:color="auto"/>
        <w:right w:val="none" w:sz="0" w:space="0" w:color="auto"/>
      </w:divBdr>
    </w:div>
    <w:div w:id="1752972481">
      <w:bodyDiv w:val="1"/>
      <w:marLeft w:val="0"/>
      <w:marRight w:val="0"/>
      <w:marTop w:val="0"/>
      <w:marBottom w:val="0"/>
      <w:divBdr>
        <w:top w:val="none" w:sz="0" w:space="0" w:color="auto"/>
        <w:left w:val="none" w:sz="0" w:space="0" w:color="auto"/>
        <w:bottom w:val="none" w:sz="0" w:space="0" w:color="auto"/>
        <w:right w:val="none" w:sz="0" w:space="0" w:color="auto"/>
      </w:divBdr>
    </w:div>
    <w:div w:id="1897860270">
      <w:bodyDiv w:val="1"/>
      <w:marLeft w:val="0"/>
      <w:marRight w:val="0"/>
      <w:marTop w:val="0"/>
      <w:marBottom w:val="0"/>
      <w:divBdr>
        <w:top w:val="none" w:sz="0" w:space="0" w:color="auto"/>
        <w:left w:val="none" w:sz="0" w:space="0" w:color="auto"/>
        <w:bottom w:val="none" w:sz="0" w:space="0" w:color="auto"/>
        <w:right w:val="none" w:sz="0" w:space="0" w:color="auto"/>
      </w:divBdr>
    </w:div>
    <w:div w:id="2002999241">
      <w:bodyDiv w:val="1"/>
      <w:marLeft w:val="0"/>
      <w:marRight w:val="0"/>
      <w:marTop w:val="0"/>
      <w:marBottom w:val="0"/>
      <w:divBdr>
        <w:top w:val="none" w:sz="0" w:space="0" w:color="auto"/>
        <w:left w:val="none" w:sz="0" w:space="0" w:color="auto"/>
        <w:bottom w:val="none" w:sz="0" w:space="0" w:color="auto"/>
        <w:right w:val="none" w:sz="0" w:space="0" w:color="auto"/>
      </w:divBdr>
    </w:div>
    <w:div w:id="2006586787">
      <w:bodyDiv w:val="1"/>
      <w:marLeft w:val="0"/>
      <w:marRight w:val="0"/>
      <w:marTop w:val="0"/>
      <w:marBottom w:val="0"/>
      <w:divBdr>
        <w:top w:val="none" w:sz="0" w:space="0" w:color="auto"/>
        <w:left w:val="none" w:sz="0" w:space="0" w:color="auto"/>
        <w:bottom w:val="none" w:sz="0" w:space="0" w:color="auto"/>
        <w:right w:val="none" w:sz="0" w:space="0" w:color="auto"/>
      </w:divBdr>
    </w:div>
    <w:div w:id="2092239459">
      <w:bodyDiv w:val="1"/>
      <w:marLeft w:val="0"/>
      <w:marRight w:val="0"/>
      <w:marTop w:val="0"/>
      <w:marBottom w:val="0"/>
      <w:divBdr>
        <w:top w:val="none" w:sz="0" w:space="0" w:color="auto"/>
        <w:left w:val="none" w:sz="0" w:space="0" w:color="auto"/>
        <w:bottom w:val="none" w:sz="0" w:space="0" w:color="auto"/>
        <w:right w:val="none" w:sz="0" w:space="0" w:color="auto"/>
      </w:divBdr>
    </w:div>
    <w:div w:id="214535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image" Target="media/image7.jpeg" Id="rId13" /><Relationship Type="http://schemas.openxmlformats.org/officeDocument/2006/relationships/image" Target="media/image12.jpeg" Id="rId18" /><Relationship Type="http://schemas.openxmlformats.org/officeDocument/2006/relationships/image" Target="media/image20.jpeg" Id="rId26" /><Relationship Type="http://schemas.openxmlformats.org/officeDocument/2006/relationships/settings" Target="settings.xml" Id="rId3" /><Relationship Type="http://schemas.openxmlformats.org/officeDocument/2006/relationships/image" Target="media/image15.jpeg" Id="rId21" /><Relationship Type="http://schemas.openxmlformats.org/officeDocument/2006/relationships/image" Target="media/image1.jpeg" Id="rId7" /><Relationship Type="http://schemas.openxmlformats.org/officeDocument/2006/relationships/image" Target="media/image6.jpeg" Id="rId12" /><Relationship Type="http://schemas.openxmlformats.org/officeDocument/2006/relationships/image" Target="media/image11.jpeg" Id="rId17" /><Relationship Type="http://schemas.openxmlformats.org/officeDocument/2006/relationships/image" Target="media/image19.jpeg" Id="rId25" /><Relationship Type="http://schemas.openxmlformats.org/officeDocument/2006/relationships/styles" Target="styles.xml" Id="rId2" /><Relationship Type="http://schemas.openxmlformats.org/officeDocument/2006/relationships/image" Target="media/image10.jpeg" Id="rId16" /><Relationship Type="http://schemas.openxmlformats.org/officeDocument/2006/relationships/image" Target="media/image14.jpeg"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image" Target="media/image18.jpeg" Id="rId24" /><Relationship Type="http://schemas.openxmlformats.org/officeDocument/2006/relationships/footnotes" Target="footnotes.xml" Id="rId5" /><Relationship Type="http://schemas.openxmlformats.org/officeDocument/2006/relationships/image" Target="media/image9.jpeg" Id="rId15" /><Relationship Type="http://schemas.openxmlformats.org/officeDocument/2006/relationships/image" Target="media/image17.jpeg" Id="rId23" /><Relationship Type="http://schemas.openxmlformats.org/officeDocument/2006/relationships/fontTable" Target="fontTable.xml" Id="rId28" /><Relationship Type="http://schemas.openxmlformats.org/officeDocument/2006/relationships/image" Target="media/image4.jpeg" Id="rId10" /><Relationship Type="http://schemas.openxmlformats.org/officeDocument/2006/relationships/image" Target="media/image13.jpeg" Id="rId19"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image" Target="media/image8.jpeg" Id="rId14" /><Relationship Type="http://schemas.openxmlformats.org/officeDocument/2006/relationships/image" Target="media/image16.jpeg" Id="rId22" /><Relationship Type="http://schemas.openxmlformats.org/officeDocument/2006/relationships/footer" Target="footer1.xml" Id="rId27" /><Relationship Type="http://schemas.openxmlformats.org/officeDocument/2006/relationships/customXml" Target="/customXML/item2.xml" Id="Re7f8085af2e84e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A11481548</value>
    </field>
    <field name="Objective-Title">
      <value order="0">2024 Gambling - Population Gambling &amp; Health Study</value>
    </field>
    <field name="Objective-Description">
      <value order="0"/>
    </field>
    <field name="Objective-CreationStamp">
      <value order="0">2024-11-04T02:26:53Z</value>
    </field>
    <field name="Objective-IsApproved">
      <value order="0">false</value>
    </field>
    <field name="Objective-IsPublished">
      <value order="0">true</value>
    </field>
    <field name="Objective-DatePublished">
      <value order="0">2024-11-04T02:36:58Z</value>
    </field>
    <field name="Objective-ModificationStamp">
      <value order="0">2025-01-16T00:15:26Z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vA14507014</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DE797-F29F-4343-A0AA-7240F219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2976</Words>
  <Characters>16968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Hayden Brown</cp:lastModifiedBy>
  <cp:revision>2</cp:revision>
  <cp:lastPrinted>2024-10-21T05:40:00Z</cp:lastPrinted>
  <dcterms:created xsi:type="dcterms:W3CDTF">2024-11-04T01:08:00Z</dcterms:created>
  <dcterms:modified xsi:type="dcterms:W3CDTF">2024-11-04T01:08:00Z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A11481548</vt:lpwstr>
  </property>
  <property fmtid="{D5CDD505-2E9C-101B-9397-08002B2CF9AE}" pid="4" name="Objective-Title">
    <vt:lpwstr>2024 Gambling - Population Gambling &amp; Health Study</vt:lpwstr>
  </property>
  <property fmtid="{D5CDD505-2E9C-101B-9397-08002B2CF9AE}" pid="5" name="Objective-Description">
    <vt:lpwstr/>
  </property>
  <property fmtid="{D5CDD505-2E9C-101B-9397-08002B2CF9AE}" pid="6" name="Objective-CreationStamp">
    <vt:filetime>2024-11-04T02:26:53Z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2024-11-04T02:36:58Z</vt:filetime>
  </property>
  <property fmtid="{D5CDD505-2E9C-101B-9397-08002B2CF9AE}" pid="10" name="Objective-ModificationStamp">
    <vt:filetime>2025-01-16T00:15:26Z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vA14507014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