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F387" w14:textId="77777777" w:rsidR="00916A8A" w:rsidRPr="001C7E96" w:rsidRDefault="00916A8A" w:rsidP="00916A8A">
      <w:pPr>
        <w:pBdr>
          <w:top w:val="single" w:sz="4" w:space="0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noProof/>
          <w:sz w:val="32"/>
          <w:szCs w:val="32"/>
          <w:lang w:val="en-AU"/>
        </w:rPr>
      </w:pPr>
      <w:bookmarkStart w:id="0" w:name="_Hlk180842970"/>
      <w:r>
        <w:rPr>
          <w:rFonts w:ascii="Calibri" w:hAnsi="Calibri"/>
          <w:noProof/>
          <w:sz w:val="32"/>
          <w:szCs w:val="32"/>
          <w:lang w:val="en-AU"/>
        </w:rPr>
        <w:t>Social Conditions in Greater Dandenong</w:t>
      </w:r>
    </w:p>
    <w:bookmarkEnd w:id="0"/>
    <w:p w14:paraId="25525BF5" w14:textId="77777777" w:rsidR="00916A8A" w:rsidRDefault="00916A8A" w:rsidP="00916A8A">
      <w:pPr>
        <w:tabs>
          <w:tab w:val="left" w:pos="284"/>
        </w:tabs>
        <w:spacing w:before="8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EF3CA24" wp14:editId="699EC4F5">
            <wp:simplePos x="0" y="0"/>
            <wp:positionH relativeFrom="column">
              <wp:posOffset>4604068</wp:posOffset>
            </wp:positionH>
            <wp:positionV relativeFrom="paragraph">
              <wp:posOffset>84455</wp:posOffset>
            </wp:positionV>
            <wp:extent cx="1626235" cy="650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65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9EA4" w14:textId="77777777" w:rsidR="00916A8A" w:rsidRPr="00111466" w:rsidRDefault="00916A8A" w:rsidP="00916A8A">
      <w:pPr>
        <w:tabs>
          <w:tab w:val="left" w:pos="284"/>
        </w:tabs>
        <w:spacing w:before="80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 xml:space="preserve">Geography </w:t>
      </w:r>
    </w:p>
    <w:p w14:paraId="5738F535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 xml:space="preserve">Greater Dandenong encompasses an area of 129 square kilometers in </w:t>
      </w:r>
      <w:smartTag w:uri="urn:schemas-microsoft-com:office:smarttags" w:element="City">
        <w:smartTag w:uri="urn:schemas-microsoft-com:office:smarttags" w:element="place">
          <w:r w:rsidRPr="00111466">
            <w:rPr>
              <w:rFonts w:ascii="Calibri" w:hAnsi="Calibri"/>
              <w:color w:val="000000"/>
              <w:sz w:val="22"/>
              <w:szCs w:val="22"/>
            </w:rPr>
            <w:t>Melbourne</w:t>
          </w:r>
        </w:smartTag>
      </w:smartTag>
      <w:r w:rsidRPr="00111466">
        <w:rPr>
          <w:rFonts w:ascii="Calibri" w:hAnsi="Calibri"/>
          <w:color w:val="000000"/>
          <w:sz w:val="22"/>
          <w:szCs w:val="22"/>
        </w:rPr>
        <w:t xml:space="preserve">’s south-east, approximately 24 km. from the </w:t>
      </w:r>
      <w:r>
        <w:rPr>
          <w:rFonts w:ascii="Calibri" w:hAnsi="Calibri"/>
          <w:color w:val="000000"/>
          <w:sz w:val="22"/>
          <w:szCs w:val="22"/>
        </w:rPr>
        <w:t>CBD</w:t>
      </w:r>
      <w:r w:rsidRPr="00111466">
        <w:rPr>
          <w:rFonts w:ascii="Calibri" w:hAnsi="Calibri"/>
          <w:color w:val="000000"/>
          <w:sz w:val="22"/>
          <w:szCs w:val="22"/>
        </w:rPr>
        <w:t xml:space="preserve">. </w:t>
      </w:r>
      <w:bookmarkStart w:id="1" w:name="_Hlk49864567"/>
    </w:p>
    <w:p w14:paraId="3F23E738" w14:textId="77777777" w:rsidR="00916A8A" w:rsidRDefault="00916A8A" w:rsidP="00916A8A">
      <w:pPr>
        <w:tabs>
          <w:tab w:val="left" w:pos="284"/>
        </w:tabs>
        <w:spacing w:before="240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Population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</w:p>
    <w:p w14:paraId="5F6A1793" w14:textId="77777777" w:rsidR="00916A8A" w:rsidRPr="00111466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 xml:space="preserve">At an estimated </w:t>
      </w:r>
      <w:r>
        <w:rPr>
          <w:rFonts w:ascii="Calibri" w:hAnsi="Calibri"/>
          <w:color w:val="000000"/>
          <w:sz w:val="22"/>
          <w:szCs w:val="22"/>
        </w:rPr>
        <w:t>175</w:t>
      </w:r>
      <w:r w:rsidRPr="00111466">
        <w:rPr>
          <w:rFonts w:ascii="Calibri" w:hAnsi="Calibri"/>
          <w:color w:val="000000"/>
          <w:sz w:val="22"/>
          <w:szCs w:val="22"/>
        </w:rPr>
        <w:t xml:space="preserve">,000 people in </w:t>
      </w:r>
      <w:r>
        <w:rPr>
          <w:rFonts w:ascii="Calibri" w:hAnsi="Calibri"/>
          <w:color w:val="000000"/>
          <w:sz w:val="22"/>
          <w:szCs w:val="22"/>
        </w:rPr>
        <w:t>2021,</w:t>
      </w:r>
      <w:r w:rsidRPr="00111466">
        <w:rPr>
          <w:rFonts w:ascii="Calibri" w:hAnsi="Calibri"/>
          <w:color w:val="000000"/>
          <w:sz w:val="22"/>
          <w:szCs w:val="22"/>
        </w:rPr>
        <w:t xml:space="preserve"> the number of residents in Greater Dandenong has risen by 2</w:t>
      </w:r>
      <w:r>
        <w:rPr>
          <w:rFonts w:ascii="Calibri" w:hAnsi="Calibri"/>
          <w:color w:val="000000"/>
          <w:sz w:val="22"/>
          <w:szCs w:val="22"/>
        </w:rPr>
        <w:t>7</w:t>
      </w:r>
      <w:r w:rsidRPr="00111466">
        <w:rPr>
          <w:rFonts w:ascii="Calibri" w:hAnsi="Calibri"/>
          <w:color w:val="000000"/>
          <w:sz w:val="22"/>
          <w:szCs w:val="22"/>
        </w:rPr>
        <w:t>,000 during the past two decades</w:t>
      </w:r>
      <w:r>
        <w:rPr>
          <w:rFonts w:ascii="Calibri" w:hAnsi="Calibri"/>
          <w:color w:val="000000"/>
          <w:sz w:val="22"/>
          <w:szCs w:val="22"/>
        </w:rPr>
        <w:t>, and is forecast to grow by 28,000, to 203,000, during the next decade</w:t>
      </w:r>
      <w:bookmarkEnd w:id="1"/>
      <w:r w:rsidRPr="00111466">
        <w:rPr>
          <w:rFonts w:ascii="Calibri" w:hAnsi="Calibri"/>
          <w:color w:val="000000"/>
          <w:sz w:val="22"/>
          <w:szCs w:val="22"/>
        </w:rPr>
        <w:t>.</w:t>
      </w:r>
    </w:p>
    <w:p w14:paraId="04174024" w14:textId="77777777" w:rsidR="00916A8A" w:rsidRPr="00111466" w:rsidRDefault="00916A8A" w:rsidP="00916A8A">
      <w:pPr>
        <w:tabs>
          <w:tab w:val="left" w:pos="284"/>
        </w:tabs>
        <w:spacing w:before="24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 xml:space="preserve">Cultural Diversity                      </w:t>
      </w:r>
      <w:r>
        <w:rPr>
          <w:rFonts w:ascii="Calibri" w:hAnsi="Calibri"/>
          <w:b/>
          <w:color w:val="000000"/>
          <w:sz w:val="22"/>
          <w:szCs w:val="22"/>
        </w:rPr>
        <w:t xml:space="preserve">              </w:t>
      </w:r>
      <w:r w:rsidRPr="00111466">
        <w:rPr>
          <w:rFonts w:ascii="Calibri" w:hAnsi="Calibri"/>
          <w:b/>
          <w:color w:val="000000"/>
          <w:sz w:val="22"/>
          <w:szCs w:val="22"/>
        </w:rPr>
        <w:t xml:space="preserve">   </w:t>
      </w:r>
      <w:r>
        <w:rPr>
          <w:rFonts w:ascii="Calibri" w:hAnsi="Calibri"/>
          <w:b/>
          <w:color w:val="000000"/>
          <w:sz w:val="22"/>
          <w:szCs w:val="22"/>
        </w:rPr>
        <w:t xml:space="preserve">          </w:t>
      </w:r>
      <w:r w:rsidRPr="00111466">
        <w:rPr>
          <w:rFonts w:ascii="Calibri" w:hAnsi="Calibri"/>
          <w:b/>
          <w:color w:val="000000"/>
          <w:sz w:val="22"/>
          <w:szCs w:val="22"/>
        </w:rPr>
        <w:t xml:space="preserve">       </w:t>
      </w:r>
      <w:r>
        <w:rPr>
          <w:rFonts w:ascii="Calibri" w:hAnsi="Calibri"/>
          <w:color w:val="7F7F7F"/>
        </w:rPr>
        <w:t>Per cent</w:t>
      </w:r>
      <w:r w:rsidRPr="00935BDC">
        <w:rPr>
          <w:rFonts w:ascii="Calibri" w:hAnsi="Calibri"/>
          <w:color w:val="7F7F7F"/>
        </w:rPr>
        <w:t xml:space="preserve"> of Residents by Birthplace: Greater Dandenong, 201</w:t>
      </w:r>
      <w:r>
        <w:rPr>
          <w:rFonts w:ascii="Calibri" w:hAnsi="Calibri"/>
          <w:color w:val="7F7F7F"/>
        </w:rPr>
        <w:t>6</w:t>
      </w:r>
    </w:p>
    <w:p w14:paraId="0B046179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2" w:name="_Hlk49864621"/>
      <w:r>
        <w:rPr>
          <w:rFonts w:ascii="Calibri" w:hAnsi="Calibri"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0AF6CAD7" wp14:editId="38D059CC">
            <wp:simplePos x="0" y="0"/>
            <wp:positionH relativeFrom="column">
              <wp:posOffset>2861310</wp:posOffset>
            </wp:positionH>
            <wp:positionV relativeFrom="paragraph">
              <wp:posOffset>43180</wp:posOffset>
            </wp:positionV>
            <wp:extent cx="3343275" cy="279209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4"/>
                    <a:stretch/>
                  </pic:blipFill>
                  <pic:spPr bwMode="auto">
                    <a:xfrm>
                      <a:off x="0" y="0"/>
                      <a:ext cx="334327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466">
        <w:rPr>
          <w:rFonts w:ascii="Calibri" w:hAnsi="Calibri"/>
          <w:color w:val="000000"/>
          <w:sz w:val="22"/>
          <w:szCs w:val="22"/>
        </w:rPr>
        <w:t xml:space="preserve">Greater Dandenong is the most culturally diverse </w:t>
      </w:r>
      <w:r>
        <w:rPr>
          <w:rFonts w:ascii="Calibri" w:hAnsi="Calibri"/>
          <w:color w:val="000000"/>
          <w:sz w:val="22"/>
          <w:szCs w:val="22"/>
        </w:rPr>
        <w:t>municipality</w:t>
      </w:r>
      <w:r w:rsidRPr="00111466">
        <w:rPr>
          <w:rFonts w:ascii="Calibri" w:hAnsi="Calibri"/>
          <w:color w:val="000000"/>
          <w:sz w:val="22"/>
          <w:szCs w:val="22"/>
        </w:rPr>
        <w:t xml:space="preserve"> in </w:t>
      </w:r>
      <w:r>
        <w:rPr>
          <w:rFonts w:ascii="Calibri" w:hAnsi="Calibri"/>
          <w:color w:val="000000"/>
          <w:sz w:val="22"/>
          <w:szCs w:val="22"/>
        </w:rPr>
        <w:t>Australia</w:t>
      </w:r>
      <w:r w:rsidRPr="00111466">
        <w:rPr>
          <w:rFonts w:ascii="Calibri" w:hAnsi="Calibri"/>
          <w:color w:val="000000"/>
          <w:sz w:val="22"/>
          <w:szCs w:val="22"/>
        </w:rPr>
        <w:t xml:space="preserve">, with residents from </w:t>
      </w:r>
      <w:r>
        <w:rPr>
          <w:rFonts w:ascii="Calibri" w:hAnsi="Calibri"/>
          <w:color w:val="000000"/>
          <w:sz w:val="22"/>
          <w:szCs w:val="22"/>
        </w:rPr>
        <w:t>167</w:t>
      </w:r>
      <w:r w:rsidRPr="00111466">
        <w:rPr>
          <w:rFonts w:ascii="Calibri" w:hAnsi="Calibri"/>
          <w:color w:val="000000"/>
          <w:sz w:val="22"/>
          <w:szCs w:val="22"/>
        </w:rPr>
        <w:t xml:space="preserve"> different birthplaces</w:t>
      </w:r>
      <w:r>
        <w:rPr>
          <w:rFonts w:ascii="Calibri" w:hAnsi="Calibri"/>
          <w:color w:val="000000"/>
          <w:sz w:val="22"/>
          <w:szCs w:val="22"/>
        </w:rPr>
        <w:t>. W</w:t>
      </w:r>
      <w:r w:rsidRPr="00111466">
        <w:rPr>
          <w:rFonts w:ascii="Calibri" w:hAnsi="Calibri"/>
          <w:color w:val="000000"/>
          <w:sz w:val="22"/>
          <w:szCs w:val="22"/>
        </w:rPr>
        <w:t xml:space="preserve">ell over half </w:t>
      </w:r>
      <w:r w:rsidRPr="00111466">
        <w:rPr>
          <w:rFonts w:ascii="Calibri" w:hAnsi="Calibri"/>
          <w:color w:val="000000"/>
          <w:sz w:val="18"/>
          <w:szCs w:val="18"/>
        </w:rPr>
        <w:t>(6</w:t>
      </w:r>
      <w:r>
        <w:rPr>
          <w:rFonts w:ascii="Calibri" w:hAnsi="Calibri"/>
          <w:color w:val="000000"/>
          <w:sz w:val="18"/>
          <w:szCs w:val="18"/>
        </w:rPr>
        <w:t>4</w:t>
      </w:r>
      <w:r w:rsidRPr="00111466">
        <w:rPr>
          <w:rFonts w:ascii="Calibri" w:hAnsi="Calibri"/>
          <w:color w:val="000000"/>
          <w:sz w:val="18"/>
          <w:szCs w:val="18"/>
        </w:rPr>
        <w:t>%)</w:t>
      </w:r>
      <w:r w:rsidRPr="00111466">
        <w:rPr>
          <w:rFonts w:ascii="Calibri" w:hAnsi="Calibri"/>
          <w:color w:val="000000"/>
          <w:sz w:val="22"/>
          <w:szCs w:val="22"/>
        </w:rPr>
        <w:t xml:space="preserve"> of its population </w:t>
      </w:r>
      <w:r>
        <w:rPr>
          <w:rFonts w:ascii="Calibri" w:hAnsi="Calibri"/>
          <w:color w:val="000000"/>
          <w:sz w:val="22"/>
          <w:szCs w:val="22"/>
        </w:rPr>
        <w:t xml:space="preserve">is </w:t>
      </w:r>
      <w:r w:rsidRPr="00111466">
        <w:rPr>
          <w:rFonts w:ascii="Calibri" w:hAnsi="Calibri"/>
          <w:color w:val="000000"/>
          <w:sz w:val="22"/>
          <w:szCs w:val="22"/>
        </w:rPr>
        <w:t>born overseas,</w:t>
      </w:r>
      <w:bookmarkEnd w:id="2"/>
      <w:r w:rsidRPr="00111466">
        <w:rPr>
          <w:rFonts w:ascii="Calibri" w:hAnsi="Calibri"/>
          <w:color w:val="000000"/>
          <w:sz w:val="22"/>
          <w:szCs w:val="22"/>
        </w:rPr>
        <w:t xml:space="preserve"> and </w:t>
      </w:r>
      <w:bookmarkStart w:id="3" w:name="_Hlk49864634"/>
      <w:r>
        <w:rPr>
          <w:rFonts w:ascii="Calibri" w:hAnsi="Calibri"/>
          <w:color w:val="000000"/>
          <w:sz w:val="22"/>
          <w:szCs w:val="22"/>
        </w:rPr>
        <w:t>61</w:t>
      </w:r>
      <w:r w:rsidRPr="00111466">
        <w:rPr>
          <w:rFonts w:ascii="Calibri" w:hAnsi="Calibri"/>
          <w:color w:val="000000"/>
          <w:sz w:val="22"/>
          <w:szCs w:val="22"/>
        </w:rPr>
        <w:t xml:space="preserve">% from nations where English is not the main spoken language. </w:t>
      </w:r>
      <w:r>
        <w:rPr>
          <w:rFonts w:ascii="Calibri" w:hAnsi="Calibri"/>
          <w:color w:val="000000"/>
          <w:sz w:val="22"/>
          <w:szCs w:val="22"/>
        </w:rPr>
        <w:t>Major b</w:t>
      </w:r>
      <w:r w:rsidRPr="00111466">
        <w:rPr>
          <w:rFonts w:ascii="Calibri" w:hAnsi="Calibri"/>
          <w:color w:val="000000"/>
          <w:sz w:val="22"/>
          <w:szCs w:val="22"/>
        </w:rPr>
        <w:t>irthplaces</w:t>
      </w:r>
      <w:r>
        <w:rPr>
          <w:rFonts w:ascii="Calibri" w:hAnsi="Calibri"/>
          <w:color w:val="000000"/>
          <w:sz w:val="22"/>
          <w:szCs w:val="22"/>
        </w:rPr>
        <w:t>, aside from Australia,</w:t>
      </w:r>
      <w:r w:rsidRPr="00111466">
        <w:rPr>
          <w:rFonts w:ascii="Calibri" w:hAnsi="Calibri"/>
          <w:color w:val="000000"/>
          <w:sz w:val="22"/>
          <w:szCs w:val="22"/>
        </w:rPr>
        <w:t xml:space="preserve"> include </w:t>
      </w:r>
      <w:r>
        <w:rPr>
          <w:rFonts w:ascii="Calibri" w:hAnsi="Calibri"/>
          <w:color w:val="000000"/>
          <w:sz w:val="22"/>
          <w:szCs w:val="22"/>
        </w:rPr>
        <w:t>India, Cambodia, Sri Lanka, Afghanistan, China, Pakistan, New Zealand</w:t>
      </w:r>
      <w:r w:rsidRPr="00111466">
        <w:rPr>
          <w:rFonts w:ascii="Calibri" w:hAnsi="Calibri"/>
          <w:color w:val="000000"/>
          <w:sz w:val="22"/>
          <w:szCs w:val="22"/>
        </w:rPr>
        <w:t xml:space="preserve"> and </w:t>
      </w:r>
      <w:r>
        <w:rPr>
          <w:rFonts w:ascii="Calibri" w:hAnsi="Calibri"/>
          <w:color w:val="000000"/>
          <w:sz w:val="22"/>
          <w:szCs w:val="22"/>
        </w:rPr>
        <w:t>the Philippines</w:t>
      </w:r>
      <w:r w:rsidRPr="00111466">
        <w:rPr>
          <w:rFonts w:ascii="Calibri" w:hAnsi="Calibri"/>
          <w:color w:val="000000"/>
          <w:sz w:val="22"/>
          <w:szCs w:val="22"/>
        </w:rPr>
        <w:t>.</w:t>
      </w:r>
      <w:bookmarkEnd w:id="3"/>
    </w:p>
    <w:p w14:paraId="421C21DE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C4C235B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FF52E81" w14:textId="77777777" w:rsidR="00916A8A" w:rsidRPr="00111466" w:rsidRDefault="00916A8A" w:rsidP="00916A8A">
      <w:pPr>
        <w:tabs>
          <w:tab w:val="left" w:pos="284"/>
        </w:tabs>
        <w:spacing w:before="12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C11A9B9" wp14:editId="3CA8E40A">
            <wp:simplePos x="0" y="0"/>
            <wp:positionH relativeFrom="column">
              <wp:posOffset>2589848</wp:posOffset>
            </wp:positionH>
            <wp:positionV relativeFrom="paragraph">
              <wp:posOffset>167322</wp:posOffset>
            </wp:positionV>
            <wp:extent cx="3528695" cy="330771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1"/>
                    <a:stretch/>
                  </pic:blipFill>
                  <pic:spPr bwMode="auto">
                    <a:xfrm>
                      <a:off x="0" y="0"/>
                      <a:ext cx="352869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466">
        <w:rPr>
          <w:rFonts w:ascii="Calibri" w:hAnsi="Calibri"/>
          <w:b/>
          <w:color w:val="000000"/>
          <w:sz w:val="22"/>
          <w:szCs w:val="22"/>
        </w:rPr>
        <w:t>Spoken Languages</w:t>
      </w:r>
    </w:p>
    <w:p w14:paraId="1C05D98A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4" w:name="_Hlk49864732"/>
      <w:r w:rsidRPr="00111466">
        <w:rPr>
          <w:rFonts w:ascii="Calibri" w:hAnsi="Calibri"/>
          <w:color w:val="000000"/>
          <w:sz w:val="22"/>
          <w:szCs w:val="22"/>
        </w:rPr>
        <w:t>In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over</w:t>
      </w:r>
      <w:r w:rsidRPr="00111466">
        <w:rPr>
          <w:rFonts w:ascii="Calibri" w:hAnsi="Calibri"/>
          <w:color w:val="000000"/>
          <w:sz w:val="22"/>
          <w:szCs w:val="22"/>
        </w:rPr>
        <w:t xml:space="preserve"> two-thirds </w:t>
      </w:r>
      <w:r w:rsidRPr="00111466">
        <w:rPr>
          <w:rFonts w:ascii="Calibri" w:hAnsi="Calibri"/>
          <w:color w:val="000000"/>
          <w:sz w:val="18"/>
          <w:szCs w:val="18"/>
        </w:rPr>
        <w:t>(</w:t>
      </w:r>
      <w:r>
        <w:rPr>
          <w:rFonts w:ascii="Calibri" w:hAnsi="Calibri"/>
          <w:color w:val="000000"/>
          <w:sz w:val="18"/>
          <w:szCs w:val="18"/>
        </w:rPr>
        <w:t>70</w:t>
      </w:r>
      <w:r w:rsidRPr="00111466">
        <w:rPr>
          <w:rFonts w:ascii="Calibri" w:hAnsi="Calibri"/>
          <w:color w:val="000000"/>
          <w:sz w:val="18"/>
          <w:szCs w:val="18"/>
        </w:rPr>
        <w:t xml:space="preserve">%) </w:t>
      </w:r>
      <w:r>
        <w:rPr>
          <w:rFonts w:ascii="Calibri" w:hAnsi="Calibri"/>
          <w:color w:val="000000"/>
          <w:sz w:val="18"/>
          <w:szCs w:val="18"/>
        </w:rPr>
        <w:t xml:space="preserve">of </w:t>
      </w:r>
      <w:r w:rsidRPr="00111466">
        <w:rPr>
          <w:rFonts w:ascii="Calibri" w:hAnsi="Calibri"/>
          <w:color w:val="000000"/>
          <w:sz w:val="22"/>
          <w:szCs w:val="22"/>
        </w:rPr>
        <w:t>the residents of Greater Dandenong spoke languages other than English – the largest proportion in Victoria</w:t>
      </w:r>
      <w:r>
        <w:rPr>
          <w:rFonts w:ascii="Calibri" w:hAnsi="Calibri"/>
          <w:color w:val="000000"/>
          <w:sz w:val="22"/>
          <w:szCs w:val="22"/>
        </w:rPr>
        <w:t xml:space="preserve"> and more than twice the state-wide level of 32%. Major non-English languages included </w:t>
      </w:r>
      <w:r w:rsidRPr="00111466">
        <w:rPr>
          <w:rFonts w:ascii="Calibri" w:hAnsi="Calibri"/>
          <w:color w:val="000000"/>
          <w:sz w:val="22"/>
          <w:szCs w:val="22"/>
        </w:rPr>
        <w:t xml:space="preserve">Vietnamese, Khmer, </w:t>
      </w:r>
      <w:r>
        <w:rPr>
          <w:rFonts w:ascii="Calibri" w:hAnsi="Calibri"/>
          <w:color w:val="000000"/>
          <w:sz w:val="22"/>
          <w:szCs w:val="22"/>
        </w:rPr>
        <w:t xml:space="preserve">Punjabi, </w:t>
      </w:r>
      <w:r w:rsidRPr="00111466">
        <w:rPr>
          <w:rFonts w:ascii="Calibri" w:hAnsi="Calibri"/>
          <w:color w:val="000000"/>
          <w:sz w:val="22"/>
          <w:szCs w:val="22"/>
        </w:rPr>
        <w:t>Chinese</w:t>
      </w:r>
      <w:r>
        <w:rPr>
          <w:rFonts w:ascii="Calibri" w:hAnsi="Calibri"/>
          <w:color w:val="000000"/>
          <w:sz w:val="22"/>
          <w:szCs w:val="22"/>
        </w:rPr>
        <w:t xml:space="preserve"> languages, Greek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and</w:t>
      </w:r>
      <w:r w:rsidRPr="00111466">
        <w:rPr>
          <w:rFonts w:ascii="Calibri" w:hAnsi="Calibri"/>
          <w:color w:val="000000"/>
          <w:sz w:val="22"/>
          <w:szCs w:val="22"/>
        </w:rPr>
        <w:t xml:space="preserve"> Sinhalese.</w:t>
      </w:r>
    </w:p>
    <w:p w14:paraId="27775255" w14:textId="77777777" w:rsidR="00916A8A" w:rsidRPr="00601AB6" w:rsidRDefault="00916A8A" w:rsidP="00916A8A">
      <w:pPr>
        <w:tabs>
          <w:tab w:val="left" w:pos="284"/>
        </w:tabs>
        <w:jc w:val="both"/>
        <w:rPr>
          <w:rFonts w:ascii="Calibri" w:hAnsi="Calibri"/>
          <w:color w:val="000000"/>
          <w:sz w:val="12"/>
          <w:szCs w:val="12"/>
        </w:rPr>
      </w:pPr>
    </w:p>
    <w:p w14:paraId="279E607F" w14:textId="77777777" w:rsidR="00916A8A" w:rsidRPr="00601AB6" w:rsidRDefault="00916A8A" w:rsidP="00916A8A">
      <w:pPr>
        <w:tabs>
          <w:tab w:val="left" w:pos="284"/>
        </w:tabs>
        <w:jc w:val="right"/>
        <w:rPr>
          <w:rFonts w:ascii="Calibri" w:hAnsi="Calibri"/>
          <w:color w:val="000000"/>
          <w:sz w:val="22"/>
          <w:szCs w:val="22"/>
        </w:rPr>
      </w:pPr>
      <w:r w:rsidRPr="0075018B">
        <w:rPr>
          <w:rFonts w:ascii="Calibri" w:hAnsi="Calibri"/>
          <w:color w:val="7F7F7F"/>
        </w:rPr>
        <w:t>Number of Residents by Spoken Language: Greater Dandenong, 201</w:t>
      </w:r>
      <w:r>
        <w:rPr>
          <w:rFonts w:ascii="Calibri" w:hAnsi="Calibri"/>
          <w:color w:val="7F7F7F"/>
        </w:rPr>
        <w:t>6</w:t>
      </w:r>
    </w:p>
    <w:p w14:paraId="01E8A4E8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50B17AB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2597EE97" w14:textId="77777777" w:rsidR="00916A8A" w:rsidRPr="00111466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bookmarkEnd w:id="4"/>
    <w:p w14:paraId="50A8DDD0" w14:textId="77777777" w:rsidR="00916A8A" w:rsidRDefault="00916A8A" w:rsidP="00916A8A">
      <w:pPr>
        <w:tabs>
          <w:tab w:val="left" w:pos="284"/>
          <w:tab w:val="left" w:pos="5812"/>
        </w:tabs>
        <w:spacing w:before="60"/>
        <w:jc w:val="both"/>
        <w:rPr>
          <w:rFonts w:ascii="Calibri" w:hAnsi="Calibri"/>
          <w:color w:val="7F7F7F"/>
        </w:rPr>
      </w:pPr>
      <w:r w:rsidRPr="0075018B">
        <w:rPr>
          <w:rFonts w:ascii="Calibri" w:hAnsi="Calibri"/>
          <w:color w:val="7F7F7F"/>
        </w:rPr>
        <w:lastRenderedPageBreak/>
        <w:t>Number of Residents with Limited English Fluency</w:t>
      </w:r>
      <w:r>
        <w:rPr>
          <w:rFonts w:ascii="Calibri" w:hAnsi="Calibri"/>
          <w:color w:val="7F7F7F"/>
        </w:rPr>
        <w:t xml:space="preserve"> </w:t>
      </w:r>
    </w:p>
    <w:p w14:paraId="79524EEC" w14:textId="77777777" w:rsidR="00916A8A" w:rsidRPr="0075018B" w:rsidRDefault="00916A8A" w:rsidP="00916A8A">
      <w:pPr>
        <w:tabs>
          <w:tab w:val="left" w:pos="284"/>
          <w:tab w:val="left" w:pos="5812"/>
        </w:tabs>
        <w:jc w:val="both"/>
        <w:rPr>
          <w:rFonts w:ascii="Calibri" w:hAnsi="Calibri"/>
          <w:color w:val="7F7F7F"/>
        </w:rPr>
      </w:pPr>
      <w:r>
        <w:rPr>
          <w:rFonts w:ascii="Calibri" w:hAnsi="Calibri"/>
          <w:color w:val="7F7F7F"/>
        </w:rPr>
        <w:t>by Spoken Language</w:t>
      </w:r>
      <w:r w:rsidRPr="0075018B">
        <w:rPr>
          <w:rFonts w:ascii="Calibri" w:hAnsi="Calibri"/>
          <w:color w:val="7F7F7F"/>
        </w:rPr>
        <w:t>: Greater Dandenong, 201</w:t>
      </w:r>
      <w:r>
        <w:rPr>
          <w:rFonts w:ascii="Calibri" w:hAnsi="Calibri"/>
          <w:color w:val="7F7F7F"/>
        </w:rPr>
        <w:t>6</w:t>
      </w:r>
      <w:r>
        <w:rPr>
          <w:rFonts w:ascii="Calibri" w:hAnsi="Calibri"/>
          <w:color w:val="7F7F7F"/>
        </w:rPr>
        <w:tab/>
      </w:r>
      <w:r w:rsidRPr="0075018B">
        <w:rPr>
          <w:rFonts w:ascii="Calibri" w:hAnsi="Calibri"/>
          <w:b/>
          <w:noProof/>
          <w:sz w:val="22"/>
          <w:szCs w:val="22"/>
        </w:rPr>
        <w:t>English Fluency</w:t>
      </w:r>
    </w:p>
    <w:p w14:paraId="65AAB62F" w14:textId="77777777" w:rsidR="00916A8A" w:rsidRPr="00111466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36413890" wp14:editId="7F23B97C">
            <wp:simplePos x="0" y="0"/>
            <wp:positionH relativeFrom="column">
              <wp:posOffset>-43815</wp:posOffset>
            </wp:positionH>
            <wp:positionV relativeFrom="paragraph">
              <wp:posOffset>63500</wp:posOffset>
            </wp:positionV>
            <wp:extent cx="3635375" cy="2654935"/>
            <wp:effectExtent l="0" t="0" r="3175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2"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49864771"/>
      <w:r w:rsidRPr="00111466">
        <w:rPr>
          <w:rFonts w:ascii="Calibri" w:hAnsi="Calibri"/>
          <w:color w:val="000000"/>
          <w:sz w:val="22"/>
          <w:szCs w:val="22"/>
        </w:rPr>
        <w:t>One in seven residents - accounting for 19,000 people or 1</w:t>
      </w:r>
      <w:r>
        <w:rPr>
          <w:rFonts w:ascii="Calibri" w:hAnsi="Calibri"/>
          <w:color w:val="000000"/>
          <w:sz w:val="22"/>
          <w:szCs w:val="22"/>
        </w:rPr>
        <w:t>3</w:t>
      </w:r>
      <w:r w:rsidRPr="00111466">
        <w:rPr>
          <w:rFonts w:ascii="Calibri" w:hAnsi="Calibri"/>
          <w:color w:val="000000"/>
          <w:sz w:val="22"/>
          <w:szCs w:val="22"/>
        </w:rPr>
        <w:t>% of the population -</w:t>
      </w:r>
      <w:r w:rsidRPr="00111466">
        <w:rPr>
          <w:rFonts w:ascii="Calibri" w:hAnsi="Calibri"/>
          <w:color w:val="000000"/>
          <w:sz w:val="18"/>
          <w:szCs w:val="18"/>
        </w:rPr>
        <w:t xml:space="preserve"> </w:t>
      </w:r>
      <w:r w:rsidRPr="00111466">
        <w:rPr>
          <w:rFonts w:ascii="Calibri" w:hAnsi="Calibri"/>
          <w:color w:val="000000"/>
          <w:sz w:val="22"/>
          <w:szCs w:val="22"/>
        </w:rPr>
        <w:t>has limited fluency in spoken English</w:t>
      </w:r>
      <w:bookmarkEnd w:id="5"/>
      <w:r w:rsidRPr="00111466">
        <w:rPr>
          <w:rFonts w:ascii="Calibri" w:hAnsi="Calibri"/>
          <w:color w:val="000000"/>
          <w:sz w:val="22"/>
          <w:szCs w:val="22"/>
        </w:rPr>
        <w:t xml:space="preserve"> – four times the metropolitan level of 4%. </w:t>
      </w:r>
      <w:r>
        <w:rPr>
          <w:rFonts w:ascii="Calibri" w:hAnsi="Calibri"/>
          <w:color w:val="000000"/>
          <w:sz w:val="22"/>
          <w:szCs w:val="22"/>
        </w:rPr>
        <w:t>Many</w:t>
      </w:r>
      <w:r w:rsidRPr="00111466">
        <w:rPr>
          <w:rFonts w:ascii="Calibri" w:hAnsi="Calibri"/>
          <w:color w:val="000000"/>
          <w:sz w:val="22"/>
          <w:szCs w:val="22"/>
        </w:rPr>
        <w:t xml:space="preserve"> residents who speak Vietnamese, Khmer and Chinese languages have limited English fluency.</w:t>
      </w:r>
    </w:p>
    <w:p w14:paraId="611C0C0E" w14:textId="77777777" w:rsidR="00916A8A" w:rsidRDefault="00916A8A" w:rsidP="00916A8A">
      <w:pPr>
        <w:tabs>
          <w:tab w:val="left" w:pos="284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</w:p>
    <w:p w14:paraId="0C074CE8" w14:textId="77777777" w:rsidR="00916A8A" w:rsidRDefault="00916A8A" w:rsidP="00916A8A">
      <w:pPr>
        <w:tabs>
          <w:tab w:val="left" w:pos="284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</w:p>
    <w:p w14:paraId="0F1E0F44" w14:textId="77777777" w:rsidR="00916A8A" w:rsidRPr="00111466" w:rsidRDefault="00916A8A" w:rsidP="00916A8A">
      <w:pPr>
        <w:tabs>
          <w:tab w:val="left" w:pos="284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188FCDB3" wp14:editId="5FD3050C">
            <wp:simplePos x="0" y="0"/>
            <wp:positionH relativeFrom="column">
              <wp:posOffset>1109345</wp:posOffset>
            </wp:positionH>
            <wp:positionV relativeFrom="paragraph">
              <wp:posOffset>40958</wp:posOffset>
            </wp:positionV>
            <wp:extent cx="1299527" cy="8651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Ethnic 1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527" cy="865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52E9" w14:textId="77777777" w:rsidR="00916A8A" w:rsidRDefault="00916A8A" w:rsidP="00916A8A">
      <w:pPr>
        <w:spacing w:before="24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184578C2" w14:textId="77777777" w:rsidR="00916A8A" w:rsidRPr="0047743F" w:rsidRDefault="00916A8A" w:rsidP="00916A8A">
      <w:pPr>
        <w:spacing w:before="240" w:line="360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3C366239" w14:textId="77777777" w:rsidR="00916A8A" w:rsidRPr="0079383B" w:rsidRDefault="00916A8A" w:rsidP="00916A8A">
      <w:pPr>
        <w:jc w:val="both"/>
        <w:rPr>
          <w:rFonts w:ascii="Calibri" w:hAnsi="Calibri"/>
          <w:color w:val="7F7F7F"/>
        </w:rPr>
      </w:pPr>
      <w:r w:rsidRPr="0079383B">
        <w:rPr>
          <w:rFonts w:ascii="Calibri" w:hAnsi="Calibri"/>
          <w:color w:val="7F7F7F"/>
        </w:rPr>
        <w:t>Family Types: Greater Dandenong, 201</w:t>
      </w:r>
      <w:r>
        <w:rPr>
          <w:rFonts w:ascii="Calibri" w:hAnsi="Calibri"/>
          <w:color w:val="7F7F7F"/>
        </w:rPr>
        <w:t xml:space="preserve">6                                          </w:t>
      </w:r>
      <w:r w:rsidRPr="0079383B">
        <w:rPr>
          <w:rFonts w:ascii="Calibri" w:hAnsi="Calibri"/>
          <w:b/>
          <w:color w:val="000000"/>
          <w:sz w:val="24"/>
          <w:szCs w:val="24"/>
        </w:rPr>
        <w:t>Families</w:t>
      </w:r>
    </w:p>
    <w:p w14:paraId="0D6303F2" w14:textId="77777777" w:rsidR="00916A8A" w:rsidRDefault="00916A8A" w:rsidP="00916A8A">
      <w:pPr>
        <w:tabs>
          <w:tab w:val="left" w:pos="439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6" w:name="_Hlk49865347"/>
      <w:r>
        <w:rPr>
          <w:rFonts w:ascii="Calibri" w:hAnsi="Calibri"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3D757FF7" wp14:editId="5FBB0211">
            <wp:simplePos x="0" y="0"/>
            <wp:positionH relativeFrom="column">
              <wp:posOffset>11430</wp:posOffset>
            </wp:positionH>
            <wp:positionV relativeFrom="paragraph">
              <wp:posOffset>23495</wp:posOffset>
            </wp:positionV>
            <wp:extent cx="3156585" cy="2066925"/>
            <wp:effectExtent l="0" t="0" r="5715" b="9525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8" t="2296" r="6393" b="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color w:val="000000"/>
          <w:sz w:val="22"/>
          <w:szCs w:val="22"/>
        </w:rPr>
        <w:t>There are 38,471 families</w:t>
      </w:r>
      <w:r w:rsidRPr="00111466">
        <w:rPr>
          <w:rFonts w:ascii="Calibri" w:hAnsi="Calibri"/>
          <w:color w:val="000000"/>
          <w:sz w:val="22"/>
          <w:szCs w:val="22"/>
        </w:rPr>
        <w:t xml:space="preserve"> in Greater Dandenong</w:t>
      </w:r>
      <w:r>
        <w:rPr>
          <w:rFonts w:ascii="Calibri" w:hAnsi="Calibri"/>
          <w:color w:val="000000"/>
          <w:sz w:val="22"/>
          <w:szCs w:val="22"/>
        </w:rPr>
        <w:t xml:space="preserve">, with most of </w:t>
      </w:r>
      <w:r w:rsidRPr="00111466">
        <w:rPr>
          <w:rFonts w:ascii="Calibri" w:hAnsi="Calibri"/>
          <w:color w:val="000000"/>
          <w:sz w:val="22"/>
          <w:szCs w:val="22"/>
        </w:rPr>
        <w:t xml:space="preserve">the balance lone person households. </w:t>
      </w:r>
      <w:r>
        <w:rPr>
          <w:rFonts w:ascii="Calibri" w:hAnsi="Calibri"/>
          <w:color w:val="000000"/>
          <w:sz w:val="22"/>
          <w:szCs w:val="22"/>
        </w:rPr>
        <w:t>Nearly a third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(</w:t>
      </w:r>
      <w:r w:rsidRPr="00111466">
        <w:rPr>
          <w:rFonts w:ascii="Calibri" w:hAnsi="Calibri"/>
          <w:color w:val="000000"/>
          <w:sz w:val="22"/>
          <w:szCs w:val="22"/>
        </w:rPr>
        <w:t>30%</w:t>
      </w:r>
      <w:r>
        <w:rPr>
          <w:rFonts w:ascii="Calibri" w:hAnsi="Calibri"/>
          <w:color w:val="000000"/>
          <w:sz w:val="22"/>
          <w:szCs w:val="22"/>
        </w:rPr>
        <w:t>)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of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families </w:t>
      </w:r>
      <w:r w:rsidRPr="00111466">
        <w:rPr>
          <w:rFonts w:ascii="Calibri" w:hAnsi="Calibri"/>
          <w:color w:val="000000"/>
          <w:sz w:val="22"/>
          <w:szCs w:val="22"/>
        </w:rPr>
        <w:t>are couples, 4</w:t>
      </w:r>
      <w:r>
        <w:rPr>
          <w:rFonts w:ascii="Calibri" w:hAnsi="Calibri"/>
          <w:color w:val="000000"/>
          <w:sz w:val="22"/>
          <w:szCs w:val="22"/>
        </w:rPr>
        <w:t>9</w:t>
      </w:r>
      <w:r w:rsidRPr="00111466">
        <w:rPr>
          <w:rFonts w:ascii="Calibri" w:hAnsi="Calibri"/>
          <w:color w:val="000000"/>
          <w:sz w:val="22"/>
          <w:szCs w:val="22"/>
        </w:rPr>
        <w:t xml:space="preserve">% couples with children, </w:t>
      </w:r>
      <w:r>
        <w:rPr>
          <w:rFonts w:ascii="Calibri" w:hAnsi="Calibri"/>
          <w:color w:val="000000"/>
          <w:sz w:val="22"/>
          <w:szCs w:val="22"/>
        </w:rPr>
        <w:t xml:space="preserve">and </w:t>
      </w:r>
      <w:r w:rsidRPr="00111466">
        <w:rPr>
          <w:rFonts w:ascii="Calibri" w:hAnsi="Calibri"/>
          <w:color w:val="000000"/>
          <w:sz w:val="22"/>
          <w:szCs w:val="22"/>
        </w:rPr>
        <w:t>19% are headed by a single parent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2A9B0939" w14:textId="77777777" w:rsidR="00916A8A" w:rsidRPr="00111466" w:rsidRDefault="00916A8A" w:rsidP="00916A8A">
      <w:pPr>
        <w:tabs>
          <w:tab w:val="left" w:pos="439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Over t</w:t>
      </w:r>
      <w:r w:rsidRPr="00A6516A">
        <w:rPr>
          <w:rFonts w:ascii="Calibri" w:hAnsi="Calibri"/>
          <w:color w:val="000000"/>
          <w:sz w:val="22"/>
          <w:szCs w:val="22"/>
        </w:rPr>
        <w:t xml:space="preserve">hree-quarters of families with children </w:t>
      </w:r>
      <w:r>
        <w:rPr>
          <w:rFonts w:ascii="Calibri" w:hAnsi="Calibri"/>
          <w:color w:val="000000"/>
          <w:sz w:val="22"/>
          <w:szCs w:val="22"/>
        </w:rPr>
        <w:t>were</w:t>
      </w:r>
      <w:r w:rsidRPr="00A6516A">
        <w:rPr>
          <w:rFonts w:ascii="Calibri" w:hAnsi="Calibri"/>
          <w:color w:val="000000"/>
          <w:sz w:val="22"/>
          <w:szCs w:val="22"/>
        </w:rPr>
        <w:t xml:space="preserve"> headed by overseas-born parents – compared with </w:t>
      </w:r>
      <w:r w:rsidRPr="00A6516A">
        <w:rPr>
          <w:rFonts w:ascii="Calibri" w:hAnsi="Calibri"/>
          <w:sz w:val="22"/>
          <w:szCs w:val="22"/>
        </w:rPr>
        <w:t>a quarter of families across Victoria</w:t>
      </w:r>
      <w:r w:rsidRPr="00111466">
        <w:rPr>
          <w:rFonts w:ascii="Calibri" w:hAnsi="Calibri"/>
          <w:color w:val="000000"/>
          <w:sz w:val="22"/>
          <w:szCs w:val="22"/>
        </w:rPr>
        <w:t>.</w:t>
      </w:r>
      <w:bookmarkEnd w:id="6"/>
    </w:p>
    <w:p w14:paraId="18BD8CED" w14:textId="77777777" w:rsidR="00916A8A" w:rsidRPr="00111466" w:rsidRDefault="00916A8A" w:rsidP="00916A8A">
      <w:pPr>
        <w:tabs>
          <w:tab w:val="left" w:pos="284"/>
        </w:tabs>
        <w:spacing w:before="36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Disability</w:t>
      </w:r>
    </w:p>
    <w:p w14:paraId="3AD422EF" w14:textId="77777777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7" w:name="_Hlk49864872"/>
      <w:r>
        <w:rPr>
          <w:rFonts w:ascii="Calibri" w:hAnsi="Calibri"/>
          <w:color w:val="000000"/>
          <w:sz w:val="22"/>
          <w:szCs w:val="22"/>
        </w:rPr>
        <w:t>The 2016</w:t>
      </w:r>
      <w:r w:rsidRPr="00111466">
        <w:rPr>
          <w:rFonts w:ascii="Calibri" w:hAnsi="Calibri"/>
          <w:color w:val="000000"/>
          <w:sz w:val="22"/>
          <w:szCs w:val="22"/>
        </w:rPr>
        <w:t xml:space="preserve"> Census found that 6.</w:t>
      </w:r>
      <w:r>
        <w:rPr>
          <w:rFonts w:ascii="Calibri" w:hAnsi="Calibri"/>
          <w:color w:val="000000"/>
          <w:sz w:val="22"/>
          <w:szCs w:val="22"/>
        </w:rPr>
        <w:t>8</w:t>
      </w:r>
      <w:r w:rsidRPr="00111466">
        <w:rPr>
          <w:rFonts w:ascii="Calibri" w:hAnsi="Calibri"/>
          <w:color w:val="000000"/>
          <w:sz w:val="22"/>
          <w:szCs w:val="22"/>
        </w:rPr>
        <w:t>% of people in Greater Dandenong - compared with 5</w:t>
      </w:r>
      <w:r>
        <w:rPr>
          <w:rFonts w:ascii="Calibri" w:hAnsi="Calibri"/>
          <w:color w:val="000000"/>
          <w:sz w:val="22"/>
          <w:szCs w:val="22"/>
        </w:rPr>
        <w:t>.5</w:t>
      </w:r>
      <w:r w:rsidRPr="00111466">
        <w:rPr>
          <w:rFonts w:ascii="Calibri" w:hAnsi="Calibri"/>
          <w:color w:val="000000"/>
          <w:sz w:val="22"/>
          <w:szCs w:val="22"/>
        </w:rPr>
        <w:t>% across metro. Melbourne - were living with a severe or profound disability</w:t>
      </w:r>
      <w:r>
        <w:rPr>
          <w:rFonts w:ascii="Calibri" w:hAnsi="Calibri"/>
          <w:color w:val="000000"/>
          <w:sz w:val="22"/>
          <w:szCs w:val="22"/>
        </w:rPr>
        <w:t>,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requiring</w:t>
      </w:r>
      <w:r w:rsidRPr="00111466">
        <w:rPr>
          <w:rFonts w:ascii="Calibri" w:hAnsi="Calibri"/>
          <w:color w:val="000000"/>
          <w:sz w:val="22"/>
          <w:szCs w:val="22"/>
        </w:rPr>
        <w:t xml:space="preserve"> daily assistance with mobility, communication or self-care. These included a </w:t>
      </w:r>
      <w:r>
        <w:rPr>
          <w:rFonts w:ascii="Calibri" w:hAnsi="Calibri"/>
          <w:sz w:val="22"/>
          <w:szCs w:val="22"/>
        </w:rPr>
        <w:t xml:space="preserve">1.8% of residents aged up to 24 years, 4.6% among those aged 25-64, 13% of those aged 65-69, 40% of </w:t>
      </w:r>
      <w:proofErr w:type="gramStart"/>
      <w:r>
        <w:rPr>
          <w:rFonts w:ascii="Calibri" w:hAnsi="Calibri"/>
          <w:sz w:val="22"/>
          <w:szCs w:val="22"/>
        </w:rPr>
        <w:t>80-84 year-olds</w:t>
      </w:r>
      <w:proofErr w:type="gramEnd"/>
      <w:r>
        <w:rPr>
          <w:rFonts w:ascii="Calibri" w:hAnsi="Calibri"/>
          <w:sz w:val="22"/>
          <w:szCs w:val="22"/>
        </w:rPr>
        <w:t xml:space="preserve"> and 71% of residents aged over 90.</w:t>
      </w:r>
    </w:p>
    <w:bookmarkEnd w:id="7"/>
    <w:p w14:paraId="774D058F" w14:textId="77777777" w:rsidR="00916A8A" w:rsidRPr="00111466" w:rsidRDefault="00916A8A" w:rsidP="00916A8A">
      <w:pPr>
        <w:tabs>
          <w:tab w:val="left" w:pos="284"/>
        </w:tabs>
        <w:spacing w:before="36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Educational Outcomes</w:t>
      </w:r>
    </w:p>
    <w:p w14:paraId="60DB3DE0" w14:textId="25FCAF5E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>The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 xml:space="preserve"> Census revealed that </w:t>
      </w:r>
      <w:bookmarkStart w:id="8" w:name="_Hlk49865033"/>
      <w:r w:rsidRPr="00111466">
        <w:rPr>
          <w:rFonts w:ascii="Calibri" w:hAnsi="Calibri"/>
          <w:color w:val="000000"/>
          <w:sz w:val="22"/>
          <w:szCs w:val="22"/>
        </w:rPr>
        <w:t>13%</w:t>
      </w:r>
      <w:r>
        <w:rPr>
          <w:rFonts w:ascii="Calibri" w:hAnsi="Calibri"/>
          <w:color w:val="000000"/>
          <w:sz w:val="22"/>
          <w:szCs w:val="22"/>
        </w:rPr>
        <w:t xml:space="preserve"> of</w:t>
      </w:r>
      <w:r w:rsidRPr="00111466">
        <w:rPr>
          <w:rFonts w:ascii="Calibri" w:hAnsi="Calibri"/>
          <w:color w:val="000000"/>
          <w:sz w:val="22"/>
          <w:szCs w:val="22"/>
        </w:rPr>
        <w:t xml:space="preserve"> young people aged 20-24 years in Greater Dandenong had left school before completing year eleven, compared with </w:t>
      </w:r>
      <w:r>
        <w:rPr>
          <w:rFonts w:ascii="Calibri" w:hAnsi="Calibri"/>
          <w:color w:val="000000"/>
          <w:sz w:val="22"/>
          <w:szCs w:val="22"/>
        </w:rPr>
        <w:t>8.3</w:t>
      </w:r>
      <w:r w:rsidRPr="00111466">
        <w:rPr>
          <w:rFonts w:ascii="Calibri" w:hAnsi="Calibri"/>
          <w:color w:val="000000"/>
          <w:sz w:val="22"/>
          <w:szCs w:val="22"/>
        </w:rPr>
        <w:t xml:space="preserve">% across </w:t>
      </w:r>
      <w:r>
        <w:rPr>
          <w:rFonts w:ascii="Calibri" w:hAnsi="Calibri"/>
          <w:color w:val="000000"/>
          <w:sz w:val="22"/>
          <w:szCs w:val="22"/>
        </w:rPr>
        <w:t>Melbourne</w:t>
      </w:r>
      <w:r w:rsidRPr="00111466"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t>Eighteen</w:t>
      </w:r>
      <w:r w:rsidRPr="00111466">
        <w:rPr>
          <w:rFonts w:ascii="Calibri" w:hAnsi="Calibri"/>
          <w:color w:val="000000"/>
          <w:sz w:val="22"/>
          <w:szCs w:val="22"/>
        </w:rPr>
        <w:t xml:space="preserve"> per cent of 20 to </w:t>
      </w:r>
      <w:proofErr w:type="gramStart"/>
      <w:r w:rsidRPr="00111466">
        <w:rPr>
          <w:rFonts w:ascii="Calibri" w:hAnsi="Calibri"/>
          <w:color w:val="000000"/>
          <w:sz w:val="22"/>
          <w:szCs w:val="22"/>
        </w:rPr>
        <w:t>24 year-olds</w:t>
      </w:r>
      <w:proofErr w:type="gramEnd"/>
      <w:r w:rsidRPr="00111466">
        <w:rPr>
          <w:rFonts w:ascii="Calibri" w:hAnsi="Calibri"/>
          <w:color w:val="000000"/>
          <w:sz w:val="22"/>
          <w:szCs w:val="22"/>
        </w:rPr>
        <w:t xml:space="preserve"> were neither in paid employment </w:t>
      </w:r>
      <w:r>
        <w:rPr>
          <w:rFonts w:ascii="Calibri" w:hAnsi="Calibri"/>
          <w:color w:val="000000"/>
          <w:sz w:val="22"/>
          <w:szCs w:val="22"/>
        </w:rPr>
        <w:t>n</w:t>
      </w:r>
      <w:r w:rsidRPr="00111466">
        <w:rPr>
          <w:rFonts w:ascii="Calibri" w:hAnsi="Calibri"/>
          <w:color w:val="000000"/>
          <w:sz w:val="22"/>
          <w:szCs w:val="22"/>
        </w:rPr>
        <w:t xml:space="preserve">or enrolled in education </w:t>
      </w:r>
      <w:r>
        <w:rPr>
          <w:rFonts w:ascii="Calibri" w:hAnsi="Calibri"/>
          <w:color w:val="000000"/>
          <w:sz w:val="22"/>
          <w:szCs w:val="22"/>
        </w:rPr>
        <w:t xml:space="preserve">in 2016 </w:t>
      </w:r>
      <w:r w:rsidRPr="00111466">
        <w:rPr>
          <w:rFonts w:ascii="Calibri" w:hAnsi="Calibri"/>
          <w:color w:val="000000"/>
          <w:sz w:val="22"/>
          <w:szCs w:val="22"/>
        </w:rPr>
        <w:t xml:space="preserve">– the </w:t>
      </w:r>
      <w:r>
        <w:rPr>
          <w:rFonts w:ascii="Calibri" w:hAnsi="Calibri"/>
          <w:color w:val="000000"/>
          <w:sz w:val="22"/>
          <w:szCs w:val="22"/>
        </w:rPr>
        <w:t>third</w:t>
      </w:r>
      <w:r w:rsidRPr="00111466">
        <w:rPr>
          <w:rFonts w:ascii="Calibri" w:hAnsi="Calibri"/>
          <w:color w:val="000000"/>
          <w:sz w:val="22"/>
          <w:szCs w:val="22"/>
        </w:rPr>
        <w:t xml:space="preserve"> highest level in Melbourne</w:t>
      </w:r>
      <w:bookmarkEnd w:id="8"/>
      <w:r w:rsidRPr="00111466">
        <w:rPr>
          <w:rFonts w:ascii="Calibri" w:hAnsi="Calibri"/>
          <w:color w:val="000000"/>
          <w:sz w:val="22"/>
          <w:szCs w:val="22"/>
        </w:rPr>
        <w:t>, and substantially more than the corresponding metropolitan figure, of 1</w:t>
      </w:r>
      <w:r>
        <w:rPr>
          <w:rFonts w:ascii="Calibri" w:hAnsi="Calibri"/>
          <w:color w:val="000000"/>
          <w:sz w:val="22"/>
          <w:szCs w:val="22"/>
        </w:rPr>
        <w:t>0.7</w:t>
      </w:r>
      <w:r w:rsidRPr="00111466">
        <w:rPr>
          <w:rFonts w:ascii="Calibri" w:hAnsi="Calibri"/>
          <w:color w:val="000000"/>
          <w:sz w:val="22"/>
          <w:szCs w:val="22"/>
        </w:rPr>
        <w:t>%.</w:t>
      </w:r>
    </w:p>
    <w:p w14:paraId="69E0610B" w14:textId="77777777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5E1AF30" w14:textId="77777777" w:rsidR="00916A8A" w:rsidRPr="00935BDC" w:rsidRDefault="00916A8A" w:rsidP="00916A8A">
      <w:pPr>
        <w:tabs>
          <w:tab w:val="left" w:pos="5387"/>
        </w:tabs>
        <w:jc w:val="both"/>
        <w:rPr>
          <w:rFonts w:ascii="Calibri" w:hAnsi="Calibri"/>
          <w:color w:val="7F7F7F"/>
        </w:rPr>
      </w:pPr>
      <w:r w:rsidRPr="00935BDC">
        <w:rPr>
          <w:rFonts w:ascii="Calibri" w:hAnsi="Calibri"/>
          <w:color w:val="7F7F7F"/>
        </w:rPr>
        <w:lastRenderedPageBreak/>
        <w:t xml:space="preserve">Unemployment Rates: Greater Dandenong and </w:t>
      </w:r>
    </w:p>
    <w:p w14:paraId="4E0AA518" w14:textId="77777777" w:rsidR="00916A8A" w:rsidRPr="00111466" w:rsidRDefault="00916A8A" w:rsidP="00916A8A">
      <w:pPr>
        <w:tabs>
          <w:tab w:val="left" w:pos="5387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935BDC">
        <w:rPr>
          <w:rFonts w:ascii="Calibri" w:hAnsi="Calibri"/>
          <w:color w:val="7F7F7F"/>
        </w:rPr>
        <w:t>Metropolitan Melbourne, 200</w:t>
      </w:r>
      <w:r>
        <w:rPr>
          <w:rFonts w:ascii="Calibri" w:hAnsi="Calibri"/>
          <w:color w:val="7F7F7F"/>
        </w:rPr>
        <w:t>8</w:t>
      </w:r>
      <w:r w:rsidRPr="00935BDC">
        <w:rPr>
          <w:rFonts w:ascii="Calibri" w:hAnsi="Calibri"/>
          <w:color w:val="7F7F7F"/>
        </w:rPr>
        <w:t>-20</w:t>
      </w:r>
      <w:r>
        <w:rPr>
          <w:rFonts w:ascii="Calibri" w:hAnsi="Calibri"/>
          <w:color w:val="7F7F7F"/>
        </w:rPr>
        <w:t>20</w:t>
      </w:r>
      <w:r w:rsidRPr="00111466">
        <w:rPr>
          <w:rFonts w:ascii="Calibri" w:hAnsi="Calibri"/>
          <w:b/>
          <w:color w:val="000000"/>
          <w:sz w:val="22"/>
          <w:szCs w:val="22"/>
        </w:rPr>
        <w:tab/>
        <w:t>Unemployment</w:t>
      </w:r>
    </w:p>
    <w:p w14:paraId="096C6FB3" w14:textId="77777777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color w:val="7F7F7F"/>
        </w:rPr>
        <w:drawing>
          <wp:anchor distT="0" distB="0" distL="114300" distR="114300" simplePos="0" relativeHeight="251667456" behindDoc="0" locked="0" layoutInCell="1" allowOverlap="1" wp14:anchorId="244B3020" wp14:editId="73820F51">
            <wp:simplePos x="0" y="0"/>
            <wp:positionH relativeFrom="column">
              <wp:posOffset>-635</wp:posOffset>
            </wp:positionH>
            <wp:positionV relativeFrom="paragraph">
              <wp:posOffset>6350</wp:posOffset>
            </wp:positionV>
            <wp:extent cx="3095625" cy="22231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2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  <w:szCs w:val="22"/>
        </w:rPr>
        <w:t>Un</w:t>
      </w:r>
      <w:bookmarkStart w:id="9" w:name="_Hlk49865108"/>
      <w:r>
        <w:rPr>
          <w:rFonts w:ascii="Calibri" w:hAnsi="Calibri"/>
          <w:sz w:val="22"/>
          <w:szCs w:val="22"/>
        </w:rPr>
        <w:t xml:space="preserve">employment rates in Greater Dandenong have fluctuated in the past decade, most recently rising to 10.2% by </w:t>
      </w:r>
      <w:proofErr w:type="spellStart"/>
      <w:r>
        <w:rPr>
          <w:rFonts w:ascii="Calibri" w:hAnsi="Calibri"/>
          <w:sz w:val="22"/>
          <w:szCs w:val="22"/>
        </w:rPr>
        <w:t>mid 2020</w:t>
      </w:r>
      <w:proofErr w:type="spellEnd"/>
      <w:r>
        <w:rPr>
          <w:rFonts w:ascii="Calibri" w:hAnsi="Calibri"/>
          <w:sz w:val="22"/>
          <w:szCs w:val="22"/>
        </w:rPr>
        <w:t xml:space="preserve"> – the highest level in Victoria and nearly twice the metropolitan average of 5.7%. This number represents 8,600 residents and rise of 2,300 since mid-2019.</w:t>
      </w:r>
    </w:p>
    <w:bookmarkEnd w:id="9"/>
    <w:p w14:paraId="2005E1AC" w14:textId="77777777" w:rsidR="00916A8A" w:rsidRPr="00111466" w:rsidRDefault="00916A8A" w:rsidP="00916A8A">
      <w:pPr>
        <w:tabs>
          <w:tab w:val="left" w:pos="284"/>
        </w:tabs>
        <w:spacing w:before="120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Unpaid Work</w:t>
      </w:r>
    </w:p>
    <w:p w14:paraId="1CAF4D71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>The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 xml:space="preserve"> Census found that 1</w:t>
      </w:r>
      <w:r>
        <w:rPr>
          <w:rFonts w:ascii="Calibri" w:hAnsi="Calibri"/>
          <w:color w:val="000000"/>
          <w:sz w:val="22"/>
          <w:szCs w:val="22"/>
        </w:rPr>
        <w:t>2</w:t>
      </w:r>
      <w:r w:rsidRPr="00111466">
        <w:rPr>
          <w:rFonts w:ascii="Calibri" w:hAnsi="Calibri"/>
          <w:color w:val="000000"/>
          <w:sz w:val="22"/>
          <w:szCs w:val="22"/>
        </w:rPr>
        <w:t xml:space="preserve">% of residents </w:t>
      </w:r>
      <w:r>
        <w:rPr>
          <w:rFonts w:ascii="Calibri" w:hAnsi="Calibri"/>
          <w:color w:val="000000"/>
          <w:sz w:val="22"/>
          <w:szCs w:val="22"/>
        </w:rPr>
        <w:t>volunteered in the previous year - about half the Victorian level of 21</w:t>
      </w:r>
      <w:r w:rsidRPr="00111466">
        <w:rPr>
          <w:rFonts w:ascii="Calibri" w:hAnsi="Calibri"/>
          <w:color w:val="000000"/>
          <w:sz w:val="22"/>
          <w:szCs w:val="22"/>
        </w:rPr>
        <w:t>%. In addition, 1</w:t>
      </w:r>
      <w:r>
        <w:rPr>
          <w:rFonts w:ascii="Calibri" w:hAnsi="Calibri"/>
          <w:color w:val="000000"/>
          <w:sz w:val="22"/>
          <w:szCs w:val="22"/>
        </w:rPr>
        <w:t>2</w:t>
      </w:r>
      <w:r w:rsidRPr="00111466">
        <w:rPr>
          <w:rFonts w:ascii="Calibri" w:hAnsi="Calibri"/>
          <w:color w:val="000000"/>
          <w:sz w:val="22"/>
          <w:szCs w:val="22"/>
        </w:rPr>
        <w:t>% per cent of residents were providing unpaid assistance to someone with a disability (including 9</w:t>
      </w:r>
      <w:r>
        <w:rPr>
          <w:rFonts w:ascii="Calibri" w:hAnsi="Calibri"/>
          <w:color w:val="000000"/>
          <w:sz w:val="22"/>
          <w:szCs w:val="22"/>
        </w:rPr>
        <w:t>.7</w:t>
      </w:r>
      <w:r w:rsidRPr="00111466">
        <w:rPr>
          <w:rFonts w:ascii="Calibri" w:hAnsi="Calibri"/>
          <w:color w:val="000000"/>
          <w:sz w:val="22"/>
          <w:szCs w:val="22"/>
        </w:rPr>
        <w:t xml:space="preserve">% of males and </w:t>
      </w:r>
      <w:r>
        <w:rPr>
          <w:rFonts w:ascii="Calibri" w:hAnsi="Calibri"/>
          <w:color w:val="000000"/>
          <w:sz w:val="22"/>
          <w:szCs w:val="22"/>
        </w:rPr>
        <w:t>13.3</w:t>
      </w:r>
      <w:r w:rsidRPr="00111466">
        <w:rPr>
          <w:rFonts w:ascii="Calibri" w:hAnsi="Calibri"/>
          <w:color w:val="000000"/>
          <w:sz w:val="22"/>
          <w:szCs w:val="22"/>
        </w:rPr>
        <w:t xml:space="preserve">% of females), </w:t>
      </w:r>
      <w:r>
        <w:rPr>
          <w:rFonts w:ascii="Calibri" w:hAnsi="Calibri"/>
          <w:color w:val="000000"/>
          <w:sz w:val="22"/>
          <w:szCs w:val="22"/>
        </w:rPr>
        <w:t>while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26</w:t>
      </w:r>
      <w:r w:rsidRPr="00111466">
        <w:rPr>
          <w:rFonts w:ascii="Calibri" w:hAnsi="Calibri"/>
          <w:color w:val="000000"/>
          <w:sz w:val="22"/>
          <w:szCs w:val="22"/>
        </w:rPr>
        <w:t xml:space="preserve">% </w:t>
      </w:r>
      <w:r>
        <w:rPr>
          <w:rFonts w:ascii="Calibri" w:hAnsi="Calibri"/>
          <w:color w:val="000000"/>
          <w:sz w:val="22"/>
          <w:szCs w:val="22"/>
        </w:rPr>
        <w:t>of residents provided unpaid care to their own, or others’, children</w:t>
      </w:r>
      <w:r w:rsidRPr="00111466">
        <w:rPr>
          <w:rFonts w:ascii="Calibri" w:hAnsi="Calibri"/>
          <w:color w:val="000000"/>
          <w:sz w:val="22"/>
          <w:szCs w:val="22"/>
        </w:rPr>
        <w:t>.</w:t>
      </w:r>
    </w:p>
    <w:p w14:paraId="0C3AA63F" w14:textId="77777777" w:rsidR="00916A8A" w:rsidRPr="00111466" w:rsidRDefault="00916A8A" w:rsidP="00916A8A">
      <w:pPr>
        <w:tabs>
          <w:tab w:val="left" w:pos="284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Incomes</w:t>
      </w:r>
    </w:p>
    <w:p w14:paraId="41086939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>In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>, the median weekly gross income among Greater Dandenong residents was $</w:t>
      </w:r>
      <w:r>
        <w:rPr>
          <w:rFonts w:ascii="Calibri" w:hAnsi="Calibri"/>
          <w:color w:val="000000"/>
          <w:sz w:val="22"/>
          <w:szCs w:val="22"/>
        </w:rPr>
        <w:t>476</w:t>
      </w:r>
      <w:r w:rsidRPr="00111466">
        <w:rPr>
          <w:rFonts w:ascii="Calibri" w:hAnsi="Calibri"/>
          <w:color w:val="000000"/>
          <w:sz w:val="22"/>
          <w:szCs w:val="22"/>
        </w:rPr>
        <w:t xml:space="preserve"> - the lowest in Melbourne</w:t>
      </w:r>
      <w:r>
        <w:rPr>
          <w:rFonts w:ascii="Calibri" w:hAnsi="Calibri"/>
          <w:color w:val="000000"/>
          <w:sz w:val="22"/>
          <w:szCs w:val="22"/>
        </w:rPr>
        <w:t>,</w:t>
      </w:r>
      <w:r w:rsidRPr="00111466">
        <w:rPr>
          <w:rFonts w:ascii="Calibri" w:hAnsi="Calibri"/>
          <w:color w:val="000000"/>
          <w:sz w:val="22"/>
          <w:szCs w:val="22"/>
        </w:rPr>
        <w:t xml:space="preserve"> and </w:t>
      </w:r>
      <w:r>
        <w:rPr>
          <w:rFonts w:ascii="Calibri" w:hAnsi="Calibri"/>
          <w:color w:val="000000"/>
          <w:sz w:val="22"/>
          <w:szCs w:val="22"/>
        </w:rPr>
        <w:t>73</w:t>
      </w:r>
      <w:r w:rsidRPr="00111466">
        <w:rPr>
          <w:rFonts w:ascii="Calibri" w:hAnsi="Calibri"/>
          <w:color w:val="000000"/>
          <w:sz w:val="22"/>
          <w:szCs w:val="22"/>
        </w:rPr>
        <w:t>% of the metropolitan average of $</w:t>
      </w:r>
      <w:r>
        <w:rPr>
          <w:rFonts w:ascii="Calibri" w:hAnsi="Calibri"/>
          <w:color w:val="000000"/>
          <w:sz w:val="22"/>
          <w:szCs w:val="22"/>
        </w:rPr>
        <w:t>785</w:t>
      </w:r>
      <w:r w:rsidRPr="00111466">
        <w:rPr>
          <w:rFonts w:ascii="Calibri" w:hAnsi="Calibri"/>
          <w:color w:val="000000"/>
          <w:sz w:val="22"/>
          <w:szCs w:val="22"/>
        </w:rPr>
        <w:t>. Median income</w:t>
      </w:r>
      <w:r>
        <w:rPr>
          <w:rFonts w:ascii="Calibri" w:hAnsi="Calibri"/>
          <w:color w:val="000000"/>
          <w:sz w:val="22"/>
          <w:szCs w:val="22"/>
        </w:rPr>
        <w:t>s in Greater Dandenong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stood at</w:t>
      </w:r>
      <w:r w:rsidRPr="00111466">
        <w:rPr>
          <w:rFonts w:ascii="Calibri" w:hAnsi="Calibri"/>
          <w:color w:val="000000"/>
          <w:sz w:val="22"/>
          <w:szCs w:val="22"/>
        </w:rPr>
        <w:t xml:space="preserve"> $</w:t>
      </w:r>
      <w:r>
        <w:rPr>
          <w:rFonts w:ascii="Calibri" w:hAnsi="Calibri"/>
          <w:color w:val="000000"/>
          <w:sz w:val="22"/>
          <w:szCs w:val="22"/>
        </w:rPr>
        <w:t>403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among</w:t>
      </w:r>
      <w:r w:rsidRPr="00111466">
        <w:rPr>
          <w:rFonts w:ascii="Calibri" w:hAnsi="Calibri"/>
          <w:color w:val="000000"/>
          <w:sz w:val="22"/>
          <w:szCs w:val="22"/>
        </w:rPr>
        <w:t xml:space="preserve"> females, compared to $</w:t>
      </w:r>
      <w:r>
        <w:rPr>
          <w:rFonts w:ascii="Calibri" w:hAnsi="Calibri"/>
          <w:color w:val="000000"/>
          <w:sz w:val="22"/>
          <w:szCs w:val="22"/>
        </w:rPr>
        <w:t>616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for</w:t>
      </w:r>
      <w:r w:rsidRPr="00111466">
        <w:rPr>
          <w:rFonts w:ascii="Calibri" w:hAnsi="Calibri"/>
          <w:color w:val="000000"/>
          <w:sz w:val="22"/>
          <w:szCs w:val="22"/>
        </w:rPr>
        <w:t xml:space="preserve"> males.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11466">
        <w:rPr>
          <w:rFonts w:ascii="Calibri" w:hAnsi="Calibri"/>
          <w:color w:val="000000"/>
          <w:sz w:val="22"/>
          <w:szCs w:val="22"/>
        </w:rPr>
        <w:t xml:space="preserve">Many household incomes are further diminished by gambling losses. In </w:t>
      </w:r>
      <w:r>
        <w:rPr>
          <w:rFonts w:ascii="Calibri" w:hAnsi="Calibri"/>
          <w:color w:val="000000"/>
          <w:sz w:val="22"/>
          <w:szCs w:val="22"/>
        </w:rPr>
        <w:t>2018/19</w:t>
      </w:r>
      <w:r w:rsidRPr="00111466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 xml:space="preserve">over </w:t>
      </w:r>
      <w:r w:rsidRPr="00111466">
        <w:rPr>
          <w:rFonts w:ascii="Calibri" w:hAnsi="Calibri"/>
          <w:color w:val="000000"/>
          <w:sz w:val="22"/>
          <w:szCs w:val="22"/>
        </w:rPr>
        <w:t>$</w:t>
      </w:r>
      <w:r>
        <w:rPr>
          <w:rFonts w:ascii="Calibri" w:hAnsi="Calibri"/>
          <w:color w:val="000000"/>
          <w:sz w:val="22"/>
          <w:szCs w:val="22"/>
        </w:rPr>
        <w:t>119</w:t>
      </w:r>
      <w:r w:rsidRPr="00111466">
        <w:rPr>
          <w:rFonts w:ascii="Calibri" w:hAnsi="Calibri"/>
          <w:color w:val="000000"/>
          <w:sz w:val="22"/>
          <w:szCs w:val="22"/>
        </w:rPr>
        <w:t xml:space="preserve"> million was lost to electronic gambling machines </w:t>
      </w:r>
      <w:r>
        <w:rPr>
          <w:rFonts w:ascii="Calibri" w:hAnsi="Calibri"/>
          <w:color w:val="000000"/>
          <w:sz w:val="22"/>
          <w:szCs w:val="22"/>
        </w:rPr>
        <w:t xml:space="preserve">in Greater Dandenong, equivalent to $910 </w:t>
      </w:r>
      <w:r w:rsidRPr="00111466">
        <w:rPr>
          <w:rFonts w:ascii="Calibri" w:hAnsi="Calibri"/>
          <w:color w:val="000000"/>
          <w:sz w:val="22"/>
          <w:szCs w:val="22"/>
        </w:rPr>
        <w:t xml:space="preserve">per adult </w:t>
      </w:r>
      <w:r>
        <w:rPr>
          <w:rFonts w:ascii="Calibri" w:hAnsi="Calibri"/>
          <w:color w:val="000000"/>
          <w:sz w:val="22"/>
          <w:szCs w:val="22"/>
        </w:rPr>
        <w:t>and</w:t>
      </w:r>
      <w:r w:rsidRPr="00111466">
        <w:rPr>
          <w:rFonts w:ascii="Calibri" w:hAnsi="Calibri"/>
          <w:color w:val="000000"/>
          <w:sz w:val="22"/>
          <w:szCs w:val="22"/>
        </w:rPr>
        <w:t xml:space="preserve"> the highest rate of losses in Victoria.</w:t>
      </w:r>
    </w:p>
    <w:p w14:paraId="7AB97B3B" w14:textId="77777777" w:rsidR="00916A8A" w:rsidRPr="00FC12D6" w:rsidRDefault="00916A8A" w:rsidP="00916A8A">
      <w:pPr>
        <w:tabs>
          <w:tab w:val="left" w:pos="284"/>
          <w:tab w:val="left" w:pos="4395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FC12D6">
        <w:rPr>
          <w:rFonts w:ascii="Calibri" w:hAnsi="Calibri"/>
          <w:b/>
          <w:color w:val="000000"/>
          <w:sz w:val="22"/>
          <w:szCs w:val="22"/>
        </w:rPr>
        <w:t>Crim</w:t>
      </w:r>
      <w:r>
        <w:rPr>
          <w:rFonts w:ascii="Calibri" w:hAnsi="Calibri"/>
          <w:b/>
          <w:color w:val="000000"/>
          <w:sz w:val="22"/>
          <w:szCs w:val="22"/>
        </w:rPr>
        <w:t>e</w:t>
      </w:r>
    </w:p>
    <w:p w14:paraId="38B98A3C" w14:textId="77777777" w:rsidR="00916A8A" w:rsidRPr="00AE310B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The rate of </w:t>
      </w:r>
      <w:r w:rsidRPr="00ED6D7F">
        <w:rPr>
          <w:rFonts w:ascii="Calibri" w:hAnsi="Calibri"/>
          <w:sz w:val="22"/>
          <w:szCs w:val="22"/>
          <w:lang w:val="en-AU"/>
        </w:rPr>
        <w:t xml:space="preserve">local </w:t>
      </w:r>
      <w:r>
        <w:rPr>
          <w:rFonts w:ascii="Calibri" w:hAnsi="Calibri"/>
          <w:sz w:val="22"/>
          <w:szCs w:val="22"/>
          <w:lang w:val="en-AU"/>
        </w:rPr>
        <w:t>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 xml:space="preserve">20, </w:t>
      </w:r>
      <w:r w:rsidRPr="00ED6D7F">
        <w:rPr>
          <w:rFonts w:ascii="Calibri" w:hAnsi="Calibri"/>
          <w:sz w:val="22"/>
          <w:szCs w:val="22"/>
          <w:lang w:val="en-AU"/>
        </w:rPr>
        <w:t xml:space="preserve">with </w:t>
      </w:r>
      <w:r>
        <w:rPr>
          <w:rFonts w:ascii="Calibri" w:hAnsi="Calibri"/>
          <w:sz w:val="22"/>
          <w:szCs w:val="22"/>
          <w:lang w:val="en-AU"/>
        </w:rPr>
        <w:t>violent offences falling 15%, and property offences by 18%. In the same period, drug offence rates rose 3%.</w:t>
      </w:r>
    </w:p>
    <w:p w14:paraId="40F8E6C1" w14:textId="77777777" w:rsidR="00916A8A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5408" behindDoc="0" locked="0" layoutInCell="1" allowOverlap="1" wp14:anchorId="5F929281" wp14:editId="150B5747">
            <wp:simplePos x="0" y="0"/>
            <wp:positionH relativeFrom="column">
              <wp:posOffset>2860675</wp:posOffset>
            </wp:positionH>
            <wp:positionV relativeFrom="paragraph">
              <wp:posOffset>324485</wp:posOffset>
            </wp:positionV>
            <wp:extent cx="3271520" cy="276225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4" r="1407"/>
                    <a:stretch/>
                  </pic:blipFill>
                  <pic:spPr bwMode="auto">
                    <a:xfrm>
                      <a:off x="0" y="0"/>
                      <a:ext cx="32715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  <w:r>
        <w:rPr>
          <w:rFonts w:ascii="Calibri" w:hAnsi="Calibri"/>
          <w:sz w:val="22"/>
          <w:szCs w:val="22"/>
          <w:lang w:val="en-AU"/>
        </w:rPr>
        <w:t xml:space="preserve"> 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  <w:r>
        <w:rPr>
          <w:rFonts w:ascii="Calibri" w:hAnsi="Calibri"/>
          <w:sz w:val="22"/>
          <w:szCs w:val="22"/>
          <w:lang w:val="en-AU"/>
        </w:rPr>
        <w:t>, 27% higher for property offences, 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 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</w:t>
      </w:r>
    </w:p>
    <w:p w14:paraId="27B9547B" w14:textId="77777777" w:rsidR="00916A8A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In 2019/20, the rate of police callouts to family incidents in Greater Dandenong, was the third highest in Melbourne.</w:t>
      </w:r>
    </w:p>
    <w:p w14:paraId="0BEAA869" w14:textId="77777777" w:rsidR="00916A8A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6F1FEE4C" wp14:editId="3705B998">
            <wp:simplePos x="0" y="0"/>
            <wp:positionH relativeFrom="column">
              <wp:posOffset>4939030</wp:posOffset>
            </wp:positionH>
            <wp:positionV relativeFrom="paragraph">
              <wp:posOffset>86360</wp:posOffset>
            </wp:positionV>
            <wp:extent cx="1124923" cy="732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e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923" cy="73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  <w:r>
        <w:rPr>
          <w:rFonts w:ascii="Calibri" w:hAnsi="Calibri"/>
          <w:sz w:val="22"/>
          <w:szCs w:val="22"/>
          <w:lang w:val="en-AU"/>
        </w:rPr>
        <w:t xml:space="preserve"> Rates of violent offences,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right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444B80B0" w14:textId="5942F116" w:rsidR="00916A8A" w:rsidRPr="00601AB6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601AB6">
        <w:rPr>
          <w:rFonts w:ascii="Calibri" w:hAnsi="Calibri"/>
          <w:sz w:val="22"/>
          <w:szCs w:val="22"/>
          <w:lang w:val="en-AU"/>
        </w:rPr>
        <w:t xml:space="preserve">Further information about conditions in Greater </w:t>
      </w:r>
      <w:bookmarkStart w:id="10" w:name="_GoBack"/>
      <w:bookmarkEnd w:id="10"/>
      <w:r w:rsidRPr="00601AB6">
        <w:rPr>
          <w:rFonts w:ascii="Calibri" w:hAnsi="Calibri"/>
          <w:sz w:val="22"/>
          <w:szCs w:val="22"/>
          <w:lang w:val="en-AU"/>
        </w:rPr>
        <w:t xml:space="preserve">Dandenong and Victoria: </w:t>
      </w:r>
      <w:hyperlink r:id="rId17" w:history="1">
        <w:r w:rsidRPr="000B6A72">
          <w:rPr>
            <w:rStyle w:val="Hyperlink"/>
            <w:rFonts w:ascii="Calibri" w:hAnsi="Calibri"/>
            <w:b/>
            <w:sz w:val="22"/>
            <w:szCs w:val="22"/>
            <w:lang w:val="en-AU"/>
          </w:rPr>
          <w:t>www.</w:t>
        </w:r>
        <w:r w:rsidRPr="000B6A72">
          <w:rPr>
            <w:rStyle w:val="Hyperlink"/>
            <w:rFonts w:ascii="Calibri" w:hAnsi="Calibri"/>
            <w:b/>
            <w:sz w:val="22"/>
            <w:szCs w:val="22"/>
            <w:lang w:val="en-AU"/>
          </w:rPr>
          <w:t>socialstats</w:t>
        </w:r>
        <w:r w:rsidRPr="000B6A72">
          <w:rPr>
            <w:rStyle w:val="Hyperlink"/>
            <w:rFonts w:ascii="Calibri" w:hAnsi="Calibri"/>
            <w:b/>
            <w:sz w:val="22"/>
            <w:szCs w:val="22"/>
            <w:lang w:val="en-AU"/>
          </w:rPr>
          <w:t>.com.au</w:t>
        </w:r>
      </w:hyperlink>
    </w:p>
    <w:sectPr w:rsidR="00916A8A" w:rsidRPr="00601AB6" w:rsidSect="00C5250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EC318" w14:textId="77777777" w:rsidR="00912AE5" w:rsidRDefault="00912AE5">
      <w:r>
        <w:separator/>
      </w:r>
    </w:p>
  </w:endnote>
  <w:endnote w:type="continuationSeparator" w:id="0">
    <w:p w14:paraId="7A33F876" w14:textId="77777777" w:rsidR="00912AE5" w:rsidRDefault="009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8B13" w14:textId="77777777" w:rsidR="00912AE5" w:rsidRDefault="00912AE5">
      <w:r>
        <w:separator/>
      </w:r>
    </w:p>
  </w:footnote>
  <w:footnote w:type="continuationSeparator" w:id="0">
    <w:p w14:paraId="6693D878" w14:textId="77777777" w:rsidR="00912AE5" w:rsidRDefault="0091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C59"/>
    <w:multiLevelType w:val="hybridMultilevel"/>
    <w:tmpl w:val="3F561E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4EC"/>
    <w:multiLevelType w:val="hybridMultilevel"/>
    <w:tmpl w:val="49686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1A"/>
    <w:rsid w:val="0000739A"/>
    <w:rsid w:val="000134B3"/>
    <w:rsid w:val="000220DA"/>
    <w:rsid w:val="000231E7"/>
    <w:rsid w:val="00036FC1"/>
    <w:rsid w:val="00047BE6"/>
    <w:rsid w:val="000525CC"/>
    <w:rsid w:val="00054A7E"/>
    <w:rsid w:val="00054C61"/>
    <w:rsid w:val="000649FE"/>
    <w:rsid w:val="00067638"/>
    <w:rsid w:val="00070C61"/>
    <w:rsid w:val="0007191F"/>
    <w:rsid w:val="00073627"/>
    <w:rsid w:val="00080995"/>
    <w:rsid w:val="00083040"/>
    <w:rsid w:val="00086513"/>
    <w:rsid w:val="00090E66"/>
    <w:rsid w:val="00094D4E"/>
    <w:rsid w:val="000A4439"/>
    <w:rsid w:val="000A7705"/>
    <w:rsid w:val="000B2785"/>
    <w:rsid w:val="000B65E9"/>
    <w:rsid w:val="000C19A7"/>
    <w:rsid w:val="000E43A0"/>
    <w:rsid w:val="000E7E8C"/>
    <w:rsid w:val="000F362B"/>
    <w:rsid w:val="000F535D"/>
    <w:rsid w:val="00100A7A"/>
    <w:rsid w:val="00104F17"/>
    <w:rsid w:val="00111466"/>
    <w:rsid w:val="00127A0A"/>
    <w:rsid w:val="00142690"/>
    <w:rsid w:val="00160F34"/>
    <w:rsid w:val="00167DCD"/>
    <w:rsid w:val="001859F0"/>
    <w:rsid w:val="00191C63"/>
    <w:rsid w:val="001946D2"/>
    <w:rsid w:val="001A2D8F"/>
    <w:rsid w:val="001A5A94"/>
    <w:rsid w:val="001A68E3"/>
    <w:rsid w:val="001A7527"/>
    <w:rsid w:val="001B60DD"/>
    <w:rsid w:val="001C4541"/>
    <w:rsid w:val="001C7E96"/>
    <w:rsid w:val="001E1B2A"/>
    <w:rsid w:val="001E475A"/>
    <w:rsid w:val="001E68B0"/>
    <w:rsid w:val="001F0C3E"/>
    <w:rsid w:val="001F4296"/>
    <w:rsid w:val="001F6625"/>
    <w:rsid w:val="00210DE8"/>
    <w:rsid w:val="0021119A"/>
    <w:rsid w:val="00212ADB"/>
    <w:rsid w:val="00216B97"/>
    <w:rsid w:val="002174A1"/>
    <w:rsid w:val="002338C1"/>
    <w:rsid w:val="0024160B"/>
    <w:rsid w:val="002435BB"/>
    <w:rsid w:val="002536C4"/>
    <w:rsid w:val="002644F5"/>
    <w:rsid w:val="00267D4A"/>
    <w:rsid w:val="00281DA6"/>
    <w:rsid w:val="002A44FD"/>
    <w:rsid w:val="002C4507"/>
    <w:rsid w:val="002E72E7"/>
    <w:rsid w:val="002F540D"/>
    <w:rsid w:val="003127C0"/>
    <w:rsid w:val="00314F78"/>
    <w:rsid w:val="00316512"/>
    <w:rsid w:val="00316A2E"/>
    <w:rsid w:val="00341E83"/>
    <w:rsid w:val="00344149"/>
    <w:rsid w:val="00355776"/>
    <w:rsid w:val="00361686"/>
    <w:rsid w:val="00364EDF"/>
    <w:rsid w:val="00377E18"/>
    <w:rsid w:val="00391A77"/>
    <w:rsid w:val="00393F4C"/>
    <w:rsid w:val="00394941"/>
    <w:rsid w:val="00397C03"/>
    <w:rsid w:val="003A4C1B"/>
    <w:rsid w:val="003B3DBD"/>
    <w:rsid w:val="003B47DA"/>
    <w:rsid w:val="003B60E8"/>
    <w:rsid w:val="003C00EA"/>
    <w:rsid w:val="003C36FD"/>
    <w:rsid w:val="003D421D"/>
    <w:rsid w:val="003F0E81"/>
    <w:rsid w:val="00401743"/>
    <w:rsid w:val="00410BE3"/>
    <w:rsid w:val="00411CB9"/>
    <w:rsid w:val="004277A3"/>
    <w:rsid w:val="00437D1A"/>
    <w:rsid w:val="004416BA"/>
    <w:rsid w:val="00442CA5"/>
    <w:rsid w:val="0044774C"/>
    <w:rsid w:val="00451E80"/>
    <w:rsid w:val="00453AC4"/>
    <w:rsid w:val="00461097"/>
    <w:rsid w:val="004612B6"/>
    <w:rsid w:val="00462A28"/>
    <w:rsid w:val="0047294C"/>
    <w:rsid w:val="0047743F"/>
    <w:rsid w:val="00495ACA"/>
    <w:rsid w:val="004A06AD"/>
    <w:rsid w:val="004A1576"/>
    <w:rsid w:val="004A5CFD"/>
    <w:rsid w:val="004B535D"/>
    <w:rsid w:val="004C5239"/>
    <w:rsid w:val="004D068C"/>
    <w:rsid w:val="004F0C0D"/>
    <w:rsid w:val="00500CB6"/>
    <w:rsid w:val="005070EF"/>
    <w:rsid w:val="00511DAB"/>
    <w:rsid w:val="00547BC6"/>
    <w:rsid w:val="00552FC3"/>
    <w:rsid w:val="0055476E"/>
    <w:rsid w:val="0055632B"/>
    <w:rsid w:val="005604D9"/>
    <w:rsid w:val="00564265"/>
    <w:rsid w:val="00577E2B"/>
    <w:rsid w:val="00590A18"/>
    <w:rsid w:val="00593F1E"/>
    <w:rsid w:val="005966CD"/>
    <w:rsid w:val="005C07AC"/>
    <w:rsid w:val="005C2E90"/>
    <w:rsid w:val="005C5377"/>
    <w:rsid w:val="005C6BC0"/>
    <w:rsid w:val="005D00F2"/>
    <w:rsid w:val="005D4E36"/>
    <w:rsid w:val="005D51D3"/>
    <w:rsid w:val="005F5E41"/>
    <w:rsid w:val="005F7B22"/>
    <w:rsid w:val="00602B7F"/>
    <w:rsid w:val="00603215"/>
    <w:rsid w:val="006131F4"/>
    <w:rsid w:val="00616B47"/>
    <w:rsid w:val="00622799"/>
    <w:rsid w:val="00656F8D"/>
    <w:rsid w:val="00670DE2"/>
    <w:rsid w:val="006749F7"/>
    <w:rsid w:val="00676595"/>
    <w:rsid w:val="00683A3E"/>
    <w:rsid w:val="006859BA"/>
    <w:rsid w:val="006925C4"/>
    <w:rsid w:val="006A0269"/>
    <w:rsid w:val="006A43EB"/>
    <w:rsid w:val="006A670D"/>
    <w:rsid w:val="006B1F76"/>
    <w:rsid w:val="006B2724"/>
    <w:rsid w:val="006D00AD"/>
    <w:rsid w:val="006D55DF"/>
    <w:rsid w:val="006E143B"/>
    <w:rsid w:val="006F1FD7"/>
    <w:rsid w:val="006F58C7"/>
    <w:rsid w:val="006F5C8C"/>
    <w:rsid w:val="00700829"/>
    <w:rsid w:val="007035EE"/>
    <w:rsid w:val="00703D1B"/>
    <w:rsid w:val="007136FF"/>
    <w:rsid w:val="00714361"/>
    <w:rsid w:val="007163B9"/>
    <w:rsid w:val="00720288"/>
    <w:rsid w:val="007258FA"/>
    <w:rsid w:val="00732A61"/>
    <w:rsid w:val="0075018B"/>
    <w:rsid w:val="00750F90"/>
    <w:rsid w:val="007618E1"/>
    <w:rsid w:val="00773D44"/>
    <w:rsid w:val="007843D4"/>
    <w:rsid w:val="0079383B"/>
    <w:rsid w:val="0079701B"/>
    <w:rsid w:val="007B1A84"/>
    <w:rsid w:val="007B43DB"/>
    <w:rsid w:val="007B5D1A"/>
    <w:rsid w:val="007B7B82"/>
    <w:rsid w:val="007F4DD4"/>
    <w:rsid w:val="007F5E2B"/>
    <w:rsid w:val="00803F6D"/>
    <w:rsid w:val="00807B48"/>
    <w:rsid w:val="00807CF8"/>
    <w:rsid w:val="0081133A"/>
    <w:rsid w:val="008142F1"/>
    <w:rsid w:val="00821466"/>
    <w:rsid w:val="00827F90"/>
    <w:rsid w:val="00851C7C"/>
    <w:rsid w:val="00857FFD"/>
    <w:rsid w:val="00872FCE"/>
    <w:rsid w:val="00875EC5"/>
    <w:rsid w:val="008821C8"/>
    <w:rsid w:val="00891A04"/>
    <w:rsid w:val="008975E9"/>
    <w:rsid w:val="008C533A"/>
    <w:rsid w:val="008D208F"/>
    <w:rsid w:val="008D7811"/>
    <w:rsid w:val="008F034E"/>
    <w:rsid w:val="008F6667"/>
    <w:rsid w:val="0090052A"/>
    <w:rsid w:val="00901183"/>
    <w:rsid w:val="0090676A"/>
    <w:rsid w:val="00912AE5"/>
    <w:rsid w:val="00916A8A"/>
    <w:rsid w:val="00923A9F"/>
    <w:rsid w:val="00935BDC"/>
    <w:rsid w:val="00983079"/>
    <w:rsid w:val="0098378D"/>
    <w:rsid w:val="009B16C5"/>
    <w:rsid w:val="009B3715"/>
    <w:rsid w:val="009C1EE4"/>
    <w:rsid w:val="009C510D"/>
    <w:rsid w:val="009E0FF5"/>
    <w:rsid w:val="009E11FC"/>
    <w:rsid w:val="009F34DB"/>
    <w:rsid w:val="009F408D"/>
    <w:rsid w:val="009F40F1"/>
    <w:rsid w:val="009F7D62"/>
    <w:rsid w:val="00A01CB2"/>
    <w:rsid w:val="00A165DC"/>
    <w:rsid w:val="00A32165"/>
    <w:rsid w:val="00A426F1"/>
    <w:rsid w:val="00A620D1"/>
    <w:rsid w:val="00A64367"/>
    <w:rsid w:val="00A72A96"/>
    <w:rsid w:val="00A8039B"/>
    <w:rsid w:val="00A86099"/>
    <w:rsid w:val="00A87B3C"/>
    <w:rsid w:val="00AA6A00"/>
    <w:rsid w:val="00AB1247"/>
    <w:rsid w:val="00AC4F1A"/>
    <w:rsid w:val="00AC6F6B"/>
    <w:rsid w:val="00AD26CB"/>
    <w:rsid w:val="00AD2995"/>
    <w:rsid w:val="00AE5D8D"/>
    <w:rsid w:val="00AE6ABB"/>
    <w:rsid w:val="00AF3C88"/>
    <w:rsid w:val="00AF793D"/>
    <w:rsid w:val="00B04A21"/>
    <w:rsid w:val="00B05F9E"/>
    <w:rsid w:val="00B1005E"/>
    <w:rsid w:val="00B10890"/>
    <w:rsid w:val="00B132F1"/>
    <w:rsid w:val="00B22D0B"/>
    <w:rsid w:val="00B31301"/>
    <w:rsid w:val="00B411C9"/>
    <w:rsid w:val="00B42E17"/>
    <w:rsid w:val="00B43829"/>
    <w:rsid w:val="00B51A02"/>
    <w:rsid w:val="00B53E56"/>
    <w:rsid w:val="00B62AB7"/>
    <w:rsid w:val="00B836B7"/>
    <w:rsid w:val="00B9226F"/>
    <w:rsid w:val="00B9266D"/>
    <w:rsid w:val="00BB18A6"/>
    <w:rsid w:val="00BB6243"/>
    <w:rsid w:val="00BC093F"/>
    <w:rsid w:val="00BC310E"/>
    <w:rsid w:val="00BD6F0B"/>
    <w:rsid w:val="00BD747F"/>
    <w:rsid w:val="00BE060F"/>
    <w:rsid w:val="00BE63AA"/>
    <w:rsid w:val="00BF72EE"/>
    <w:rsid w:val="00C01A83"/>
    <w:rsid w:val="00C1465E"/>
    <w:rsid w:val="00C166DE"/>
    <w:rsid w:val="00C34A2D"/>
    <w:rsid w:val="00C41A22"/>
    <w:rsid w:val="00C46F84"/>
    <w:rsid w:val="00C52502"/>
    <w:rsid w:val="00C54222"/>
    <w:rsid w:val="00C72D59"/>
    <w:rsid w:val="00C745C4"/>
    <w:rsid w:val="00C75601"/>
    <w:rsid w:val="00CA7902"/>
    <w:rsid w:val="00CB2DBA"/>
    <w:rsid w:val="00CB4A02"/>
    <w:rsid w:val="00CD3DAE"/>
    <w:rsid w:val="00CE6754"/>
    <w:rsid w:val="00CF6DEC"/>
    <w:rsid w:val="00D02627"/>
    <w:rsid w:val="00D1324F"/>
    <w:rsid w:val="00D3138B"/>
    <w:rsid w:val="00D33747"/>
    <w:rsid w:val="00D42A6B"/>
    <w:rsid w:val="00D50FCC"/>
    <w:rsid w:val="00D70007"/>
    <w:rsid w:val="00D75FD9"/>
    <w:rsid w:val="00D824CA"/>
    <w:rsid w:val="00D84131"/>
    <w:rsid w:val="00DA0B96"/>
    <w:rsid w:val="00DB23F6"/>
    <w:rsid w:val="00DB55EC"/>
    <w:rsid w:val="00DD48D0"/>
    <w:rsid w:val="00DE0928"/>
    <w:rsid w:val="00DE2D47"/>
    <w:rsid w:val="00DF46B2"/>
    <w:rsid w:val="00DF6C04"/>
    <w:rsid w:val="00E22244"/>
    <w:rsid w:val="00E23826"/>
    <w:rsid w:val="00E3409A"/>
    <w:rsid w:val="00E440F3"/>
    <w:rsid w:val="00E60A74"/>
    <w:rsid w:val="00E70727"/>
    <w:rsid w:val="00E7099B"/>
    <w:rsid w:val="00E75B30"/>
    <w:rsid w:val="00E85FF4"/>
    <w:rsid w:val="00E86826"/>
    <w:rsid w:val="00E9264E"/>
    <w:rsid w:val="00E9599A"/>
    <w:rsid w:val="00EA4C50"/>
    <w:rsid w:val="00EA7506"/>
    <w:rsid w:val="00EC611A"/>
    <w:rsid w:val="00EE3AC7"/>
    <w:rsid w:val="00EE58FC"/>
    <w:rsid w:val="00EF5662"/>
    <w:rsid w:val="00F0597A"/>
    <w:rsid w:val="00F111E1"/>
    <w:rsid w:val="00F20F0F"/>
    <w:rsid w:val="00F33EF1"/>
    <w:rsid w:val="00F46491"/>
    <w:rsid w:val="00F53C93"/>
    <w:rsid w:val="00F677EC"/>
    <w:rsid w:val="00F7198B"/>
    <w:rsid w:val="00F83B75"/>
    <w:rsid w:val="00F93C36"/>
    <w:rsid w:val="00F93E6D"/>
    <w:rsid w:val="00FA38B5"/>
    <w:rsid w:val="00FB44C2"/>
    <w:rsid w:val="00FB5B1E"/>
    <w:rsid w:val="00FC12D6"/>
    <w:rsid w:val="00FC6AA5"/>
    <w:rsid w:val="00FD34B7"/>
    <w:rsid w:val="00FD3654"/>
    <w:rsid w:val="00FD4D90"/>
    <w:rsid w:val="00FD65DA"/>
    <w:rsid w:val="00FD739B"/>
    <w:rsid w:val="00FD7E62"/>
    <w:rsid w:val="00FE7614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6C34399"/>
  <w15:docId w15:val="{802A81A7-6B8B-40F5-84E4-83627A69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52502"/>
    <w:rPr>
      <w:lang w:val="en-US"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  <w:lang w:val="en-AU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66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66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66DE"/>
  </w:style>
  <w:style w:type="paragraph" w:styleId="FootnoteText">
    <w:name w:val="footnote text"/>
    <w:basedOn w:val="Normal"/>
    <w:semiHidden/>
    <w:rsid w:val="00281DA6"/>
  </w:style>
  <w:style w:type="character" w:styleId="FootnoteReference">
    <w:name w:val="footnote reference"/>
    <w:semiHidden/>
    <w:rsid w:val="00281DA6"/>
    <w:rPr>
      <w:vertAlign w:val="superscript"/>
    </w:rPr>
  </w:style>
  <w:style w:type="paragraph" w:customStyle="1" w:styleId="IntroParagraphtoeachChapter">
    <w:name w:val="Intro Paragraph to each Chapter"/>
    <w:link w:val="IntroParagraphtoeachChapterChar"/>
    <w:qFormat/>
    <w:rsid w:val="00FC12D6"/>
    <w:pPr>
      <w:pBdr>
        <w:bottom w:val="single" w:sz="4" w:space="1" w:color="auto"/>
      </w:pBdr>
      <w:spacing w:before="60"/>
      <w:jc w:val="both"/>
    </w:pPr>
    <w:rPr>
      <w:rFonts w:ascii="Palatino Linotype" w:hAnsi="Palatino Linotype"/>
      <w:sz w:val="22"/>
      <w:szCs w:val="22"/>
      <w:lang w:val="en-US" w:eastAsia="en-US"/>
    </w:rPr>
  </w:style>
  <w:style w:type="character" w:customStyle="1" w:styleId="IntroParagraphtoeachChapterChar">
    <w:name w:val="Intro Paragraph to each Chapter Char"/>
    <w:link w:val="IntroParagraphtoeachChapter"/>
    <w:rsid w:val="00FC12D6"/>
    <w:rPr>
      <w:rFonts w:ascii="Palatino Linotype" w:hAnsi="Palatino Linotype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F4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DD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811"/>
    <w:pPr>
      <w:ind w:left="720"/>
      <w:contextualSpacing/>
    </w:pPr>
  </w:style>
  <w:style w:type="character" w:styleId="Hyperlink">
    <w:name w:val="Hyperlink"/>
    <w:basedOn w:val="DefaultParagraphFont"/>
    <w:rsid w:val="00882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hyperlink" Target="http://www.socialstats.com.au" TargetMode="External" Id="rId17" /><Relationship Type="http://schemas.openxmlformats.org/officeDocument/2006/relationships/numbering" Target="numbering.xml" Id="rId2" /><Relationship Type="http://schemas.openxmlformats.org/officeDocument/2006/relationships/image" Target="media/image9.jpg" Id="rId16" /><Relationship Type="http://schemas.openxmlformats.org/officeDocument/2006/relationships/footnotes" Target="footnotes.xml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image" Target="media/image8.jpeg" Id="rId15" /><Relationship Type="http://schemas.openxmlformats.org/officeDocument/2006/relationships/image" Target="media/image3.jpe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media/image7.jpeg" Id="rId14" /><Relationship Type="http://schemas.openxmlformats.org/officeDocument/2006/relationships/customXml" Target="/customXML/item2.xml" Id="R98cf71c8379446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A6819532</value>
    </field>
    <field name="Objective-Title">
      <value order="0">A Summary of social conditions in Greater Dandenong</value>
    </field>
    <field name="Objective-Description">
      <value order="0"/>
    </field>
    <field name="Objective-CreationStamp">
      <value order="0">2020-08-30T21:37:55Z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2021-04-23T02:32:26Z</value>
    </field>
    <field name="Objective-ModificationStamp">
      <value order="0">2021-04-23T02:32:26Z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vA9844290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SUMMARY</vt:lpstr>
    </vt:vector>
  </TitlesOfParts>
  <Company>City of Greater Dandenong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SUMMARY</dc:title>
  <dc:creator>hbrown</dc:creator>
  <cp:lastModifiedBy>Hayden Brown</cp:lastModifiedBy>
  <cp:revision>3</cp:revision>
  <cp:lastPrinted>2018-06-21T22:44:00Z</cp:lastPrinted>
  <dcterms:created xsi:type="dcterms:W3CDTF">2020-08-23T12:17:00Z</dcterms:created>
  <dcterms:modified xsi:type="dcterms:W3CDTF">2021-04-23T02:32:00Z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A6819532</vt:lpwstr>
  </property>
  <property fmtid="{D5CDD505-2E9C-101B-9397-08002B2CF9AE}" pid="4" name="Objective-Title">
    <vt:lpwstr>A Summary of social conditions in Greater Dandenong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2020-08-30T21:37:55Z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2021-04-23T02:32:26Z</vt:filetime>
  </property>
  <property fmtid="{D5CDD505-2E9C-101B-9397-08002B2CF9AE}" pid="10" name="Objective-ModificationStamp">
    <vt:filetime>2021-04-23T02:32:26Z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vA9844290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