
<file path=[Content_Types].xml><?xml version="1.0" encoding="utf-8"?>
<Types xmlns="http://schemas.openxmlformats.org/package/2006/content-types">
  <Default Extension="emf" ContentType="image/x-emf"/>
  <Default Extension="jfif" ContentType="image/jpeg"/>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3.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F9965AC" w14:textId="77777777" w:rsidR="00C65183" w:rsidRDefault="00C65183" w:rsidP="00C65183">
      <w:r>
        <w:rPr>
          <w:noProof/>
        </w:rPr>
        <w:drawing>
          <wp:inline distT="0" distB="0" distL="0" distR="0" wp14:anchorId="53B7C7FE" wp14:editId="4C8033B0">
            <wp:extent cx="6120130" cy="8776855"/>
            <wp:effectExtent l="0" t="0" r="0" b="571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6121099" cy="8778244"/>
                    </a:xfrm>
                    <a:prstGeom prst="rect">
                      <a:avLst/>
                    </a:prstGeom>
                  </pic:spPr>
                </pic:pic>
              </a:graphicData>
            </a:graphic>
          </wp:inline>
        </w:drawing>
      </w:r>
    </w:p>
    <w:p w14:paraId="2ADE4051" w14:textId="77777777" w:rsidR="00C65183" w:rsidRPr="00667774" w:rsidRDefault="00C65183" w:rsidP="00C65183">
      <w:r>
        <w:br w:type="page"/>
      </w:r>
    </w:p>
    <w:p w14:paraId="2B562C2F" w14:textId="77777777" w:rsidR="00C65183" w:rsidRDefault="00C65183" w:rsidP="00C65183">
      <w:pPr>
        <w:rPr>
          <w:rFonts w:asciiTheme="minorHAnsi" w:hAnsiTheme="minorHAnsi"/>
          <w:sz w:val="44"/>
          <w:szCs w:val="44"/>
        </w:rPr>
      </w:pPr>
      <w:bookmarkStart w:id="0" w:name="_Hlk2604471"/>
      <w:r>
        <w:rPr>
          <w:rFonts w:asciiTheme="minorHAnsi" w:hAnsiTheme="minorHAnsi"/>
          <w:sz w:val="44"/>
          <w:szCs w:val="44"/>
        </w:rPr>
        <w:lastRenderedPageBreak/>
        <w:br w:type="page"/>
      </w:r>
    </w:p>
    <w:bookmarkEnd w:id="0"/>
    <w:p w14:paraId="23E9C8DD" w14:textId="77777777" w:rsidR="00C65183" w:rsidRPr="004B460F" w:rsidRDefault="00C65183" w:rsidP="00C65183">
      <w:pPr>
        <w:jc w:val="center"/>
        <w:rPr>
          <w:rFonts w:ascii="Garamond" w:hAnsi="Garamond"/>
          <w:sz w:val="40"/>
          <w:szCs w:val="40"/>
        </w:rPr>
      </w:pPr>
      <w:r w:rsidRPr="004B460F">
        <w:rPr>
          <w:rFonts w:ascii="Garamond" w:hAnsi="Garamond"/>
          <w:sz w:val="40"/>
          <w:szCs w:val="40"/>
        </w:rPr>
        <w:lastRenderedPageBreak/>
        <w:t>TABLE OF CONTENTS</w:t>
      </w:r>
    </w:p>
    <w:p w14:paraId="5ACB8C31" w14:textId="77777777" w:rsidR="00C65183" w:rsidRPr="00CC352B" w:rsidRDefault="00C65183" w:rsidP="00C65183">
      <w:pPr>
        <w:tabs>
          <w:tab w:val="right" w:leader="dot" w:pos="7560"/>
        </w:tabs>
        <w:spacing w:before="120" w:line="312" w:lineRule="auto"/>
        <w:ind w:left="720"/>
        <w:jc w:val="both"/>
        <w:rPr>
          <w:rFonts w:asciiTheme="minorHAnsi" w:hAnsiTheme="minorHAnsi"/>
          <w:b/>
          <w:color w:val="17365D"/>
          <w:sz w:val="24"/>
          <w:szCs w:val="24"/>
        </w:rPr>
      </w:pPr>
      <w:r w:rsidRPr="00CC352B">
        <w:rPr>
          <w:rFonts w:asciiTheme="minorHAnsi" w:hAnsiTheme="minorHAnsi"/>
          <w:b/>
          <w:color w:val="17365D"/>
          <w:sz w:val="24"/>
          <w:szCs w:val="24"/>
        </w:rPr>
        <w:t>Population</w:t>
      </w:r>
    </w:p>
    <w:p w14:paraId="4DCE1FB2" w14:textId="77777777" w:rsidR="00C65183" w:rsidRDefault="00C65183" w:rsidP="00C65183">
      <w:pPr>
        <w:tabs>
          <w:tab w:val="right" w:leader="dot" w:pos="7560"/>
        </w:tabs>
        <w:spacing w:line="312" w:lineRule="auto"/>
        <w:ind w:left="720"/>
        <w:jc w:val="both"/>
        <w:rPr>
          <w:rFonts w:asciiTheme="minorHAnsi" w:hAnsiTheme="minorHAnsi"/>
          <w:sz w:val="21"/>
          <w:szCs w:val="21"/>
        </w:rPr>
      </w:pPr>
      <w:r>
        <w:rPr>
          <w:rFonts w:asciiTheme="minorHAnsi" w:hAnsiTheme="minorHAnsi"/>
          <w:sz w:val="21"/>
          <w:szCs w:val="21"/>
        </w:rPr>
        <w:t>Population</w:t>
      </w:r>
      <w:r>
        <w:rPr>
          <w:rFonts w:asciiTheme="minorHAnsi" w:hAnsiTheme="minorHAnsi"/>
          <w:sz w:val="21"/>
          <w:szCs w:val="21"/>
        </w:rPr>
        <w:tab/>
      </w:r>
      <w:r>
        <w:rPr>
          <w:rFonts w:asciiTheme="minorHAnsi" w:hAnsiTheme="minorHAnsi"/>
          <w:b/>
          <w:color w:val="244061" w:themeColor="accent1" w:themeShade="80"/>
          <w:sz w:val="21"/>
          <w:szCs w:val="21"/>
        </w:rPr>
        <w:t>1</w:t>
      </w:r>
    </w:p>
    <w:p w14:paraId="77A2DF14" w14:textId="77777777" w:rsidR="00C65183" w:rsidRDefault="00C65183" w:rsidP="00C65183">
      <w:pPr>
        <w:tabs>
          <w:tab w:val="right" w:leader="dot" w:pos="7560"/>
        </w:tabs>
        <w:spacing w:line="312" w:lineRule="auto"/>
        <w:ind w:left="720"/>
        <w:jc w:val="both"/>
        <w:rPr>
          <w:rFonts w:asciiTheme="minorHAnsi" w:hAnsiTheme="minorHAnsi"/>
          <w:sz w:val="21"/>
          <w:szCs w:val="21"/>
        </w:rPr>
      </w:pPr>
      <w:r>
        <w:rPr>
          <w:rFonts w:asciiTheme="minorHAnsi" w:hAnsiTheme="minorHAnsi"/>
          <w:sz w:val="21"/>
          <w:szCs w:val="21"/>
        </w:rPr>
        <w:t>Families, Births and Children</w:t>
      </w:r>
      <w:r>
        <w:rPr>
          <w:rFonts w:asciiTheme="minorHAnsi" w:hAnsiTheme="minorHAnsi"/>
          <w:sz w:val="21"/>
          <w:szCs w:val="21"/>
        </w:rPr>
        <w:tab/>
      </w:r>
      <w:r>
        <w:rPr>
          <w:rFonts w:asciiTheme="minorHAnsi" w:hAnsiTheme="minorHAnsi"/>
          <w:b/>
          <w:color w:val="244061" w:themeColor="accent1" w:themeShade="80"/>
          <w:sz w:val="21"/>
          <w:szCs w:val="21"/>
        </w:rPr>
        <w:t>5</w:t>
      </w:r>
    </w:p>
    <w:p w14:paraId="3E55064A" w14:textId="77777777" w:rsidR="00C65183" w:rsidRDefault="00C65183" w:rsidP="00C65183">
      <w:pPr>
        <w:tabs>
          <w:tab w:val="right" w:leader="dot" w:pos="7560"/>
        </w:tabs>
        <w:spacing w:line="312" w:lineRule="auto"/>
        <w:ind w:left="720"/>
        <w:jc w:val="both"/>
        <w:rPr>
          <w:rFonts w:asciiTheme="minorHAnsi" w:hAnsiTheme="minorHAnsi"/>
          <w:sz w:val="21"/>
          <w:szCs w:val="21"/>
        </w:rPr>
      </w:pPr>
      <w:r>
        <w:rPr>
          <w:rFonts w:asciiTheme="minorHAnsi" w:hAnsiTheme="minorHAnsi"/>
          <w:sz w:val="21"/>
          <w:szCs w:val="21"/>
        </w:rPr>
        <w:t>Young People</w:t>
      </w:r>
      <w:r>
        <w:rPr>
          <w:rFonts w:asciiTheme="minorHAnsi" w:hAnsiTheme="minorHAnsi"/>
          <w:sz w:val="21"/>
          <w:szCs w:val="21"/>
        </w:rPr>
        <w:tab/>
      </w:r>
      <w:r>
        <w:rPr>
          <w:rFonts w:asciiTheme="minorHAnsi" w:hAnsiTheme="minorHAnsi"/>
          <w:b/>
          <w:bCs/>
          <w:color w:val="244061" w:themeColor="accent1" w:themeShade="80"/>
          <w:sz w:val="21"/>
          <w:szCs w:val="21"/>
        </w:rPr>
        <w:t>8</w:t>
      </w:r>
    </w:p>
    <w:p w14:paraId="5EDF20D1" w14:textId="77777777" w:rsidR="00C65183" w:rsidRDefault="00C65183" w:rsidP="00C65183">
      <w:pPr>
        <w:tabs>
          <w:tab w:val="right" w:leader="dot" w:pos="7560"/>
        </w:tabs>
        <w:spacing w:line="312" w:lineRule="auto"/>
        <w:ind w:left="720"/>
        <w:jc w:val="both"/>
        <w:rPr>
          <w:rFonts w:asciiTheme="minorHAnsi" w:hAnsiTheme="minorHAnsi"/>
          <w:sz w:val="21"/>
          <w:szCs w:val="21"/>
        </w:rPr>
      </w:pPr>
      <w:r>
        <w:rPr>
          <w:rFonts w:asciiTheme="minorHAnsi" w:hAnsiTheme="minorHAnsi"/>
          <w:sz w:val="21"/>
          <w:szCs w:val="21"/>
        </w:rPr>
        <w:t>Older Residents</w:t>
      </w:r>
      <w:r>
        <w:rPr>
          <w:rFonts w:asciiTheme="minorHAnsi" w:hAnsiTheme="minorHAnsi"/>
          <w:sz w:val="21"/>
          <w:szCs w:val="21"/>
        </w:rPr>
        <w:tab/>
      </w:r>
      <w:r>
        <w:rPr>
          <w:rFonts w:asciiTheme="minorHAnsi" w:hAnsiTheme="minorHAnsi"/>
          <w:b/>
          <w:bCs/>
          <w:color w:val="244061" w:themeColor="accent1" w:themeShade="80"/>
          <w:sz w:val="21"/>
          <w:szCs w:val="21"/>
        </w:rPr>
        <w:t>11</w:t>
      </w:r>
    </w:p>
    <w:p w14:paraId="30FAED42" w14:textId="77777777" w:rsidR="00C65183" w:rsidRDefault="00C65183" w:rsidP="00C65183">
      <w:pPr>
        <w:tabs>
          <w:tab w:val="right" w:leader="dot" w:pos="7560"/>
        </w:tabs>
        <w:spacing w:line="312" w:lineRule="auto"/>
        <w:ind w:left="720"/>
        <w:jc w:val="both"/>
        <w:rPr>
          <w:rFonts w:asciiTheme="minorHAnsi" w:hAnsiTheme="minorHAnsi"/>
          <w:sz w:val="21"/>
          <w:szCs w:val="21"/>
        </w:rPr>
      </w:pPr>
      <w:r>
        <w:rPr>
          <w:rFonts w:asciiTheme="minorHAnsi" w:hAnsiTheme="minorHAnsi"/>
          <w:sz w:val="21"/>
          <w:szCs w:val="21"/>
        </w:rPr>
        <w:t>LGBTI Residents</w:t>
      </w:r>
      <w:r>
        <w:rPr>
          <w:rFonts w:asciiTheme="minorHAnsi" w:hAnsiTheme="minorHAnsi"/>
          <w:sz w:val="21"/>
          <w:szCs w:val="21"/>
        </w:rPr>
        <w:tab/>
      </w:r>
      <w:r>
        <w:rPr>
          <w:rFonts w:asciiTheme="minorHAnsi" w:hAnsiTheme="minorHAnsi"/>
          <w:b/>
          <w:bCs/>
          <w:color w:val="244061" w:themeColor="accent1" w:themeShade="80"/>
          <w:sz w:val="21"/>
          <w:szCs w:val="21"/>
        </w:rPr>
        <w:t>14</w:t>
      </w:r>
    </w:p>
    <w:p w14:paraId="256CD611" w14:textId="77777777" w:rsidR="00C65183" w:rsidRDefault="00C65183" w:rsidP="00C65183">
      <w:pPr>
        <w:tabs>
          <w:tab w:val="right" w:leader="dot" w:pos="7560"/>
        </w:tabs>
        <w:spacing w:line="312" w:lineRule="auto"/>
        <w:ind w:left="720"/>
        <w:jc w:val="both"/>
        <w:rPr>
          <w:rFonts w:asciiTheme="minorHAnsi" w:hAnsiTheme="minorHAnsi"/>
          <w:sz w:val="21"/>
          <w:szCs w:val="21"/>
        </w:rPr>
      </w:pPr>
      <w:r>
        <w:rPr>
          <w:rFonts w:asciiTheme="minorHAnsi" w:hAnsiTheme="minorHAnsi"/>
          <w:sz w:val="21"/>
          <w:szCs w:val="21"/>
        </w:rPr>
        <w:t>Aboriginal and Torres Strait Islander Residents</w:t>
      </w:r>
      <w:r>
        <w:rPr>
          <w:rFonts w:asciiTheme="minorHAnsi" w:hAnsiTheme="minorHAnsi"/>
          <w:sz w:val="21"/>
          <w:szCs w:val="21"/>
        </w:rPr>
        <w:tab/>
      </w:r>
      <w:r>
        <w:rPr>
          <w:rFonts w:asciiTheme="minorHAnsi" w:hAnsiTheme="minorHAnsi"/>
          <w:b/>
          <w:bCs/>
          <w:color w:val="244061" w:themeColor="accent1" w:themeShade="80"/>
          <w:sz w:val="21"/>
          <w:szCs w:val="21"/>
        </w:rPr>
        <w:t>17</w:t>
      </w:r>
    </w:p>
    <w:p w14:paraId="5B5D22E4" w14:textId="77777777" w:rsidR="00C65183" w:rsidRDefault="00C65183" w:rsidP="00C65183">
      <w:pPr>
        <w:tabs>
          <w:tab w:val="right" w:leader="dot" w:pos="7560"/>
        </w:tabs>
        <w:spacing w:line="312" w:lineRule="auto"/>
        <w:ind w:left="720"/>
        <w:jc w:val="both"/>
        <w:rPr>
          <w:rFonts w:asciiTheme="minorHAnsi" w:hAnsiTheme="minorHAnsi"/>
          <w:sz w:val="21"/>
          <w:szCs w:val="21"/>
        </w:rPr>
      </w:pPr>
      <w:r>
        <w:rPr>
          <w:rFonts w:asciiTheme="minorHAnsi" w:hAnsiTheme="minorHAnsi"/>
          <w:sz w:val="21"/>
          <w:szCs w:val="21"/>
        </w:rPr>
        <w:t>Cultural Diversity and Settlement</w:t>
      </w:r>
      <w:r>
        <w:rPr>
          <w:rFonts w:asciiTheme="minorHAnsi" w:hAnsiTheme="minorHAnsi"/>
          <w:sz w:val="21"/>
          <w:szCs w:val="21"/>
        </w:rPr>
        <w:tab/>
      </w:r>
      <w:r w:rsidRPr="00827F47">
        <w:rPr>
          <w:rFonts w:asciiTheme="minorHAnsi" w:hAnsiTheme="minorHAnsi"/>
          <w:b/>
          <w:bCs/>
          <w:color w:val="244061" w:themeColor="accent1" w:themeShade="80"/>
          <w:sz w:val="21"/>
          <w:szCs w:val="21"/>
        </w:rPr>
        <w:t>2</w:t>
      </w:r>
      <w:r>
        <w:rPr>
          <w:rFonts w:asciiTheme="minorHAnsi" w:hAnsiTheme="minorHAnsi"/>
          <w:b/>
          <w:color w:val="244061" w:themeColor="accent1" w:themeShade="80"/>
          <w:sz w:val="21"/>
          <w:szCs w:val="21"/>
        </w:rPr>
        <w:t>0</w:t>
      </w:r>
    </w:p>
    <w:p w14:paraId="1F106111" w14:textId="77777777" w:rsidR="00C65183" w:rsidRDefault="00C65183" w:rsidP="00C65183">
      <w:pPr>
        <w:tabs>
          <w:tab w:val="right" w:leader="dot" w:pos="7560"/>
        </w:tabs>
        <w:spacing w:line="312" w:lineRule="auto"/>
        <w:ind w:left="720"/>
        <w:jc w:val="both"/>
        <w:rPr>
          <w:rFonts w:asciiTheme="minorHAnsi" w:hAnsiTheme="minorHAnsi"/>
          <w:sz w:val="21"/>
          <w:szCs w:val="21"/>
        </w:rPr>
      </w:pPr>
      <w:r>
        <w:rPr>
          <w:rFonts w:asciiTheme="minorHAnsi" w:hAnsiTheme="minorHAnsi"/>
          <w:sz w:val="21"/>
          <w:szCs w:val="21"/>
        </w:rPr>
        <w:t>Asylum-seekers</w:t>
      </w:r>
      <w:r>
        <w:rPr>
          <w:rFonts w:asciiTheme="minorHAnsi" w:hAnsiTheme="minorHAnsi"/>
          <w:sz w:val="21"/>
          <w:szCs w:val="21"/>
        </w:rPr>
        <w:tab/>
      </w:r>
      <w:r w:rsidRPr="00827F47">
        <w:rPr>
          <w:rFonts w:asciiTheme="minorHAnsi" w:hAnsiTheme="minorHAnsi"/>
          <w:b/>
          <w:bCs/>
          <w:color w:val="244061" w:themeColor="accent1" w:themeShade="80"/>
          <w:sz w:val="21"/>
          <w:szCs w:val="21"/>
        </w:rPr>
        <w:t>2</w:t>
      </w:r>
      <w:r>
        <w:rPr>
          <w:rFonts w:asciiTheme="minorHAnsi" w:hAnsiTheme="minorHAnsi"/>
          <w:b/>
          <w:color w:val="244061" w:themeColor="accent1" w:themeShade="80"/>
          <w:sz w:val="21"/>
          <w:szCs w:val="21"/>
        </w:rPr>
        <w:t>2</w:t>
      </w:r>
    </w:p>
    <w:p w14:paraId="526893A7" w14:textId="77777777" w:rsidR="00C65183" w:rsidRDefault="00C65183" w:rsidP="00C65183">
      <w:pPr>
        <w:tabs>
          <w:tab w:val="right" w:leader="dot" w:pos="7560"/>
        </w:tabs>
        <w:spacing w:line="312" w:lineRule="auto"/>
        <w:ind w:left="720"/>
        <w:jc w:val="both"/>
        <w:rPr>
          <w:rFonts w:asciiTheme="minorHAnsi" w:hAnsiTheme="minorHAnsi"/>
          <w:sz w:val="21"/>
          <w:szCs w:val="21"/>
        </w:rPr>
      </w:pPr>
      <w:r>
        <w:rPr>
          <w:rFonts w:asciiTheme="minorHAnsi" w:hAnsiTheme="minorHAnsi"/>
          <w:sz w:val="21"/>
          <w:szCs w:val="21"/>
        </w:rPr>
        <w:t>Spoken Languages</w:t>
      </w:r>
      <w:r>
        <w:rPr>
          <w:rFonts w:asciiTheme="minorHAnsi" w:hAnsiTheme="minorHAnsi"/>
          <w:sz w:val="21"/>
          <w:szCs w:val="21"/>
        </w:rPr>
        <w:tab/>
      </w:r>
      <w:r w:rsidRPr="00827F47">
        <w:rPr>
          <w:rFonts w:asciiTheme="minorHAnsi" w:hAnsiTheme="minorHAnsi"/>
          <w:b/>
          <w:bCs/>
          <w:color w:val="244061" w:themeColor="accent1" w:themeShade="80"/>
          <w:sz w:val="21"/>
          <w:szCs w:val="21"/>
        </w:rPr>
        <w:t>2</w:t>
      </w:r>
      <w:r>
        <w:rPr>
          <w:rFonts w:asciiTheme="minorHAnsi" w:hAnsiTheme="minorHAnsi"/>
          <w:b/>
          <w:color w:val="244061" w:themeColor="accent1" w:themeShade="80"/>
          <w:sz w:val="21"/>
          <w:szCs w:val="21"/>
        </w:rPr>
        <w:t>5</w:t>
      </w:r>
    </w:p>
    <w:p w14:paraId="10F55CA4" w14:textId="77777777" w:rsidR="00C65183" w:rsidRPr="00CC352B" w:rsidRDefault="00C65183" w:rsidP="00C65183">
      <w:pPr>
        <w:tabs>
          <w:tab w:val="right" w:leader="dot" w:pos="7560"/>
        </w:tabs>
        <w:spacing w:before="240" w:line="312" w:lineRule="auto"/>
        <w:ind w:left="720"/>
        <w:jc w:val="both"/>
        <w:rPr>
          <w:rFonts w:asciiTheme="minorHAnsi" w:hAnsiTheme="minorHAnsi"/>
          <w:b/>
          <w:color w:val="17365D"/>
          <w:sz w:val="24"/>
          <w:szCs w:val="24"/>
        </w:rPr>
      </w:pPr>
      <w:r w:rsidRPr="00CC352B">
        <w:rPr>
          <w:rFonts w:asciiTheme="minorHAnsi" w:hAnsiTheme="minorHAnsi"/>
          <w:b/>
          <w:color w:val="17365D"/>
          <w:sz w:val="24"/>
          <w:szCs w:val="24"/>
        </w:rPr>
        <w:t>Social Conditions</w:t>
      </w:r>
    </w:p>
    <w:p w14:paraId="2FEFB36E" w14:textId="77777777" w:rsidR="00C65183" w:rsidRPr="004B460F" w:rsidRDefault="00C65183" w:rsidP="00C65183">
      <w:pPr>
        <w:tabs>
          <w:tab w:val="right" w:leader="dot" w:pos="7560"/>
        </w:tabs>
        <w:spacing w:line="312" w:lineRule="auto"/>
        <w:ind w:left="720"/>
        <w:jc w:val="both"/>
        <w:rPr>
          <w:rFonts w:asciiTheme="minorHAnsi" w:hAnsiTheme="minorHAnsi"/>
          <w:sz w:val="21"/>
          <w:szCs w:val="21"/>
        </w:rPr>
      </w:pPr>
      <w:r w:rsidRPr="004B460F">
        <w:rPr>
          <w:rFonts w:asciiTheme="minorHAnsi" w:hAnsiTheme="minorHAnsi"/>
          <w:sz w:val="21"/>
          <w:szCs w:val="21"/>
        </w:rPr>
        <w:t>Educational Outcomes</w:t>
      </w:r>
      <w:r w:rsidRPr="004B460F">
        <w:rPr>
          <w:rFonts w:asciiTheme="minorHAnsi" w:hAnsiTheme="minorHAnsi"/>
          <w:sz w:val="21"/>
          <w:szCs w:val="21"/>
        </w:rPr>
        <w:tab/>
      </w:r>
      <w:r>
        <w:rPr>
          <w:rFonts w:asciiTheme="minorHAnsi" w:hAnsiTheme="minorHAnsi"/>
          <w:b/>
          <w:bCs/>
          <w:color w:val="244061" w:themeColor="accent1" w:themeShade="80"/>
          <w:sz w:val="21"/>
          <w:szCs w:val="21"/>
        </w:rPr>
        <w:t>28</w:t>
      </w:r>
    </w:p>
    <w:p w14:paraId="19C3511D" w14:textId="77777777" w:rsidR="00C65183" w:rsidRDefault="00C65183" w:rsidP="00C65183">
      <w:pPr>
        <w:tabs>
          <w:tab w:val="right" w:leader="dot" w:pos="7560"/>
        </w:tabs>
        <w:spacing w:line="312" w:lineRule="auto"/>
        <w:ind w:left="720"/>
        <w:jc w:val="both"/>
        <w:rPr>
          <w:rFonts w:asciiTheme="minorHAnsi" w:hAnsiTheme="minorHAnsi"/>
          <w:sz w:val="21"/>
          <w:szCs w:val="21"/>
        </w:rPr>
      </w:pPr>
      <w:r>
        <w:rPr>
          <w:rFonts w:asciiTheme="minorHAnsi" w:hAnsiTheme="minorHAnsi"/>
          <w:sz w:val="21"/>
          <w:szCs w:val="21"/>
        </w:rPr>
        <w:t>English Literacy</w:t>
      </w:r>
      <w:r>
        <w:rPr>
          <w:rFonts w:asciiTheme="minorHAnsi" w:hAnsiTheme="minorHAnsi"/>
          <w:sz w:val="21"/>
          <w:szCs w:val="21"/>
        </w:rPr>
        <w:tab/>
      </w:r>
      <w:r w:rsidRPr="00827F47">
        <w:rPr>
          <w:rFonts w:asciiTheme="minorHAnsi" w:hAnsiTheme="minorHAnsi"/>
          <w:b/>
          <w:bCs/>
          <w:color w:val="244061" w:themeColor="accent1" w:themeShade="80"/>
          <w:sz w:val="21"/>
          <w:szCs w:val="21"/>
        </w:rPr>
        <w:t>3</w:t>
      </w:r>
      <w:r>
        <w:rPr>
          <w:rFonts w:asciiTheme="minorHAnsi" w:hAnsiTheme="minorHAnsi"/>
          <w:b/>
          <w:color w:val="244061" w:themeColor="accent1" w:themeShade="80"/>
          <w:sz w:val="21"/>
          <w:szCs w:val="21"/>
        </w:rPr>
        <w:t>2</w:t>
      </w:r>
    </w:p>
    <w:p w14:paraId="750B8A51" w14:textId="77777777" w:rsidR="00C65183" w:rsidRPr="004B460F" w:rsidRDefault="00C65183" w:rsidP="00C65183">
      <w:pPr>
        <w:tabs>
          <w:tab w:val="right" w:leader="dot" w:pos="7560"/>
        </w:tabs>
        <w:spacing w:line="312" w:lineRule="auto"/>
        <w:ind w:left="720"/>
        <w:jc w:val="both"/>
        <w:rPr>
          <w:rFonts w:asciiTheme="minorHAnsi" w:hAnsiTheme="minorHAnsi"/>
          <w:sz w:val="21"/>
          <w:szCs w:val="21"/>
        </w:rPr>
      </w:pPr>
      <w:r w:rsidRPr="004B460F">
        <w:rPr>
          <w:rFonts w:asciiTheme="minorHAnsi" w:hAnsiTheme="minorHAnsi"/>
          <w:sz w:val="21"/>
          <w:szCs w:val="21"/>
        </w:rPr>
        <w:t>Employment and Unemployment</w:t>
      </w:r>
      <w:r w:rsidRPr="004B460F">
        <w:rPr>
          <w:rFonts w:asciiTheme="minorHAnsi" w:hAnsiTheme="minorHAnsi"/>
          <w:sz w:val="21"/>
          <w:szCs w:val="21"/>
        </w:rPr>
        <w:tab/>
      </w:r>
      <w:r w:rsidRPr="00827F47">
        <w:rPr>
          <w:rFonts w:asciiTheme="minorHAnsi" w:hAnsiTheme="minorHAnsi"/>
          <w:b/>
          <w:bCs/>
          <w:color w:val="244061" w:themeColor="accent1" w:themeShade="80"/>
          <w:sz w:val="21"/>
          <w:szCs w:val="21"/>
        </w:rPr>
        <w:t>3</w:t>
      </w:r>
      <w:r>
        <w:rPr>
          <w:rFonts w:asciiTheme="minorHAnsi" w:hAnsiTheme="minorHAnsi"/>
          <w:b/>
          <w:color w:val="244061" w:themeColor="accent1" w:themeShade="80"/>
          <w:sz w:val="21"/>
          <w:szCs w:val="21"/>
        </w:rPr>
        <w:t>4</w:t>
      </w:r>
    </w:p>
    <w:p w14:paraId="56C63BE3" w14:textId="77777777" w:rsidR="00C65183" w:rsidRPr="004B460F" w:rsidRDefault="00C65183" w:rsidP="00C65183">
      <w:pPr>
        <w:tabs>
          <w:tab w:val="right" w:leader="dot" w:pos="7560"/>
        </w:tabs>
        <w:spacing w:line="312" w:lineRule="auto"/>
        <w:ind w:left="720"/>
        <w:jc w:val="both"/>
        <w:rPr>
          <w:rFonts w:asciiTheme="minorHAnsi" w:hAnsiTheme="minorHAnsi"/>
          <w:sz w:val="21"/>
          <w:szCs w:val="21"/>
        </w:rPr>
      </w:pPr>
      <w:r w:rsidRPr="004B460F">
        <w:rPr>
          <w:rFonts w:asciiTheme="minorHAnsi" w:hAnsiTheme="minorHAnsi"/>
          <w:sz w:val="21"/>
          <w:szCs w:val="21"/>
        </w:rPr>
        <w:t>Incomes</w:t>
      </w:r>
      <w:r w:rsidRPr="004B460F">
        <w:rPr>
          <w:rFonts w:asciiTheme="minorHAnsi" w:hAnsiTheme="minorHAnsi"/>
          <w:sz w:val="21"/>
          <w:szCs w:val="21"/>
        </w:rPr>
        <w:tab/>
      </w:r>
      <w:r>
        <w:rPr>
          <w:rFonts w:asciiTheme="minorHAnsi" w:hAnsiTheme="minorHAnsi"/>
          <w:b/>
          <w:bCs/>
          <w:color w:val="244061" w:themeColor="accent1" w:themeShade="80"/>
          <w:sz w:val="21"/>
          <w:szCs w:val="21"/>
        </w:rPr>
        <w:t>39</w:t>
      </w:r>
    </w:p>
    <w:p w14:paraId="0DF4540D" w14:textId="77777777" w:rsidR="00C65183" w:rsidRPr="004B460F" w:rsidRDefault="00C65183" w:rsidP="00C65183">
      <w:pPr>
        <w:tabs>
          <w:tab w:val="right" w:leader="dot" w:pos="7560"/>
        </w:tabs>
        <w:spacing w:line="312" w:lineRule="auto"/>
        <w:ind w:left="720"/>
        <w:jc w:val="both"/>
        <w:rPr>
          <w:rFonts w:asciiTheme="minorHAnsi" w:hAnsiTheme="minorHAnsi"/>
          <w:sz w:val="21"/>
          <w:szCs w:val="21"/>
        </w:rPr>
      </w:pPr>
      <w:r w:rsidRPr="004B460F">
        <w:rPr>
          <w:rFonts w:asciiTheme="minorHAnsi" w:hAnsiTheme="minorHAnsi"/>
          <w:sz w:val="21"/>
          <w:szCs w:val="21"/>
        </w:rPr>
        <w:t>Gambling</w:t>
      </w:r>
      <w:r w:rsidRPr="004B460F">
        <w:rPr>
          <w:rFonts w:asciiTheme="minorHAnsi" w:hAnsiTheme="minorHAnsi"/>
          <w:sz w:val="21"/>
          <w:szCs w:val="21"/>
        </w:rPr>
        <w:tab/>
      </w:r>
      <w:r w:rsidRPr="00827F47">
        <w:rPr>
          <w:rFonts w:asciiTheme="minorHAnsi" w:hAnsiTheme="minorHAnsi"/>
          <w:b/>
          <w:bCs/>
          <w:color w:val="244061" w:themeColor="accent1" w:themeShade="80"/>
          <w:sz w:val="21"/>
          <w:szCs w:val="21"/>
        </w:rPr>
        <w:t>4</w:t>
      </w:r>
      <w:r>
        <w:rPr>
          <w:rFonts w:asciiTheme="minorHAnsi" w:hAnsiTheme="minorHAnsi"/>
          <w:b/>
          <w:color w:val="244061" w:themeColor="accent1" w:themeShade="80"/>
          <w:sz w:val="21"/>
          <w:szCs w:val="21"/>
        </w:rPr>
        <w:t>1</w:t>
      </w:r>
    </w:p>
    <w:p w14:paraId="71492F5E" w14:textId="77777777" w:rsidR="00C65183" w:rsidRPr="004B460F" w:rsidRDefault="00C65183" w:rsidP="00C65183">
      <w:pPr>
        <w:tabs>
          <w:tab w:val="right" w:leader="dot" w:pos="7560"/>
        </w:tabs>
        <w:spacing w:line="312" w:lineRule="auto"/>
        <w:ind w:left="720"/>
        <w:jc w:val="both"/>
        <w:rPr>
          <w:rFonts w:asciiTheme="minorHAnsi" w:hAnsiTheme="minorHAnsi"/>
          <w:sz w:val="21"/>
          <w:szCs w:val="21"/>
        </w:rPr>
      </w:pPr>
      <w:r w:rsidRPr="004B460F">
        <w:rPr>
          <w:rFonts w:asciiTheme="minorHAnsi" w:hAnsiTheme="minorHAnsi"/>
          <w:sz w:val="21"/>
          <w:szCs w:val="21"/>
        </w:rPr>
        <w:t>Housing</w:t>
      </w:r>
      <w:r w:rsidRPr="004B460F">
        <w:rPr>
          <w:rFonts w:asciiTheme="minorHAnsi" w:hAnsiTheme="minorHAnsi"/>
          <w:sz w:val="21"/>
          <w:szCs w:val="21"/>
        </w:rPr>
        <w:tab/>
      </w:r>
      <w:r w:rsidRPr="00827F47">
        <w:rPr>
          <w:rFonts w:asciiTheme="minorHAnsi" w:hAnsiTheme="minorHAnsi"/>
          <w:b/>
          <w:bCs/>
          <w:color w:val="244061" w:themeColor="accent1" w:themeShade="80"/>
          <w:sz w:val="21"/>
          <w:szCs w:val="21"/>
        </w:rPr>
        <w:t>4</w:t>
      </w:r>
      <w:r>
        <w:rPr>
          <w:rFonts w:asciiTheme="minorHAnsi" w:hAnsiTheme="minorHAnsi"/>
          <w:b/>
          <w:color w:val="244061" w:themeColor="accent1" w:themeShade="80"/>
          <w:sz w:val="21"/>
          <w:szCs w:val="21"/>
        </w:rPr>
        <w:t>4</w:t>
      </w:r>
    </w:p>
    <w:p w14:paraId="1FAB0F47" w14:textId="77777777" w:rsidR="00C65183" w:rsidRDefault="00C65183" w:rsidP="00C65183">
      <w:pPr>
        <w:tabs>
          <w:tab w:val="right" w:leader="dot" w:pos="7560"/>
        </w:tabs>
        <w:spacing w:line="312" w:lineRule="auto"/>
        <w:ind w:left="720"/>
        <w:jc w:val="both"/>
        <w:rPr>
          <w:rFonts w:asciiTheme="minorHAnsi" w:hAnsiTheme="minorHAnsi"/>
          <w:sz w:val="21"/>
          <w:szCs w:val="21"/>
        </w:rPr>
      </w:pPr>
      <w:r>
        <w:rPr>
          <w:rFonts w:asciiTheme="minorHAnsi" w:hAnsiTheme="minorHAnsi"/>
          <w:sz w:val="21"/>
          <w:szCs w:val="21"/>
        </w:rPr>
        <w:t xml:space="preserve">Active and Passive </w:t>
      </w:r>
      <w:r w:rsidRPr="004B460F">
        <w:rPr>
          <w:rFonts w:asciiTheme="minorHAnsi" w:hAnsiTheme="minorHAnsi"/>
          <w:sz w:val="21"/>
          <w:szCs w:val="21"/>
        </w:rPr>
        <w:t>Transport</w:t>
      </w:r>
      <w:r w:rsidRPr="004B460F">
        <w:rPr>
          <w:rFonts w:asciiTheme="minorHAnsi" w:hAnsiTheme="minorHAnsi"/>
          <w:sz w:val="21"/>
          <w:szCs w:val="21"/>
        </w:rPr>
        <w:tab/>
      </w:r>
      <w:r>
        <w:rPr>
          <w:rFonts w:asciiTheme="minorHAnsi" w:hAnsiTheme="minorHAnsi"/>
          <w:b/>
          <w:bCs/>
          <w:color w:val="244061" w:themeColor="accent1" w:themeShade="80"/>
          <w:sz w:val="21"/>
          <w:szCs w:val="21"/>
        </w:rPr>
        <w:t>48</w:t>
      </w:r>
    </w:p>
    <w:p w14:paraId="0075E074" w14:textId="77777777" w:rsidR="00C65183" w:rsidRPr="004B460F" w:rsidRDefault="00C65183" w:rsidP="00C65183">
      <w:pPr>
        <w:tabs>
          <w:tab w:val="right" w:leader="dot" w:pos="7560"/>
        </w:tabs>
        <w:spacing w:line="312" w:lineRule="auto"/>
        <w:ind w:left="720"/>
        <w:jc w:val="both"/>
        <w:rPr>
          <w:rFonts w:asciiTheme="minorHAnsi" w:hAnsiTheme="minorHAnsi"/>
          <w:sz w:val="21"/>
          <w:szCs w:val="21"/>
        </w:rPr>
      </w:pPr>
      <w:r>
        <w:rPr>
          <w:rFonts w:asciiTheme="minorHAnsi" w:hAnsiTheme="minorHAnsi"/>
          <w:sz w:val="21"/>
          <w:szCs w:val="21"/>
        </w:rPr>
        <w:t>Arts and Culture</w:t>
      </w:r>
      <w:r>
        <w:rPr>
          <w:rFonts w:asciiTheme="minorHAnsi" w:hAnsiTheme="minorHAnsi"/>
          <w:sz w:val="21"/>
          <w:szCs w:val="21"/>
        </w:rPr>
        <w:tab/>
      </w:r>
      <w:r w:rsidRPr="00827F47">
        <w:rPr>
          <w:rFonts w:asciiTheme="minorHAnsi" w:hAnsiTheme="minorHAnsi"/>
          <w:b/>
          <w:bCs/>
          <w:color w:val="244061" w:themeColor="accent1" w:themeShade="80"/>
          <w:sz w:val="21"/>
          <w:szCs w:val="21"/>
        </w:rPr>
        <w:t>5</w:t>
      </w:r>
      <w:r>
        <w:rPr>
          <w:rFonts w:asciiTheme="minorHAnsi" w:hAnsiTheme="minorHAnsi"/>
          <w:b/>
          <w:bCs/>
          <w:color w:val="244061" w:themeColor="accent1" w:themeShade="80"/>
          <w:sz w:val="21"/>
          <w:szCs w:val="21"/>
        </w:rPr>
        <w:t>0</w:t>
      </w:r>
    </w:p>
    <w:p w14:paraId="45306475" w14:textId="77777777" w:rsidR="00C65183" w:rsidRPr="004B460F" w:rsidRDefault="00C65183" w:rsidP="00C65183">
      <w:pPr>
        <w:tabs>
          <w:tab w:val="right" w:leader="dot" w:pos="7560"/>
        </w:tabs>
        <w:spacing w:line="312" w:lineRule="auto"/>
        <w:ind w:left="720"/>
        <w:jc w:val="both"/>
        <w:rPr>
          <w:rFonts w:asciiTheme="minorHAnsi" w:hAnsiTheme="minorHAnsi"/>
          <w:sz w:val="21"/>
          <w:szCs w:val="21"/>
        </w:rPr>
      </w:pPr>
      <w:r w:rsidRPr="004B460F">
        <w:rPr>
          <w:rFonts w:asciiTheme="minorHAnsi" w:hAnsiTheme="minorHAnsi"/>
          <w:sz w:val="21"/>
          <w:szCs w:val="21"/>
        </w:rPr>
        <w:t>Volunteering</w:t>
      </w:r>
      <w:r w:rsidRPr="004B460F">
        <w:rPr>
          <w:rFonts w:asciiTheme="minorHAnsi" w:hAnsiTheme="minorHAnsi"/>
          <w:sz w:val="21"/>
          <w:szCs w:val="21"/>
        </w:rPr>
        <w:tab/>
      </w:r>
      <w:r w:rsidRPr="00827F47">
        <w:rPr>
          <w:rFonts w:asciiTheme="minorHAnsi" w:hAnsiTheme="minorHAnsi"/>
          <w:b/>
          <w:bCs/>
          <w:color w:val="244061" w:themeColor="accent1" w:themeShade="80"/>
          <w:sz w:val="21"/>
          <w:szCs w:val="21"/>
        </w:rPr>
        <w:t>5</w:t>
      </w:r>
      <w:r>
        <w:rPr>
          <w:rFonts w:asciiTheme="minorHAnsi" w:hAnsiTheme="minorHAnsi"/>
          <w:b/>
          <w:color w:val="244061" w:themeColor="accent1" w:themeShade="80"/>
          <w:sz w:val="21"/>
          <w:szCs w:val="21"/>
        </w:rPr>
        <w:t>2</w:t>
      </w:r>
    </w:p>
    <w:p w14:paraId="6C8ABDAF" w14:textId="77777777" w:rsidR="00C65183" w:rsidRPr="004B460F" w:rsidRDefault="00C65183" w:rsidP="00C65183">
      <w:pPr>
        <w:tabs>
          <w:tab w:val="right" w:leader="dot" w:pos="7560"/>
        </w:tabs>
        <w:spacing w:line="312" w:lineRule="auto"/>
        <w:ind w:left="720"/>
        <w:jc w:val="both"/>
        <w:rPr>
          <w:rFonts w:asciiTheme="minorHAnsi" w:hAnsiTheme="minorHAnsi"/>
          <w:sz w:val="21"/>
          <w:szCs w:val="21"/>
        </w:rPr>
      </w:pPr>
      <w:r w:rsidRPr="004B460F">
        <w:rPr>
          <w:rFonts w:asciiTheme="minorHAnsi" w:hAnsiTheme="minorHAnsi"/>
          <w:sz w:val="21"/>
          <w:szCs w:val="21"/>
        </w:rPr>
        <w:t>Social Inclusion</w:t>
      </w:r>
      <w:r w:rsidRPr="004B460F">
        <w:rPr>
          <w:rFonts w:asciiTheme="minorHAnsi" w:hAnsiTheme="minorHAnsi"/>
          <w:sz w:val="21"/>
          <w:szCs w:val="21"/>
        </w:rPr>
        <w:tab/>
      </w:r>
      <w:r w:rsidRPr="00827F47">
        <w:rPr>
          <w:rFonts w:asciiTheme="minorHAnsi" w:hAnsiTheme="minorHAnsi"/>
          <w:b/>
          <w:bCs/>
          <w:color w:val="244061" w:themeColor="accent1" w:themeShade="80"/>
          <w:sz w:val="21"/>
          <w:szCs w:val="21"/>
        </w:rPr>
        <w:t>5</w:t>
      </w:r>
      <w:r>
        <w:rPr>
          <w:rFonts w:asciiTheme="minorHAnsi" w:hAnsiTheme="minorHAnsi"/>
          <w:b/>
          <w:bCs/>
          <w:color w:val="244061" w:themeColor="accent1" w:themeShade="80"/>
          <w:sz w:val="21"/>
          <w:szCs w:val="21"/>
        </w:rPr>
        <w:t>3</w:t>
      </w:r>
    </w:p>
    <w:p w14:paraId="219BDE6F" w14:textId="77777777" w:rsidR="00C65183" w:rsidRPr="004B460F" w:rsidRDefault="00C65183" w:rsidP="00C65183">
      <w:pPr>
        <w:tabs>
          <w:tab w:val="right" w:leader="dot" w:pos="7560"/>
        </w:tabs>
        <w:spacing w:line="312" w:lineRule="auto"/>
        <w:ind w:left="720"/>
        <w:jc w:val="both"/>
        <w:rPr>
          <w:rFonts w:asciiTheme="minorHAnsi" w:hAnsiTheme="minorHAnsi"/>
          <w:sz w:val="21"/>
          <w:szCs w:val="21"/>
        </w:rPr>
      </w:pPr>
      <w:r w:rsidRPr="004B460F">
        <w:rPr>
          <w:rFonts w:asciiTheme="minorHAnsi" w:hAnsiTheme="minorHAnsi"/>
          <w:sz w:val="21"/>
          <w:szCs w:val="21"/>
        </w:rPr>
        <w:t>Crime and Safety</w:t>
      </w:r>
      <w:r w:rsidRPr="004B460F">
        <w:rPr>
          <w:rFonts w:asciiTheme="minorHAnsi" w:hAnsiTheme="minorHAnsi"/>
          <w:sz w:val="21"/>
          <w:szCs w:val="21"/>
        </w:rPr>
        <w:tab/>
      </w:r>
      <w:r>
        <w:rPr>
          <w:rFonts w:asciiTheme="minorHAnsi" w:hAnsiTheme="minorHAnsi"/>
          <w:b/>
          <w:bCs/>
          <w:color w:val="244061" w:themeColor="accent1" w:themeShade="80"/>
          <w:sz w:val="21"/>
          <w:szCs w:val="21"/>
        </w:rPr>
        <w:t>55</w:t>
      </w:r>
    </w:p>
    <w:p w14:paraId="73B1058A" w14:textId="77777777" w:rsidR="00C65183" w:rsidRDefault="00C65183" w:rsidP="00C65183">
      <w:pPr>
        <w:tabs>
          <w:tab w:val="right" w:leader="dot" w:pos="7560"/>
        </w:tabs>
        <w:spacing w:line="312" w:lineRule="auto"/>
        <w:ind w:left="720"/>
        <w:jc w:val="both"/>
        <w:rPr>
          <w:rFonts w:asciiTheme="minorHAnsi" w:hAnsiTheme="minorHAnsi"/>
          <w:sz w:val="21"/>
          <w:szCs w:val="21"/>
        </w:rPr>
      </w:pPr>
      <w:r w:rsidRPr="004B460F">
        <w:rPr>
          <w:rFonts w:asciiTheme="minorHAnsi" w:hAnsiTheme="minorHAnsi"/>
          <w:sz w:val="21"/>
          <w:szCs w:val="21"/>
        </w:rPr>
        <w:t>Family Violence</w:t>
      </w:r>
      <w:r w:rsidRPr="004B460F">
        <w:rPr>
          <w:rFonts w:asciiTheme="minorHAnsi" w:hAnsiTheme="minorHAnsi"/>
          <w:sz w:val="21"/>
          <w:szCs w:val="21"/>
        </w:rPr>
        <w:tab/>
      </w:r>
      <w:r>
        <w:rPr>
          <w:rFonts w:asciiTheme="minorHAnsi" w:hAnsiTheme="minorHAnsi"/>
          <w:b/>
          <w:bCs/>
          <w:color w:val="244061" w:themeColor="accent1" w:themeShade="80"/>
          <w:sz w:val="21"/>
          <w:szCs w:val="21"/>
        </w:rPr>
        <w:t>57</w:t>
      </w:r>
    </w:p>
    <w:p w14:paraId="692E6854" w14:textId="77777777" w:rsidR="00C65183" w:rsidRDefault="00C65183" w:rsidP="00C65183">
      <w:pPr>
        <w:tabs>
          <w:tab w:val="right" w:leader="dot" w:pos="7560"/>
        </w:tabs>
        <w:spacing w:line="312" w:lineRule="auto"/>
        <w:ind w:left="720"/>
        <w:jc w:val="both"/>
        <w:rPr>
          <w:rFonts w:asciiTheme="minorHAnsi" w:hAnsiTheme="minorHAnsi"/>
          <w:sz w:val="21"/>
          <w:szCs w:val="21"/>
        </w:rPr>
      </w:pPr>
      <w:r>
        <w:rPr>
          <w:rFonts w:asciiTheme="minorHAnsi" w:hAnsiTheme="minorHAnsi"/>
          <w:sz w:val="21"/>
          <w:szCs w:val="21"/>
        </w:rPr>
        <w:t>Gender Differences in Social Conditions and Outcomes</w:t>
      </w:r>
      <w:r>
        <w:rPr>
          <w:rFonts w:asciiTheme="minorHAnsi" w:hAnsiTheme="minorHAnsi"/>
          <w:sz w:val="21"/>
          <w:szCs w:val="21"/>
        </w:rPr>
        <w:tab/>
      </w:r>
      <w:r w:rsidRPr="00827F47">
        <w:rPr>
          <w:rFonts w:asciiTheme="minorHAnsi" w:hAnsiTheme="minorHAnsi"/>
          <w:b/>
          <w:bCs/>
          <w:color w:val="244061" w:themeColor="accent1" w:themeShade="80"/>
          <w:sz w:val="21"/>
          <w:szCs w:val="21"/>
        </w:rPr>
        <w:t>6</w:t>
      </w:r>
      <w:r>
        <w:rPr>
          <w:rFonts w:asciiTheme="minorHAnsi" w:hAnsiTheme="minorHAnsi"/>
          <w:b/>
          <w:color w:val="244061" w:themeColor="accent1" w:themeShade="80"/>
          <w:sz w:val="21"/>
          <w:szCs w:val="21"/>
        </w:rPr>
        <w:t>0</w:t>
      </w:r>
    </w:p>
    <w:p w14:paraId="34655F9E" w14:textId="77777777" w:rsidR="00C65183" w:rsidRPr="00CC352B" w:rsidRDefault="00C65183" w:rsidP="00C65183">
      <w:pPr>
        <w:tabs>
          <w:tab w:val="right" w:leader="dot" w:pos="7560"/>
        </w:tabs>
        <w:spacing w:before="240" w:line="312" w:lineRule="auto"/>
        <w:ind w:left="720"/>
        <w:jc w:val="both"/>
        <w:rPr>
          <w:rFonts w:asciiTheme="minorHAnsi" w:hAnsiTheme="minorHAnsi"/>
          <w:b/>
          <w:color w:val="17365D"/>
          <w:sz w:val="24"/>
          <w:szCs w:val="24"/>
        </w:rPr>
      </w:pPr>
      <w:r w:rsidRPr="00CC352B">
        <w:rPr>
          <w:rFonts w:asciiTheme="minorHAnsi" w:hAnsiTheme="minorHAnsi"/>
          <w:b/>
          <w:color w:val="17365D"/>
          <w:sz w:val="24"/>
          <w:szCs w:val="24"/>
        </w:rPr>
        <w:t>Aspects of Health</w:t>
      </w:r>
    </w:p>
    <w:p w14:paraId="301208F7" w14:textId="77777777" w:rsidR="00C65183" w:rsidRPr="004B460F" w:rsidRDefault="00C65183" w:rsidP="00C65183">
      <w:pPr>
        <w:tabs>
          <w:tab w:val="right" w:leader="dot" w:pos="7560"/>
        </w:tabs>
        <w:spacing w:line="312" w:lineRule="auto"/>
        <w:ind w:left="720"/>
        <w:jc w:val="both"/>
        <w:rPr>
          <w:rFonts w:asciiTheme="minorHAnsi" w:hAnsiTheme="minorHAnsi"/>
          <w:sz w:val="21"/>
          <w:szCs w:val="21"/>
        </w:rPr>
      </w:pPr>
      <w:r w:rsidRPr="004B460F">
        <w:rPr>
          <w:rFonts w:asciiTheme="minorHAnsi" w:hAnsiTheme="minorHAnsi"/>
          <w:sz w:val="21"/>
          <w:szCs w:val="21"/>
        </w:rPr>
        <w:t>Physical Health</w:t>
      </w:r>
      <w:r w:rsidRPr="004B460F">
        <w:rPr>
          <w:rFonts w:asciiTheme="minorHAnsi" w:hAnsiTheme="minorHAnsi"/>
          <w:sz w:val="21"/>
          <w:szCs w:val="21"/>
        </w:rPr>
        <w:tab/>
      </w:r>
      <w:r w:rsidRPr="00827F47">
        <w:rPr>
          <w:rFonts w:asciiTheme="minorHAnsi" w:hAnsiTheme="minorHAnsi"/>
          <w:b/>
          <w:color w:val="244061" w:themeColor="accent1" w:themeShade="80"/>
          <w:sz w:val="21"/>
          <w:szCs w:val="21"/>
        </w:rPr>
        <w:t>7</w:t>
      </w:r>
      <w:r>
        <w:rPr>
          <w:rFonts w:asciiTheme="minorHAnsi" w:hAnsiTheme="minorHAnsi"/>
          <w:b/>
          <w:color w:val="244061" w:themeColor="accent1" w:themeShade="80"/>
          <w:sz w:val="21"/>
          <w:szCs w:val="21"/>
        </w:rPr>
        <w:t>3</w:t>
      </w:r>
    </w:p>
    <w:p w14:paraId="3EEEBA08" w14:textId="77777777" w:rsidR="00C65183" w:rsidRPr="004B460F" w:rsidRDefault="00C65183" w:rsidP="00C65183">
      <w:pPr>
        <w:tabs>
          <w:tab w:val="right" w:leader="dot" w:pos="7560"/>
        </w:tabs>
        <w:spacing w:line="312" w:lineRule="auto"/>
        <w:ind w:left="720"/>
        <w:jc w:val="both"/>
        <w:rPr>
          <w:rFonts w:asciiTheme="minorHAnsi" w:hAnsiTheme="minorHAnsi"/>
          <w:sz w:val="21"/>
          <w:szCs w:val="21"/>
        </w:rPr>
      </w:pPr>
      <w:r w:rsidRPr="004B460F">
        <w:rPr>
          <w:rFonts w:asciiTheme="minorHAnsi" w:hAnsiTheme="minorHAnsi"/>
          <w:sz w:val="21"/>
          <w:szCs w:val="21"/>
        </w:rPr>
        <w:t>Disability</w:t>
      </w:r>
      <w:r w:rsidRPr="004B460F">
        <w:rPr>
          <w:rFonts w:asciiTheme="minorHAnsi" w:hAnsiTheme="minorHAnsi"/>
          <w:sz w:val="21"/>
          <w:szCs w:val="21"/>
        </w:rPr>
        <w:tab/>
      </w:r>
      <w:r w:rsidRPr="00827F47">
        <w:rPr>
          <w:rFonts w:asciiTheme="minorHAnsi" w:hAnsiTheme="minorHAnsi"/>
          <w:b/>
          <w:color w:val="244061" w:themeColor="accent1" w:themeShade="80"/>
          <w:sz w:val="21"/>
          <w:szCs w:val="21"/>
        </w:rPr>
        <w:t>7</w:t>
      </w:r>
      <w:r>
        <w:rPr>
          <w:rFonts w:asciiTheme="minorHAnsi" w:hAnsiTheme="minorHAnsi"/>
          <w:b/>
          <w:color w:val="244061" w:themeColor="accent1" w:themeShade="80"/>
          <w:sz w:val="21"/>
          <w:szCs w:val="21"/>
        </w:rPr>
        <w:t>5</w:t>
      </w:r>
    </w:p>
    <w:p w14:paraId="676397A0" w14:textId="77777777" w:rsidR="00C65183" w:rsidRDefault="00C65183" w:rsidP="00C65183">
      <w:pPr>
        <w:tabs>
          <w:tab w:val="right" w:leader="dot" w:pos="7560"/>
        </w:tabs>
        <w:spacing w:line="312" w:lineRule="auto"/>
        <w:ind w:left="720"/>
        <w:jc w:val="both"/>
        <w:rPr>
          <w:rFonts w:asciiTheme="minorHAnsi" w:hAnsiTheme="minorHAnsi"/>
          <w:sz w:val="21"/>
          <w:szCs w:val="21"/>
        </w:rPr>
      </w:pPr>
      <w:r>
        <w:rPr>
          <w:rFonts w:asciiTheme="minorHAnsi" w:hAnsiTheme="minorHAnsi"/>
          <w:sz w:val="21"/>
          <w:szCs w:val="21"/>
        </w:rPr>
        <w:t>Sexual and Reproductive Health</w:t>
      </w:r>
      <w:r>
        <w:rPr>
          <w:rFonts w:asciiTheme="minorHAnsi" w:hAnsiTheme="minorHAnsi"/>
          <w:sz w:val="21"/>
          <w:szCs w:val="21"/>
        </w:rPr>
        <w:tab/>
      </w:r>
      <w:r>
        <w:rPr>
          <w:rFonts w:asciiTheme="minorHAnsi" w:hAnsiTheme="minorHAnsi"/>
          <w:b/>
          <w:color w:val="244061" w:themeColor="accent1" w:themeShade="80"/>
          <w:sz w:val="21"/>
          <w:szCs w:val="21"/>
        </w:rPr>
        <w:t>79</w:t>
      </w:r>
    </w:p>
    <w:p w14:paraId="72BCC357" w14:textId="77777777" w:rsidR="00C65183" w:rsidRPr="004B460F" w:rsidRDefault="00C65183" w:rsidP="00C65183">
      <w:pPr>
        <w:tabs>
          <w:tab w:val="right" w:leader="dot" w:pos="7560"/>
        </w:tabs>
        <w:spacing w:line="312" w:lineRule="auto"/>
        <w:ind w:left="720"/>
        <w:jc w:val="both"/>
        <w:rPr>
          <w:rFonts w:asciiTheme="minorHAnsi" w:hAnsiTheme="minorHAnsi"/>
          <w:sz w:val="21"/>
          <w:szCs w:val="21"/>
        </w:rPr>
      </w:pPr>
      <w:r w:rsidRPr="004B460F">
        <w:rPr>
          <w:rFonts w:asciiTheme="minorHAnsi" w:hAnsiTheme="minorHAnsi"/>
          <w:sz w:val="21"/>
          <w:szCs w:val="21"/>
        </w:rPr>
        <w:t xml:space="preserve">Sport and </w:t>
      </w:r>
      <w:r>
        <w:rPr>
          <w:rFonts w:asciiTheme="minorHAnsi" w:hAnsiTheme="minorHAnsi"/>
          <w:sz w:val="21"/>
          <w:szCs w:val="21"/>
        </w:rPr>
        <w:t xml:space="preserve">Physical </w:t>
      </w:r>
      <w:r w:rsidRPr="004B460F">
        <w:rPr>
          <w:rFonts w:asciiTheme="minorHAnsi" w:hAnsiTheme="minorHAnsi"/>
          <w:sz w:val="21"/>
          <w:szCs w:val="21"/>
        </w:rPr>
        <w:t>Recreation</w:t>
      </w:r>
      <w:r w:rsidRPr="004B460F">
        <w:rPr>
          <w:rFonts w:asciiTheme="minorHAnsi" w:hAnsiTheme="minorHAnsi"/>
          <w:sz w:val="21"/>
          <w:szCs w:val="21"/>
        </w:rPr>
        <w:tab/>
      </w:r>
      <w:r w:rsidRPr="00827F47">
        <w:rPr>
          <w:rFonts w:asciiTheme="minorHAnsi" w:hAnsiTheme="minorHAnsi"/>
          <w:b/>
          <w:color w:val="244061" w:themeColor="accent1" w:themeShade="80"/>
          <w:sz w:val="21"/>
          <w:szCs w:val="21"/>
        </w:rPr>
        <w:t>8</w:t>
      </w:r>
      <w:r>
        <w:rPr>
          <w:rFonts w:asciiTheme="minorHAnsi" w:hAnsiTheme="minorHAnsi"/>
          <w:b/>
          <w:color w:val="244061" w:themeColor="accent1" w:themeShade="80"/>
          <w:sz w:val="21"/>
          <w:szCs w:val="21"/>
        </w:rPr>
        <w:t>1</w:t>
      </w:r>
    </w:p>
    <w:p w14:paraId="4E9EE83A" w14:textId="77777777" w:rsidR="00C65183" w:rsidRPr="004B460F" w:rsidRDefault="00C65183" w:rsidP="00C65183">
      <w:pPr>
        <w:tabs>
          <w:tab w:val="right" w:leader="dot" w:pos="7560"/>
        </w:tabs>
        <w:spacing w:line="312" w:lineRule="auto"/>
        <w:ind w:left="720"/>
        <w:jc w:val="both"/>
        <w:rPr>
          <w:rFonts w:asciiTheme="minorHAnsi" w:hAnsiTheme="minorHAnsi"/>
          <w:sz w:val="21"/>
          <w:szCs w:val="21"/>
        </w:rPr>
      </w:pPr>
      <w:r w:rsidRPr="004B460F">
        <w:rPr>
          <w:rFonts w:asciiTheme="minorHAnsi" w:hAnsiTheme="minorHAnsi"/>
          <w:sz w:val="21"/>
          <w:szCs w:val="21"/>
        </w:rPr>
        <w:t>Nutrition</w:t>
      </w:r>
      <w:r w:rsidRPr="004B460F">
        <w:rPr>
          <w:rFonts w:asciiTheme="minorHAnsi" w:hAnsiTheme="minorHAnsi"/>
          <w:sz w:val="21"/>
          <w:szCs w:val="21"/>
        </w:rPr>
        <w:tab/>
      </w:r>
      <w:r>
        <w:rPr>
          <w:rFonts w:asciiTheme="minorHAnsi" w:hAnsiTheme="minorHAnsi"/>
          <w:b/>
          <w:color w:val="244061" w:themeColor="accent1" w:themeShade="80"/>
          <w:sz w:val="21"/>
          <w:szCs w:val="21"/>
        </w:rPr>
        <w:t>86</w:t>
      </w:r>
    </w:p>
    <w:p w14:paraId="413FCA38" w14:textId="77777777" w:rsidR="00C65183" w:rsidRPr="004B460F" w:rsidRDefault="00C65183" w:rsidP="00C65183">
      <w:pPr>
        <w:tabs>
          <w:tab w:val="right" w:leader="dot" w:pos="7560"/>
        </w:tabs>
        <w:spacing w:line="312" w:lineRule="auto"/>
        <w:ind w:left="720"/>
        <w:jc w:val="both"/>
        <w:rPr>
          <w:rFonts w:asciiTheme="minorHAnsi" w:hAnsiTheme="minorHAnsi"/>
          <w:sz w:val="21"/>
          <w:szCs w:val="21"/>
        </w:rPr>
      </w:pPr>
      <w:r>
        <w:rPr>
          <w:rFonts w:asciiTheme="minorHAnsi" w:hAnsiTheme="minorHAnsi"/>
          <w:sz w:val="21"/>
          <w:szCs w:val="21"/>
        </w:rPr>
        <w:t>Food Insecurity</w:t>
      </w:r>
      <w:r w:rsidRPr="004B460F">
        <w:rPr>
          <w:rFonts w:asciiTheme="minorHAnsi" w:hAnsiTheme="minorHAnsi"/>
          <w:sz w:val="21"/>
          <w:szCs w:val="21"/>
        </w:rPr>
        <w:tab/>
      </w:r>
      <w:r>
        <w:rPr>
          <w:rFonts w:asciiTheme="minorHAnsi" w:hAnsiTheme="minorHAnsi"/>
          <w:b/>
          <w:color w:val="244061" w:themeColor="accent1" w:themeShade="80"/>
          <w:sz w:val="21"/>
          <w:szCs w:val="21"/>
        </w:rPr>
        <w:t>89</w:t>
      </w:r>
    </w:p>
    <w:p w14:paraId="473D9551" w14:textId="77777777" w:rsidR="00C65183" w:rsidRPr="004B460F" w:rsidRDefault="00C65183" w:rsidP="00C65183">
      <w:pPr>
        <w:tabs>
          <w:tab w:val="right" w:leader="dot" w:pos="7560"/>
        </w:tabs>
        <w:spacing w:line="312" w:lineRule="auto"/>
        <w:ind w:left="720"/>
        <w:jc w:val="both"/>
        <w:rPr>
          <w:rFonts w:asciiTheme="minorHAnsi" w:hAnsiTheme="minorHAnsi"/>
          <w:sz w:val="21"/>
          <w:szCs w:val="21"/>
        </w:rPr>
      </w:pPr>
      <w:r w:rsidRPr="004B460F">
        <w:rPr>
          <w:rFonts w:asciiTheme="minorHAnsi" w:hAnsiTheme="minorHAnsi"/>
          <w:sz w:val="21"/>
          <w:szCs w:val="21"/>
        </w:rPr>
        <w:t>Obesity</w:t>
      </w:r>
      <w:r w:rsidRPr="004B460F">
        <w:rPr>
          <w:rFonts w:asciiTheme="minorHAnsi" w:hAnsiTheme="minorHAnsi"/>
          <w:sz w:val="21"/>
          <w:szCs w:val="21"/>
        </w:rPr>
        <w:tab/>
      </w:r>
      <w:r>
        <w:rPr>
          <w:rFonts w:asciiTheme="minorHAnsi" w:hAnsiTheme="minorHAnsi"/>
          <w:b/>
          <w:color w:val="244061" w:themeColor="accent1" w:themeShade="80"/>
          <w:sz w:val="21"/>
          <w:szCs w:val="21"/>
        </w:rPr>
        <w:t>91</w:t>
      </w:r>
    </w:p>
    <w:p w14:paraId="20962F80" w14:textId="77777777" w:rsidR="00C65183" w:rsidRPr="004B460F" w:rsidRDefault="00C65183" w:rsidP="00C65183">
      <w:pPr>
        <w:tabs>
          <w:tab w:val="right" w:leader="dot" w:pos="7560"/>
        </w:tabs>
        <w:spacing w:line="312" w:lineRule="auto"/>
        <w:ind w:left="720"/>
        <w:jc w:val="both"/>
        <w:rPr>
          <w:rFonts w:asciiTheme="minorHAnsi" w:hAnsiTheme="minorHAnsi"/>
          <w:sz w:val="21"/>
          <w:szCs w:val="21"/>
        </w:rPr>
      </w:pPr>
      <w:r w:rsidRPr="004B460F">
        <w:rPr>
          <w:rFonts w:asciiTheme="minorHAnsi" w:hAnsiTheme="minorHAnsi"/>
          <w:sz w:val="21"/>
          <w:szCs w:val="21"/>
        </w:rPr>
        <w:t>Alcohol Consumption</w:t>
      </w:r>
      <w:r w:rsidRPr="004B460F">
        <w:rPr>
          <w:rFonts w:asciiTheme="minorHAnsi" w:hAnsiTheme="minorHAnsi"/>
          <w:sz w:val="21"/>
          <w:szCs w:val="21"/>
        </w:rPr>
        <w:tab/>
      </w:r>
      <w:r w:rsidRPr="00827F47">
        <w:rPr>
          <w:rFonts w:asciiTheme="minorHAnsi" w:hAnsiTheme="minorHAnsi"/>
          <w:b/>
          <w:color w:val="244061" w:themeColor="accent1" w:themeShade="80"/>
          <w:sz w:val="21"/>
          <w:szCs w:val="21"/>
        </w:rPr>
        <w:t>9</w:t>
      </w:r>
      <w:r>
        <w:rPr>
          <w:rFonts w:asciiTheme="minorHAnsi" w:hAnsiTheme="minorHAnsi"/>
          <w:b/>
          <w:color w:val="244061" w:themeColor="accent1" w:themeShade="80"/>
          <w:sz w:val="21"/>
          <w:szCs w:val="21"/>
        </w:rPr>
        <w:t>2</w:t>
      </w:r>
    </w:p>
    <w:p w14:paraId="3CA90AA1" w14:textId="77777777" w:rsidR="00C65183" w:rsidRPr="004B460F" w:rsidRDefault="00C65183" w:rsidP="00C65183">
      <w:pPr>
        <w:tabs>
          <w:tab w:val="right" w:leader="dot" w:pos="7560"/>
        </w:tabs>
        <w:spacing w:line="312" w:lineRule="auto"/>
        <w:ind w:left="720"/>
        <w:jc w:val="both"/>
        <w:rPr>
          <w:rFonts w:asciiTheme="minorHAnsi" w:hAnsiTheme="minorHAnsi"/>
          <w:sz w:val="21"/>
          <w:szCs w:val="21"/>
        </w:rPr>
      </w:pPr>
      <w:r w:rsidRPr="004B460F">
        <w:rPr>
          <w:rFonts w:asciiTheme="minorHAnsi" w:hAnsiTheme="minorHAnsi"/>
          <w:sz w:val="21"/>
          <w:szCs w:val="21"/>
        </w:rPr>
        <w:t>Smoking</w:t>
      </w:r>
      <w:r w:rsidRPr="004B460F">
        <w:rPr>
          <w:rFonts w:asciiTheme="minorHAnsi" w:hAnsiTheme="minorHAnsi"/>
          <w:sz w:val="21"/>
          <w:szCs w:val="21"/>
        </w:rPr>
        <w:tab/>
      </w:r>
      <w:r w:rsidRPr="00827F47">
        <w:rPr>
          <w:rFonts w:asciiTheme="minorHAnsi" w:hAnsiTheme="minorHAnsi"/>
          <w:b/>
          <w:color w:val="244061" w:themeColor="accent1" w:themeShade="80"/>
          <w:sz w:val="21"/>
          <w:szCs w:val="21"/>
        </w:rPr>
        <w:t>9</w:t>
      </w:r>
      <w:r>
        <w:rPr>
          <w:rFonts w:asciiTheme="minorHAnsi" w:hAnsiTheme="minorHAnsi"/>
          <w:b/>
          <w:color w:val="244061" w:themeColor="accent1" w:themeShade="80"/>
          <w:sz w:val="21"/>
          <w:szCs w:val="21"/>
        </w:rPr>
        <w:t>5</w:t>
      </w:r>
    </w:p>
    <w:p w14:paraId="3C09A71E" w14:textId="77777777" w:rsidR="00C65183" w:rsidRPr="004B460F" w:rsidRDefault="00C65183" w:rsidP="00C65183">
      <w:pPr>
        <w:tabs>
          <w:tab w:val="right" w:leader="dot" w:pos="7560"/>
        </w:tabs>
        <w:spacing w:line="312" w:lineRule="auto"/>
        <w:ind w:left="720"/>
        <w:jc w:val="both"/>
        <w:rPr>
          <w:rFonts w:asciiTheme="minorHAnsi" w:hAnsiTheme="minorHAnsi"/>
          <w:sz w:val="21"/>
          <w:szCs w:val="21"/>
        </w:rPr>
      </w:pPr>
      <w:r w:rsidRPr="004B460F">
        <w:rPr>
          <w:rFonts w:asciiTheme="minorHAnsi" w:hAnsiTheme="minorHAnsi"/>
          <w:sz w:val="21"/>
          <w:szCs w:val="21"/>
        </w:rPr>
        <w:t>Illicit Drug Use</w:t>
      </w:r>
      <w:r w:rsidRPr="004B460F">
        <w:rPr>
          <w:rFonts w:asciiTheme="minorHAnsi" w:hAnsiTheme="minorHAnsi"/>
          <w:sz w:val="21"/>
          <w:szCs w:val="21"/>
        </w:rPr>
        <w:tab/>
      </w:r>
      <w:r>
        <w:rPr>
          <w:rFonts w:asciiTheme="minorHAnsi" w:hAnsiTheme="minorHAnsi"/>
          <w:b/>
          <w:bCs/>
          <w:color w:val="244061" w:themeColor="accent1" w:themeShade="80"/>
          <w:sz w:val="21"/>
          <w:szCs w:val="21"/>
        </w:rPr>
        <w:t>97</w:t>
      </w:r>
    </w:p>
    <w:p w14:paraId="595D0190" w14:textId="77777777" w:rsidR="00C65183" w:rsidRPr="004B460F" w:rsidRDefault="00C65183" w:rsidP="00C65183">
      <w:pPr>
        <w:tabs>
          <w:tab w:val="right" w:leader="dot" w:pos="7560"/>
        </w:tabs>
        <w:spacing w:line="312" w:lineRule="auto"/>
        <w:ind w:left="720"/>
        <w:jc w:val="both"/>
        <w:rPr>
          <w:rFonts w:asciiTheme="minorHAnsi" w:hAnsiTheme="minorHAnsi"/>
          <w:sz w:val="21"/>
          <w:szCs w:val="21"/>
        </w:rPr>
      </w:pPr>
      <w:r w:rsidRPr="004B460F">
        <w:rPr>
          <w:rFonts w:asciiTheme="minorHAnsi" w:hAnsiTheme="minorHAnsi"/>
          <w:sz w:val="21"/>
          <w:szCs w:val="21"/>
        </w:rPr>
        <w:t>Mental Health</w:t>
      </w:r>
      <w:r w:rsidRPr="004B460F">
        <w:rPr>
          <w:rFonts w:asciiTheme="minorHAnsi" w:hAnsiTheme="minorHAnsi"/>
          <w:sz w:val="21"/>
          <w:szCs w:val="21"/>
        </w:rPr>
        <w:tab/>
      </w:r>
      <w:r w:rsidRPr="00827F47">
        <w:rPr>
          <w:rFonts w:asciiTheme="minorHAnsi" w:hAnsiTheme="minorHAnsi"/>
          <w:b/>
          <w:bCs/>
          <w:color w:val="244061" w:themeColor="accent1" w:themeShade="80"/>
          <w:sz w:val="21"/>
          <w:szCs w:val="21"/>
        </w:rPr>
        <w:t>1</w:t>
      </w:r>
      <w:r w:rsidRPr="00827F47">
        <w:rPr>
          <w:rFonts w:asciiTheme="minorHAnsi" w:hAnsiTheme="minorHAnsi"/>
          <w:b/>
          <w:color w:val="244061" w:themeColor="accent1" w:themeShade="80"/>
          <w:sz w:val="21"/>
          <w:szCs w:val="21"/>
        </w:rPr>
        <w:t>0</w:t>
      </w:r>
      <w:r>
        <w:rPr>
          <w:rFonts w:asciiTheme="minorHAnsi" w:hAnsiTheme="minorHAnsi"/>
          <w:b/>
          <w:color w:val="244061" w:themeColor="accent1" w:themeShade="80"/>
          <w:sz w:val="21"/>
          <w:szCs w:val="21"/>
        </w:rPr>
        <w:t>1</w:t>
      </w:r>
    </w:p>
    <w:p w14:paraId="6011DF15" w14:textId="77777777" w:rsidR="00C65183" w:rsidRPr="004B460F" w:rsidRDefault="00C65183" w:rsidP="00C65183">
      <w:pPr>
        <w:tabs>
          <w:tab w:val="right" w:leader="dot" w:pos="7560"/>
        </w:tabs>
        <w:spacing w:line="312" w:lineRule="auto"/>
        <w:ind w:left="720"/>
        <w:jc w:val="both"/>
        <w:rPr>
          <w:rFonts w:asciiTheme="minorHAnsi" w:hAnsiTheme="minorHAnsi"/>
          <w:sz w:val="21"/>
          <w:szCs w:val="21"/>
        </w:rPr>
      </w:pPr>
      <w:r w:rsidRPr="004B460F">
        <w:rPr>
          <w:rFonts w:asciiTheme="minorHAnsi" w:hAnsiTheme="minorHAnsi"/>
          <w:sz w:val="21"/>
          <w:szCs w:val="21"/>
        </w:rPr>
        <w:t>Suicide</w:t>
      </w:r>
      <w:r w:rsidRPr="004B460F">
        <w:rPr>
          <w:rFonts w:asciiTheme="minorHAnsi" w:hAnsiTheme="minorHAnsi"/>
          <w:sz w:val="21"/>
          <w:szCs w:val="21"/>
        </w:rPr>
        <w:tab/>
      </w:r>
      <w:r w:rsidRPr="00827F47">
        <w:rPr>
          <w:rFonts w:asciiTheme="minorHAnsi" w:hAnsiTheme="minorHAnsi"/>
          <w:b/>
          <w:bCs/>
          <w:color w:val="244061" w:themeColor="accent1" w:themeShade="80"/>
          <w:sz w:val="21"/>
          <w:szCs w:val="21"/>
        </w:rPr>
        <w:t>1</w:t>
      </w:r>
      <w:r w:rsidRPr="00827F47">
        <w:rPr>
          <w:rFonts w:asciiTheme="minorHAnsi" w:hAnsiTheme="minorHAnsi"/>
          <w:b/>
          <w:color w:val="244061" w:themeColor="accent1" w:themeShade="80"/>
          <w:sz w:val="21"/>
          <w:szCs w:val="21"/>
        </w:rPr>
        <w:t>0</w:t>
      </w:r>
      <w:r>
        <w:rPr>
          <w:rFonts w:asciiTheme="minorHAnsi" w:hAnsiTheme="minorHAnsi"/>
          <w:b/>
          <w:color w:val="244061" w:themeColor="accent1" w:themeShade="80"/>
          <w:sz w:val="21"/>
          <w:szCs w:val="21"/>
        </w:rPr>
        <w:t>4</w:t>
      </w:r>
    </w:p>
    <w:p w14:paraId="28A80671" w14:textId="77777777" w:rsidR="00C65183" w:rsidRDefault="00C65183" w:rsidP="00C65183">
      <w:pPr>
        <w:tabs>
          <w:tab w:val="right" w:leader="dot" w:pos="7560"/>
        </w:tabs>
        <w:spacing w:line="312" w:lineRule="auto"/>
        <w:ind w:left="720"/>
        <w:jc w:val="both"/>
        <w:rPr>
          <w:rFonts w:asciiTheme="minorHAnsi" w:hAnsiTheme="minorHAnsi"/>
          <w:b/>
          <w:color w:val="244061" w:themeColor="accent1" w:themeShade="80"/>
          <w:sz w:val="21"/>
          <w:szCs w:val="21"/>
        </w:rPr>
      </w:pPr>
      <w:r>
        <w:rPr>
          <w:rFonts w:asciiTheme="minorHAnsi" w:hAnsiTheme="minorHAnsi"/>
          <w:sz w:val="21"/>
          <w:szCs w:val="21"/>
        </w:rPr>
        <w:t>Mortality</w:t>
      </w:r>
      <w:r w:rsidRPr="004B460F">
        <w:rPr>
          <w:rFonts w:asciiTheme="minorHAnsi" w:hAnsiTheme="minorHAnsi"/>
          <w:sz w:val="21"/>
          <w:szCs w:val="21"/>
        </w:rPr>
        <w:tab/>
      </w:r>
      <w:r w:rsidRPr="00827F47">
        <w:rPr>
          <w:rFonts w:asciiTheme="minorHAnsi" w:hAnsiTheme="minorHAnsi"/>
          <w:b/>
          <w:bCs/>
          <w:color w:val="244061" w:themeColor="accent1" w:themeShade="80"/>
          <w:sz w:val="21"/>
          <w:szCs w:val="21"/>
        </w:rPr>
        <w:t>1</w:t>
      </w:r>
      <w:r w:rsidRPr="00827F47">
        <w:rPr>
          <w:rFonts w:asciiTheme="minorHAnsi" w:hAnsiTheme="minorHAnsi"/>
          <w:b/>
          <w:color w:val="244061" w:themeColor="accent1" w:themeShade="80"/>
          <w:sz w:val="21"/>
          <w:szCs w:val="21"/>
        </w:rPr>
        <w:t>0</w:t>
      </w:r>
      <w:r>
        <w:rPr>
          <w:rFonts w:asciiTheme="minorHAnsi" w:hAnsiTheme="minorHAnsi"/>
          <w:b/>
          <w:color w:val="244061" w:themeColor="accent1" w:themeShade="80"/>
          <w:sz w:val="21"/>
          <w:szCs w:val="21"/>
        </w:rPr>
        <w:t>5</w:t>
      </w:r>
    </w:p>
    <w:p w14:paraId="510BE069" w14:textId="77777777" w:rsidR="00C65183" w:rsidRPr="004B460F" w:rsidRDefault="00C65183" w:rsidP="00C65183">
      <w:pPr>
        <w:tabs>
          <w:tab w:val="right" w:leader="dot" w:pos="7560"/>
        </w:tabs>
        <w:spacing w:line="312" w:lineRule="auto"/>
        <w:ind w:left="720"/>
        <w:jc w:val="both"/>
        <w:rPr>
          <w:rFonts w:asciiTheme="minorHAnsi" w:hAnsiTheme="minorHAnsi"/>
          <w:sz w:val="21"/>
          <w:szCs w:val="21"/>
        </w:rPr>
      </w:pPr>
      <w:r w:rsidRPr="00F41E10">
        <w:rPr>
          <w:rFonts w:asciiTheme="minorHAnsi" w:hAnsiTheme="minorHAnsi"/>
          <w:sz w:val="21"/>
          <w:szCs w:val="21"/>
        </w:rPr>
        <w:t>Climate Change and Health and Wellbeing</w:t>
      </w:r>
      <w:r w:rsidRPr="00F41E10">
        <w:rPr>
          <w:rFonts w:asciiTheme="minorHAnsi" w:hAnsiTheme="minorHAnsi"/>
          <w:sz w:val="21"/>
          <w:szCs w:val="21"/>
        </w:rPr>
        <w:tab/>
      </w:r>
      <w:r>
        <w:rPr>
          <w:rFonts w:asciiTheme="minorHAnsi" w:hAnsiTheme="minorHAnsi"/>
          <w:b/>
          <w:color w:val="244061" w:themeColor="accent1" w:themeShade="80"/>
          <w:sz w:val="21"/>
          <w:szCs w:val="21"/>
        </w:rPr>
        <w:t>107</w:t>
      </w:r>
    </w:p>
    <w:p w14:paraId="4FAD014C" w14:textId="77777777" w:rsidR="00C65183" w:rsidRDefault="00C65183" w:rsidP="00C65183">
      <w:pPr>
        <w:rPr>
          <w:rFonts w:asciiTheme="minorHAnsi" w:hAnsiTheme="minorHAnsi"/>
        </w:rPr>
      </w:pPr>
      <w:r>
        <w:rPr>
          <w:rFonts w:asciiTheme="minorHAnsi" w:hAnsiTheme="minorHAnsi"/>
        </w:rPr>
        <w:br w:type="page"/>
      </w:r>
    </w:p>
    <w:p w14:paraId="3B17A2B1" w14:textId="77777777" w:rsidR="00C65183" w:rsidRDefault="00C65183" w:rsidP="00C65183">
      <w:pPr>
        <w:rPr>
          <w:rFonts w:asciiTheme="minorHAnsi" w:hAnsiTheme="minorHAnsi"/>
        </w:rPr>
      </w:pPr>
    </w:p>
    <w:p w14:paraId="14C9313A" w14:textId="77777777" w:rsidR="00C65183" w:rsidRDefault="00C65183" w:rsidP="00C65183">
      <w:pPr>
        <w:rPr>
          <w:rFonts w:asciiTheme="minorHAnsi" w:hAnsiTheme="minorHAnsi"/>
        </w:rPr>
      </w:pPr>
    </w:p>
    <w:p w14:paraId="05723825" w14:textId="77777777" w:rsidR="00C65183" w:rsidRDefault="00C65183" w:rsidP="00C65183">
      <w:pPr>
        <w:rPr>
          <w:rFonts w:asciiTheme="minorHAnsi" w:hAnsiTheme="minorHAnsi"/>
        </w:rPr>
        <w:sectPr w:rsidR="00C65183" w:rsidSect="00F04EAA">
          <w:footerReference w:type="default" r:id="rId10"/>
          <w:pgSz w:w="11906" w:h="16838" w:code="9"/>
          <w:pgMar w:top="1134" w:right="1134" w:bottom="1134" w:left="1134" w:header="709" w:footer="709" w:gutter="0"/>
          <w:cols w:space="708"/>
          <w:docGrid w:linePitch="360"/>
        </w:sectPr>
      </w:pPr>
    </w:p>
    <w:p w14:paraId="09E08E27" w14:textId="77777777" w:rsidR="00C65183" w:rsidRPr="00827F47" w:rsidRDefault="00C65183" w:rsidP="00C65183">
      <w:pPr>
        <w:pBdr>
          <w:top w:val="single" w:sz="4" w:space="0" w:color="244061" w:themeColor="accent1" w:themeShade="80"/>
          <w:bottom w:val="single" w:sz="4" w:space="1" w:color="244061" w:themeColor="accent1" w:themeShade="80"/>
        </w:pBdr>
        <w:tabs>
          <w:tab w:val="center" w:pos="4678"/>
        </w:tabs>
        <w:jc w:val="center"/>
        <w:rPr>
          <w:rFonts w:ascii="Garamond" w:hAnsi="Garamond"/>
          <w:noProof/>
          <w:color w:val="244061" w:themeColor="accent1" w:themeShade="80"/>
          <w:sz w:val="36"/>
          <w:szCs w:val="36"/>
        </w:rPr>
      </w:pPr>
      <w:r w:rsidRPr="00827F47">
        <w:rPr>
          <w:rFonts w:ascii="Garamond" w:hAnsi="Garamond"/>
          <w:noProof/>
          <w:color w:val="244061" w:themeColor="accent1" w:themeShade="80"/>
          <w:sz w:val="36"/>
          <w:szCs w:val="36"/>
        </w:rPr>
        <w:lastRenderedPageBreak/>
        <w:t>Population</w:t>
      </w:r>
    </w:p>
    <w:p w14:paraId="06BA362E" w14:textId="77777777" w:rsidR="00C65183" w:rsidRPr="000E237B" w:rsidRDefault="00C65183" w:rsidP="00C65183">
      <w:pPr>
        <w:ind w:left="4962"/>
        <w:jc w:val="both"/>
        <w:rPr>
          <w:rFonts w:ascii="Calibri" w:hAnsi="Calibri"/>
          <w:color w:val="7F7F7F"/>
          <w:sz w:val="12"/>
          <w:szCs w:val="12"/>
        </w:rPr>
      </w:pPr>
    </w:p>
    <w:p w14:paraId="30BD252E" w14:textId="77777777" w:rsidR="00C65183" w:rsidRDefault="00C65183" w:rsidP="00C65183">
      <w:pPr>
        <w:ind w:left="4111"/>
        <w:jc w:val="both"/>
        <w:rPr>
          <w:rFonts w:ascii="Calibri" w:hAnsi="Calibri"/>
          <w:color w:val="7F7F7F"/>
          <w:sz w:val="20"/>
          <w:szCs w:val="20"/>
        </w:rPr>
      </w:pPr>
    </w:p>
    <w:p w14:paraId="63481E77" w14:textId="77777777" w:rsidR="00C65183" w:rsidRPr="009946CF" w:rsidRDefault="00C65183" w:rsidP="00C65183">
      <w:pPr>
        <w:ind w:left="4111"/>
        <w:jc w:val="both"/>
        <w:rPr>
          <w:rFonts w:ascii="Calibri" w:hAnsi="Calibri"/>
          <w:color w:val="7F7F7F"/>
          <w:sz w:val="20"/>
          <w:szCs w:val="20"/>
        </w:rPr>
      </w:pPr>
      <w:r>
        <w:rPr>
          <w:rFonts w:ascii="Calibri" w:hAnsi="Calibri"/>
          <w:color w:val="7F7F7F"/>
          <w:sz w:val="20"/>
          <w:szCs w:val="20"/>
        </w:rPr>
        <w:t>Estimated</w:t>
      </w:r>
      <w:r w:rsidRPr="006631A7">
        <w:rPr>
          <w:rFonts w:ascii="Calibri" w:hAnsi="Calibri"/>
          <w:color w:val="7F7F7F"/>
          <w:sz w:val="20"/>
          <w:szCs w:val="20"/>
        </w:rPr>
        <w:t xml:space="preserve"> and </w:t>
      </w:r>
      <w:r>
        <w:rPr>
          <w:rFonts w:ascii="Calibri" w:hAnsi="Calibri"/>
          <w:color w:val="7F7F7F"/>
          <w:sz w:val="20"/>
          <w:szCs w:val="20"/>
        </w:rPr>
        <w:t>f</w:t>
      </w:r>
      <w:r w:rsidRPr="006631A7">
        <w:rPr>
          <w:rFonts w:ascii="Calibri" w:hAnsi="Calibri"/>
          <w:color w:val="7F7F7F"/>
          <w:sz w:val="20"/>
          <w:szCs w:val="20"/>
        </w:rPr>
        <w:t xml:space="preserve">orecast </w:t>
      </w:r>
      <w:r>
        <w:rPr>
          <w:rFonts w:ascii="Calibri" w:hAnsi="Calibri"/>
          <w:color w:val="7F7F7F"/>
          <w:sz w:val="20"/>
          <w:szCs w:val="20"/>
        </w:rPr>
        <w:t>p</w:t>
      </w:r>
      <w:r w:rsidRPr="006631A7">
        <w:rPr>
          <w:rFonts w:ascii="Calibri" w:hAnsi="Calibri"/>
          <w:color w:val="7F7F7F"/>
          <w:sz w:val="20"/>
          <w:szCs w:val="20"/>
        </w:rPr>
        <w:t xml:space="preserve">opulation: Greater Dandenong, </w:t>
      </w:r>
      <w:r>
        <w:rPr>
          <w:rFonts w:ascii="Calibri" w:hAnsi="Calibri"/>
          <w:color w:val="7F7F7F"/>
          <w:sz w:val="20"/>
          <w:szCs w:val="20"/>
        </w:rPr>
        <w:t>1996</w:t>
      </w:r>
      <w:r w:rsidRPr="006631A7">
        <w:rPr>
          <w:rFonts w:ascii="Calibri" w:hAnsi="Calibri"/>
          <w:color w:val="7F7F7F"/>
          <w:sz w:val="20"/>
          <w:szCs w:val="20"/>
        </w:rPr>
        <w:t>-203</w:t>
      </w:r>
      <w:r>
        <w:rPr>
          <w:rFonts w:ascii="Calibri" w:hAnsi="Calibri"/>
          <w:color w:val="7F7F7F"/>
          <w:sz w:val="20"/>
          <w:szCs w:val="20"/>
        </w:rPr>
        <w:t>1</w:t>
      </w:r>
    </w:p>
    <w:p w14:paraId="60C5A361" w14:textId="77777777" w:rsidR="00C65183" w:rsidRDefault="00C65183" w:rsidP="00C65183">
      <w:pPr>
        <w:spacing w:line="360" w:lineRule="auto"/>
        <w:jc w:val="both"/>
        <w:rPr>
          <w:rFonts w:ascii="Calibri" w:hAnsi="Calibri"/>
        </w:rPr>
      </w:pPr>
      <w:r>
        <w:rPr>
          <w:rFonts w:ascii="Calibri" w:hAnsi="Calibri"/>
          <w:noProof/>
          <w:color w:val="7F7F7F"/>
          <w:sz w:val="20"/>
          <w:szCs w:val="20"/>
          <w:lang w:eastAsia="en-AU"/>
        </w:rPr>
        <w:drawing>
          <wp:anchor distT="0" distB="0" distL="114300" distR="114300" simplePos="0" relativeHeight="251659264" behindDoc="0" locked="0" layoutInCell="1" allowOverlap="1" wp14:anchorId="6D4BCDA9" wp14:editId="101DCDB9">
            <wp:simplePos x="0" y="0"/>
            <wp:positionH relativeFrom="column">
              <wp:posOffset>3087635</wp:posOffset>
            </wp:positionH>
            <wp:positionV relativeFrom="paragraph">
              <wp:posOffset>55113</wp:posOffset>
            </wp:positionV>
            <wp:extent cx="527469" cy="805218"/>
            <wp:effectExtent l="0" t="0" r="6350"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munity Older 2.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29717" cy="808649"/>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Pr>
          <w:rFonts w:ascii="Calibri" w:hAnsi="Calibri"/>
          <w:noProof/>
          <w:color w:val="000000" w:themeColor="text1"/>
          <w:lang w:eastAsia="en-AU"/>
        </w:rPr>
        <w:drawing>
          <wp:anchor distT="0" distB="0" distL="114300" distR="114300" simplePos="0" relativeHeight="251662336" behindDoc="0" locked="0" layoutInCell="1" allowOverlap="1" wp14:anchorId="6269F976" wp14:editId="16941A1B">
            <wp:simplePos x="0" y="0"/>
            <wp:positionH relativeFrom="column">
              <wp:posOffset>5257525</wp:posOffset>
            </wp:positionH>
            <wp:positionV relativeFrom="paragraph">
              <wp:posOffset>1501216</wp:posOffset>
            </wp:positionV>
            <wp:extent cx="642014" cy="773233"/>
            <wp:effectExtent l="0" t="0" r="5715" b="8255"/>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ildren 1.JPG"/>
                    <pic:cNvPicPr/>
                  </pic:nvPicPr>
                  <pic:blipFill rotWithShape="1">
                    <a:blip r:embed="rId12" cstate="print">
                      <a:extLst>
                        <a:ext uri="{28A0092B-C50C-407E-A947-70E740481C1C}">
                          <a14:useLocalDpi xmlns:a14="http://schemas.microsoft.com/office/drawing/2010/main" val="0"/>
                        </a:ext>
                      </a:extLst>
                    </a:blip>
                    <a:srcRect l="30200" t="7620" r="18792" b="414"/>
                    <a:stretch/>
                  </pic:blipFill>
                  <pic:spPr bwMode="auto">
                    <a:xfrm>
                      <a:off x="0" y="0"/>
                      <a:ext cx="642014" cy="773233"/>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alibri" w:hAnsi="Calibri"/>
          <w:noProof/>
          <w:lang w:eastAsia="en-AU"/>
        </w:rPr>
        <w:drawing>
          <wp:anchor distT="0" distB="0" distL="114300" distR="114300" simplePos="0" relativeHeight="251660288" behindDoc="0" locked="0" layoutInCell="1" allowOverlap="1" wp14:anchorId="4ABA4969" wp14:editId="679F258C">
            <wp:simplePos x="0" y="0"/>
            <wp:positionH relativeFrom="column">
              <wp:posOffset>2299335</wp:posOffset>
            </wp:positionH>
            <wp:positionV relativeFrom="paragraph">
              <wp:posOffset>48895</wp:posOffset>
            </wp:positionV>
            <wp:extent cx="3857625" cy="2776855"/>
            <wp:effectExtent l="0" t="0" r="9525" b="4445"/>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857625" cy="2776855"/>
                    </a:xfrm>
                    <a:prstGeom prst="rect">
                      <a:avLst/>
                    </a:prstGeom>
                    <a:noFill/>
                  </pic:spPr>
                </pic:pic>
              </a:graphicData>
            </a:graphic>
            <wp14:sizeRelH relativeFrom="page">
              <wp14:pctWidth>0</wp14:pctWidth>
            </wp14:sizeRelH>
            <wp14:sizeRelV relativeFrom="page">
              <wp14:pctHeight>0</wp14:pctHeight>
            </wp14:sizeRelV>
          </wp:anchor>
        </w:drawing>
      </w:r>
      <w:r w:rsidRPr="00C92F19">
        <w:rPr>
          <w:rFonts w:ascii="Calibri" w:hAnsi="Calibri"/>
        </w:rPr>
        <w:t xml:space="preserve">The population of Greater Dandenong remained </w:t>
      </w:r>
      <w:r>
        <w:rPr>
          <w:rFonts w:ascii="Calibri" w:hAnsi="Calibri"/>
        </w:rPr>
        <w:t>at around 130,000 during the decade to 2006</w:t>
      </w:r>
      <w:r w:rsidRPr="00C92F19">
        <w:rPr>
          <w:rFonts w:ascii="Calibri" w:hAnsi="Calibri"/>
        </w:rPr>
        <w:t xml:space="preserve"> before </w:t>
      </w:r>
      <w:r>
        <w:rPr>
          <w:rFonts w:ascii="Calibri" w:hAnsi="Calibri"/>
        </w:rPr>
        <w:t>swelling</w:t>
      </w:r>
      <w:r w:rsidRPr="00C92F19">
        <w:rPr>
          <w:rFonts w:ascii="Calibri" w:hAnsi="Calibri"/>
        </w:rPr>
        <w:t xml:space="preserve"> </w:t>
      </w:r>
      <w:r>
        <w:rPr>
          <w:rFonts w:ascii="Calibri" w:hAnsi="Calibri"/>
        </w:rPr>
        <w:t>to</w:t>
      </w:r>
      <w:r w:rsidRPr="00C92F19">
        <w:rPr>
          <w:rFonts w:ascii="Calibri" w:hAnsi="Calibri"/>
        </w:rPr>
        <w:t xml:space="preserve"> </w:t>
      </w:r>
      <w:r>
        <w:rPr>
          <w:rFonts w:ascii="Calibri" w:hAnsi="Calibri"/>
        </w:rPr>
        <w:t>approximately 175</w:t>
      </w:r>
      <w:r w:rsidRPr="00C92F19">
        <w:rPr>
          <w:rFonts w:ascii="Calibri" w:hAnsi="Calibri"/>
        </w:rPr>
        <w:t xml:space="preserve">,000 </w:t>
      </w:r>
      <w:r>
        <w:rPr>
          <w:rFonts w:ascii="Calibri" w:hAnsi="Calibri"/>
        </w:rPr>
        <w:t>by</w:t>
      </w:r>
      <w:r w:rsidRPr="00C92F19">
        <w:rPr>
          <w:rFonts w:ascii="Calibri" w:hAnsi="Calibri"/>
        </w:rPr>
        <w:t xml:space="preserve"> 20</w:t>
      </w:r>
      <w:r>
        <w:rPr>
          <w:rFonts w:ascii="Calibri" w:hAnsi="Calibri"/>
        </w:rPr>
        <w:t>21. The current population includes approximately 32</w:t>
      </w:r>
      <w:r w:rsidRPr="00C92F19">
        <w:rPr>
          <w:rFonts w:ascii="Calibri" w:hAnsi="Calibri"/>
        </w:rPr>
        <w:t xml:space="preserve">,000 </w:t>
      </w:r>
      <w:r>
        <w:rPr>
          <w:rFonts w:ascii="Calibri" w:hAnsi="Calibri"/>
        </w:rPr>
        <w:t>0-14 year-olds</w:t>
      </w:r>
      <w:r w:rsidRPr="00C92F19">
        <w:rPr>
          <w:rFonts w:ascii="Calibri" w:hAnsi="Calibri"/>
        </w:rPr>
        <w:t xml:space="preserve">, </w:t>
      </w:r>
      <w:r>
        <w:rPr>
          <w:rFonts w:ascii="Calibri" w:hAnsi="Calibri"/>
        </w:rPr>
        <w:t>23,</w:t>
      </w:r>
      <w:r w:rsidRPr="00C92F19">
        <w:rPr>
          <w:rFonts w:ascii="Calibri" w:hAnsi="Calibri"/>
        </w:rPr>
        <w:t xml:space="preserve">000 young people aged 15-24, </w:t>
      </w:r>
      <w:r>
        <w:rPr>
          <w:rFonts w:ascii="Calibri" w:hAnsi="Calibri"/>
        </w:rPr>
        <w:t>95</w:t>
      </w:r>
      <w:r w:rsidRPr="00C92F19">
        <w:rPr>
          <w:rFonts w:ascii="Calibri" w:hAnsi="Calibri"/>
        </w:rPr>
        <w:t>,000 people aged 25-64, and 2</w:t>
      </w:r>
      <w:r>
        <w:rPr>
          <w:rFonts w:ascii="Calibri" w:hAnsi="Calibri"/>
        </w:rPr>
        <w:t>5</w:t>
      </w:r>
      <w:r w:rsidRPr="00C92F19">
        <w:rPr>
          <w:rFonts w:ascii="Calibri" w:hAnsi="Calibri"/>
        </w:rPr>
        <w:t>,000 of retirement age.</w:t>
      </w:r>
      <w:r>
        <w:rPr>
          <w:rFonts w:ascii="Calibri" w:hAnsi="Calibri"/>
        </w:rPr>
        <w:t xml:space="preserve"> </w:t>
      </w:r>
    </w:p>
    <w:p w14:paraId="1919AC83" w14:textId="77777777" w:rsidR="00C65183" w:rsidRDefault="00C65183" w:rsidP="00C65183">
      <w:pPr>
        <w:spacing w:line="360" w:lineRule="auto"/>
        <w:jc w:val="both"/>
        <w:rPr>
          <w:rFonts w:ascii="Calibri" w:hAnsi="Calibri"/>
        </w:rPr>
      </w:pPr>
      <w:r w:rsidRPr="00794AAE">
        <w:rPr>
          <w:rFonts w:ascii="Calibri" w:hAnsi="Calibri"/>
          <w:noProof/>
          <w:color w:val="000000" w:themeColor="text1"/>
          <w:sz w:val="10"/>
          <w:szCs w:val="10"/>
          <w:lang w:eastAsia="en-AU"/>
        </w:rPr>
        <w:drawing>
          <wp:anchor distT="0" distB="0" distL="114300" distR="114300" simplePos="0" relativeHeight="251661312" behindDoc="0" locked="0" layoutInCell="1" allowOverlap="1" wp14:anchorId="5F7054FB" wp14:editId="73791B50">
            <wp:simplePos x="0" y="0"/>
            <wp:positionH relativeFrom="column">
              <wp:posOffset>5052695</wp:posOffset>
            </wp:positionH>
            <wp:positionV relativeFrom="paragraph">
              <wp:posOffset>725805</wp:posOffset>
            </wp:positionV>
            <wp:extent cx="1102995" cy="747395"/>
            <wp:effectExtent l="0" t="0" r="1905" b="0"/>
            <wp:wrapSquare wrapText="bothSides"/>
            <wp:docPr id="14" name="Picture 13" descr="Community Ethnic 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munity Ethnic 15.jpg"/>
                    <pic:cNvPicPr/>
                  </pic:nvPicPr>
                  <pic:blipFill>
                    <a:blip r:embed="rId14" cstate="print"/>
                    <a:srcRect l="9091" t="5622" r="5348" b="7229"/>
                    <a:stretch>
                      <a:fillRect/>
                    </a:stretch>
                  </pic:blipFill>
                  <pic:spPr>
                    <a:xfrm>
                      <a:off x="0" y="0"/>
                      <a:ext cx="1102995" cy="747395"/>
                    </a:xfrm>
                    <a:prstGeom prst="rect">
                      <a:avLst/>
                    </a:prstGeom>
                    <a:ln>
                      <a:noFill/>
                    </a:ln>
                    <a:effectLst>
                      <a:softEdge rad="127000"/>
                    </a:effectLst>
                  </pic:spPr>
                </pic:pic>
              </a:graphicData>
            </a:graphic>
            <wp14:sizeRelH relativeFrom="margin">
              <wp14:pctWidth>0</wp14:pctWidth>
            </wp14:sizeRelH>
            <wp14:sizeRelV relativeFrom="margin">
              <wp14:pctHeight>0</wp14:pctHeight>
            </wp14:sizeRelV>
          </wp:anchor>
        </w:drawing>
      </w:r>
      <w:r w:rsidRPr="00C92F19">
        <w:rPr>
          <w:rFonts w:ascii="Calibri" w:hAnsi="Calibri"/>
        </w:rPr>
        <w:t>The past, current and projected population</w:t>
      </w:r>
      <w:r>
        <w:rPr>
          <w:rFonts w:ascii="Calibri" w:hAnsi="Calibri"/>
        </w:rPr>
        <w:t>s</w:t>
      </w:r>
      <w:r w:rsidRPr="00C92F19">
        <w:rPr>
          <w:rFonts w:ascii="Calibri" w:hAnsi="Calibri"/>
        </w:rPr>
        <w:t xml:space="preserve"> of Greater Dandenong </w:t>
      </w:r>
      <w:r>
        <w:rPr>
          <w:rFonts w:ascii="Calibri" w:hAnsi="Calibri"/>
        </w:rPr>
        <w:t>are illustrated in the accompanying diagram</w:t>
      </w:r>
      <w:r w:rsidRPr="00C92F19">
        <w:rPr>
          <w:rFonts w:ascii="Calibri" w:hAnsi="Calibri"/>
        </w:rPr>
        <w:t>.</w:t>
      </w:r>
    </w:p>
    <w:p w14:paraId="08FBE321" w14:textId="77777777" w:rsidR="00C65183" w:rsidRDefault="00C65183" w:rsidP="00C65183">
      <w:pPr>
        <w:spacing w:line="360" w:lineRule="auto"/>
        <w:jc w:val="both"/>
        <w:rPr>
          <w:rFonts w:ascii="Calibri" w:hAnsi="Calibri"/>
          <w:sz w:val="10"/>
          <w:szCs w:val="10"/>
        </w:rPr>
      </w:pPr>
    </w:p>
    <w:p w14:paraId="42450BAE" w14:textId="77777777" w:rsidR="00C65183" w:rsidRDefault="00C65183" w:rsidP="00C65183">
      <w:pPr>
        <w:spacing w:line="360" w:lineRule="auto"/>
        <w:jc w:val="both"/>
        <w:rPr>
          <w:rFonts w:ascii="Calibri" w:hAnsi="Calibri"/>
          <w:sz w:val="10"/>
          <w:szCs w:val="10"/>
        </w:rPr>
      </w:pPr>
    </w:p>
    <w:p w14:paraId="6DDDEFDE" w14:textId="77777777" w:rsidR="00C65183" w:rsidRPr="00C92F19" w:rsidRDefault="00C65183" w:rsidP="00C65183">
      <w:pPr>
        <w:spacing w:line="360" w:lineRule="auto"/>
        <w:jc w:val="both"/>
        <w:rPr>
          <w:rFonts w:ascii="Calibri" w:hAnsi="Calibri"/>
        </w:rPr>
      </w:pPr>
      <w:r w:rsidRPr="00C92F19">
        <w:rPr>
          <w:rFonts w:ascii="Calibri" w:hAnsi="Calibri"/>
        </w:rPr>
        <w:t xml:space="preserve">Recent population growth is largely the consequence of residential developments in Keysborough South and Central Dandenong, </w:t>
      </w:r>
      <w:r>
        <w:rPr>
          <w:rFonts w:ascii="Calibri" w:hAnsi="Calibri"/>
        </w:rPr>
        <w:t>as well as</w:t>
      </w:r>
      <w:r w:rsidRPr="00C92F19">
        <w:rPr>
          <w:rFonts w:ascii="Calibri" w:hAnsi="Calibri"/>
        </w:rPr>
        <w:t xml:space="preserve"> </w:t>
      </w:r>
      <w:r>
        <w:rPr>
          <w:rFonts w:ascii="Calibri" w:hAnsi="Calibri"/>
        </w:rPr>
        <w:t xml:space="preserve">construction </w:t>
      </w:r>
      <w:r w:rsidRPr="00C92F19">
        <w:rPr>
          <w:rFonts w:ascii="Calibri" w:hAnsi="Calibri"/>
        </w:rPr>
        <w:t xml:space="preserve">in dispersed locations throughout the city. </w:t>
      </w:r>
      <w:r>
        <w:rPr>
          <w:rFonts w:ascii="Calibri" w:hAnsi="Calibri"/>
        </w:rPr>
        <w:t>Continued growth is expected throughout the municipality, and in possible developments at Sandown and elsewhere.</w:t>
      </w:r>
    </w:p>
    <w:p w14:paraId="764819CC" w14:textId="77777777" w:rsidR="00C65183" w:rsidRDefault="00C65183" w:rsidP="00C65183">
      <w:pPr>
        <w:spacing w:line="360" w:lineRule="auto"/>
        <w:jc w:val="both"/>
        <w:rPr>
          <w:rFonts w:ascii="Calibri" w:hAnsi="Calibri"/>
          <w:sz w:val="10"/>
          <w:szCs w:val="10"/>
        </w:rPr>
      </w:pPr>
    </w:p>
    <w:p w14:paraId="47129494" w14:textId="77777777" w:rsidR="00C65183" w:rsidRDefault="00C65183" w:rsidP="00C65183">
      <w:pPr>
        <w:spacing w:line="360" w:lineRule="auto"/>
        <w:jc w:val="both"/>
        <w:rPr>
          <w:rFonts w:ascii="Calibri" w:hAnsi="Calibri"/>
        </w:rPr>
      </w:pPr>
      <w:r w:rsidRPr="00C92F19">
        <w:rPr>
          <w:rFonts w:ascii="Calibri" w:hAnsi="Calibri"/>
        </w:rPr>
        <w:t xml:space="preserve">In the </w:t>
      </w:r>
      <w:r>
        <w:rPr>
          <w:rFonts w:ascii="Calibri" w:hAnsi="Calibri"/>
        </w:rPr>
        <w:t>decade between 2021 and 2031</w:t>
      </w:r>
      <w:r w:rsidRPr="00C92F19">
        <w:rPr>
          <w:rFonts w:ascii="Calibri" w:hAnsi="Calibri"/>
        </w:rPr>
        <w:t xml:space="preserve">, the population of Greater Dandenong is </w:t>
      </w:r>
      <w:r>
        <w:rPr>
          <w:rFonts w:ascii="Calibri" w:hAnsi="Calibri"/>
        </w:rPr>
        <w:t>expected to rise</w:t>
      </w:r>
      <w:r w:rsidRPr="00C92F19">
        <w:rPr>
          <w:rFonts w:ascii="Calibri" w:hAnsi="Calibri"/>
        </w:rPr>
        <w:t xml:space="preserve"> by </w:t>
      </w:r>
      <w:r>
        <w:rPr>
          <w:rFonts w:ascii="Calibri" w:hAnsi="Calibri"/>
        </w:rPr>
        <w:t>16%,</w:t>
      </w:r>
      <w:r w:rsidRPr="00C92F19">
        <w:rPr>
          <w:rFonts w:ascii="Calibri" w:hAnsi="Calibri"/>
        </w:rPr>
        <w:t xml:space="preserve"> or to </w:t>
      </w:r>
      <w:r>
        <w:rPr>
          <w:rFonts w:ascii="Calibri" w:hAnsi="Calibri"/>
        </w:rPr>
        <w:t>at least 203</w:t>
      </w:r>
      <w:r w:rsidRPr="00C92F19">
        <w:rPr>
          <w:rFonts w:ascii="Calibri" w:hAnsi="Calibri"/>
        </w:rPr>
        <w:t xml:space="preserve">,000 – </w:t>
      </w:r>
      <w:r>
        <w:rPr>
          <w:rFonts w:ascii="Calibri" w:hAnsi="Calibri"/>
        </w:rPr>
        <w:t>representing</w:t>
      </w:r>
      <w:r w:rsidRPr="00C92F19">
        <w:rPr>
          <w:rFonts w:ascii="Calibri" w:hAnsi="Calibri"/>
        </w:rPr>
        <w:t xml:space="preserve"> average annual growth of </w:t>
      </w:r>
      <w:r>
        <w:rPr>
          <w:rFonts w:ascii="Calibri" w:hAnsi="Calibri"/>
        </w:rPr>
        <w:t>approximately 2,800</w:t>
      </w:r>
      <w:r w:rsidRPr="00C92F19">
        <w:rPr>
          <w:rFonts w:ascii="Calibri" w:hAnsi="Calibri"/>
        </w:rPr>
        <w:t xml:space="preserve"> persons. </w:t>
      </w:r>
    </w:p>
    <w:p w14:paraId="2EDADA24" w14:textId="77777777" w:rsidR="00C65183" w:rsidRDefault="00C65183" w:rsidP="00C65183">
      <w:pPr>
        <w:jc w:val="both"/>
        <w:rPr>
          <w:rFonts w:ascii="Calibri" w:hAnsi="Calibri"/>
          <w:sz w:val="6"/>
          <w:szCs w:val="6"/>
        </w:rPr>
      </w:pPr>
      <w:r>
        <w:rPr>
          <w:rFonts w:ascii="Calibri" w:hAnsi="Calibri"/>
          <w:noProof/>
          <w:color w:val="7F7F7F"/>
          <w:sz w:val="20"/>
          <w:szCs w:val="20"/>
        </w:rPr>
        <w:drawing>
          <wp:anchor distT="0" distB="0" distL="114300" distR="114300" simplePos="0" relativeHeight="251975680" behindDoc="0" locked="0" layoutInCell="1" allowOverlap="1" wp14:anchorId="0819CF1E" wp14:editId="612B5989">
            <wp:simplePos x="0" y="0"/>
            <wp:positionH relativeFrom="margin">
              <wp:align>right</wp:align>
            </wp:positionH>
            <wp:positionV relativeFrom="paragraph">
              <wp:posOffset>5080</wp:posOffset>
            </wp:positionV>
            <wp:extent cx="3905885" cy="2395220"/>
            <wp:effectExtent l="0" t="0" r="0" b="5080"/>
            <wp:wrapSquare wrapText="bothSides"/>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905885" cy="2395220"/>
                    </a:xfrm>
                    <a:prstGeom prst="rect">
                      <a:avLst/>
                    </a:prstGeom>
                    <a:noFill/>
                  </pic:spPr>
                </pic:pic>
              </a:graphicData>
            </a:graphic>
            <wp14:sizeRelH relativeFrom="page">
              <wp14:pctWidth>0</wp14:pctWidth>
            </wp14:sizeRelH>
            <wp14:sizeRelV relativeFrom="page">
              <wp14:pctHeight>0</wp14:pctHeight>
            </wp14:sizeRelV>
          </wp:anchor>
        </w:drawing>
      </w:r>
    </w:p>
    <w:p w14:paraId="1CEF71E5" w14:textId="77777777" w:rsidR="00C65183" w:rsidRDefault="00C65183" w:rsidP="00C65183">
      <w:pPr>
        <w:jc w:val="both"/>
        <w:rPr>
          <w:rFonts w:ascii="Calibri" w:hAnsi="Calibri"/>
          <w:sz w:val="6"/>
          <w:szCs w:val="6"/>
        </w:rPr>
      </w:pPr>
    </w:p>
    <w:p w14:paraId="28F1175D" w14:textId="77777777" w:rsidR="00C65183" w:rsidRDefault="00C65183" w:rsidP="00C65183">
      <w:pPr>
        <w:jc w:val="both"/>
        <w:rPr>
          <w:rFonts w:ascii="Calibri" w:hAnsi="Calibri"/>
          <w:sz w:val="6"/>
          <w:szCs w:val="6"/>
        </w:rPr>
      </w:pPr>
    </w:p>
    <w:p w14:paraId="441A14F7" w14:textId="77777777" w:rsidR="00C65183" w:rsidRPr="00B22361" w:rsidRDefault="00C65183" w:rsidP="00C65183">
      <w:pPr>
        <w:jc w:val="both"/>
        <w:rPr>
          <w:rFonts w:ascii="Calibri" w:hAnsi="Calibri"/>
          <w:sz w:val="6"/>
          <w:szCs w:val="6"/>
        </w:rPr>
      </w:pPr>
    </w:p>
    <w:p w14:paraId="37A31AD4" w14:textId="77777777" w:rsidR="00C65183" w:rsidRDefault="00C65183" w:rsidP="00C65183">
      <w:pPr>
        <w:jc w:val="both"/>
        <w:rPr>
          <w:rFonts w:ascii="Calibri" w:hAnsi="Calibri"/>
          <w:color w:val="7F7F7F"/>
          <w:sz w:val="20"/>
          <w:szCs w:val="20"/>
        </w:rPr>
      </w:pPr>
      <w:r w:rsidRPr="00694AFD">
        <w:rPr>
          <w:rFonts w:ascii="Calibri" w:hAnsi="Calibri"/>
          <w:color w:val="7F7F7F"/>
          <w:sz w:val="20"/>
          <w:szCs w:val="20"/>
        </w:rPr>
        <w:t xml:space="preserve">Forecast </w:t>
      </w:r>
      <w:r>
        <w:rPr>
          <w:rFonts w:ascii="Calibri" w:hAnsi="Calibri"/>
          <w:color w:val="7F7F7F"/>
          <w:sz w:val="20"/>
          <w:szCs w:val="20"/>
        </w:rPr>
        <w:t>p</w:t>
      </w:r>
      <w:r w:rsidRPr="00694AFD">
        <w:rPr>
          <w:rFonts w:ascii="Calibri" w:hAnsi="Calibri"/>
          <w:color w:val="7F7F7F"/>
          <w:sz w:val="20"/>
          <w:szCs w:val="20"/>
        </w:rPr>
        <w:t xml:space="preserve">opulation </w:t>
      </w:r>
      <w:r>
        <w:rPr>
          <w:rFonts w:ascii="Calibri" w:hAnsi="Calibri"/>
          <w:color w:val="7F7F7F"/>
          <w:sz w:val="20"/>
          <w:szCs w:val="20"/>
        </w:rPr>
        <w:t>gr</w:t>
      </w:r>
      <w:r w:rsidRPr="00694AFD">
        <w:rPr>
          <w:rFonts w:ascii="Calibri" w:hAnsi="Calibri"/>
          <w:color w:val="7F7F7F"/>
          <w:sz w:val="20"/>
          <w:szCs w:val="20"/>
        </w:rPr>
        <w:t>owth: 20</w:t>
      </w:r>
      <w:r>
        <w:rPr>
          <w:rFonts w:ascii="Calibri" w:hAnsi="Calibri"/>
          <w:color w:val="7F7F7F"/>
          <w:sz w:val="20"/>
          <w:szCs w:val="20"/>
        </w:rPr>
        <w:t>21</w:t>
      </w:r>
      <w:r w:rsidRPr="00694AFD">
        <w:rPr>
          <w:rFonts w:ascii="Calibri" w:hAnsi="Calibri"/>
          <w:color w:val="7F7F7F"/>
          <w:sz w:val="20"/>
          <w:szCs w:val="20"/>
        </w:rPr>
        <w:t>-20</w:t>
      </w:r>
      <w:r>
        <w:rPr>
          <w:rFonts w:ascii="Calibri" w:hAnsi="Calibri"/>
          <w:color w:val="7F7F7F"/>
          <w:sz w:val="20"/>
          <w:szCs w:val="20"/>
        </w:rPr>
        <w:t>31</w:t>
      </w:r>
      <w:r w:rsidRPr="00694AFD">
        <w:rPr>
          <w:rFonts w:ascii="Calibri" w:hAnsi="Calibri"/>
          <w:color w:val="7F7F7F"/>
          <w:sz w:val="20"/>
          <w:szCs w:val="20"/>
        </w:rPr>
        <w:t>, by suburb</w:t>
      </w:r>
    </w:p>
    <w:p w14:paraId="0748FB5B" w14:textId="77777777" w:rsidR="00C65183" w:rsidRDefault="00C65183" w:rsidP="00C65183">
      <w:pPr>
        <w:spacing w:line="360" w:lineRule="auto"/>
        <w:jc w:val="both"/>
        <w:rPr>
          <w:rFonts w:ascii="Calibri" w:hAnsi="Calibri"/>
        </w:rPr>
      </w:pPr>
    </w:p>
    <w:p w14:paraId="15DF785A" w14:textId="77777777" w:rsidR="00C65183" w:rsidRDefault="00C65183" w:rsidP="00C65183">
      <w:pPr>
        <w:spacing w:line="360" w:lineRule="auto"/>
        <w:jc w:val="both"/>
        <w:rPr>
          <w:rFonts w:ascii="Calibri" w:hAnsi="Calibri"/>
        </w:rPr>
      </w:pPr>
    </w:p>
    <w:p w14:paraId="3918C134" w14:textId="77777777" w:rsidR="00C65183" w:rsidRDefault="00C65183" w:rsidP="00C65183">
      <w:pPr>
        <w:spacing w:line="360" w:lineRule="auto"/>
        <w:jc w:val="both"/>
        <w:rPr>
          <w:rFonts w:ascii="Calibri" w:hAnsi="Calibri"/>
        </w:rPr>
      </w:pPr>
      <w:r>
        <w:rPr>
          <w:rFonts w:ascii="Calibri" w:hAnsi="Calibri"/>
        </w:rPr>
        <w:t>Projected growth will be most pronounced in Dandenong, which is expected to account for almost half of the rise in population during this period.</w:t>
      </w:r>
    </w:p>
    <w:p w14:paraId="05B8BDB0" w14:textId="77777777" w:rsidR="00C65183" w:rsidRDefault="00C65183" w:rsidP="00C65183">
      <w:pPr>
        <w:rPr>
          <w:rFonts w:ascii="Calibri" w:hAnsi="Calibri"/>
        </w:rPr>
      </w:pPr>
      <w:r>
        <w:rPr>
          <w:rFonts w:ascii="Calibri" w:hAnsi="Calibri"/>
        </w:rPr>
        <w:br w:type="page"/>
      </w:r>
    </w:p>
    <w:p w14:paraId="1B51BB97" w14:textId="77777777" w:rsidR="00C65183" w:rsidRPr="00827F47" w:rsidRDefault="00C65183" w:rsidP="00C65183">
      <w:pPr>
        <w:pBdr>
          <w:top w:val="single" w:sz="4" w:space="0" w:color="244061" w:themeColor="accent1" w:themeShade="80"/>
          <w:bottom w:val="single" w:sz="4" w:space="1" w:color="244061" w:themeColor="accent1" w:themeShade="80"/>
        </w:pBdr>
        <w:tabs>
          <w:tab w:val="center" w:pos="4678"/>
        </w:tabs>
        <w:jc w:val="center"/>
        <w:rPr>
          <w:rFonts w:ascii="Garamond" w:hAnsi="Garamond"/>
          <w:noProof/>
          <w:color w:val="244061" w:themeColor="accent1" w:themeShade="80"/>
          <w:sz w:val="36"/>
          <w:szCs w:val="36"/>
        </w:rPr>
      </w:pPr>
      <w:r w:rsidRPr="00827F47">
        <w:rPr>
          <w:rFonts w:ascii="Garamond" w:hAnsi="Garamond"/>
          <w:noProof/>
          <w:color w:val="244061" w:themeColor="accent1" w:themeShade="80"/>
          <w:sz w:val="36"/>
          <w:szCs w:val="36"/>
        </w:rPr>
        <w:lastRenderedPageBreak/>
        <w:t>Families, Births and Children</w:t>
      </w:r>
    </w:p>
    <w:p w14:paraId="2996619B" w14:textId="77777777" w:rsidR="00C65183" w:rsidRPr="00187850" w:rsidRDefault="00C65183" w:rsidP="00C65183">
      <w:pPr>
        <w:tabs>
          <w:tab w:val="left" w:pos="284"/>
        </w:tabs>
        <w:spacing w:before="120" w:after="60"/>
        <w:jc w:val="both"/>
        <w:rPr>
          <w:rFonts w:ascii="Calibri" w:hAnsi="Calibri"/>
          <w:b/>
        </w:rPr>
      </w:pPr>
      <w:r>
        <w:rPr>
          <w:rFonts w:ascii="Calibri" w:hAnsi="Calibri"/>
          <w:b/>
        </w:rPr>
        <w:t>Births</w:t>
      </w:r>
    </w:p>
    <w:p w14:paraId="092B314F" w14:textId="77777777" w:rsidR="00C65183" w:rsidRDefault="00C65183" w:rsidP="00C65183">
      <w:pPr>
        <w:tabs>
          <w:tab w:val="left" w:pos="284"/>
        </w:tabs>
        <w:spacing w:line="360" w:lineRule="auto"/>
        <w:jc w:val="both"/>
        <w:rPr>
          <w:rFonts w:ascii="Calibri" w:hAnsi="Calibri"/>
        </w:rPr>
      </w:pPr>
      <w:r w:rsidRPr="008C3E5F">
        <w:rPr>
          <w:rFonts w:ascii="Calibri" w:hAnsi="Calibri"/>
        </w:rPr>
        <w:t>In 201</w:t>
      </w:r>
      <w:r>
        <w:rPr>
          <w:rFonts w:ascii="Calibri" w:hAnsi="Calibri"/>
        </w:rPr>
        <w:t>9</w:t>
      </w:r>
      <w:r w:rsidRPr="008C3E5F">
        <w:rPr>
          <w:rFonts w:ascii="Calibri" w:hAnsi="Calibri"/>
        </w:rPr>
        <w:t>/</w:t>
      </w:r>
      <w:r>
        <w:rPr>
          <w:rFonts w:ascii="Calibri" w:hAnsi="Calibri"/>
        </w:rPr>
        <w:t>20</w:t>
      </w:r>
      <w:r w:rsidRPr="008C3E5F">
        <w:rPr>
          <w:rFonts w:ascii="Calibri" w:hAnsi="Calibri"/>
        </w:rPr>
        <w:t>, 2,</w:t>
      </w:r>
      <w:r>
        <w:rPr>
          <w:rFonts w:ascii="Calibri" w:hAnsi="Calibri"/>
        </w:rPr>
        <w:t>19</w:t>
      </w:r>
      <w:r w:rsidRPr="008C3E5F">
        <w:rPr>
          <w:rFonts w:ascii="Calibri" w:hAnsi="Calibri"/>
        </w:rPr>
        <w:t xml:space="preserve">6 births were recorded in Greater Dandenong, representing a </w:t>
      </w:r>
      <w:r>
        <w:rPr>
          <w:rFonts w:ascii="Calibri" w:hAnsi="Calibri"/>
        </w:rPr>
        <w:t>pronounced decline from the previous year</w:t>
      </w:r>
      <w:r w:rsidRPr="008C3E5F">
        <w:rPr>
          <w:rFonts w:ascii="Calibri" w:hAnsi="Calibri"/>
        </w:rPr>
        <w:t xml:space="preserve">. The future population of children </w:t>
      </w:r>
      <w:r>
        <w:rPr>
          <w:rFonts w:ascii="Calibri" w:hAnsi="Calibri"/>
        </w:rPr>
        <w:t xml:space="preserve">may not be foreseen with certainty </w:t>
      </w:r>
      <w:r w:rsidRPr="008C3E5F">
        <w:rPr>
          <w:rFonts w:ascii="Calibri" w:hAnsi="Calibri"/>
        </w:rPr>
        <w:t>and will depend largely on the rate and level of new housing developments in the city – which tend to attract young families.</w:t>
      </w:r>
    </w:p>
    <w:p w14:paraId="590F4770" w14:textId="77777777" w:rsidR="00C65183" w:rsidRDefault="00C65183" w:rsidP="00C65183">
      <w:pPr>
        <w:tabs>
          <w:tab w:val="left" w:pos="284"/>
        </w:tabs>
        <w:spacing w:line="360" w:lineRule="auto"/>
        <w:jc w:val="both"/>
        <w:rPr>
          <w:rFonts w:ascii="Calibri" w:hAnsi="Calibri"/>
        </w:rPr>
      </w:pPr>
    </w:p>
    <w:p w14:paraId="3A34862E" w14:textId="77777777" w:rsidR="00C65183" w:rsidRPr="007267E3" w:rsidRDefault="00C65183" w:rsidP="00C65183">
      <w:pPr>
        <w:tabs>
          <w:tab w:val="left" w:pos="284"/>
          <w:tab w:val="left" w:pos="5670"/>
        </w:tabs>
        <w:jc w:val="both"/>
        <w:rPr>
          <w:rFonts w:ascii="Calibri" w:hAnsi="Calibri"/>
          <w:color w:val="7F7F7F"/>
          <w:sz w:val="20"/>
          <w:szCs w:val="20"/>
        </w:rPr>
      </w:pPr>
      <w:r w:rsidRPr="007267E3">
        <w:rPr>
          <w:rFonts w:ascii="Calibri" w:hAnsi="Calibri"/>
          <w:color w:val="7F7F7F"/>
          <w:sz w:val="20"/>
          <w:szCs w:val="20"/>
        </w:rPr>
        <w:t xml:space="preserve">                    </w:t>
      </w:r>
      <w:r>
        <w:rPr>
          <w:rFonts w:ascii="Calibri" w:hAnsi="Calibri"/>
          <w:color w:val="7F7F7F"/>
          <w:sz w:val="20"/>
          <w:szCs w:val="20"/>
        </w:rPr>
        <w:t>Annual b</w:t>
      </w:r>
      <w:r w:rsidRPr="007267E3">
        <w:rPr>
          <w:rFonts w:ascii="Calibri" w:hAnsi="Calibri"/>
          <w:color w:val="7F7F7F"/>
          <w:sz w:val="20"/>
          <w:szCs w:val="20"/>
        </w:rPr>
        <w:t>irths: Greater Dandenong, 2001-20</w:t>
      </w:r>
      <w:r>
        <w:rPr>
          <w:rFonts w:ascii="Calibri" w:hAnsi="Calibri"/>
          <w:color w:val="7F7F7F"/>
          <w:sz w:val="20"/>
          <w:szCs w:val="20"/>
        </w:rPr>
        <w:t>20</w:t>
      </w:r>
    </w:p>
    <w:p w14:paraId="0C0C5B2C" w14:textId="77777777" w:rsidR="00C65183" w:rsidRDefault="00C65183" w:rsidP="00C65183">
      <w:pPr>
        <w:tabs>
          <w:tab w:val="left" w:pos="284"/>
        </w:tabs>
        <w:spacing w:line="360" w:lineRule="auto"/>
        <w:jc w:val="both"/>
        <w:rPr>
          <w:rFonts w:ascii="Calibri" w:hAnsi="Calibri"/>
        </w:rPr>
      </w:pPr>
      <w:r>
        <w:rPr>
          <w:rFonts w:ascii="Calibri" w:hAnsi="Calibri"/>
          <w:noProof/>
        </w:rPr>
        <w:drawing>
          <wp:anchor distT="0" distB="0" distL="114300" distR="114300" simplePos="0" relativeHeight="251680768" behindDoc="0" locked="0" layoutInCell="1" allowOverlap="1" wp14:anchorId="5716B9FB" wp14:editId="1DE9AA87">
            <wp:simplePos x="0" y="0"/>
            <wp:positionH relativeFrom="column">
              <wp:posOffset>13335</wp:posOffset>
            </wp:positionH>
            <wp:positionV relativeFrom="paragraph">
              <wp:posOffset>73660</wp:posOffset>
            </wp:positionV>
            <wp:extent cx="3657600" cy="2432050"/>
            <wp:effectExtent l="0" t="0" r="0" b="635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657600" cy="2432050"/>
                    </a:xfrm>
                    <a:prstGeom prst="rect">
                      <a:avLst/>
                    </a:prstGeom>
                    <a:noFill/>
                  </pic:spPr>
                </pic:pic>
              </a:graphicData>
            </a:graphic>
            <wp14:sizeRelH relativeFrom="page">
              <wp14:pctWidth>0</wp14:pctWidth>
            </wp14:sizeRelH>
            <wp14:sizeRelV relativeFrom="page">
              <wp14:pctHeight>0</wp14:pctHeight>
            </wp14:sizeRelV>
          </wp:anchor>
        </w:drawing>
      </w:r>
      <w:r w:rsidRPr="00F21382">
        <w:rPr>
          <w:rFonts w:ascii="Calibri" w:hAnsi="Calibri"/>
        </w:rPr>
        <w:t>.</w:t>
      </w:r>
    </w:p>
    <w:p w14:paraId="51124CE6" w14:textId="77777777" w:rsidR="00C65183" w:rsidRDefault="00C65183" w:rsidP="00C65183">
      <w:pPr>
        <w:tabs>
          <w:tab w:val="left" w:pos="284"/>
        </w:tabs>
        <w:spacing w:line="360" w:lineRule="auto"/>
        <w:jc w:val="both"/>
      </w:pPr>
    </w:p>
    <w:p w14:paraId="461CE9F2" w14:textId="77777777" w:rsidR="00C65183" w:rsidRDefault="00C65183" w:rsidP="00C65183">
      <w:pPr>
        <w:tabs>
          <w:tab w:val="left" w:pos="284"/>
        </w:tabs>
        <w:spacing w:line="360" w:lineRule="auto"/>
        <w:jc w:val="both"/>
      </w:pPr>
    </w:p>
    <w:p w14:paraId="5E47D350" w14:textId="77777777" w:rsidR="00C65183" w:rsidRDefault="00C65183" w:rsidP="00C65183">
      <w:pPr>
        <w:tabs>
          <w:tab w:val="left" w:pos="284"/>
        </w:tabs>
        <w:spacing w:line="360" w:lineRule="auto"/>
        <w:jc w:val="both"/>
      </w:pPr>
      <w:r>
        <w:rPr>
          <w:noProof/>
          <w:lang w:eastAsia="en-AU"/>
        </w:rPr>
        <w:drawing>
          <wp:anchor distT="0" distB="0" distL="114300" distR="114300" simplePos="0" relativeHeight="251673600" behindDoc="0" locked="0" layoutInCell="1" allowOverlap="1" wp14:anchorId="283FB671" wp14:editId="2F46C5C6">
            <wp:simplePos x="0" y="0"/>
            <wp:positionH relativeFrom="column">
              <wp:posOffset>791527</wp:posOffset>
            </wp:positionH>
            <wp:positionV relativeFrom="paragraph">
              <wp:posOffset>4763</wp:posOffset>
            </wp:positionV>
            <wp:extent cx="1590675" cy="1057275"/>
            <wp:effectExtent l="0" t="0" r="9525" b="9525"/>
            <wp:wrapNone/>
            <wp:docPr id="80" name="Picture 135" descr="C:\~Work\Photograph Database\Children &amp; Families\kids at carols337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5" descr="C:\~Work\Photograph Database\Children &amp; Families\kids at carols3374.jpg"/>
                    <pic:cNvPicPr>
                      <a:picLocks noChangeArrowheads="1"/>
                    </pic:cNvPicPr>
                  </pic:nvPicPr>
                  <pic:blipFill rotWithShape="1">
                    <a:blip r:embed="rId17">
                      <a:extLst>
                        <a:ext uri="{28A0092B-C50C-407E-A947-70E740481C1C}">
                          <a14:useLocalDpi xmlns:a14="http://schemas.microsoft.com/office/drawing/2010/main" val="0"/>
                        </a:ext>
                      </a:extLst>
                    </a:blip>
                    <a:srcRect l="4149" t="8500" r="13637" b="16500"/>
                    <a:stretch/>
                  </pic:blipFill>
                  <pic:spPr bwMode="auto">
                    <a:xfrm>
                      <a:off x="0" y="0"/>
                      <a:ext cx="1590675" cy="1057275"/>
                    </a:xfrm>
                    <a:prstGeom prst="rect">
                      <a:avLst/>
                    </a:prstGeom>
                    <a:noFill/>
                    <a:ln>
                      <a:noFill/>
                    </a:ln>
                    <a:effectLst>
                      <a:softEdge rad="1270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4827B35" w14:textId="77777777" w:rsidR="00C65183" w:rsidRDefault="00C65183" w:rsidP="00C65183">
      <w:pPr>
        <w:tabs>
          <w:tab w:val="left" w:pos="284"/>
        </w:tabs>
        <w:spacing w:line="360" w:lineRule="auto"/>
        <w:jc w:val="both"/>
      </w:pPr>
    </w:p>
    <w:p w14:paraId="1CBD5D3F" w14:textId="77777777" w:rsidR="00C65183" w:rsidRDefault="00C65183" w:rsidP="00C65183">
      <w:pPr>
        <w:tabs>
          <w:tab w:val="left" w:pos="284"/>
        </w:tabs>
        <w:spacing w:line="360" w:lineRule="auto"/>
        <w:jc w:val="both"/>
      </w:pPr>
    </w:p>
    <w:p w14:paraId="27AF0E2F" w14:textId="77777777" w:rsidR="00C65183" w:rsidRDefault="00C65183" w:rsidP="00C65183">
      <w:pPr>
        <w:tabs>
          <w:tab w:val="left" w:pos="284"/>
        </w:tabs>
        <w:spacing w:line="360" w:lineRule="auto"/>
        <w:jc w:val="both"/>
      </w:pPr>
    </w:p>
    <w:p w14:paraId="01BFE1D1" w14:textId="77777777" w:rsidR="00C65183" w:rsidRDefault="00C65183" w:rsidP="00C65183">
      <w:pPr>
        <w:tabs>
          <w:tab w:val="left" w:pos="284"/>
        </w:tabs>
        <w:spacing w:line="360" w:lineRule="auto"/>
        <w:jc w:val="both"/>
      </w:pPr>
    </w:p>
    <w:p w14:paraId="3946C001" w14:textId="77777777" w:rsidR="00C65183" w:rsidRDefault="00C65183" w:rsidP="00C65183">
      <w:pPr>
        <w:tabs>
          <w:tab w:val="left" w:pos="284"/>
        </w:tabs>
        <w:spacing w:line="360" w:lineRule="auto"/>
        <w:jc w:val="both"/>
      </w:pPr>
    </w:p>
    <w:p w14:paraId="6A40BF3A" w14:textId="77777777" w:rsidR="00C65183" w:rsidRDefault="00C65183" w:rsidP="00C65183">
      <w:pPr>
        <w:tabs>
          <w:tab w:val="left" w:pos="284"/>
        </w:tabs>
        <w:spacing w:line="360" w:lineRule="auto"/>
        <w:jc w:val="both"/>
      </w:pPr>
    </w:p>
    <w:p w14:paraId="50F5153F" w14:textId="77777777" w:rsidR="00C65183" w:rsidRDefault="00C65183" w:rsidP="00C65183">
      <w:pPr>
        <w:tabs>
          <w:tab w:val="left" w:pos="284"/>
        </w:tabs>
        <w:spacing w:line="360" w:lineRule="auto"/>
        <w:jc w:val="both"/>
      </w:pPr>
    </w:p>
    <w:p w14:paraId="653CF16B" w14:textId="77777777" w:rsidR="00C65183" w:rsidRPr="0021241A" w:rsidRDefault="00C65183" w:rsidP="00C65183">
      <w:pPr>
        <w:tabs>
          <w:tab w:val="left" w:pos="284"/>
        </w:tabs>
        <w:spacing w:line="360" w:lineRule="auto"/>
        <w:jc w:val="both"/>
      </w:pPr>
    </w:p>
    <w:p w14:paraId="6E068669" w14:textId="77777777" w:rsidR="00C65183" w:rsidRPr="002B1057" w:rsidRDefault="00C65183" w:rsidP="00C65183">
      <w:pPr>
        <w:tabs>
          <w:tab w:val="left" w:pos="284"/>
        </w:tabs>
        <w:spacing w:line="360" w:lineRule="auto"/>
        <w:ind w:left="4820"/>
        <w:jc w:val="both"/>
        <w:rPr>
          <w:rFonts w:ascii="Calibri" w:hAnsi="Calibri"/>
          <w:color w:val="7F7F7F"/>
          <w:sz w:val="20"/>
          <w:szCs w:val="20"/>
        </w:rPr>
      </w:pPr>
      <w:r>
        <w:rPr>
          <w:noProof/>
          <w:lang w:eastAsia="en-AU"/>
        </w:rPr>
        <w:drawing>
          <wp:anchor distT="0" distB="0" distL="114300" distR="114300" simplePos="0" relativeHeight="251664384" behindDoc="1" locked="0" layoutInCell="1" allowOverlap="1" wp14:anchorId="491E03A9" wp14:editId="1F7F5638">
            <wp:simplePos x="0" y="0"/>
            <wp:positionH relativeFrom="column">
              <wp:posOffset>1604010</wp:posOffset>
            </wp:positionH>
            <wp:positionV relativeFrom="paragraph">
              <wp:posOffset>168910</wp:posOffset>
            </wp:positionV>
            <wp:extent cx="4410075" cy="3314700"/>
            <wp:effectExtent l="0" t="0" r="9525" b="0"/>
            <wp:wrapTight wrapText="bothSides">
              <wp:wrapPolygon edited="0">
                <wp:start x="0" y="0"/>
                <wp:lineTo x="0" y="21476"/>
                <wp:lineTo x="21553" y="21476"/>
                <wp:lineTo x="21553" y="0"/>
                <wp:lineTo x="0" y="0"/>
              </wp:wrapPolygon>
            </wp:wrapTight>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410075" cy="33147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B1057">
        <w:rPr>
          <w:rFonts w:ascii="Calibri" w:hAnsi="Calibri"/>
          <w:color w:val="7F7F7F"/>
          <w:sz w:val="20"/>
          <w:szCs w:val="20"/>
        </w:rPr>
        <w:t xml:space="preserve">Maternal </w:t>
      </w:r>
      <w:r>
        <w:rPr>
          <w:rFonts w:ascii="Calibri" w:hAnsi="Calibri"/>
          <w:color w:val="7F7F7F"/>
          <w:sz w:val="20"/>
          <w:szCs w:val="20"/>
        </w:rPr>
        <w:t>b</w:t>
      </w:r>
      <w:r w:rsidRPr="002B1057">
        <w:rPr>
          <w:rFonts w:ascii="Calibri" w:hAnsi="Calibri"/>
          <w:color w:val="7F7F7F"/>
          <w:sz w:val="20"/>
          <w:szCs w:val="20"/>
        </w:rPr>
        <w:t>irthplaces: Greater Dandenong 201</w:t>
      </w:r>
      <w:r>
        <w:rPr>
          <w:rFonts w:ascii="Calibri" w:hAnsi="Calibri"/>
          <w:color w:val="7F7F7F"/>
          <w:sz w:val="20"/>
          <w:szCs w:val="20"/>
        </w:rPr>
        <w:t>4</w:t>
      </w:r>
      <w:r w:rsidRPr="002B1057">
        <w:rPr>
          <w:rFonts w:ascii="Calibri" w:hAnsi="Calibri"/>
          <w:color w:val="7F7F7F"/>
          <w:sz w:val="20"/>
          <w:szCs w:val="20"/>
        </w:rPr>
        <w:t>/1</w:t>
      </w:r>
      <w:r>
        <w:rPr>
          <w:rFonts w:ascii="Calibri" w:hAnsi="Calibri"/>
          <w:color w:val="7F7F7F"/>
          <w:sz w:val="20"/>
          <w:szCs w:val="20"/>
        </w:rPr>
        <w:t>5</w:t>
      </w:r>
    </w:p>
    <w:p w14:paraId="0B5F639B" w14:textId="77777777" w:rsidR="00C65183" w:rsidRDefault="00C65183" w:rsidP="00C65183">
      <w:pPr>
        <w:tabs>
          <w:tab w:val="left" w:pos="284"/>
        </w:tabs>
        <w:spacing w:line="360" w:lineRule="auto"/>
        <w:jc w:val="both"/>
        <w:rPr>
          <w:rFonts w:ascii="Calibri" w:hAnsi="Calibri"/>
        </w:rPr>
      </w:pPr>
      <w:r>
        <w:rPr>
          <w:noProof/>
          <w:lang w:eastAsia="en-AU"/>
        </w:rPr>
        <w:drawing>
          <wp:anchor distT="0" distB="3048" distL="114300" distR="114427" simplePos="0" relativeHeight="251675648" behindDoc="0" locked="0" layoutInCell="1" allowOverlap="1" wp14:anchorId="731B646D" wp14:editId="7CE8B1BD">
            <wp:simplePos x="0" y="0"/>
            <wp:positionH relativeFrom="column">
              <wp:posOffset>4423410</wp:posOffset>
            </wp:positionH>
            <wp:positionV relativeFrom="paragraph">
              <wp:posOffset>1831975</wp:posOffset>
            </wp:positionV>
            <wp:extent cx="933450" cy="1072104"/>
            <wp:effectExtent l="0" t="0" r="0" b="0"/>
            <wp:wrapNone/>
            <wp:docPr id="79" name="Picture 0" descr="baby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0" descr="baby 2.jpg"/>
                    <pic:cNvPicPr/>
                  </pic:nvPicPr>
                  <pic:blipFill>
                    <a:blip r:embed="rId19" cstate="print"/>
                    <a:stretch>
                      <a:fillRect/>
                    </a:stretch>
                  </pic:blipFill>
                  <pic:spPr>
                    <a:xfrm>
                      <a:off x="0" y="0"/>
                      <a:ext cx="933450" cy="1072104"/>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Pr>
          <w:rFonts w:ascii="Calibri" w:hAnsi="Calibri"/>
        </w:rPr>
        <w:t>More than four-fifths (82</w:t>
      </w:r>
      <w:r w:rsidRPr="0021241A">
        <w:rPr>
          <w:rFonts w:ascii="Calibri" w:hAnsi="Calibri"/>
        </w:rPr>
        <w:t>%) of residents who gave birth in 201</w:t>
      </w:r>
      <w:r>
        <w:rPr>
          <w:rFonts w:ascii="Calibri" w:hAnsi="Calibri"/>
        </w:rPr>
        <w:t>4</w:t>
      </w:r>
      <w:r w:rsidRPr="0021241A">
        <w:rPr>
          <w:rFonts w:ascii="Calibri" w:hAnsi="Calibri"/>
        </w:rPr>
        <w:t>/1</w:t>
      </w:r>
      <w:r>
        <w:rPr>
          <w:rFonts w:ascii="Calibri" w:hAnsi="Calibri"/>
        </w:rPr>
        <w:t>5</w:t>
      </w:r>
      <w:r w:rsidRPr="0021241A">
        <w:rPr>
          <w:rFonts w:ascii="Calibri" w:hAnsi="Calibri"/>
        </w:rPr>
        <w:t xml:space="preserve"> </w:t>
      </w:r>
      <w:r>
        <w:rPr>
          <w:rFonts w:ascii="Calibri" w:hAnsi="Calibri"/>
        </w:rPr>
        <w:t xml:space="preserve">(the latest year for which this information is available) </w:t>
      </w:r>
      <w:r w:rsidRPr="0021241A">
        <w:rPr>
          <w:rFonts w:ascii="Calibri" w:hAnsi="Calibri"/>
        </w:rPr>
        <w:t>were born overseas. Among their birthplaces were India, Vietnam, Sri Lanka, Cambodia, Afghanistan and China – which together account for just over half</w:t>
      </w:r>
      <w:r>
        <w:rPr>
          <w:rFonts w:ascii="Calibri" w:hAnsi="Calibri"/>
        </w:rPr>
        <w:t xml:space="preserve"> of</w:t>
      </w:r>
      <w:r w:rsidRPr="0021241A">
        <w:rPr>
          <w:rFonts w:ascii="Calibri" w:hAnsi="Calibri"/>
        </w:rPr>
        <w:t xml:space="preserve"> these maternal birthplaces. </w:t>
      </w:r>
    </w:p>
    <w:p w14:paraId="657CF5B7" w14:textId="77777777" w:rsidR="00C65183" w:rsidRPr="0021534D" w:rsidRDefault="00C65183" w:rsidP="00C65183">
      <w:pPr>
        <w:tabs>
          <w:tab w:val="left" w:pos="284"/>
        </w:tabs>
        <w:spacing w:line="360" w:lineRule="auto"/>
        <w:jc w:val="both"/>
        <w:rPr>
          <w:rFonts w:ascii="Calibri" w:hAnsi="Calibri"/>
        </w:rPr>
      </w:pPr>
      <w:r w:rsidRPr="0021241A">
        <w:rPr>
          <w:rFonts w:ascii="Calibri" w:hAnsi="Calibri"/>
        </w:rPr>
        <w:t xml:space="preserve">A selection of birthplaces is presented at </w:t>
      </w:r>
      <w:r>
        <w:rPr>
          <w:rFonts w:ascii="Calibri" w:hAnsi="Calibri"/>
        </w:rPr>
        <w:t>right</w:t>
      </w:r>
      <w:r w:rsidRPr="0021241A">
        <w:rPr>
          <w:rFonts w:ascii="Calibri" w:hAnsi="Calibri"/>
        </w:rPr>
        <w:t>.</w:t>
      </w:r>
    </w:p>
    <w:p w14:paraId="05EB6778" w14:textId="77777777" w:rsidR="00C65183" w:rsidRDefault="00C65183" w:rsidP="00C65183">
      <w:pPr>
        <w:tabs>
          <w:tab w:val="left" w:pos="284"/>
        </w:tabs>
        <w:spacing w:line="360" w:lineRule="auto"/>
        <w:jc w:val="both"/>
        <w:rPr>
          <w:rFonts w:ascii="Calibri" w:hAnsi="Calibri"/>
          <w:noProof/>
          <w:color w:val="000000"/>
          <w:lang w:eastAsia="en-AU"/>
        </w:rPr>
      </w:pPr>
      <w:r>
        <w:rPr>
          <w:rFonts w:ascii="Calibri" w:hAnsi="Calibri"/>
          <w:noProof/>
          <w:color w:val="000000"/>
          <w:lang w:eastAsia="en-AU"/>
        </w:rPr>
        <w:t xml:space="preserve">In addition, almost three-quarters (71%) </w:t>
      </w:r>
      <w:r w:rsidRPr="0021241A">
        <w:rPr>
          <w:rFonts w:ascii="Calibri" w:hAnsi="Calibri"/>
          <w:noProof/>
          <w:color w:val="000000"/>
          <w:lang w:eastAsia="en-AU"/>
        </w:rPr>
        <w:t xml:space="preserve">of </w:t>
      </w:r>
      <w:r>
        <w:rPr>
          <w:rFonts w:ascii="Calibri" w:hAnsi="Calibri"/>
          <w:noProof/>
          <w:color w:val="000000"/>
          <w:lang w:eastAsia="en-AU"/>
        </w:rPr>
        <w:t>the women</w:t>
      </w:r>
      <w:r w:rsidRPr="0021241A">
        <w:rPr>
          <w:rFonts w:ascii="Calibri" w:hAnsi="Calibri"/>
          <w:noProof/>
          <w:color w:val="000000"/>
          <w:lang w:eastAsia="en-AU"/>
        </w:rPr>
        <w:t xml:space="preserve"> </w:t>
      </w:r>
      <w:r>
        <w:rPr>
          <w:rFonts w:ascii="Calibri" w:hAnsi="Calibri"/>
          <w:noProof/>
          <w:color w:val="000000"/>
          <w:lang w:eastAsia="en-AU"/>
        </w:rPr>
        <w:t>who gave birth in 2014/15 spoke</w:t>
      </w:r>
      <w:r w:rsidRPr="0021241A">
        <w:rPr>
          <w:rFonts w:ascii="Calibri" w:hAnsi="Calibri"/>
          <w:noProof/>
          <w:color w:val="000000"/>
          <w:lang w:eastAsia="en-AU"/>
        </w:rPr>
        <w:t xml:space="preserve"> languages ot</w:t>
      </w:r>
      <w:r>
        <w:rPr>
          <w:rFonts w:ascii="Calibri" w:hAnsi="Calibri"/>
          <w:noProof/>
          <w:color w:val="000000"/>
          <w:lang w:eastAsia="en-AU"/>
        </w:rPr>
        <w:t>her than English in their homes, including</w:t>
      </w:r>
      <w:r w:rsidRPr="0021241A">
        <w:rPr>
          <w:rFonts w:ascii="Calibri" w:hAnsi="Calibri"/>
          <w:noProof/>
          <w:color w:val="000000"/>
          <w:lang w:eastAsia="en-AU"/>
        </w:rPr>
        <w:t xml:space="preserve"> Vietnamese, </w:t>
      </w:r>
      <w:r>
        <w:rPr>
          <w:rFonts w:ascii="Calibri" w:hAnsi="Calibri"/>
          <w:noProof/>
          <w:color w:val="000000"/>
          <w:lang w:eastAsia="en-AU"/>
        </w:rPr>
        <w:t xml:space="preserve">Punjabi, </w:t>
      </w:r>
      <w:r w:rsidRPr="0021241A">
        <w:rPr>
          <w:rFonts w:ascii="Calibri" w:hAnsi="Calibri"/>
          <w:noProof/>
          <w:color w:val="000000"/>
          <w:lang w:eastAsia="en-AU"/>
        </w:rPr>
        <w:t xml:space="preserve">Khmer, Dari, </w:t>
      </w:r>
      <w:r>
        <w:rPr>
          <w:rFonts w:ascii="Calibri" w:hAnsi="Calibri"/>
          <w:noProof/>
          <w:color w:val="000000"/>
          <w:lang w:eastAsia="en-AU"/>
        </w:rPr>
        <w:t xml:space="preserve">Kaswahilli and </w:t>
      </w:r>
      <w:r w:rsidRPr="0021241A">
        <w:rPr>
          <w:rFonts w:ascii="Calibri" w:hAnsi="Calibri"/>
          <w:noProof/>
          <w:color w:val="000000"/>
          <w:lang w:eastAsia="en-AU"/>
        </w:rPr>
        <w:t>Mandarin.</w:t>
      </w:r>
    </w:p>
    <w:p w14:paraId="32ED0EFB" w14:textId="77777777" w:rsidR="00C65183" w:rsidRDefault="00C65183" w:rsidP="00C65183">
      <w:pPr>
        <w:tabs>
          <w:tab w:val="left" w:pos="284"/>
        </w:tabs>
        <w:spacing w:line="360" w:lineRule="auto"/>
        <w:jc w:val="both"/>
        <w:rPr>
          <w:rFonts w:ascii="Calibri" w:hAnsi="Calibri"/>
          <w:noProof/>
          <w:color w:val="000000"/>
          <w:lang w:eastAsia="en-AU"/>
        </w:rPr>
      </w:pPr>
    </w:p>
    <w:p w14:paraId="4B64895A" w14:textId="77777777" w:rsidR="00C65183" w:rsidRPr="00A6516A" w:rsidRDefault="00C65183" w:rsidP="00C65183">
      <w:pPr>
        <w:tabs>
          <w:tab w:val="left" w:pos="4678"/>
        </w:tabs>
        <w:spacing w:line="360" w:lineRule="auto"/>
        <w:jc w:val="both"/>
        <w:rPr>
          <w:rFonts w:ascii="Calibri" w:hAnsi="Calibri"/>
        </w:rPr>
      </w:pPr>
      <w:r w:rsidRPr="00A6516A">
        <w:rPr>
          <w:rFonts w:ascii="Calibri" w:hAnsi="Calibri"/>
          <w:b/>
        </w:rPr>
        <w:lastRenderedPageBreak/>
        <w:t>Birth Rates</w:t>
      </w:r>
      <w:r w:rsidRPr="00A6516A">
        <w:rPr>
          <w:rFonts w:ascii="Calibri" w:hAnsi="Calibri"/>
        </w:rPr>
        <w:t xml:space="preserve"> </w:t>
      </w:r>
      <w:r w:rsidRPr="00A6516A">
        <w:rPr>
          <w:rFonts w:ascii="Calibri" w:hAnsi="Calibri"/>
        </w:rPr>
        <w:tab/>
      </w:r>
      <w:r w:rsidRPr="002D75C7">
        <w:rPr>
          <w:rFonts w:ascii="Calibri" w:hAnsi="Calibri"/>
          <w:color w:val="7F7F7F"/>
          <w:sz w:val="20"/>
          <w:szCs w:val="20"/>
        </w:rPr>
        <w:t xml:space="preserve">Age-specific </w:t>
      </w:r>
      <w:r>
        <w:rPr>
          <w:rFonts w:ascii="Calibri" w:hAnsi="Calibri"/>
          <w:color w:val="7F7F7F"/>
          <w:sz w:val="20"/>
          <w:szCs w:val="20"/>
        </w:rPr>
        <w:t>b</w:t>
      </w:r>
      <w:r w:rsidRPr="002D75C7">
        <w:rPr>
          <w:rFonts w:ascii="Calibri" w:hAnsi="Calibri"/>
          <w:color w:val="7F7F7F"/>
          <w:sz w:val="20"/>
          <w:szCs w:val="20"/>
        </w:rPr>
        <w:t xml:space="preserve">irth </w:t>
      </w:r>
      <w:r>
        <w:rPr>
          <w:rFonts w:ascii="Calibri" w:hAnsi="Calibri"/>
          <w:color w:val="7F7F7F"/>
          <w:sz w:val="20"/>
          <w:szCs w:val="20"/>
        </w:rPr>
        <w:t>r</w:t>
      </w:r>
      <w:r w:rsidRPr="002D75C7">
        <w:rPr>
          <w:rFonts w:ascii="Calibri" w:hAnsi="Calibri"/>
          <w:color w:val="7F7F7F"/>
          <w:sz w:val="20"/>
          <w:szCs w:val="20"/>
        </w:rPr>
        <w:t>ates: Australia, 1925-2018</w:t>
      </w:r>
    </w:p>
    <w:p w14:paraId="6AF61730" w14:textId="77777777" w:rsidR="00C65183" w:rsidRDefault="00C65183" w:rsidP="00C65183">
      <w:pPr>
        <w:tabs>
          <w:tab w:val="left" w:pos="284"/>
        </w:tabs>
        <w:spacing w:line="360" w:lineRule="auto"/>
        <w:jc w:val="both"/>
        <w:rPr>
          <w:rFonts w:ascii="Calibri" w:hAnsi="Calibri"/>
        </w:rPr>
      </w:pPr>
      <w:r>
        <w:rPr>
          <w:rFonts w:ascii="Calibri" w:hAnsi="Calibri"/>
          <w:noProof/>
        </w:rPr>
        <w:drawing>
          <wp:anchor distT="0" distB="0" distL="114300" distR="114300" simplePos="0" relativeHeight="251669504" behindDoc="0" locked="0" layoutInCell="1" allowOverlap="1" wp14:anchorId="05F7A184" wp14:editId="07FBF031">
            <wp:simplePos x="0" y="0"/>
            <wp:positionH relativeFrom="column">
              <wp:posOffset>2687955</wp:posOffset>
            </wp:positionH>
            <wp:positionV relativeFrom="paragraph">
              <wp:posOffset>5080</wp:posOffset>
            </wp:positionV>
            <wp:extent cx="3426460" cy="2438400"/>
            <wp:effectExtent l="0" t="0" r="2540" b="0"/>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426460" cy="2438400"/>
                    </a:xfrm>
                    <a:prstGeom prst="rect">
                      <a:avLst/>
                    </a:prstGeom>
                    <a:noFill/>
                  </pic:spPr>
                </pic:pic>
              </a:graphicData>
            </a:graphic>
            <wp14:sizeRelH relativeFrom="page">
              <wp14:pctWidth>0</wp14:pctWidth>
            </wp14:sizeRelH>
            <wp14:sizeRelV relativeFrom="page">
              <wp14:pctHeight>0</wp14:pctHeight>
            </wp14:sizeRelV>
          </wp:anchor>
        </w:drawing>
      </w:r>
      <w:r>
        <w:rPr>
          <w:rFonts w:ascii="Calibri" w:hAnsi="Calibri"/>
        </w:rPr>
        <w:t>B</w:t>
      </w:r>
      <w:r w:rsidRPr="00A6516A">
        <w:rPr>
          <w:rFonts w:ascii="Calibri" w:hAnsi="Calibri"/>
        </w:rPr>
        <w:t xml:space="preserve">irth rates have fluctuated widely </w:t>
      </w:r>
      <w:r>
        <w:rPr>
          <w:rFonts w:ascii="Calibri" w:hAnsi="Calibri"/>
        </w:rPr>
        <w:t xml:space="preserve">in Australia </w:t>
      </w:r>
      <w:r w:rsidRPr="00A6516A">
        <w:rPr>
          <w:rFonts w:ascii="Calibri" w:hAnsi="Calibri"/>
        </w:rPr>
        <w:t xml:space="preserve">during the past ninety years. </w:t>
      </w:r>
      <w:r>
        <w:rPr>
          <w:rFonts w:ascii="Calibri" w:hAnsi="Calibri"/>
        </w:rPr>
        <w:t>R</w:t>
      </w:r>
      <w:r w:rsidRPr="00A6516A">
        <w:rPr>
          <w:rFonts w:ascii="Calibri" w:hAnsi="Calibri"/>
        </w:rPr>
        <w:t xml:space="preserve">ates among </w:t>
      </w:r>
      <w:r>
        <w:rPr>
          <w:rFonts w:ascii="Calibri" w:hAnsi="Calibri"/>
        </w:rPr>
        <w:t>20-24</w:t>
      </w:r>
      <w:r w:rsidRPr="00A6516A">
        <w:rPr>
          <w:rFonts w:ascii="Calibri" w:hAnsi="Calibri"/>
        </w:rPr>
        <w:t xml:space="preserve"> year-olds rose to a peak of </w:t>
      </w:r>
      <w:r>
        <w:rPr>
          <w:rFonts w:ascii="Calibri" w:hAnsi="Calibri"/>
        </w:rPr>
        <w:t>216</w:t>
      </w:r>
      <w:r w:rsidRPr="00A6516A">
        <w:rPr>
          <w:rFonts w:ascii="Calibri" w:hAnsi="Calibri"/>
        </w:rPr>
        <w:t xml:space="preserve"> </w:t>
      </w:r>
      <w:r>
        <w:rPr>
          <w:rFonts w:ascii="Calibri" w:hAnsi="Calibri"/>
        </w:rPr>
        <w:t xml:space="preserve">per 1,000 women </w:t>
      </w:r>
      <w:r w:rsidRPr="00A6516A">
        <w:rPr>
          <w:rFonts w:ascii="Calibri" w:hAnsi="Calibri"/>
        </w:rPr>
        <w:t>in 19</w:t>
      </w:r>
      <w:r>
        <w:rPr>
          <w:rFonts w:ascii="Calibri" w:hAnsi="Calibri"/>
        </w:rPr>
        <w:t>6</w:t>
      </w:r>
      <w:r w:rsidRPr="00A6516A">
        <w:rPr>
          <w:rFonts w:ascii="Calibri" w:hAnsi="Calibri"/>
        </w:rPr>
        <w:t xml:space="preserve">1, before declining to </w:t>
      </w:r>
      <w:r>
        <w:rPr>
          <w:rFonts w:ascii="Calibri" w:hAnsi="Calibri"/>
        </w:rPr>
        <w:t>46 per 1,000 women by 2018</w:t>
      </w:r>
      <w:r w:rsidRPr="00A6516A">
        <w:rPr>
          <w:rFonts w:ascii="Calibri" w:hAnsi="Calibri"/>
        </w:rPr>
        <w:t xml:space="preserve">. Among </w:t>
      </w:r>
      <w:r>
        <w:rPr>
          <w:rFonts w:ascii="Calibri" w:hAnsi="Calibri"/>
        </w:rPr>
        <w:t>those</w:t>
      </w:r>
      <w:r w:rsidRPr="00A6516A">
        <w:rPr>
          <w:rFonts w:ascii="Calibri" w:hAnsi="Calibri"/>
        </w:rPr>
        <w:t xml:space="preserve"> aged 3</w:t>
      </w:r>
      <w:r>
        <w:rPr>
          <w:rFonts w:ascii="Calibri" w:hAnsi="Calibri"/>
        </w:rPr>
        <w:t>0</w:t>
      </w:r>
      <w:r w:rsidRPr="00A6516A">
        <w:rPr>
          <w:rFonts w:ascii="Calibri" w:hAnsi="Calibri"/>
        </w:rPr>
        <w:t>-3</w:t>
      </w:r>
      <w:r>
        <w:rPr>
          <w:rFonts w:ascii="Calibri" w:hAnsi="Calibri"/>
        </w:rPr>
        <w:t>4</w:t>
      </w:r>
      <w:r w:rsidRPr="00A6516A">
        <w:rPr>
          <w:rFonts w:ascii="Calibri" w:hAnsi="Calibri"/>
        </w:rPr>
        <w:t xml:space="preserve"> years</w:t>
      </w:r>
      <w:r>
        <w:rPr>
          <w:rFonts w:ascii="Calibri" w:hAnsi="Calibri"/>
        </w:rPr>
        <w:t xml:space="preserve"> on the other hand</w:t>
      </w:r>
      <w:r w:rsidRPr="00A6516A">
        <w:rPr>
          <w:rFonts w:ascii="Calibri" w:hAnsi="Calibri"/>
        </w:rPr>
        <w:t xml:space="preserve">, rates fell </w:t>
      </w:r>
      <w:r>
        <w:rPr>
          <w:rFonts w:ascii="Calibri" w:hAnsi="Calibri"/>
        </w:rPr>
        <w:t xml:space="preserve">during the depression, rose after the war, declined with the advent of the contraceptive pill and increasing levels of labour force participation in the 1960s, before commencing a gradual rise </w:t>
      </w:r>
      <w:r w:rsidRPr="00A6516A">
        <w:rPr>
          <w:rFonts w:ascii="Calibri" w:hAnsi="Calibri"/>
        </w:rPr>
        <w:t xml:space="preserve">in 1981, which </w:t>
      </w:r>
      <w:r>
        <w:rPr>
          <w:rFonts w:ascii="Calibri" w:hAnsi="Calibri"/>
        </w:rPr>
        <w:t>has stabilised in recent years (diagram above).</w:t>
      </w:r>
    </w:p>
    <w:p w14:paraId="7DE46FF0" w14:textId="77777777" w:rsidR="00C65183" w:rsidRDefault="00C65183" w:rsidP="00C65183">
      <w:pPr>
        <w:tabs>
          <w:tab w:val="left" w:pos="284"/>
        </w:tabs>
        <w:spacing w:line="360" w:lineRule="auto"/>
        <w:jc w:val="both"/>
        <w:rPr>
          <w:rFonts w:ascii="Calibri" w:hAnsi="Calibri"/>
        </w:rPr>
      </w:pPr>
      <w:r>
        <w:rPr>
          <w:rFonts w:ascii="Calibri" w:hAnsi="Calibri"/>
          <w:noProof/>
        </w:rPr>
        <w:drawing>
          <wp:anchor distT="0" distB="0" distL="114300" distR="114300" simplePos="0" relativeHeight="251671552" behindDoc="0" locked="0" layoutInCell="1" allowOverlap="1" wp14:anchorId="673A33DB" wp14:editId="3EE45145">
            <wp:simplePos x="0" y="0"/>
            <wp:positionH relativeFrom="column">
              <wp:posOffset>32385</wp:posOffset>
            </wp:positionH>
            <wp:positionV relativeFrom="paragraph">
              <wp:posOffset>239395</wp:posOffset>
            </wp:positionV>
            <wp:extent cx="3540521" cy="2444750"/>
            <wp:effectExtent l="0" t="0" r="3175" b="0"/>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540521" cy="2444750"/>
                    </a:xfrm>
                    <a:prstGeom prst="rect">
                      <a:avLst/>
                    </a:prstGeom>
                    <a:noFill/>
                  </pic:spPr>
                </pic:pic>
              </a:graphicData>
            </a:graphic>
            <wp14:sizeRelH relativeFrom="page">
              <wp14:pctWidth>0</wp14:pctWidth>
            </wp14:sizeRelH>
            <wp14:sizeRelV relativeFrom="page">
              <wp14:pctHeight>0</wp14:pctHeight>
            </wp14:sizeRelV>
          </wp:anchor>
        </w:drawing>
      </w:r>
    </w:p>
    <w:p w14:paraId="3FA752C8" w14:textId="77777777" w:rsidR="00C65183" w:rsidRDefault="00C65183" w:rsidP="00C65183">
      <w:pPr>
        <w:tabs>
          <w:tab w:val="left" w:pos="284"/>
        </w:tabs>
        <w:spacing w:line="360" w:lineRule="auto"/>
        <w:jc w:val="both"/>
        <w:rPr>
          <w:rFonts w:ascii="Calibri" w:hAnsi="Calibri"/>
          <w:noProof/>
          <w:lang w:eastAsia="en-AU"/>
        </w:rPr>
      </w:pPr>
      <w:r>
        <w:rPr>
          <w:rFonts w:ascii="Calibri" w:hAnsi="Calibri"/>
        </w:rPr>
        <w:t>The diagram at left shows the overall change in birth rates among Australian women of each age range, between 1922 and 2018. Most pronounced are the declines in rates among women aged 15 to 29 years. Rates among older women though, have changed little, as an increasing tendency to postpone childbirth has largely balanced the overall reduction in birth rates.</w:t>
      </w:r>
    </w:p>
    <w:p w14:paraId="111FA198" w14:textId="77777777" w:rsidR="00C65183" w:rsidRDefault="00C65183" w:rsidP="00C65183">
      <w:pPr>
        <w:tabs>
          <w:tab w:val="left" w:pos="284"/>
        </w:tabs>
        <w:jc w:val="both"/>
        <w:rPr>
          <w:rFonts w:ascii="Calibri" w:hAnsi="Calibri"/>
          <w:color w:val="7F7F7F" w:themeColor="text1" w:themeTint="80"/>
          <w:sz w:val="18"/>
          <w:szCs w:val="18"/>
        </w:rPr>
      </w:pPr>
    </w:p>
    <w:p w14:paraId="0586FD05" w14:textId="77777777" w:rsidR="00C65183" w:rsidRDefault="00C65183" w:rsidP="00C65183">
      <w:pPr>
        <w:tabs>
          <w:tab w:val="left" w:pos="284"/>
        </w:tabs>
        <w:jc w:val="both"/>
        <w:rPr>
          <w:rFonts w:ascii="Calibri" w:hAnsi="Calibri"/>
          <w:color w:val="7F7F7F" w:themeColor="text1" w:themeTint="80"/>
          <w:sz w:val="18"/>
          <w:szCs w:val="18"/>
        </w:rPr>
      </w:pPr>
    </w:p>
    <w:p w14:paraId="26A55028" w14:textId="77777777" w:rsidR="00C65183" w:rsidRPr="002D75C7" w:rsidRDefault="00C65183" w:rsidP="00C65183">
      <w:pPr>
        <w:tabs>
          <w:tab w:val="left" w:pos="284"/>
        </w:tabs>
        <w:ind w:left="4395"/>
        <w:jc w:val="both"/>
        <w:rPr>
          <w:rFonts w:ascii="Calibri" w:hAnsi="Calibri"/>
          <w:color w:val="7F7F7F" w:themeColor="text1" w:themeTint="80"/>
          <w:sz w:val="20"/>
          <w:szCs w:val="20"/>
        </w:rPr>
      </w:pPr>
      <w:r w:rsidRPr="002D75C7">
        <w:rPr>
          <w:rFonts w:ascii="Calibri" w:hAnsi="Calibri"/>
          <w:color w:val="7F7F7F" w:themeColor="text1" w:themeTint="80"/>
          <w:sz w:val="20"/>
          <w:szCs w:val="20"/>
        </w:rPr>
        <w:t>Birth rates by age: Greater Dandenong and Melbourne, 2018</w:t>
      </w:r>
    </w:p>
    <w:p w14:paraId="2F00CFDF" w14:textId="77777777" w:rsidR="00C65183" w:rsidRDefault="00C65183" w:rsidP="00C65183">
      <w:pPr>
        <w:tabs>
          <w:tab w:val="left" w:pos="284"/>
        </w:tabs>
        <w:spacing w:line="360" w:lineRule="auto"/>
        <w:jc w:val="both"/>
        <w:rPr>
          <w:rFonts w:ascii="Calibri" w:hAnsi="Calibri"/>
        </w:rPr>
      </w:pPr>
      <w:r>
        <w:rPr>
          <w:rFonts w:ascii="Calibri" w:hAnsi="Calibri"/>
          <w:noProof/>
        </w:rPr>
        <w:drawing>
          <wp:anchor distT="0" distB="0" distL="114300" distR="114300" simplePos="0" relativeHeight="251677696" behindDoc="0" locked="0" layoutInCell="1" allowOverlap="1" wp14:anchorId="580E8F71" wp14:editId="41A1D7EA">
            <wp:simplePos x="0" y="0"/>
            <wp:positionH relativeFrom="column">
              <wp:posOffset>2540635</wp:posOffset>
            </wp:positionH>
            <wp:positionV relativeFrom="paragraph">
              <wp:posOffset>82550</wp:posOffset>
            </wp:positionV>
            <wp:extent cx="3563620" cy="2600325"/>
            <wp:effectExtent l="0" t="0" r="0" b="9525"/>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563620" cy="2600325"/>
                    </a:xfrm>
                    <a:prstGeom prst="rect">
                      <a:avLst/>
                    </a:prstGeom>
                    <a:noFill/>
                  </pic:spPr>
                </pic:pic>
              </a:graphicData>
            </a:graphic>
            <wp14:sizeRelH relativeFrom="page">
              <wp14:pctWidth>0</wp14:pctWidth>
            </wp14:sizeRelH>
            <wp14:sizeRelV relativeFrom="page">
              <wp14:pctHeight>0</wp14:pctHeight>
            </wp14:sizeRelV>
          </wp:anchor>
        </w:drawing>
      </w:r>
    </w:p>
    <w:p w14:paraId="4D336079" w14:textId="77777777" w:rsidR="00C65183" w:rsidRDefault="00C65183" w:rsidP="00C65183">
      <w:pPr>
        <w:tabs>
          <w:tab w:val="left" w:pos="284"/>
        </w:tabs>
        <w:spacing w:line="360" w:lineRule="auto"/>
        <w:jc w:val="both"/>
        <w:rPr>
          <w:rFonts w:ascii="Calibri" w:hAnsi="Calibri"/>
        </w:rPr>
      </w:pPr>
      <w:r>
        <w:rPr>
          <w:rFonts w:ascii="Calibri" w:hAnsi="Calibri"/>
        </w:rPr>
        <w:t>In 2018, b</w:t>
      </w:r>
      <w:r w:rsidRPr="00A6516A">
        <w:rPr>
          <w:rFonts w:ascii="Calibri" w:hAnsi="Calibri"/>
        </w:rPr>
        <w:t>irth rates were higher among women aged 15-29 in Greater Dandenong than for Melbourne</w:t>
      </w:r>
      <w:r>
        <w:rPr>
          <w:rFonts w:ascii="Calibri" w:hAnsi="Calibri"/>
        </w:rPr>
        <w:t>,</w:t>
      </w:r>
      <w:r w:rsidRPr="00A6516A">
        <w:rPr>
          <w:rFonts w:ascii="Calibri" w:hAnsi="Calibri"/>
        </w:rPr>
        <w:t xml:space="preserve"> and lower among women over 30</w:t>
      </w:r>
      <w:r>
        <w:rPr>
          <w:rFonts w:ascii="Calibri" w:hAnsi="Calibri"/>
        </w:rPr>
        <w:t xml:space="preserve"> </w:t>
      </w:r>
      <w:r w:rsidRPr="00A6516A">
        <w:rPr>
          <w:rFonts w:ascii="Calibri" w:hAnsi="Calibri"/>
        </w:rPr>
        <w:t xml:space="preserve">– a circumstance common </w:t>
      </w:r>
      <w:r>
        <w:rPr>
          <w:rFonts w:ascii="Calibri" w:hAnsi="Calibri"/>
        </w:rPr>
        <w:t>in</w:t>
      </w:r>
      <w:r w:rsidRPr="00A6516A">
        <w:rPr>
          <w:rFonts w:ascii="Calibri" w:hAnsi="Calibri"/>
        </w:rPr>
        <w:t xml:space="preserve"> localities of social disadvantage. </w:t>
      </w:r>
      <w:r>
        <w:rPr>
          <w:rFonts w:ascii="Calibri" w:hAnsi="Calibri"/>
        </w:rPr>
        <w:t>T</w:t>
      </w:r>
      <w:r w:rsidRPr="00A6516A">
        <w:rPr>
          <w:rFonts w:ascii="Calibri" w:hAnsi="Calibri"/>
        </w:rPr>
        <w:t xml:space="preserve">he fertility rate in Greater Dandenong </w:t>
      </w:r>
      <w:r w:rsidRPr="00A83C93">
        <w:rPr>
          <w:rFonts w:ascii="Calibri" w:hAnsi="Calibri"/>
          <w:sz w:val="18"/>
          <w:szCs w:val="18"/>
        </w:rPr>
        <w:t xml:space="preserve">[average </w:t>
      </w:r>
      <w:r>
        <w:rPr>
          <w:rFonts w:ascii="Calibri" w:hAnsi="Calibri"/>
          <w:sz w:val="18"/>
          <w:szCs w:val="18"/>
        </w:rPr>
        <w:t xml:space="preserve">number of </w:t>
      </w:r>
      <w:r w:rsidRPr="00A83C93">
        <w:rPr>
          <w:rFonts w:ascii="Calibri" w:hAnsi="Calibri"/>
          <w:sz w:val="18"/>
          <w:szCs w:val="18"/>
        </w:rPr>
        <w:t xml:space="preserve">children a woman would have in a lifetime, based on </w:t>
      </w:r>
      <w:r>
        <w:rPr>
          <w:rFonts w:ascii="Calibri" w:hAnsi="Calibri"/>
          <w:sz w:val="18"/>
          <w:szCs w:val="18"/>
        </w:rPr>
        <w:t>current age-specific</w:t>
      </w:r>
      <w:r w:rsidRPr="00A83C93">
        <w:rPr>
          <w:rFonts w:ascii="Calibri" w:hAnsi="Calibri"/>
          <w:sz w:val="18"/>
          <w:szCs w:val="18"/>
        </w:rPr>
        <w:t xml:space="preserve"> birth rates</w:t>
      </w:r>
      <w:r w:rsidRPr="00A6516A">
        <w:rPr>
          <w:rFonts w:ascii="Calibri" w:hAnsi="Calibri"/>
        </w:rPr>
        <w:t xml:space="preserve">], is </w:t>
      </w:r>
      <w:r>
        <w:rPr>
          <w:rFonts w:ascii="Calibri" w:hAnsi="Calibri"/>
        </w:rPr>
        <w:t>1.7</w:t>
      </w:r>
      <w:r w:rsidRPr="00A6516A">
        <w:rPr>
          <w:rFonts w:ascii="Calibri" w:hAnsi="Calibri"/>
        </w:rPr>
        <w:t xml:space="preserve"> –</w:t>
      </w:r>
      <w:r>
        <w:rPr>
          <w:rFonts w:ascii="Calibri" w:hAnsi="Calibri"/>
        </w:rPr>
        <w:t xml:space="preserve"> slightly</w:t>
      </w:r>
      <w:r w:rsidRPr="00A6516A">
        <w:rPr>
          <w:rFonts w:ascii="Calibri" w:hAnsi="Calibri"/>
        </w:rPr>
        <w:t xml:space="preserve"> higher than the metropolitan level of 1.</w:t>
      </w:r>
      <w:r>
        <w:rPr>
          <w:rFonts w:ascii="Calibri" w:hAnsi="Calibri"/>
        </w:rPr>
        <w:t>5</w:t>
      </w:r>
      <w:r w:rsidRPr="00A6516A">
        <w:rPr>
          <w:rFonts w:ascii="Calibri" w:hAnsi="Calibri"/>
        </w:rPr>
        <w:t xml:space="preserve">. </w:t>
      </w:r>
    </w:p>
    <w:p w14:paraId="4708E037" w14:textId="77777777" w:rsidR="00C65183" w:rsidRDefault="00C65183" w:rsidP="00C65183">
      <w:pPr>
        <w:tabs>
          <w:tab w:val="left" w:pos="4820"/>
        </w:tabs>
        <w:jc w:val="both"/>
        <w:rPr>
          <w:rFonts w:ascii="Calibri" w:hAnsi="Calibri"/>
          <w:color w:val="7F7F7F"/>
          <w:sz w:val="20"/>
          <w:szCs w:val="20"/>
        </w:rPr>
      </w:pPr>
      <w:r>
        <w:rPr>
          <w:rFonts w:ascii="Calibri" w:hAnsi="Calibri"/>
          <w:color w:val="7F7F7F"/>
          <w:sz w:val="20"/>
          <w:szCs w:val="20"/>
        </w:rPr>
        <w:tab/>
      </w:r>
    </w:p>
    <w:p w14:paraId="3A8E8B27" w14:textId="77777777" w:rsidR="00C65183" w:rsidRPr="00E60C7F" w:rsidRDefault="00C65183" w:rsidP="00C65183">
      <w:pPr>
        <w:tabs>
          <w:tab w:val="left" w:pos="4820"/>
        </w:tabs>
        <w:jc w:val="both"/>
        <w:rPr>
          <w:rFonts w:ascii="Calibri" w:hAnsi="Calibri"/>
          <w:color w:val="7F7F7F"/>
          <w:sz w:val="20"/>
          <w:szCs w:val="20"/>
        </w:rPr>
      </w:pPr>
      <w:r>
        <w:rPr>
          <w:rFonts w:ascii="Calibri" w:hAnsi="Calibri"/>
          <w:color w:val="7F7F7F"/>
          <w:sz w:val="20"/>
          <w:szCs w:val="20"/>
        </w:rPr>
        <w:lastRenderedPageBreak/>
        <w:tab/>
      </w:r>
      <w:r w:rsidRPr="00E60C7F">
        <w:rPr>
          <w:rFonts w:ascii="Calibri" w:hAnsi="Calibri"/>
          <w:color w:val="7F7F7F"/>
          <w:sz w:val="20"/>
          <w:szCs w:val="20"/>
        </w:rPr>
        <w:t xml:space="preserve">Per cent of </w:t>
      </w:r>
      <w:r>
        <w:rPr>
          <w:rFonts w:ascii="Calibri" w:hAnsi="Calibri"/>
          <w:color w:val="7F7F7F"/>
          <w:sz w:val="20"/>
          <w:szCs w:val="20"/>
        </w:rPr>
        <w:t>w</w:t>
      </w:r>
      <w:r w:rsidRPr="00E60C7F">
        <w:rPr>
          <w:rFonts w:ascii="Calibri" w:hAnsi="Calibri"/>
          <w:color w:val="7F7F7F"/>
          <w:sz w:val="20"/>
          <w:szCs w:val="20"/>
        </w:rPr>
        <w:t xml:space="preserve">omen, who bore five or more </w:t>
      </w:r>
      <w:r>
        <w:rPr>
          <w:rFonts w:ascii="Calibri" w:hAnsi="Calibri"/>
          <w:color w:val="7F7F7F"/>
          <w:sz w:val="20"/>
          <w:szCs w:val="20"/>
        </w:rPr>
        <w:t>c</w:t>
      </w:r>
      <w:r w:rsidRPr="00E60C7F">
        <w:rPr>
          <w:rFonts w:ascii="Calibri" w:hAnsi="Calibri"/>
          <w:color w:val="7F7F7F"/>
          <w:sz w:val="20"/>
          <w:szCs w:val="20"/>
        </w:rPr>
        <w:t>hildren,</w:t>
      </w:r>
    </w:p>
    <w:p w14:paraId="097D2399" w14:textId="77777777" w:rsidR="00C65183" w:rsidRPr="00E60C7F" w:rsidRDefault="00C65183" w:rsidP="00C65183">
      <w:pPr>
        <w:tabs>
          <w:tab w:val="left" w:pos="4820"/>
        </w:tabs>
        <w:jc w:val="both"/>
        <w:rPr>
          <w:rFonts w:ascii="Calibri" w:hAnsi="Calibri"/>
          <w:color w:val="7F7F7F"/>
          <w:sz w:val="20"/>
          <w:szCs w:val="20"/>
        </w:rPr>
      </w:pPr>
      <w:r w:rsidRPr="00A6516A">
        <w:rPr>
          <w:rFonts w:ascii="Calibri" w:hAnsi="Calibri"/>
          <w:b/>
          <w:color w:val="000000"/>
        </w:rPr>
        <w:t>Fertility Rates</w:t>
      </w:r>
      <w:r w:rsidRPr="00A6516A">
        <w:rPr>
          <w:rFonts w:ascii="Calibri" w:hAnsi="Calibri"/>
          <w:color w:val="7F7F7F"/>
        </w:rPr>
        <w:tab/>
      </w:r>
      <w:r w:rsidRPr="00E60C7F">
        <w:rPr>
          <w:rFonts w:ascii="Calibri" w:hAnsi="Calibri"/>
          <w:color w:val="7F7F7F"/>
          <w:sz w:val="20"/>
          <w:szCs w:val="20"/>
        </w:rPr>
        <w:t xml:space="preserve">by </w:t>
      </w:r>
      <w:r>
        <w:rPr>
          <w:rFonts w:ascii="Calibri" w:hAnsi="Calibri"/>
          <w:color w:val="7F7F7F"/>
          <w:sz w:val="20"/>
          <w:szCs w:val="20"/>
        </w:rPr>
        <w:t>ye</w:t>
      </w:r>
      <w:r w:rsidRPr="00E60C7F">
        <w:rPr>
          <w:rFonts w:ascii="Calibri" w:hAnsi="Calibri"/>
          <w:color w:val="7F7F7F"/>
          <w:sz w:val="20"/>
          <w:szCs w:val="20"/>
        </w:rPr>
        <w:t xml:space="preserve">ar of </w:t>
      </w:r>
      <w:r>
        <w:rPr>
          <w:rFonts w:ascii="Calibri" w:hAnsi="Calibri"/>
          <w:color w:val="7F7F7F"/>
          <w:sz w:val="20"/>
          <w:szCs w:val="20"/>
        </w:rPr>
        <w:t>b</w:t>
      </w:r>
      <w:r w:rsidRPr="00E60C7F">
        <w:rPr>
          <w:rFonts w:ascii="Calibri" w:hAnsi="Calibri"/>
          <w:color w:val="7F7F7F"/>
          <w:sz w:val="20"/>
          <w:szCs w:val="20"/>
        </w:rPr>
        <w:t>irth: Australia</w:t>
      </w:r>
    </w:p>
    <w:p w14:paraId="20CB628D" w14:textId="77777777" w:rsidR="00C65183" w:rsidRDefault="00C65183" w:rsidP="00C65183">
      <w:pPr>
        <w:tabs>
          <w:tab w:val="left" w:pos="284"/>
        </w:tabs>
        <w:spacing w:line="360" w:lineRule="auto"/>
        <w:jc w:val="both"/>
        <w:rPr>
          <w:rFonts w:ascii="Calibri" w:hAnsi="Calibri"/>
          <w:noProof/>
          <w:lang w:eastAsia="en-AU"/>
        </w:rPr>
      </w:pPr>
      <w:r>
        <w:rPr>
          <w:rFonts w:ascii="Calibri" w:hAnsi="Calibri"/>
          <w:noProof/>
          <w:color w:val="7F7F7F"/>
          <w:lang w:eastAsia="en-AU"/>
        </w:rPr>
        <w:drawing>
          <wp:anchor distT="0" distB="0" distL="114300" distR="114300" simplePos="0" relativeHeight="251663360" behindDoc="1" locked="0" layoutInCell="1" allowOverlap="1" wp14:anchorId="78E4FB21" wp14:editId="03831A00">
            <wp:simplePos x="0" y="0"/>
            <wp:positionH relativeFrom="column">
              <wp:posOffset>2366010</wp:posOffset>
            </wp:positionH>
            <wp:positionV relativeFrom="paragraph">
              <wp:posOffset>59055</wp:posOffset>
            </wp:positionV>
            <wp:extent cx="3827145" cy="2952750"/>
            <wp:effectExtent l="0" t="0" r="1905" b="0"/>
            <wp:wrapTight wrapText="bothSides">
              <wp:wrapPolygon edited="0">
                <wp:start x="0" y="418"/>
                <wp:lineTo x="0" y="21461"/>
                <wp:lineTo x="21503" y="21461"/>
                <wp:lineTo x="21503" y="418"/>
                <wp:lineTo x="0" y="418"/>
              </wp:wrapPolygon>
            </wp:wrapTight>
            <wp:docPr id="40" name="Chart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hart 6"/>
                    <pic:cNvPicPr>
                      <a:picLocks noChangeArrowheads="1"/>
                    </pic:cNvPicPr>
                  </pic:nvPicPr>
                  <pic:blipFill>
                    <a:blip r:embed="rId23">
                      <a:extLst>
                        <a:ext uri="{28A0092B-C50C-407E-A947-70E740481C1C}">
                          <a14:useLocalDpi xmlns:a14="http://schemas.microsoft.com/office/drawing/2010/main" val="0"/>
                        </a:ext>
                      </a:extLst>
                    </a:blip>
                    <a:srcRect l="-647" t="-3383" r="-1257" b="-1410"/>
                    <a:stretch>
                      <a:fillRect/>
                    </a:stretch>
                  </pic:blipFill>
                  <pic:spPr bwMode="auto">
                    <a:xfrm>
                      <a:off x="0" y="0"/>
                      <a:ext cx="3827145" cy="29527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n-AU"/>
        </w:rPr>
        <w:drawing>
          <wp:anchor distT="0" distB="0" distL="114300" distR="114300" simplePos="0" relativeHeight="251681792" behindDoc="0" locked="0" layoutInCell="1" allowOverlap="1" wp14:anchorId="578932F6" wp14:editId="4574F3B7">
            <wp:simplePos x="0" y="0"/>
            <wp:positionH relativeFrom="column">
              <wp:posOffset>3251835</wp:posOffset>
            </wp:positionH>
            <wp:positionV relativeFrom="paragraph">
              <wp:posOffset>1177925</wp:posOffset>
            </wp:positionV>
            <wp:extent cx="916389" cy="981075"/>
            <wp:effectExtent l="0" t="0" r="0" b="0"/>
            <wp:wrapNone/>
            <wp:docPr id="97" name="Picture 97" descr="Childr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Children 30"/>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916389" cy="981075"/>
                    </a:xfrm>
                    <a:prstGeom prst="rect">
                      <a:avLst/>
                    </a:prstGeom>
                    <a:noFill/>
                    <a:ln>
                      <a:noFill/>
                    </a:ln>
                    <a:effectLst>
                      <a:softEdge rad="317500"/>
                    </a:effectLst>
                  </pic:spPr>
                </pic:pic>
              </a:graphicData>
            </a:graphic>
            <wp14:sizeRelH relativeFrom="page">
              <wp14:pctWidth>0</wp14:pctWidth>
            </wp14:sizeRelH>
            <wp14:sizeRelV relativeFrom="page">
              <wp14:pctHeight>0</wp14:pctHeight>
            </wp14:sizeRelV>
          </wp:anchor>
        </w:drawing>
      </w:r>
      <w:r w:rsidRPr="00A6516A">
        <w:rPr>
          <w:rFonts w:ascii="Calibri" w:hAnsi="Calibri"/>
        </w:rPr>
        <w:t>The Australian fertility rate has changed markedly over the past few generations. Among women born before 1910, the average number of children ever born was 2.3, compared with 3.1 among those born</w:t>
      </w:r>
      <w:r>
        <w:rPr>
          <w:rFonts w:ascii="Calibri" w:hAnsi="Calibri"/>
        </w:rPr>
        <w:t xml:space="preserve"> to women</w:t>
      </w:r>
      <w:r w:rsidRPr="00A6516A">
        <w:rPr>
          <w:rFonts w:ascii="Calibri" w:hAnsi="Calibri"/>
        </w:rPr>
        <w:t xml:space="preserve"> in the early 1930s, and 2 among those born in the mid-1960s. These trends are more starkly depicted in the proportion of women who gave birth to five or more children, which surged from 10% of women born before 1910, to 17% among women born in 1930, before </w:t>
      </w:r>
      <w:r>
        <w:rPr>
          <w:rFonts w:ascii="Calibri" w:hAnsi="Calibri"/>
        </w:rPr>
        <w:t>plunging</w:t>
      </w:r>
      <w:r w:rsidRPr="00A6516A">
        <w:rPr>
          <w:rFonts w:ascii="Calibri" w:hAnsi="Calibri"/>
        </w:rPr>
        <w:t xml:space="preserve"> to 3% </w:t>
      </w:r>
      <w:r>
        <w:rPr>
          <w:rFonts w:ascii="Calibri" w:hAnsi="Calibri"/>
        </w:rPr>
        <w:t>among women born</w:t>
      </w:r>
      <w:r w:rsidRPr="00A6516A">
        <w:rPr>
          <w:rFonts w:ascii="Calibri" w:hAnsi="Calibri"/>
        </w:rPr>
        <w:t xml:space="preserve"> </w:t>
      </w:r>
      <w:r>
        <w:rPr>
          <w:rFonts w:ascii="Calibri" w:hAnsi="Calibri"/>
        </w:rPr>
        <w:t>in</w:t>
      </w:r>
      <w:r w:rsidRPr="00A6516A">
        <w:rPr>
          <w:rFonts w:ascii="Calibri" w:hAnsi="Calibri"/>
        </w:rPr>
        <w:t xml:space="preserve"> the mid-1960s.</w:t>
      </w:r>
      <w:r w:rsidRPr="00A6516A">
        <w:rPr>
          <w:rFonts w:ascii="Calibri" w:hAnsi="Calibri"/>
          <w:noProof/>
          <w:lang w:eastAsia="en-AU"/>
        </w:rPr>
        <w:t xml:space="preserve"> (</w:t>
      </w:r>
      <w:r>
        <w:rPr>
          <w:rFonts w:ascii="Calibri" w:hAnsi="Calibri"/>
          <w:noProof/>
          <w:lang w:eastAsia="en-AU"/>
        </w:rPr>
        <w:t xml:space="preserve">illustration </w:t>
      </w:r>
      <w:r w:rsidRPr="00A6516A">
        <w:rPr>
          <w:rFonts w:ascii="Calibri" w:hAnsi="Calibri"/>
          <w:noProof/>
          <w:lang w:eastAsia="en-AU"/>
        </w:rPr>
        <w:t>above)</w:t>
      </w:r>
    </w:p>
    <w:p w14:paraId="35907704" w14:textId="77777777" w:rsidR="00C65183" w:rsidRDefault="00C65183" w:rsidP="00C65183">
      <w:pPr>
        <w:tabs>
          <w:tab w:val="left" w:pos="284"/>
        </w:tabs>
        <w:spacing w:line="360" w:lineRule="auto"/>
        <w:jc w:val="both"/>
        <w:rPr>
          <w:rFonts w:ascii="Calibri" w:hAnsi="Calibri"/>
          <w:noProof/>
          <w:lang w:eastAsia="en-AU"/>
        </w:rPr>
      </w:pPr>
    </w:p>
    <w:p w14:paraId="0232AC59" w14:textId="77777777" w:rsidR="00C65183" w:rsidRDefault="00C65183" w:rsidP="00C65183">
      <w:pPr>
        <w:tabs>
          <w:tab w:val="left" w:pos="284"/>
        </w:tabs>
        <w:spacing w:line="360" w:lineRule="auto"/>
        <w:jc w:val="both"/>
        <w:rPr>
          <w:rFonts w:ascii="Calibri" w:hAnsi="Calibri"/>
          <w:noProof/>
          <w:lang w:eastAsia="en-AU"/>
        </w:rPr>
      </w:pPr>
    </w:p>
    <w:p w14:paraId="6D0A8847" w14:textId="77777777" w:rsidR="00C65183" w:rsidRDefault="00C65183" w:rsidP="00C65183">
      <w:pPr>
        <w:tabs>
          <w:tab w:val="left" w:pos="284"/>
        </w:tabs>
        <w:spacing w:line="360" w:lineRule="auto"/>
        <w:jc w:val="both"/>
        <w:rPr>
          <w:rFonts w:ascii="Calibri" w:hAnsi="Calibri"/>
          <w:noProof/>
          <w:lang w:eastAsia="en-AU"/>
        </w:rPr>
      </w:pPr>
    </w:p>
    <w:p w14:paraId="481B039B" w14:textId="77777777" w:rsidR="00C65183" w:rsidRPr="00FD1CC2" w:rsidRDefault="00C65183" w:rsidP="00C65183">
      <w:pPr>
        <w:tabs>
          <w:tab w:val="left" w:pos="4820"/>
        </w:tabs>
        <w:jc w:val="both"/>
        <w:rPr>
          <w:rFonts w:ascii="Calibri" w:hAnsi="Calibri"/>
          <w:noProof/>
          <w:sz w:val="20"/>
          <w:szCs w:val="20"/>
          <w:lang w:eastAsia="en-AU"/>
        </w:rPr>
      </w:pPr>
      <w:r>
        <w:rPr>
          <w:rFonts w:ascii="Calibri" w:hAnsi="Calibri"/>
          <w:color w:val="7F7F7F"/>
        </w:rPr>
        <w:tab/>
      </w:r>
      <w:r w:rsidRPr="00FD1CC2">
        <w:rPr>
          <w:rFonts w:ascii="Calibri" w:hAnsi="Calibri"/>
          <w:color w:val="7F7F7F"/>
          <w:sz w:val="20"/>
          <w:szCs w:val="20"/>
        </w:rPr>
        <w:t xml:space="preserve">Average </w:t>
      </w:r>
      <w:r>
        <w:rPr>
          <w:rFonts w:ascii="Calibri" w:hAnsi="Calibri"/>
          <w:color w:val="7F7F7F"/>
          <w:sz w:val="20"/>
          <w:szCs w:val="20"/>
        </w:rPr>
        <w:t>c</w:t>
      </w:r>
      <w:r w:rsidRPr="00FD1CC2">
        <w:rPr>
          <w:rFonts w:ascii="Calibri" w:hAnsi="Calibri"/>
          <w:color w:val="7F7F7F"/>
          <w:sz w:val="20"/>
          <w:szCs w:val="20"/>
        </w:rPr>
        <w:t xml:space="preserve">hildren ever </w:t>
      </w:r>
      <w:r>
        <w:rPr>
          <w:rFonts w:ascii="Calibri" w:hAnsi="Calibri"/>
          <w:color w:val="7F7F7F"/>
          <w:sz w:val="20"/>
          <w:szCs w:val="20"/>
        </w:rPr>
        <w:t>b</w:t>
      </w:r>
      <w:r w:rsidRPr="00FD1CC2">
        <w:rPr>
          <w:rFonts w:ascii="Calibri" w:hAnsi="Calibri"/>
          <w:color w:val="7F7F7F"/>
          <w:sz w:val="20"/>
          <w:szCs w:val="20"/>
        </w:rPr>
        <w:t>orn</w:t>
      </w:r>
      <w:r>
        <w:rPr>
          <w:rFonts w:ascii="Calibri" w:hAnsi="Calibri"/>
          <w:color w:val="7F7F7F"/>
          <w:sz w:val="20"/>
          <w:szCs w:val="20"/>
        </w:rPr>
        <w:t>,</w:t>
      </w:r>
      <w:r w:rsidRPr="00FD1CC2">
        <w:rPr>
          <w:rFonts w:ascii="Calibri" w:hAnsi="Calibri"/>
          <w:color w:val="7F7F7F"/>
          <w:sz w:val="20"/>
          <w:szCs w:val="20"/>
        </w:rPr>
        <w:t xml:space="preserve"> by </w:t>
      </w:r>
      <w:r>
        <w:rPr>
          <w:rFonts w:ascii="Calibri" w:hAnsi="Calibri"/>
          <w:color w:val="7F7F7F"/>
          <w:sz w:val="20"/>
          <w:szCs w:val="20"/>
        </w:rPr>
        <w:t>a</w:t>
      </w:r>
      <w:r w:rsidRPr="00FD1CC2">
        <w:rPr>
          <w:rFonts w:ascii="Calibri" w:hAnsi="Calibri"/>
          <w:color w:val="7F7F7F"/>
          <w:sz w:val="20"/>
          <w:szCs w:val="20"/>
        </w:rPr>
        <w:t xml:space="preserve">ge and </w:t>
      </w:r>
      <w:r>
        <w:rPr>
          <w:rFonts w:ascii="Calibri" w:hAnsi="Calibri"/>
          <w:color w:val="7F7F7F"/>
          <w:sz w:val="20"/>
          <w:szCs w:val="20"/>
        </w:rPr>
        <w:t>e</w:t>
      </w:r>
      <w:r w:rsidRPr="00FD1CC2">
        <w:rPr>
          <w:rFonts w:ascii="Calibri" w:hAnsi="Calibri"/>
          <w:color w:val="7F7F7F"/>
          <w:sz w:val="20"/>
          <w:szCs w:val="20"/>
        </w:rPr>
        <w:t xml:space="preserve">ducation </w:t>
      </w:r>
      <w:r>
        <w:rPr>
          <w:rFonts w:ascii="Calibri" w:hAnsi="Calibri"/>
          <w:color w:val="7F7F7F"/>
          <w:sz w:val="20"/>
          <w:szCs w:val="20"/>
        </w:rPr>
        <w:t>l</w:t>
      </w:r>
      <w:r w:rsidRPr="00FD1CC2">
        <w:rPr>
          <w:rFonts w:ascii="Calibri" w:hAnsi="Calibri"/>
          <w:color w:val="7F7F7F"/>
          <w:sz w:val="20"/>
          <w:szCs w:val="20"/>
        </w:rPr>
        <w:t>evel:</w:t>
      </w:r>
    </w:p>
    <w:p w14:paraId="4F662CCC" w14:textId="77777777" w:rsidR="00C65183" w:rsidRDefault="00C65183" w:rsidP="00C65183">
      <w:pPr>
        <w:tabs>
          <w:tab w:val="left" w:pos="4820"/>
          <w:tab w:val="left" w:pos="5103"/>
        </w:tabs>
        <w:spacing w:line="360" w:lineRule="auto"/>
        <w:jc w:val="both"/>
        <w:rPr>
          <w:rFonts w:ascii="Calibri" w:hAnsi="Calibri"/>
          <w:color w:val="7F7F7F"/>
        </w:rPr>
      </w:pPr>
      <w:r>
        <w:rPr>
          <w:rFonts w:ascii="Calibri" w:hAnsi="Calibri"/>
          <w:b/>
          <w:noProof/>
          <w:lang w:eastAsia="en-AU"/>
        </w:rPr>
        <w:drawing>
          <wp:anchor distT="0" distB="0" distL="114300" distR="114300" simplePos="0" relativeHeight="251672576" behindDoc="0" locked="0" layoutInCell="1" allowOverlap="1" wp14:anchorId="32B67FFC" wp14:editId="1E58AB7C">
            <wp:simplePos x="0" y="0"/>
            <wp:positionH relativeFrom="column">
              <wp:posOffset>2213610</wp:posOffset>
            </wp:positionH>
            <wp:positionV relativeFrom="paragraph">
              <wp:posOffset>257175</wp:posOffset>
            </wp:positionV>
            <wp:extent cx="3935095" cy="2828290"/>
            <wp:effectExtent l="0" t="0" r="8255" b="0"/>
            <wp:wrapSquare wrapText="bothSides"/>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935095" cy="2828290"/>
                    </a:xfrm>
                    <a:prstGeom prst="rect">
                      <a:avLst/>
                    </a:prstGeom>
                    <a:noFill/>
                  </pic:spPr>
                </pic:pic>
              </a:graphicData>
            </a:graphic>
            <wp14:sizeRelH relativeFrom="page">
              <wp14:pctWidth>0</wp14:pctWidth>
            </wp14:sizeRelH>
            <wp14:sizeRelV relativeFrom="page">
              <wp14:pctHeight>0</wp14:pctHeight>
            </wp14:sizeRelV>
          </wp:anchor>
        </w:drawing>
      </w:r>
      <w:r w:rsidRPr="00C535CE">
        <w:rPr>
          <w:rFonts w:ascii="Calibri" w:hAnsi="Calibri"/>
          <w:b/>
          <w:noProof/>
          <w:lang w:eastAsia="en-AU"/>
        </w:rPr>
        <w:t>Circumstances which Influence Birth Rates</w:t>
      </w:r>
      <w:r>
        <w:rPr>
          <w:rFonts w:ascii="Calibri" w:hAnsi="Calibri"/>
          <w:b/>
          <w:noProof/>
          <w:lang w:eastAsia="en-AU"/>
        </w:rPr>
        <w:tab/>
      </w:r>
      <w:r w:rsidRPr="00FD1CC2">
        <w:rPr>
          <w:rFonts w:ascii="Calibri" w:hAnsi="Calibri"/>
          <w:color w:val="7F7F7F"/>
          <w:sz w:val="20"/>
          <w:szCs w:val="20"/>
        </w:rPr>
        <w:t>Victoria, 201</w:t>
      </w:r>
      <w:r>
        <w:rPr>
          <w:rFonts w:ascii="Calibri" w:hAnsi="Calibri"/>
          <w:color w:val="7F7F7F"/>
          <w:sz w:val="20"/>
          <w:szCs w:val="20"/>
        </w:rPr>
        <w:t>6</w:t>
      </w:r>
    </w:p>
    <w:p w14:paraId="1DD15FA2" w14:textId="77777777" w:rsidR="00C65183" w:rsidRDefault="00C65183" w:rsidP="00C65183">
      <w:pPr>
        <w:tabs>
          <w:tab w:val="left" w:pos="5103"/>
        </w:tabs>
        <w:spacing w:line="360" w:lineRule="auto"/>
        <w:jc w:val="both"/>
        <w:rPr>
          <w:rFonts w:ascii="Calibri" w:hAnsi="Calibri"/>
        </w:rPr>
      </w:pPr>
      <w:r>
        <w:rPr>
          <w:rFonts w:ascii="Calibri" w:hAnsi="Calibri"/>
        </w:rPr>
        <w:t>Fertility rates are influenced</w:t>
      </w:r>
      <w:r w:rsidRPr="00A6516A">
        <w:rPr>
          <w:rFonts w:ascii="Calibri" w:hAnsi="Calibri"/>
        </w:rPr>
        <w:t xml:space="preserve"> by educational experience, birthplace and generational factors. Across Victoria, the </w:t>
      </w:r>
      <w:r>
        <w:rPr>
          <w:rFonts w:ascii="Calibri" w:hAnsi="Calibri"/>
        </w:rPr>
        <w:t xml:space="preserve">average </w:t>
      </w:r>
      <w:r w:rsidRPr="00A6516A">
        <w:rPr>
          <w:rFonts w:ascii="Calibri" w:hAnsi="Calibri"/>
        </w:rPr>
        <w:t>number of children ever born to women</w:t>
      </w:r>
      <w:r>
        <w:rPr>
          <w:rFonts w:ascii="Calibri" w:hAnsi="Calibri"/>
        </w:rPr>
        <w:t xml:space="preserve"> rises most steeply with age among those with limited educational attainment.</w:t>
      </w:r>
      <w:r w:rsidRPr="00A6516A">
        <w:rPr>
          <w:rFonts w:ascii="Calibri" w:hAnsi="Calibri"/>
        </w:rPr>
        <w:t xml:space="preserve"> </w:t>
      </w:r>
      <w:r>
        <w:rPr>
          <w:rFonts w:ascii="Calibri" w:hAnsi="Calibri"/>
        </w:rPr>
        <w:t>As a result, the average number of children born to 20-24 year-old women who left school before completing year 11 is</w:t>
      </w:r>
      <w:r w:rsidRPr="00A6516A">
        <w:rPr>
          <w:rFonts w:ascii="Calibri" w:hAnsi="Calibri"/>
        </w:rPr>
        <w:t xml:space="preserve"> </w:t>
      </w:r>
      <w:r>
        <w:rPr>
          <w:rFonts w:ascii="Calibri" w:hAnsi="Calibri"/>
        </w:rPr>
        <w:t>seven</w:t>
      </w:r>
      <w:r w:rsidRPr="00A6516A">
        <w:rPr>
          <w:rFonts w:ascii="Calibri" w:hAnsi="Calibri"/>
        </w:rPr>
        <w:t xml:space="preserve"> times </w:t>
      </w:r>
      <w:r>
        <w:rPr>
          <w:rFonts w:ascii="Calibri" w:hAnsi="Calibri"/>
        </w:rPr>
        <w:t xml:space="preserve">that for those </w:t>
      </w:r>
      <w:r w:rsidRPr="00A6516A">
        <w:rPr>
          <w:rFonts w:ascii="Calibri" w:hAnsi="Calibri"/>
        </w:rPr>
        <w:t xml:space="preserve">with </w:t>
      </w:r>
      <w:r>
        <w:rPr>
          <w:rFonts w:ascii="Calibri" w:hAnsi="Calibri"/>
        </w:rPr>
        <w:t>competed year 12</w:t>
      </w:r>
      <w:r w:rsidRPr="00A6516A">
        <w:rPr>
          <w:rFonts w:ascii="Calibri" w:hAnsi="Calibri"/>
        </w:rPr>
        <w:t xml:space="preserve">. </w:t>
      </w:r>
    </w:p>
    <w:p w14:paraId="044E954F" w14:textId="77777777" w:rsidR="00C65183" w:rsidRDefault="00C65183" w:rsidP="00C65183">
      <w:pPr>
        <w:tabs>
          <w:tab w:val="left" w:pos="5103"/>
        </w:tabs>
        <w:spacing w:line="360" w:lineRule="auto"/>
        <w:jc w:val="both"/>
        <w:rPr>
          <w:rFonts w:ascii="Calibri" w:hAnsi="Calibri"/>
        </w:rPr>
      </w:pPr>
      <w:r w:rsidRPr="00A6516A">
        <w:rPr>
          <w:rFonts w:ascii="Calibri" w:hAnsi="Calibri"/>
        </w:rPr>
        <w:t xml:space="preserve">These trends are illustrated </w:t>
      </w:r>
      <w:r>
        <w:rPr>
          <w:rFonts w:ascii="Calibri" w:hAnsi="Calibri"/>
        </w:rPr>
        <w:t xml:space="preserve">at right. </w:t>
      </w:r>
    </w:p>
    <w:p w14:paraId="55C2A7CD" w14:textId="77777777" w:rsidR="00C65183" w:rsidRDefault="00C65183" w:rsidP="00C65183">
      <w:pPr>
        <w:tabs>
          <w:tab w:val="left" w:pos="5103"/>
        </w:tabs>
        <w:spacing w:line="360" w:lineRule="auto"/>
        <w:jc w:val="both"/>
        <w:rPr>
          <w:rFonts w:ascii="Calibri" w:hAnsi="Calibri"/>
        </w:rPr>
      </w:pPr>
      <w:r>
        <w:rPr>
          <w:rFonts w:ascii="Calibri" w:hAnsi="Calibri"/>
        </w:rPr>
        <w:t xml:space="preserve">Similarly, the 2016 Census findings show that the average number of children </w:t>
      </w:r>
      <w:r w:rsidRPr="00282231">
        <w:rPr>
          <w:rFonts w:ascii="Calibri" w:hAnsi="Calibri"/>
          <w:i/>
          <w:iCs/>
        </w:rPr>
        <w:t>ever born</w:t>
      </w:r>
      <w:r>
        <w:rPr>
          <w:rFonts w:ascii="Calibri" w:hAnsi="Calibri"/>
        </w:rPr>
        <w:t xml:space="preserve"> to women aged 45-49 years, ranges from 1.5 among those with post-graduate degrees, to 2.1 among those with secondary education only.</w:t>
      </w:r>
    </w:p>
    <w:p w14:paraId="27AC54D7" w14:textId="77777777" w:rsidR="00C65183" w:rsidRPr="00A6516A" w:rsidRDefault="00C65183" w:rsidP="00C65183">
      <w:pPr>
        <w:tabs>
          <w:tab w:val="left" w:pos="5670"/>
        </w:tabs>
        <w:spacing w:before="240" w:after="60"/>
        <w:jc w:val="both"/>
        <w:rPr>
          <w:rFonts w:ascii="Calibri" w:hAnsi="Calibri"/>
          <w:b/>
          <w:color w:val="7F7F7F"/>
        </w:rPr>
      </w:pPr>
      <w:r w:rsidRPr="00A6516A">
        <w:rPr>
          <w:rFonts w:ascii="Calibri" w:hAnsi="Calibri"/>
          <w:b/>
        </w:rPr>
        <w:lastRenderedPageBreak/>
        <w:t>Families</w:t>
      </w:r>
      <w:r>
        <w:rPr>
          <w:rFonts w:ascii="Calibri" w:hAnsi="Calibri"/>
          <w:b/>
        </w:rPr>
        <w:tab/>
      </w:r>
      <w:r w:rsidRPr="000726D5">
        <w:rPr>
          <w:rFonts w:ascii="Calibri" w:hAnsi="Calibri"/>
          <w:color w:val="7F7F7F"/>
          <w:sz w:val="20"/>
          <w:szCs w:val="20"/>
        </w:rPr>
        <w:t xml:space="preserve">Family </w:t>
      </w:r>
      <w:r>
        <w:rPr>
          <w:rFonts w:ascii="Calibri" w:hAnsi="Calibri"/>
          <w:color w:val="7F7F7F"/>
          <w:sz w:val="20"/>
          <w:szCs w:val="20"/>
        </w:rPr>
        <w:t>t</w:t>
      </w:r>
      <w:r w:rsidRPr="000726D5">
        <w:rPr>
          <w:rFonts w:ascii="Calibri" w:hAnsi="Calibri"/>
          <w:color w:val="7F7F7F"/>
          <w:sz w:val="20"/>
          <w:szCs w:val="20"/>
        </w:rPr>
        <w:t>ypes: Greater Dandenong, 201</w:t>
      </w:r>
      <w:r>
        <w:rPr>
          <w:rFonts w:ascii="Calibri" w:hAnsi="Calibri"/>
          <w:color w:val="7F7F7F"/>
          <w:sz w:val="20"/>
          <w:szCs w:val="20"/>
        </w:rPr>
        <w:t>6</w:t>
      </w:r>
    </w:p>
    <w:p w14:paraId="193F8F21" w14:textId="77777777" w:rsidR="00C65183" w:rsidRDefault="00C65183" w:rsidP="00C65183">
      <w:pPr>
        <w:tabs>
          <w:tab w:val="left" w:pos="180"/>
        </w:tabs>
        <w:spacing w:line="360" w:lineRule="auto"/>
        <w:jc w:val="both"/>
        <w:rPr>
          <w:rFonts w:ascii="Calibri" w:hAnsi="Calibri"/>
        </w:rPr>
      </w:pPr>
      <w:r>
        <w:rPr>
          <w:noProof/>
          <w:lang w:eastAsia="en-AU"/>
        </w:rPr>
        <w:drawing>
          <wp:anchor distT="0" distB="0" distL="114300" distR="114300" simplePos="0" relativeHeight="251678720" behindDoc="0" locked="0" layoutInCell="1" allowOverlap="1" wp14:anchorId="4AB76BB8" wp14:editId="79AC4A1B">
            <wp:simplePos x="0" y="0"/>
            <wp:positionH relativeFrom="column">
              <wp:posOffset>1732915</wp:posOffset>
            </wp:positionH>
            <wp:positionV relativeFrom="paragraph">
              <wp:posOffset>1447165</wp:posOffset>
            </wp:positionV>
            <wp:extent cx="1347470" cy="952500"/>
            <wp:effectExtent l="0" t="0" r="5080" b="0"/>
            <wp:wrapSquare wrapText="bothSides"/>
            <wp:docPr id="81" name="Picture 13" descr="Family 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descr="Family 4.jpg"/>
                    <pic:cNvPicPr>
                      <a:picLocks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347470" cy="952500"/>
                    </a:xfrm>
                    <a:prstGeom prst="rect">
                      <a:avLst/>
                    </a:prstGeom>
                    <a:noFill/>
                    <a:effectLst>
                      <a:softEdge rad="127000"/>
                    </a:effectLst>
                  </pic:spPr>
                </pic:pic>
              </a:graphicData>
            </a:graphic>
            <wp14:sizeRelH relativeFrom="page">
              <wp14:pctWidth>0</wp14:pctWidth>
            </wp14:sizeRelH>
            <wp14:sizeRelV relativeFrom="page">
              <wp14:pctHeight>0</wp14:pctHeight>
            </wp14:sizeRelV>
          </wp:anchor>
        </w:drawing>
      </w:r>
      <w:r>
        <w:rPr>
          <w:rFonts w:ascii="Calibri" w:hAnsi="Calibri"/>
          <w:b/>
          <w:noProof/>
          <w:lang w:eastAsia="en-AU"/>
        </w:rPr>
        <w:drawing>
          <wp:anchor distT="0" distB="0" distL="114300" distR="114300" simplePos="0" relativeHeight="251665408" behindDoc="0" locked="0" layoutInCell="1" allowOverlap="1" wp14:anchorId="61A3ECF6" wp14:editId="68C67CA5">
            <wp:simplePos x="0" y="0"/>
            <wp:positionH relativeFrom="column">
              <wp:posOffset>3081655</wp:posOffset>
            </wp:positionH>
            <wp:positionV relativeFrom="paragraph">
              <wp:posOffset>128270</wp:posOffset>
            </wp:positionV>
            <wp:extent cx="2990215" cy="1975485"/>
            <wp:effectExtent l="0" t="0" r="635" b="5715"/>
            <wp:wrapSquare wrapText="bothSides"/>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27">
                      <a:extLst>
                        <a:ext uri="{28A0092B-C50C-407E-A947-70E740481C1C}">
                          <a14:useLocalDpi xmlns:a14="http://schemas.microsoft.com/office/drawing/2010/main" val="0"/>
                        </a:ext>
                      </a:extLst>
                    </a:blip>
                    <a:srcRect l="6392" t="4942" r="8983"/>
                    <a:stretch>
                      <a:fillRect/>
                    </a:stretch>
                  </pic:blipFill>
                  <pic:spPr bwMode="auto">
                    <a:xfrm>
                      <a:off x="0" y="0"/>
                      <a:ext cx="2990215" cy="1975485"/>
                    </a:xfrm>
                    <a:prstGeom prst="rect">
                      <a:avLst/>
                    </a:prstGeom>
                    <a:noFill/>
                  </pic:spPr>
                </pic:pic>
              </a:graphicData>
            </a:graphic>
            <wp14:sizeRelH relativeFrom="page">
              <wp14:pctWidth>0</wp14:pctWidth>
            </wp14:sizeRelH>
            <wp14:sizeRelV relativeFrom="page">
              <wp14:pctHeight>0</wp14:pctHeight>
            </wp14:sizeRelV>
          </wp:anchor>
        </w:drawing>
      </w:r>
      <w:r>
        <w:rPr>
          <w:rFonts w:ascii="Calibri" w:hAnsi="Calibri"/>
          <w:color w:val="000000"/>
        </w:rPr>
        <w:t>In 2016, there were 38,471 families in Greater Dandenong</w:t>
      </w:r>
      <w:r w:rsidRPr="00A6516A">
        <w:rPr>
          <w:rFonts w:ascii="Calibri" w:hAnsi="Calibri"/>
          <w:color w:val="000000"/>
        </w:rPr>
        <w:t xml:space="preserve">. Among </w:t>
      </w:r>
      <w:r>
        <w:rPr>
          <w:rFonts w:ascii="Calibri" w:hAnsi="Calibri"/>
          <w:color w:val="000000"/>
        </w:rPr>
        <w:t>them</w:t>
      </w:r>
      <w:r w:rsidRPr="00A6516A">
        <w:rPr>
          <w:rFonts w:ascii="Calibri" w:hAnsi="Calibri"/>
          <w:color w:val="000000"/>
        </w:rPr>
        <w:t xml:space="preserve">, </w:t>
      </w:r>
      <w:r>
        <w:rPr>
          <w:rFonts w:ascii="Calibri" w:hAnsi="Calibri"/>
          <w:color w:val="000000"/>
        </w:rPr>
        <w:t>26</w:t>
      </w:r>
      <w:r w:rsidRPr="00A6516A">
        <w:rPr>
          <w:rFonts w:ascii="Calibri" w:hAnsi="Calibri"/>
          <w:color w:val="000000"/>
        </w:rPr>
        <w:t xml:space="preserve">% were couples, </w:t>
      </w:r>
      <w:r>
        <w:rPr>
          <w:rFonts w:ascii="Calibri" w:hAnsi="Calibri"/>
          <w:color w:val="000000"/>
        </w:rPr>
        <w:t>55</w:t>
      </w:r>
      <w:r w:rsidRPr="00A6516A">
        <w:rPr>
          <w:rFonts w:ascii="Calibri" w:hAnsi="Calibri"/>
          <w:color w:val="000000"/>
        </w:rPr>
        <w:t>% couples with children, 1</w:t>
      </w:r>
      <w:r>
        <w:rPr>
          <w:rFonts w:ascii="Calibri" w:hAnsi="Calibri"/>
          <w:color w:val="000000"/>
        </w:rPr>
        <w:t>8</w:t>
      </w:r>
      <w:r w:rsidRPr="00A6516A">
        <w:rPr>
          <w:rFonts w:ascii="Calibri" w:hAnsi="Calibri"/>
          <w:color w:val="000000"/>
        </w:rPr>
        <w:t xml:space="preserve">% </w:t>
      </w:r>
      <w:r>
        <w:rPr>
          <w:rFonts w:ascii="Calibri" w:hAnsi="Calibri"/>
          <w:color w:val="000000"/>
        </w:rPr>
        <w:t>one parent families</w:t>
      </w:r>
      <w:r w:rsidRPr="00A6516A">
        <w:rPr>
          <w:rFonts w:ascii="Calibri" w:hAnsi="Calibri"/>
          <w:color w:val="000000"/>
        </w:rPr>
        <w:t xml:space="preserve"> and </w:t>
      </w:r>
      <w:r>
        <w:rPr>
          <w:rFonts w:ascii="Calibri" w:hAnsi="Calibri"/>
          <w:color w:val="000000"/>
        </w:rPr>
        <w:t>the balance,</w:t>
      </w:r>
      <w:r w:rsidRPr="00A6516A">
        <w:rPr>
          <w:rFonts w:ascii="Calibri" w:hAnsi="Calibri"/>
          <w:color w:val="000000"/>
        </w:rPr>
        <w:t xml:space="preserve"> other family types. </w:t>
      </w:r>
      <w:r>
        <w:rPr>
          <w:rFonts w:ascii="Calibri" w:hAnsi="Calibri"/>
          <w:color w:val="000000"/>
        </w:rPr>
        <w:t>Over t</w:t>
      </w:r>
      <w:r w:rsidRPr="00A6516A">
        <w:rPr>
          <w:rFonts w:ascii="Calibri" w:hAnsi="Calibri"/>
          <w:color w:val="000000"/>
        </w:rPr>
        <w:t xml:space="preserve">hree-quarters of families with children </w:t>
      </w:r>
      <w:r>
        <w:rPr>
          <w:rFonts w:ascii="Calibri" w:hAnsi="Calibri"/>
          <w:color w:val="000000"/>
        </w:rPr>
        <w:t>were</w:t>
      </w:r>
      <w:r w:rsidRPr="00A6516A">
        <w:rPr>
          <w:rFonts w:ascii="Calibri" w:hAnsi="Calibri"/>
          <w:color w:val="000000"/>
        </w:rPr>
        <w:t xml:space="preserve"> headed by overseas-born parents – compared with </w:t>
      </w:r>
      <w:r w:rsidRPr="00A6516A">
        <w:rPr>
          <w:rFonts w:ascii="Calibri" w:hAnsi="Calibri"/>
        </w:rPr>
        <w:t xml:space="preserve">a quarter of families across Victoria. </w:t>
      </w:r>
    </w:p>
    <w:p w14:paraId="3662A25B" w14:textId="77777777" w:rsidR="00C65183" w:rsidRDefault="00C65183" w:rsidP="00C65183">
      <w:pPr>
        <w:tabs>
          <w:tab w:val="left" w:pos="180"/>
        </w:tabs>
        <w:spacing w:line="360" w:lineRule="auto"/>
        <w:jc w:val="both"/>
        <w:rPr>
          <w:rFonts w:ascii="Calibri" w:hAnsi="Calibri"/>
        </w:rPr>
      </w:pPr>
    </w:p>
    <w:p w14:paraId="00FB4DD6" w14:textId="77777777" w:rsidR="00C65183" w:rsidRDefault="00C65183" w:rsidP="00C65183">
      <w:pPr>
        <w:tabs>
          <w:tab w:val="left" w:pos="180"/>
        </w:tabs>
        <w:spacing w:line="360" w:lineRule="auto"/>
        <w:jc w:val="both"/>
        <w:rPr>
          <w:rFonts w:ascii="Calibri" w:hAnsi="Calibri"/>
        </w:rPr>
      </w:pPr>
    </w:p>
    <w:p w14:paraId="43E5B6E0" w14:textId="77777777" w:rsidR="00C65183" w:rsidRDefault="00C65183" w:rsidP="00C65183">
      <w:pPr>
        <w:tabs>
          <w:tab w:val="left" w:pos="180"/>
        </w:tabs>
        <w:spacing w:line="360" w:lineRule="auto"/>
        <w:jc w:val="both"/>
        <w:rPr>
          <w:rFonts w:ascii="Calibri" w:hAnsi="Calibri"/>
        </w:rPr>
      </w:pPr>
    </w:p>
    <w:p w14:paraId="5EA588B0" w14:textId="77777777" w:rsidR="00C65183" w:rsidRPr="000726D5" w:rsidRDefault="00C65183" w:rsidP="00C65183">
      <w:pPr>
        <w:tabs>
          <w:tab w:val="left" w:pos="5103"/>
        </w:tabs>
        <w:spacing w:after="120"/>
        <w:jc w:val="both"/>
        <w:rPr>
          <w:rFonts w:ascii="Calibri" w:hAnsi="Calibri"/>
          <w:b/>
          <w:color w:val="7F7F7F"/>
          <w:sz w:val="20"/>
          <w:szCs w:val="20"/>
        </w:rPr>
      </w:pPr>
      <w:r>
        <w:rPr>
          <w:rFonts w:ascii="Calibri" w:hAnsi="Calibri"/>
          <w:noProof/>
          <w:lang w:eastAsia="en-AU"/>
        </w:rPr>
        <w:drawing>
          <wp:anchor distT="0" distB="0" distL="114300" distR="114300" simplePos="0" relativeHeight="251666432" behindDoc="0" locked="0" layoutInCell="1" allowOverlap="1" wp14:anchorId="21A8B9A2" wp14:editId="60E640B5">
            <wp:simplePos x="0" y="0"/>
            <wp:positionH relativeFrom="column">
              <wp:posOffset>-17250</wp:posOffset>
            </wp:positionH>
            <wp:positionV relativeFrom="paragraph">
              <wp:posOffset>90599</wp:posOffset>
            </wp:positionV>
            <wp:extent cx="3278505" cy="2436495"/>
            <wp:effectExtent l="0" t="0" r="0" b="1905"/>
            <wp:wrapSquare wrapText="bothSides"/>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278505" cy="2436495"/>
                    </a:xfrm>
                    <a:prstGeom prst="rect">
                      <a:avLst/>
                    </a:prstGeom>
                    <a:noFill/>
                  </pic:spPr>
                </pic:pic>
              </a:graphicData>
            </a:graphic>
            <wp14:sizeRelH relativeFrom="page">
              <wp14:pctWidth>0</wp14:pctWidth>
            </wp14:sizeRelH>
            <wp14:sizeRelV relativeFrom="page">
              <wp14:pctHeight>0</wp14:pctHeight>
            </wp14:sizeRelV>
          </wp:anchor>
        </w:drawing>
      </w:r>
      <w:r w:rsidRPr="00A6516A">
        <w:rPr>
          <w:rFonts w:ascii="Calibri" w:hAnsi="Calibri"/>
          <w:b/>
          <w:color w:val="000000"/>
        </w:rPr>
        <w:t>Marriage</w:t>
      </w:r>
    </w:p>
    <w:p w14:paraId="0F79C106" w14:textId="77777777" w:rsidR="00C65183" w:rsidRDefault="00C65183" w:rsidP="00C65183">
      <w:pPr>
        <w:tabs>
          <w:tab w:val="left" w:pos="180"/>
        </w:tabs>
        <w:spacing w:line="360" w:lineRule="auto"/>
        <w:jc w:val="both"/>
        <w:rPr>
          <w:rFonts w:ascii="Calibri" w:hAnsi="Calibri"/>
        </w:rPr>
      </w:pPr>
      <w:r>
        <w:rPr>
          <w:noProof/>
          <w:lang w:eastAsia="en-AU"/>
        </w:rPr>
        <w:drawing>
          <wp:anchor distT="0" distB="0" distL="114300" distR="114300" simplePos="0" relativeHeight="251682816" behindDoc="0" locked="0" layoutInCell="1" allowOverlap="1" wp14:anchorId="7C4D5D2E" wp14:editId="3EFCB076">
            <wp:simplePos x="0" y="0"/>
            <wp:positionH relativeFrom="column">
              <wp:posOffset>639128</wp:posOffset>
            </wp:positionH>
            <wp:positionV relativeFrom="paragraph">
              <wp:posOffset>1188720</wp:posOffset>
            </wp:positionV>
            <wp:extent cx="1414402" cy="558617"/>
            <wp:effectExtent l="0" t="0" r="0" b="0"/>
            <wp:wrapNone/>
            <wp:docPr id="99" name="Picture 99" descr="E:\Photos\Family Marri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E:\Photos\Family Marriage.pn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414402" cy="558617"/>
                    </a:xfrm>
                    <a:prstGeom prst="rect">
                      <a:avLst/>
                    </a:prstGeom>
                    <a:noFill/>
                    <a:ln>
                      <a:noFill/>
                    </a:ln>
                    <a:effectLst>
                      <a:softEdge rad="63500"/>
                    </a:effectLst>
                  </pic:spPr>
                </pic:pic>
              </a:graphicData>
            </a:graphic>
            <wp14:sizeRelH relativeFrom="page">
              <wp14:pctWidth>0</wp14:pctWidth>
            </wp14:sizeRelH>
            <wp14:sizeRelV relativeFrom="page">
              <wp14:pctHeight>0</wp14:pctHeight>
            </wp14:sizeRelV>
          </wp:anchor>
        </w:drawing>
      </w:r>
      <w:r>
        <w:rPr>
          <w:rFonts w:ascii="Calibri" w:hAnsi="Calibri"/>
        </w:rPr>
        <w:t>In 2016, over nine-tenths (91%)</w:t>
      </w:r>
      <w:r w:rsidRPr="00A6516A">
        <w:rPr>
          <w:rFonts w:ascii="Calibri" w:hAnsi="Calibri"/>
        </w:rPr>
        <w:t xml:space="preserve"> of </w:t>
      </w:r>
      <w:r>
        <w:rPr>
          <w:rFonts w:ascii="Calibri" w:hAnsi="Calibri"/>
        </w:rPr>
        <w:t xml:space="preserve">members of couples aged 18 or more in Greater Dandenong, </w:t>
      </w:r>
      <w:r w:rsidRPr="00A6516A">
        <w:rPr>
          <w:rFonts w:ascii="Calibri" w:hAnsi="Calibri"/>
        </w:rPr>
        <w:t xml:space="preserve">were </w:t>
      </w:r>
      <w:r>
        <w:rPr>
          <w:rFonts w:ascii="Calibri" w:hAnsi="Calibri"/>
        </w:rPr>
        <w:t xml:space="preserve">formally </w:t>
      </w:r>
      <w:r w:rsidRPr="00A6516A">
        <w:rPr>
          <w:rFonts w:ascii="Calibri" w:hAnsi="Calibri"/>
        </w:rPr>
        <w:t>married</w:t>
      </w:r>
      <w:r>
        <w:rPr>
          <w:rFonts w:ascii="Calibri" w:hAnsi="Calibri"/>
        </w:rPr>
        <w:t xml:space="preserve"> </w:t>
      </w:r>
      <w:r w:rsidRPr="00A6516A">
        <w:rPr>
          <w:rFonts w:ascii="Calibri" w:hAnsi="Calibri"/>
        </w:rPr>
        <w:t xml:space="preserve">– a proportion which </w:t>
      </w:r>
      <w:r>
        <w:rPr>
          <w:rFonts w:ascii="Calibri" w:hAnsi="Calibri"/>
        </w:rPr>
        <w:t>rose</w:t>
      </w:r>
      <w:r w:rsidRPr="00A6516A">
        <w:rPr>
          <w:rFonts w:ascii="Calibri" w:hAnsi="Calibri"/>
        </w:rPr>
        <w:t xml:space="preserve"> from </w:t>
      </w:r>
      <w:r>
        <w:rPr>
          <w:rFonts w:ascii="Calibri" w:hAnsi="Calibri"/>
        </w:rPr>
        <w:t>71%</w:t>
      </w:r>
      <w:r w:rsidRPr="00A6516A">
        <w:rPr>
          <w:rFonts w:ascii="Calibri" w:hAnsi="Calibri"/>
        </w:rPr>
        <w:t xml:space="preserve"> </w:t>
      </w:r>
      <w:r>
        <w:rPr>
          <w:rFonts w:ascii="Calibri" w:hAnsi="Calibri"/>
        </w:rPr>
        <w:t>of couples aged 20-24 years and exceeded 90%</w:t>
      </w:r>
      <w:r w:rsidRPr="00A6516A">
        <w:rPr>
          <w:rFonts w:ascii="Calibri" w:hAnsi="Calibri"/>
        </w:rPr>
        <w:t xml:space="preserve"> of </w:t>
      </w:r>
      <w:r>
        <w:rPr>
          <w:rFonts w:ascii="Calibri" w:hAnsi="Calibri"/>
        </w:rPr>
        <w:t>members of couples</w:t>
      </w:r>
      <w:r w:rsidRPr="00A6516A">
        <w:rPr>
          <w:rFonts w:ascii="Calibri" w:hAnsi="Calibri"/>
        </w:rPr>
        <w:t xml:space="preserve"> over </w:t>
      </w:r>
      <w:r>
        <w:rPr>
          <w:rFonts w:ascii="Calibri" w:hAnsi="Calibri"/>
        </w:rPr>
        <w:t>35 (diagram, left).</w:t>
      </w:r>
    </w:p>
    <w:p w14:paraId="4CEECB09" w14:textId="77777777" w:rsidR="00C65183" w:rsidRDefault="00C65183" w:rsidP="00C65183">
      <w:pPr>
        <w:tabs>
          <w:tab w:val="left" w:pos="180"/>
        </w:tabs>
        <w:spacing w:line="360" w:lineRule="auto"/>
        <w:jc w:val="both"/>
        <w:rPr>
          <w:rFonts w:ascii="Calibri" w:hAnsi="Calibri"/>
        </w:rPr>
      </w:pPr>
      <w:r>
        <w:rPr>
          <w:rFonts w:ascii="Calibri" w:hAnsi="Calibri"/>
        </w:rPr>
        <w:t>The propensity of couples to be formally married varies widely among Victorian municipalities, especially among young people. For example, among 20-24 year-olds in couple relationships, the proportion that are formally married rises from 11% in Yarra, to 71% in Greater Dandenong.</w:t>
      </w:r>
    </w:p>
    <w:p w14:paraId="7FEFF986" w14:textId="77777777" w:rsidR="00C65183" w:rsidRPr="00224F98" w:rsidRDefault="00C65183" w:rsidP="00C65183">
      <w:pPr>
        <w:tabs>
          <w:tab w:val="left" w:pos="180"/>
        </w:tabs>
        <w:spacing w:line="360" w:lineRule="auto"/>
        <w:jc w:val="both"/>
        <w:rPr>
          <w:rFonts w:ascii="Calibri" w:hAnsi="Calibri"/>
        </w:rPr>
      </w:pPr>
      <w:r>
        <w:rPr>
          <w:rFonts w:ascii="Calibri" w:hAnsi="Calibri"/>
          <w:noProof/>
          <w:lang w:eastAsia="en-AU"/>
        </w:rPr>
        <w:drawing>
          <wp:anchor distT="0" distB="0" distL="114300" distR="114300" simplePos="0" relativeHeight="251668480" behindDoc="0" locked="0" layoutInCell="1" allowOverlap="1" wp14:anchorId="7F0A775B" wp14:editId="4F91CBC1">
            <wp:simplePos x="0" y="0"/>
            <wp:positionH relativeFrom="column">
              <wp:posOffset>2760980</wp:posOffset>
            </wp:positionH>
            <wp:positionV relativeFrom="paragraph">
              <wp:posOffset>210185</wp:posOffset>
            </wp:positionV>
            <wp:extent cx="3264535" cy="2705100"/>
            <wp:effectExtent l="0" t="0" r="0" b="0"/>
            <wp:wrapSquare wrapText="bothSides"/>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30">
                      <a:extLst>
                        <a:ext uri="{28A0092B-C50C-407E-A947-70E740481C1C}">
                          <a14:useLocalDpi xmlns:a14="http://schemas.microsoft.com/office/drawing/2010/main" val="0"/>
                        </a:ext>
                      </a:extLst>
                    </a:blip>
                    <a:srcRect l="2161" t="2986" r="3387"/>
                    <a:stretch>
                      <a:fillRect/>
                    </a:stretch>
                  </pic:blipFill>
                  <pic:spPr bwMode="auto">
                    <a:xfrm>
                      <a:off x="0" y="0"/>
                      <a:ext cx="3264535" cy="2705100"/>
                    </a:xfrm>
                    <a:prstGeom prst="rect">
                      <a:avLst/>
                    </a:prstGeom>
                    <a:noFill/>
                  </pic:spPr>
                </pic:pic>
              </a:graphicData>
            </a:graphic>
            <wp14:sizeRelH relativeFrom="page">
              <wp14:pctWidth>0</wp14:pctWidth>
            </wp14:sizeRelH>
            <wp14:sizeRelV relativeFrom="page">
              <wp14:pctHeight>0</wp14:pctHeight>
            </wp14:sizeRelV>
          </wp:anchor>
        </w:drawing>
      </w:r>
    </w:p>
    <w:p w14:paraId="3444810B" w14:textId="77777777" w:rsidR="00C65183" w:rsidRPr="00224F98" w:rsidRDefault="00C65183" w:rsidP="00C65183">
      <w:pPr>
        <w:tabs>
          <w:tab w:val="left" w:pos="180"/>
        </w:tabs>
        <w:jc w:val="both"/>
        <w:rPr>
          <w:rFonts w:ascii="Calibri" w:hAnsi="Calibri"/>
          <w:color w:val="7F7F7F"/>
          <w:sz w:val="20"/>
          <w:szCs w:val="20"/>
        </w:rPr>
      </w:pPr>
      <w:r w:rsidRPr="00224F98">
        <w:rPr>
          <w:rFonts w:ascii="Calibri" w:hAnsi="Calibri"/>
          <w:color w:val="7F7F7F"/>
          <w:sz w:val="20"/>
          <w:szCs w:val="20"/>
        </w:rPr>
        <w:t>Per cent of 20-24 year-old women in formal marriages, by selected birthplaces: Greater Dandenong, 2016</w:t>
      </w:r>
    </w:p>
    <w:p w14:paraId="4317441C" w14:textId="77777777" w:rsidR="00C65183" w:rsidRPr="00522FA4" w:rsidRDefault="00C65183" w:rsidP="00C65183">
      <w:pPr>
        <w:tabs>
          <w:tab w:val="left" w:pos="180"/>
        </w:tabs>
        <w:spacing w:line="360" w:lineRule="auto"/>
        <w:jc w:val="both"/>
        <w:rPr>
          <w:rFonts w:ascii="Calibri" w:hAnsi="Calibri"/>
          <w:sz w:val="10"/>
          <w:szCs w:val="10"/>
        </w:rPr>
      </w:pPr>
    </w:p>
    <w:p w14:paraId="6E9CBA17" w14:textId="77777777" w:rsidR="00C65183" w:rsidRDefault="00C65183" w:rsidP="00C65183">
      <w:pPr>
        <w:tabs>
          <w:tab w:val="left" w:pos="180"/>
        </w:tabs>
        <w:spacing w:line="360" w:lineRule="auto"/>
        <w:jc w:val="both"/>
        <w:rPr>
          <w:rFonts w:ascii="Calibri" w:hAnsi="Calibri"/>
        </w:rPr>
      </w:pPr>
      <w:r>
        <w:rPr>
          <w:rFonts w:ascii="Calibri" w:hAnsi="Calibri"/>
        </w:rPr>
        <w:t xml:space="preserve">Religion also exerts an influence upon patterns of marriage. Among 20-24 year-old women in Greater Dandenong, approximately one-third of those who adhere to Islam and Hinduism were formally married in 2016, compared with fewer than 10% of those who follow Christianity, Judaism or who have no religion. </w:t>
      </w:r>
    </w:p>
    <w:p w14:paraId="0D9BEEFB" w14:textId="77777777" w:rsidR="00C65183" w:rsidRDefault="00C65183" w:rsidP="00C65183">
      <w:pPr>
        <w:tabs>
          <w:tab w:val="left" w:pos="180"/>
        </w:tabs>
        <w:spacing w:line="360" w:lineRule="auto"/>
        <w:jc w:val="both"/>
        <w:rPr>
          <w:rFonts w:ascii="Calibri" w:hAnsi="Calibri"/>
        </w:rPr>
      </w:pPr>
    </w:p>
    <w:p w14:paraId="322BD8F1" w14:textId="77777777" w:rsidR="00C65183" w:rsidRDefault="00C65183" w:rsidP="00C65183">
      <w:pPr>
        <w:tabs>
          <w:tab w:val="left" w:pos="180"/>
        </w:tabs>
        <w:spacing w:line="360" w:lineRule="auto"/>
        <w:jc w:val="both"/>
        <w:rPr>
          <w:rFonts w:ascii="Calibri" w:hAnsi="Calibri"/>
        </w:rPr>
      </w:pPr>
    </w:p>
    <w:p w14:paraId="572E7383" w14:textId="77777777" w:rsidR="00C65183" w:rsidRPr="00224F98" w:rsidRDefault="00C65183" w:rsidP="00C65183">
      <w:pPr>
        <w:tabs>
          <w:tab w:val="left" w:pos="180"/>
        </w:tabs>
        <w:spacing w:line="360" w:lineRule="auto"/>
        <w:jc w:val="both"/>
        <w:rPr>
          <w:rFonts w:ascii="Calibri" w:hAnsi="Calibri"/>
        </w:rPr>
      </w:pPr>
      <w:r>
        <w:rPr>
          <w:rFonts w:ascii="Calibri" w:hAnsi="Calibri"/>
        </w:rPr>
        <w:lastRenderedPageBreak/>
        <w:t>Educational attainment plays a role in these trends. In 2016, 12% of young women in Greater Dandenong who had completed year 11 were married, compared with 24% of those who had left school before completing year 11.</w:t>
      </w:r>
    </w:p>
    <w:p w14:paraId="2C1239E3" w14:textId="77777777" w:rsidR="00C65183" w:rsidRDefault="00C65183" w:rsidP="00C65183">
      <w:pPr>
        <w:tabs>
          <w:tab w:val="left" w:pos="180"/>
        </w:tabs>
        <w:jc w:val="both"/>
        <w:rPr>
          <w:rFonts w:ascii="Calibri" w:hAnsi="Calibri"/>
          <w:color w:val="7F7F7F"/>
          <w:sz w:val="20"/>
          <w:szCs w:val="20"/>
        </w:rPr>
      </w:pPr>
      <w:r>
        <w:rPr>
          <w:rFonts w:ascii="Calibri" w:hAnsi="Calibri"/>
          <w:noProof/>
          <w:lang w:eastAsia="en-AU"/>
        </w:rPr>
        <w:drawing>
          <wp:anchor distT="0" distB="0" distL="114300" distR="114300" simplePos="0" relativeHeight="251670528" behindDoc="0" locked="0" layoutInCell="1" allowOverlap="1" wp14:anchorId="274281F5" wp14:editId="3D805B7C">
            <wp:simplePos x="0" y="0"/>
            <wp:positionH relativeFrom="column">
              <wp:posOffset>8255</wp:posOffset>
            </wp:positionH>
            <wp:positionV relativeFrom="paragraph">
              <wp:posOffset>8255</wp:posOffset>
            </wp:positionV>
            <wp:extent cx="3722370" cy="2438400"/>
            <wp:effectExtent l="0" t="0" r="0" b="0"/>
            <wp:wrapSquare wrapText="bothSides"/>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722370" cy="2438400"/>
                    </a:xfrm>
                    <a:prstGeom prst="rect">
                      <a:avLst/>
                    </a:prstGeom>
                    <a:noFill/>
                  </pic:spPr>
                </pic:pic>
              </a:graphicData>
            </a:graphic>
            <wp14:sizeRelH relativeFrom="page">
              <wp14:pctWidth>0</wp14:pctWidth>
            </wp14:sizeRelH>
            <wp14:sizeRelV relativeFrom="page">
              <wp14:pctHeight>0</wp14:pctHeight>
            </wp14:sizeRelV>
          </wp:anchor>
        </w:drawing>
      </w:r>
    </w:p>
    <w:p w14:paraId="52439660" w14:textId="77777777" w:rsidR="00C65183" w:rsidRPr="00224F98" w:rsidRDefault="00C65183" w:rsidP="00C65183">
      <w:pPr>
        <w:tabs>
          <w:tab w:val="left" w:pos="180"/>
        </w:tabs>
        <w:jc w:val="both"/>
        <w:rPr>
          <w:rFonts w:ascii="Calibri" w:hAnsi="Calibri"/>
        </w:rPr>
      </w:pPr>
      <w:r w:rsidRPr="00224F98">
        <w:rPr>
          <w:rFonts w:ascii="Calibri" w:hAnsi="Calibri"/>
          <w:color w:val="7F7F7F"/>
          <w:sz w:val="20"/>
          <w:szCs w:val="20"/>
        </w:rPr>
        <w:t xml:space="preserve">Per cent of 20-24 year-old women in formal marriages, by </w:t>
      </w:r>
      <w:r>
        <w:rPr>
          <w:rFonts w:ascii="Calibri" w:hAnsi="Calibri"/>
          <w:color w:val="7F7F7F"/>
          <w:sz w:val="20"/>
          <w:szCs w:val="20"/>
        </w:rPr>
        <w:t>religion and educational attainment</w:t>
      </w:r>
      <w:r w:rsidRPr="00224F98">
        <w:rPr>
          <w:rFonts w:ascii="Calibri" w:hAnsi="Calibri"/>
          <w:color w:val="7F7F7F"/>
          <w:sz w:val="20"/>
          <w:szCs w:val="20"/>
        </w:rPr>
        <w:t>: Greater Dandenong, 2016</w:t>
      </w:r>
    </w:p>
    <w:p w14:paraId="05ECC3B6" w14:textId="77777777" w:rsidR="00C65183" w:rsidRPr="00224F98" w:rsidRDefault="00C65183" w:rsidP="00C65183">
      <w:pPr>
        <w:tabs>
          <w:tab w:val="left" w:pos="180"/>
        </w:tabs>
        <w:spacing w:line="360" w:lineRule="auto"/>
        <w:jc w:val="both"/>
        <w:rPr>
          <w:rFonts w:ascii="Calibri" w:hAnsi="Calibri"/>
        </w:rPr>
      </w:pPr>
    </w:p>
    <w:p w14:paraId="671CC0A2" w14:textId="77777777" w:rsidR="00C65183" w:rsidRPr="00224F98" w:rsidRDefault="00C65183" w:rsidP="00C65183">
      <w:pPr>
        <w:tabs>
          <w:tab w:val="left" w:pos="180"/>
        </w:tabs>
        <w:spacing w:line="360" w:lineRule="auto"/>
        <w:jc w:val="both"/>
        <w:rPr>
          <w:rFonts w:ascii="Calibri" w:hAnsi="Calibri"/>
        </w:rPr>
      </w:pPr>
      <w:r>
        <w:rPr>
          <w:rFonts w:ascii="Calibri" w:hAnsi="Calibri"/>
        </w:rPr>
        <w:t>Among 20-24 year-old women of various religious faiths, those with less than year 11 education are more likely to be formally married than those who had completed year 11 or more. (diagram, left)</w:t>
      </w:r>
    </w:p>
    <w:p w14:paraId="5516E470" w14:textId="77777777" w:rsidR="00C65183" w:rsidRDefault="00C65183" w:rsidP="00C65183">
      <w:pPr>
        <w:tabs>
          <w:tab w:val="left" w:pos="180"/>
        </w:tabs>
        <w:jc w:val="both"/>
        <w:rPr>
          <w:rFonts w:ascii="Calibri" w:hAnsi="Calibri"/>
          <w:color w:val="7F7F7F"/>
          <w:sz w:val="20"/>
          <w:szCs w:val="20"/>
        </w:rPr>
      </w:pPr>
      <w:r w:rsidRPr="00AA0A1A">
        <w:rPr>
          <w:rFonts w:ascii="Calibri" w:hAnsi="Calibri"/>
          <w:color w:val="7F7F7F"/>
          <w:sz w:val="20"/>
          <w:szCs w:val="20"/>
        </w:rPr>
        <w:t xml:space="preserve"> </w:t>
      </w:r>
      <w:r>
        <w:rPr>
          <w:rFonts w:ascii="Calibri" w:hAnsi="Calibri"/>
          <w:color w:val="7F7F7F"/>
          <w:sz w:val="20"/>
          <w:szCs w:val="20"/>
        </w:rPr>
        <w:t xml:space="preserve">                                                                                                                  </w:t>
      </w:r>
    </w:p>
    <w:p w14:paraId="6A467181" w14:textId="77777777" w:rsidR="00C65183" w:rsidRDefault="00C65183" w:rsidP="00C65183">
      <w:pPr>
        <w:tabs>
          <w:tab w:val="left" w:pos="180"/>
        </w:tabs>
        <w:ind w:left="5103"/>
        <w:jc w:val="both"/>
        <w:rPr>
          <w:rFonts w:ascii="Calibri" w:hAnsi="Calibri"/>
          <w:b/>
          <w:color w:val="7F7F7F"/>
        </w:rPr>
      </w:pPr>
      <w:r>
        <w:rPr>
          <w:rFonts w:ascii="Calibri" w:hAnsi="Calibri"/>
          <w:color w:val="7F7F7F"/>
          <w:sz w:val="20"/>
          <w:szCs w:val="20"/>
        </w:rPr>
        <w:t>Per cent of couples who lived</w:t>
      </w:r>
      <w:r w:rsidRPr="000726D5">
        <w:rPr>
          <w:rFonts w:ascii="Calibri" w:hAnsi="Calibri"/>
          <w:color w:val="7F7F7F"/>
          <w:sz w:val="20"/>
          <w:szCs w:val="20"/>
        </w:rPr>
        <w:t xml:space="preserve"> </w:t>
      </w:r>
      <w:r>
        <w:rPr>
          <w:rFonts w:ascii="Calibri" w:hAnsi="Calibri"/>
          <w:color w:val="7F7F7F"/>
          <w:sz w:val="20"/>
          <w:szCs w:val="20"/>
        </w:rPr>
        <w:t>t</w:t>
      </w:r>
      <w:r w:rsidRPr="000726D5">
        <w:rPr>
          <w:rFonts w:ascii="Calibri" w:hAnsi="Calibri"/>
          <w:color w:val="7F7F7F"/>
          <w:sz w:val="20"/>
          <w:szCs w:val="20"/>
        </w:rPr>
        <w:t xml:space="preserve">ogether </w:t>
      </w:r>
      <w:r>
        <w:rPr>
          <w:rFonts w:ascii="Calibri" w:hAnsi="Calibri"/>
          <w:color w:val="7F7F7F"/>
          <w:sz w:val="20"/>
          <w:szCs w:val="20"/>
        </w:rPr>
        <w:t>b</w:t>
      </w:r>
      <w:r w:rsidRPr="000726D5">
        <w:rPr>
          <w:rFonts w:ascii="Calibri" w:hAnsi="Calibri"/>
          <w:color w:val="7F7F7F"/>
          <w:sz w:val="20"/>
          <w:szCs w:val="20"/>
        </w:rPr>
        <w:t xml:space="preserve">efore </w:t>
      </w:r>
    </w:p>
    <w:p w14:paraId="2B7D5362" w14:textId="77777777" w:rsidR="00C65183" w:rsidRPr="000874D7" w:rsidRDefault="00C65183" w:rsidP="00C65183">
      <w:pPr>
        <w:tabs>
          <w:tab w:val="left" w:pos="180"/>
        </w:tabs>
        <w:spacing w:after="60"/>
        <w:jc w:val="both"/>
        <w:rPr>
          <w:rFonts w:ascii="Calibri" w:hAnsi="Calibri"/>
          <w:i/>
        </w:rPr>
      </w:pPr>
      <w:r w:rsidRPr="000874D7">
        <w:rPr>
          <w:rFonts w:ascii="Calibri" w:hAnsi="Calibri"/>
          <w:i/>
        </w:rPr>
        <w:t>De facto Marriages</w:t>
      </w:r>
      <w:r>
        <w:rPr>
          <w:rFonts w:ascii="Calibri" w:hAnsi="Calibri"/>
          <w:b/>
          <w:color w:val="7F7F7F"/>
        </w:rPr>
        <w:t xml:space="preserve">                                                                    </w:t>
      </w:r>
      <w:r>
        <w:rPr>
          <w:rFonts w:ascii="Calibri" w:hAnsi="Calibri"/>
          <w:color w:val="7F7F7F"/>
          <w:sz w:val="20"/>
          <w:szCs w:val="20"/>
        </w:rPr>
        <w:t>m</w:t>
      </w:r>
      <w:r w:rsidRPr="000726D5">
        <w:rPr>
          <w:rFonts w:ascii="Calibri" w:hAnsi="Calibri"/>
          <w:color w:val="7F7F7F"/>
          <w:sz w:val="20"/>
          <w:szCs w:val="20"/>
        </w:rPr>
        <w:t>arriage</w:t>
      </w:r>
      <w:r w:rsidRPr="00A6516A">
        <w:rPr>
          <w:rFonts w:ascii="Calibri" w:hAnsi="Calibri"/>
          <w:b/>
          <w:color w:val="7F7F7F"/>
        </w:rPr>
        <w:t>,</w:t>
      </w:r>
      <w:r>
        <w:rPr>
          <w:rFonts w:ascii="Calibri" w:hAnsi="Calibri"/>
          <w:b/>
          <w:color w:val="7F7F7F"/>
        </w:rPr>
        <w:t xml:space="preserve"> </w:t>
      </w:r>
      <w:r w:rsidRPr="000726D5">
        <w:rPr>
          <w:rFonts w:ascii="Calibri" w:hAnsi="Calibri"/>
          <w:color w:val="7F7F7F"/>
          <w:sz w:val="20"/>
          <w:szCs w:val="20"/>
        </w:rPr>
        <w:t xml:space="preserve">by </w:t>
      </w:r>
      <w:r>
        <w:rPr>
          <w:rFonts w:ascii="Calibri" w:hAnsi="Calibri"/>
          <w:color w:val="7F7F7F"/>
          <w:sz w:val="20"/>
          <w:szCs w:val="20"/>
        </w:rPr>
        <w:t>y</w:t>
      </w:r>
      <w:r w:rsidRPr="000726D5">
        <w:rPr>
          <w:rFonts w:ascii="Calibri" w:hAnsi="Calibri"/>
          <w:color w:val="7F7F7F"/>
          <w:sz w:val="20"/>
          <w:szCs w:val="20"/>
        </w:rPr>
        <w:t xml:space="preserve">ear of </w:t>
      </w:r>
      <w:r>
        <w:rPr>
          <w:rFonts w:ascii="Calibri" w:hAnsi="Calibri"/>
          <w:color w:val="7F7F7F"/>
          <w:sz w:val="20"/>
          <w:szCs w:val="20"/>
        </w:rPr>
        <w:t>m</w:t>
      </w:r>
      <w:r w:rsidRPr="000726D5">
        <w:rPr>
          <w:rFonts w:ascii="Calibri" w:hAnsi="Calibri"/>
          <w:color w:val="7F7F7F"/>
          <w:sz w:val="20"/>
          <w:szCs w:val="20"/>
        </w:rPr>
        <w:t>arriage: Australia, 1975-201</w:t>
      </w:r>
      <w:r>
        <w:rPr>
          <w:rFonts w:ascii="Calibri" w:hAnsi="Calibri"/>
          <w:color w:val="7F7F7F"/>
          <w:sz w:val="20"/>
          <w:szCs w:val="20"/>
        </w:rPr>
        <w:t>7</w:t>
      </w:r>
    </w:p>
    <w:p w14:paraId="01F49133" w14:textId="77777777" w:rsidR="00C65183" w:rsidRPr="00B22361" w:rsidRDefault="00C65183" w:rsidP="00C65183">
      <w:pPr>
        <w:tabs>
          <w:tab w:val="left" w:pos="180"/>
        </w:tabs>
        <w:spacing w:line="360" w:lineRule="auto"/>
        <w:jc w:val="both"/>
        <w:rPr>
          <w:rFonts w:ascii="Calibri" w:hAnsi="Calibri"/>
        </w:rPr>
      </w:pPr>
      <w:r>
        <w:rPr>
          <w:rFonts w:ascii="Calibri" w:hAnsi="Calibri"/>
          <w:noProof/>
        </w:rPr>
        <w:drawing>
          <wp:anchor distT="0" distB="0" distL="114300" distR="114300" simplePos="0" relativeHeight="251683840" behindDoc="0" locked="0" layoutInCell="1" allowOverlap="1" wp14:anchorId="004288D4" wp14:editId="1387EC42">
            <wp:simplePos x="0" y="0"/>
            <wp:positionH relativeFrom="margin">
              <wp:align>right</wp:align>
            </wp:positionH>
            <wp:positionV relativeFrom="paragraph">
              <wp:posOffset>80645</wp:posOffset>
            </wp:positionV>
            <wp:extent cx="3148965" cy="2536190"/>
            <wp:effectExtent l="0" t="0" r="0" b="0"/>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148965" cy="253619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en-AU"/>
        </w:rPr>
        <w:drawing>
          <wp:anchor distT="0" distB="0" distL="114300" distR="114300" simplePos="0" relativeHeight="251941888" behindDoc="0" locked="0" layoutInCell="1" allowOverlap="1" wp14:anchorId="607F5F24" wp14:editId="1171D502">
            <wp:simplePos x="0" y="0"/>
            <wp:positionH relativeFrom="column">
              <wp:posOffset>5160962</wp:posOffset>
            </wp:positionH>
            <wp:positionV relativeFrom="paragraph">
              <wp:posOffset>1186815</wp:posOffset>
            </wp:positionV>
            <wp:extent cx="1001078" cy="944161"/>
            <wp:effectExtent l="0" t="0" r="8890" b="8890"/>
            <wp:wrapNone/>
            <wp:docPr id="90" name="Picture 12" descr="Young cou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Young couple"/>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5499" r="15501" b="18942"/>
                    <a:stretch/>
                  </pic:blipFill>
                  <pic:spPr bwMode="auto">
                    <a:xfrm>
                      <a:off x="0" y="0"/>
                      <a:ext cx="1001078" cy="944161"/>
                    </a:xfrm>
                    <a:prstGeom prst="rect">
                      <a:avLst/>
                    </a:prstGeom>
                    <a:noFill/>
                    <a:ln>
                      <a:noFill/>
                    </a:ln>
                    <a:effectLst>
                      <a:softEdge rad="1270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en-AU"/>
        </w:rPr>
        <w:drawing>
          <wp:anchor distT="24384" distB="80010" distL="138684" distR="191516" simplePos="0" relativeHeight="251676672" behindDoc="0" locked="0" layoutInCell="1" allowOverlap="1" wp14:anchorId="57056D1D" wp14:editId="0637E501">
            <wp:simplePos x="0" y="0"/>
            <wp:positionH relativeFrom="column">
              <wp:posOffset>4671314</wp:posOffset>
            </wp:positionH>
            <wp:positionV relativeFrom="paragraph">
              <wp:posOffset>8439404</wp:posOffset>
            </wp:positionV>
            <wp:extent cx="1757680" cy="895096"/>
            <wp:effectExtent l="38100" t="38100" r="90170" b="95885"/>
            <wp:wrapNone/>
            <wp:docPr id="94" name="Picture 49" descr="marriag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49" descr="marriage 2.jpg"/>
                    <pic:cNvPicPr/>
                  </pic:nvPicPr>
                  <pic:blipFill>
                    <a:blip r:embed="rId34" cstate="print"/>
                    <a:stretch>
                      <a:fillRect/>
                    </a:stretch>
                  </pic:blipFill>
                  <pic:spPr>
                    <a:xfrm>
                      <a:off x="0" y="0"/>
                      <a:ext cx="1757680" cy="894715"/>
                    </a:xfrm>
                    <a:prstGeom prst="rect">
                      <a:avLst/>
                    </a:prstGeom>
                    <a:ln>
                      <a:no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Pr>
          <w:rFonts w:ascii="Calibri" w:hAnsi="Calibri"/>
        </w:rPr>
        <w:t>The popularity of de facto marriages has increased markedly during the past few decades, with the proportion of Australian couples who live together before becoming formally married rising from 16% in 1975, to 82% in 2017.</w:t>
      </w:r>
      <w:r w:rsidRPr="00A26B9C">
        <w:rPr>
          <w:noProof/>
          <w:sz w:val="12"/>
          <w:szCs w:val="12"/>
          <w:lang w:eastAsia="en-AU"/>
        </w:rPr>
        <w:drawing>
          <wp:anchor distT="24384" distB="80010" distL="138684" distR="191516" simplePos="0" relativeHeight="251674624" behindDoc="0" locked="0" layoutInCell="1" allowOverlap="1" wp14:anchorId="29590752" wp14:editId="577A91DB">
            <wp:simplePos x="0" y="0"/>
            <wp:positionH relativeFrom="column">
              <wp:posOffset>4671314</wp:posOffset>
            </wp:positionH>
            <wp:positionV relativeFrom="paragraph">
              <wp:posOffset>8439404</wp:posOffset>
            </wp:positionV>
            <wp:extent cx="1757680" cy="895096"/>
            <wp:effectExtent l="38100" t="38100" r="90170" b="95885"/>
            <wp:wrapNone/>
            <wp:docPr id="93" name="Picture 49" descr="marriag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49" descr="marriage 2.jpg"/>
                    <pic:cNvPicPr/>
                  </pic:nvPicPr>
                  <pic:blipFill>
                    <a:blip r:embed="rId34" cstate="print"/>
                    <a:stretch>
                      <a:fillRect/>
                    </a:stretch>
                  </pic:blipFill>
                  <pic:spPr>
                    <a:xfrm>
                      <a:off x="0" y="0"/>
                      <a:ext cx="1757680" cy="894715"/>
                    </a:xfrm>
                    <a:prstGeom prst="rect">
                      <a:avLst/>
                    </a:prstGeom>
                    <a:ln>
                      <a:no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1E7306A7" w14:textId="77777777" w:rsidR="00C65183" w:rsidRPr="0036219A" w:rsidRDefault="00C65183" w:rsidP="00C65183">
      <w:pPr>
        <w:tabs>
          <w:tab w:val="left" w:pos="180"/>
        </w:tabs>
        <w:spacing w:line="360" w:lineRule="auto"/>
        <w:jc w:val="both"/>
        <w:rPr>
          <w:rFonts w:ascii="Calibri" w:hAnsi="Calibri"/>
        </w:rPr>
      </w:pPr>
      <w:r>
        <w:rPr>
          <w:rFonts w:ascii="Calibri" w:hAnsi="Calibri"/>
        </w:rPr>
        <w:t>Australians</w:t>
      </w:r>
      <w:r w:rsidRPr="0036219A">
        <w:rPr>
          <w:rFonts w:ascii="Calibri" w:hAnsi="Calibri"/>
        </w:rPr>
        <w:t xml:space="preserve"> </w:t>
      </w:r>
      <w:r>
        <w:rPr>
          <w:rFonts w:ascii="Calibri" w:hAnsi="Calibri"/>
        </w:rPr>
        <w:t>chose to become formally married</w:t>
      </w:r>
      <w:r w:rsidRPr="0036219A">
        <w:rPr>
          <w:rFonts w:ascii="Calibri" w:hAnsi="Calibri"/>
        </w:rPr>
        <w:t xml:space="preserve"> less often</w:t>
      </w:r>
      <w:r>
        <w:rPr>
          <w:rFonts w:ascii="Calibri" w:hAnsi="Calibri"/>
        </w:rPr>
        <w:t>,</w:t>
      </w:r>
      <w:r w:rsidRPr="0036219A">
        <w:rPr>
          <w:rFonts w:ascii="Calibri" w:hAnsi="Calibri"/>
        </w:rPr>
        <w:t xml:space="preserve"> and later in life</w:t>
      </w:r>
      <w:r>
        <w:rPr>
          <w:rFonts w:ascii="Calibri" w:hAnsi="Calibri"/>
        </w:rPr>
        <w:t>,</w:t>
      </w:r>
      <w:r w:rsidRPr="0036219A">
        <w:rPr>
          <w:rFonts w:ascii="Calibri" w:hAnsi="Calibri"/>
        </w:rPr>
        <w:t xml:space="preserve"> than in the past, with the </w:t>
      </w:r>
      <w:r>
        <w:rPr>
          <w:rFonts w:ascii="Calibri" w:hAnsi="Calibri"/>
        </w:rPr>
        <w:t>proportion of people who are married</w:t>
      </w:r>
      <w:r w:rsidRPr="0036219A">
        <w:rPr>
          <w:rFonts w:ascii="Calibri" w:hAnsi="Calibri"/>
        </w:rPr>
        <w:t xml:space="preserve"> declining by nine-tenths among teenagers</w:t>
      </w:r>
      <w:r>
        <w:rPr>
          <w:rFonts w:ascii="Calibri" w:hAnsi="Calibri"/>
        </w:rPr>
        <w:t>,</w:t>
      </w:r>
      <w:r w:rsidRPr="0036219A">
        <w:rPr>
          <w:rFonts w:ascii="Calibri" w:hAnsi="Calibri"/>
        </w:rPr>
        <w:t xml:space="preserve"> and </w:t>
      </w:r>
      <w:r>
        <w:rPr>
          <w:rFonts w:ascii="Calibri" w:hAnsi="Calibri"/>
        </w:rPr>
        <w:t xml:space="preserve">by nearly four-fifths </w:t>
      </w:r>
      <w:r w:rsidRPr="0036219A">
        <w:rPr>
          <w:rFonts w:ascii="Calibri" w:hAnsi="Calibri"/>
        </w:rPr>
        <w:t>among young adults</w:t>
      </w:r>
      <w:r>
        <w:rPr>
          <w:rFonts w:ascii="Calibri" w:hAnsi="Calibri"/>
        </w:rPr>
        <w:t>, since the mid-1970s</w:t>
      </w:r>
      <w:r w:rsidRPr="0036219A">
        <w:rPr>
          <w:rFonts w:ascii="Calibri" w:hAnsi="Calibri"/>
        </w:rPr>
        <w:t xml:space="preserve">. </w:t>
      </w:r>
    </w:p>
    <w:p w14:paraId="3DD30631" w14:textId="77777777" w:rsidR="00C65183" w:rsidRPr="0001463B" w:rsidRDefault="00C65183" w:rsidP="00C65183">
      <w:pPr>
        <w:tabs>
          <w:tab w:val="left" w:pos="180"/>
        </w:tabs>
        <w:jc w:val="both"/>
        <w:rPr>
          <w:rFonts w:ascii="Calibri" w:hAnsi="Calibri"/>
          <w:sz w:val="6"/>
          <w:szCs w:val="6"/>
        </w:rPr>
      </w:pPr>
    </w:p>
    <w:p w14:paraId="63A16841" w14:textId="77777777" w:rsidR="00C65183" w:rsidRDefault="00C65183" w:rsidP="00C65183">
      <w:pPr>
        <w:tabs>
          <w:tab w:val="left" w:pos="180"/>
        </w:tabs>
        <w:jc w:val="both"/>
        <w:rPr>
          <w:rFonts w:ascii="Calibri" w:hAnsi="Calibri"/>
          <w:color w:val="7F7F7F"/>
          <w:sz w:val="20"/>
          <w:szCs w:val="20"/>
        </w:rPr>
      </w:pPr>
    </w:p>
    <w:p w14:paraId="42297961" w14:textId="77777777" w:rsidR="00C65183" w:rsidRPr="00A959A7" w:rsidRDefault="00C65183" w:rsidP="00C65183">
      <w:pPr>
        <w:tabs>
          <w:tab w:val="left" w:pos="180"/>
        </w:tabs>
        <w:jc w:val="both"/>
        <w:rPr>
          <w:rFonts w:ascii="Calibri" w:hAnsi="Calibri"/>
          <w:color w:val="7F7F7F"/>
          <w:sz w:val="20"/>
          <w:szCs w:val="20"/>
        </w:rPr>
      </w:pPr>
      <w:r>
        <w:rPr>
          <w:noProof/>
          <w:lang w:eastAsia="en-AU"/>
        </w:rPr>
        <w:drawing>
          <wp:anchor distT="0" distB="0" distL="114300" distR="114300" simplePos="0" relativeHeight="251679744" behindDoc="0" locked="0" layoutInCell="1" allowOverlap="1" wp14:anchorId="143A59D3" wp14:editId="1D94B046">
            <wp:simplePos x="0" y="0"/>
            <wp:positionH relativeFrom="column">
              <wp:posOffset>-2781300</wp:posOffset>
            </wp:positionH>
            <wp:positionV relativeFrom="paragraph">
              <wp:posOffset>30480</wp:posOffset>
            </wp:positionV>
            <wp:extent cx="669925" cy="533400"/>
            <wp:effectExtent l="0" t="0" r="0" b="0"/>
            <wp:wrapNone/>
            <wp:docPr id="98" name="Picture 98" descr="E:\Photos\Family Wedding R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E:\Photos\Family Wedding Ring.jpg"/>
                    <pic:cNvPicPr>
                      <a:picLocks noChangeAspect="1" noChangeArrowheads="1"/>
                    </pic:cNvPicPr>
                  </pic:nvPicPr>
                  <pic:blipFill>
                    <a:blip r:embed="rId35" cstate="print">
                      <a:extLst>
                        <a:ext uri="{28A0092B-C50C-407E-A947-70E740481C1C}">
                          <a14:useLocalDpi xmlns:a14="http://schemas.microsoft.com/office/drawing/2010/main" val="0"/>
                        </a:ext>
                      </a:extLst>
                    </a:blip>
                    <a:srcRect l="11543" t="15416" r="12724" b="15416"/>
                    <a:stretch>
                      <a:fillRect/>
                    </a:stretch>
                  </pic:blipFill>
                  <pic:spPr bwMode="auto">
                    <a:xfrm>
                      <a:off x="0" y="0"/>
                      <a:ext cx="669925" cy="533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959A7">
        <w:rPr>
          <w:rFonts w:ascii="Calibri" w:hAnsi="Calibri"/>
          <w:color w:val="7F7F7F"/>
          <w:sz w:val="20"/>
          <w:szCs w:val="20"/>
        </w:rPr>
        <w:t>Per cent of marriages presided over by a civil celebrant: Australia, 1901 to 201</w:t>
      </w:r>
      <w:r>
        <w:rPr>
          <w:rFonts w:ascii="Calibri" w:hAnsi="Calibri"/>
          <w:color w:val="7F7F7F"/>
          <w:sz w:val="20"/>
          <w:szCs w:val="20"/>
        </w:rPr>
        <w:t>8</w:t>
      </w:r>
    </w:p>
    <w:p w14:paraId="4C224A11" w14:textId="77777777" w:rsidR="00C65183" w:rsidRDefault="00C65183" w:rsidP="00C65183">
      <w:pPr>
        <w:tabs>
          <w:tab w:val="left" w:pos="180"/>
        </w:tabs>
        <w:spacing w:line="360" w:lineRule="auto"/>
        <w:jc w:val="both"/>
        <w:rPr>
          <w:rFonts w:ascii="Calibri" w:hAnsi="Calibri"/>
        </w:rPr>
      </w:pPr>
      <w:r>
        <w:rPr>
          <w:rFonts w:ascii="Calibri" w:hAnsi="Calibri"/>
          <w:noProof/>
        </w:rPr>
        <w:drawing>
          <wp:anchor distT="0" distB="0" distL="114300" distR="114300" simplePos="0" relativeHeight="251667456" behindDoc="0" locked="0" layoutInCell="1" allowOverlap="1" wp14:anchorId="6C3B1EE1" wp14:editId="331C9972">
            <wp:simplePos x="0" y="0"/>
            <wp:positionH relativeFrom="margin">
              <wp:posOffset>107950</wp:posOffset>
            </wp:positionH>
            <wp:positionV relativeFrom="paragraph">
              <wp:posOffset>1588</wp:posOffset>
            </wp:positionV>
            <wp:extent cx="3274060" cy="2385695"/>
            <wp:effectExtent l="0" t="0" r="2540" b="0"/>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274060" cy="2385695"/>
                    </a:xfrm>
                    <a:prstGeom prst="rect">
                      <a:avLst/>
                    </a:prstGeom>
                    <a:noFill/>
                  </pic:spPr>
                </pic:pic>
              </a:graphicData>
            </a:graphic>
            <wp14:sizeRelH relativeFrom="page">
              <wp14:pctWidth>0</wp14:pctWidth>
            </wp14:sizeRelH>
            <wp14:sizeRelV relativeFrom="page">
              <wp14:pctHeight>0</wp14:pctHeight>
            </wp14:sizeRelV>
          </wp:anchor>
        </w:drawing>
      </w:r>
    </w:p>
    <w:p w14:paraId="5A80411F" w14:textId="77777777" w:rsidR="00C65183" w:rsidRDefault="00C65183" w:rsidP="00C65183">
      <w:pPr>
        <w:tabs>
          <w:tab w:val="left" w:pos="180"/>
        </w:tabs>
        <w:spacing w:line="360" w:lineRule="auto"/>
        <w:jc w:val="both"/>
        <w:rPr>
          <w:rFonts w:ascii="Calibri" w:hAnsi="Calibri"/>
        </w:rPr>
      </w:pPr>
      <w:r w:rsidRPr="0036219A">
        <w:rPr>
          <w:rFonts w:ascii="Calibri" w:hAnsi="Calibri"/>
        </w:rPr>
        <w:t xml:space="preserve">Meantime, the influence of tradition upon marriage has eased, with the </w:t>
      </w:r>
      <w:r>
        <w:rPr>
          <w:rFonts w:ascii="Calibri" w:hAnsi="Calibri"/>
        </w:rPr>
        <w:t>proportion</w:t>
      </w:r>
      <w:r w:rsidRPr="0036219A">
        <w:rPr>
          <w:rFonts w:ascii="Calibri" w:hAnsi="Calibri"/>
        </w:rPr>
        <w:t xml:space="preserve"> of marriages presided over by a civil celebrant rising from </w:t>
      </w:r>
      <w:r>
        <w:rPr>
          <w:rFonts w:ascii="Calibri" w:hAnsi="Calibri"/>
        </w:rPr>
        <w:t xml:space="preserve">3% in 1906, to </w:t>
      </w:r>
      <w:r w:rsidRPr="0036219A">
        <w:rPr>
          <w:rFonts w:ascii="Calibri" w:hAnsi="Calibri"/>
        </w:rPr>
        <w:t xml:space="preserve">10% </w:t>
      </w:r>
      <w:r>
        <w:rPr>
          <w:rFonts w:ascii="Calibri" w:hAnsi="Calibri"/>
        </w:rPr>
        <w:t xml:space="preserve">by </w:t>
      </w:r>
      <w:r w:rsidRPr="0036219A">
        <w:rPr>
          <w:rFonts w:ascii="Calibri" w:hAnsi="Calibri"/>
        </w:rPr>
        <w:t>1960</w:t>
      </w:r>
      <w:r>
        <w:rPr>
          <w:rFonts w:ascii="Calibri" w:hAnsi="Calibri"/>
        </w:rPr>
        <w:t>,</w:t>
      </w:r>
      <w:r w:rsidRPr="0036219A">
        <w:rPr>
          <w:rFonts w:ascii="Calibri" w:hAnsi="Calibri"/>
        </w:rPr>
        <w:t xml:space="preserve"> </w:t>
      </w:r>
      <w:r>
        <w:rPr>
          <w:rFonts w:ascii="Calibri" w:hAnsi="Calibri"/>
        </w:rPr>
        <w:t>before surging to</w:t>
      </w:r>
      <w:r w:rsidRPr="0036219A">
        <w:rPr>
          <w:rFonts w:ascii="Calibri" w:hAnsi="Calibri"/>
        </w:rPr>
        <w:t xml:space="preserve"> </w:t>
      </w:r>
      <w:r>
        <w:rPr>
          <w:rFonts w:ascii="Calibri" w:hAnsi="Calibri"/>
        </w:rPr>
        <w:t>80</w:t>
      </w:r>
      <w:r w:rsidRPr="0036219A">
        <w:rPr>
          <w:rFonts w:ascii="Calibri" w:hAnsi="Calibri"/>
        </w:rPr>
        <w:t>% by 20</w:t>
      </w:r>
      <w:r>
        <w:rPr>
          <w:rFonts w:ascii="Calibri" w:hAnsi="Calibri"/>
        </w:rPr>
        <w:t xml:space="preserve">18. </w:t>
      </w:r>
    </w:p>
    <w:p w14:paraId="054F1F07" w14:textId="77777777" w:rsidR="00C65183" w:rsidRDefault="00C65183" w:rsidP="00C65183">
      <w:pPr>
        <w:tabs>
          <w:tab w:val="left" w:pos="180"/>
        </w:tabs>
        <w:spacing w:line="360" w:lineRule="auto"/>
        <w:jc w:val="both"/>
        <w:rPr>
          <w:rFonts w:ascii="Calibri" w:hAnsi="Calibri"/>
        </w:rPr>
      </w:pPr>
    </w:p>
    <w:p w14:paraId="4765FE13" w14:textId="77777777" w:rsidR="00C65183" w:rsidRDefault="00C65183" w:rsidP="00C65183">
      <w:pPr>
        <w:tabs>
          <w:tab w:val="left" w:pos="180"/>
        </w:tabs>
        <w:spacing w:line="360" w:lineRule="auto"/>
        <w:jc w:val="both"/>
        <w:rPr>
          <w:rFonts w:ascii="Calibri" w:hAnsi="Calibri"/>
        </w:rPr>
      </w:pPr>
    </w:p>
    <w:p w14:paraId="2ED0F106" w14:textId="77777777" w:rsidR="00C65183" w:rsidRDefault="00C65183" w:rsidP="00C65183">
      <w:pPr>
        <w:tabs>
          <w:tab w:val="left" w:pos="180"/>
        </w:tabs>
        <w:spacing w:line="360" w:lineRule="auto"/>
        <w:jc w:val="both"/>
        <w:rPr>
          <w:rFonts w:ascii="Calibri" w:hAnsi="Calibri"/>
        </w:rPr>
      </w:pPr>
    </w:p>
    <w:p w14:paraId="20BB5005" w14:textId="77777777" w:rsidR="00C65183" w:rsidRDefault="00C65183" w:rsidP="00C65183">
      <w:pPr>
        <w:tabs>
          <w:tab w:val="left" w:pos="180"/>
        </w:tabs>
        <w:spacing w:line="360" w:lineRule="auto"/>
        <w:jc w:val="both"/>
        <w:rPr>
          <w:rFonts w:ascii="Calibri" w:hAnsi="Calibri"/>
        </w:rPr>
      </w:pPr>
    </w:p>
    <w:p w14:paraId="4CF98551" w14:textId="77777777" w:rsidR="00C65183" w:rsidRPr="00352128" w:rsidRDefault="00C65183" w:rsidP="00C65183">
      <w:pPr>
        <w:tabs>
          <w:tab w:val="left" w:pos="180"/>
        </w:tabs>
        <w:spacing w:line="360" w:lineRule="auto"/>
        <w:jc w:val="both"/>
        <w:rPr>
          <w:rFonts w:ascii="Calibri" w:hAnsi="Calibri"/>
          <w:i/>
          <w:iCs/>
        </w:rPr>
      </w:pPr>
      <w:r w:rsidRPr="00352128">
        <w:rPr>
          <w:rFonts w:ascii="Calibri" w:hAnsi="Calibri"/>
          <w:i/>
          <w:iCs/>
        </w:rPr>
        <w:lastRenderedPageBreak/>
        <w:t>Forced Marriage</w:t>
      </w:r>
    </w:p>
    <w:p w14:paraId="1B7C426E" w14:textId="77777777" w:rsidR="00C65183" w:rsidRPr="00352128" w:rsidRDefault="00C65183" w:rsidP="00C65183">
      <w:pPr>
        <w:spacing w:line="360" w:lineRule="auto"/>
        <w:jc w:val="both"/>
        <w:rPr>
          <w:rFonts w:asciiTheme="minorHAnsi" w:hAnsiTheme="minorHAnsi" w:cstheme="minorHAnsi"/>
        </w:rPr>
      </w:pPr>
      <w:r w:rsidRPr="00352128">
        <w:rPr>
          <w:rFonts w:asciiTheme="minorHAnsi" w:hAnsiTheme="minorHAnsi" w:cstheme="minorHAnsi"/>
        </w:rPr>
        <w:t xml:space="preserve">Forced marriage occurs where one or both parties do not freely consent to the marriage, but are </w:t>
      </w:r>
      <w:r>
        <w:rPr>
          <w:rFonts w:asciiTheme="minorHAnsi" w:hAnsiTheme="minorHAnsi" w:cstheme="minorHAnsi"/>
        </w:rPr>
        <w:t>coerced</w:t>
      </w:r>
      <w:r w:rsidRPr="00352128">
        <w:rPr>
          <w:rFonts w:asciiTheme="minorHAnsi" w:hAnsiTheme="minorHAnsi" w:cstheme="minorHAnsi"/>
        </w:rPr>
        <w:t xml:space="preserve"> or deceived into participation, </w:t>
      </w:r>
      <w:r>
        <w:rPr>
          <w:rFonts w:asciiTheme="minorHAnsi" w:hAnsiTheme="minorHAnsi" w:cstheme="minorHAnsi"/>
        </w:rPr>
        <w:t>through</w:t>
      </w:r>
      <w:r w:rsidRPr="00352128">
        <w:rPr>
          <w:rFonts w:asciiTheme="minorHAnsi" w:hAnsiTheme="minorHAnsi" w:cstheme="minorHAnsi"/>
        </w:rPr>
        <w:t xml:space="preserve"> physical, psychological, financial</w:t>
      </w:r>
      <w:r>
        <w:rPr>
          <w:rFonts w:asciiTheme="minorHAnsi" w:hAnsiTheme="minorHAnsi" w:cstheme="minorHAnsi"/>
        </w:rPr>
        <w:t xml:space="preserve"> or</w:t>
      </w:r>
      <w:r w:rsidRPr="00352128">
        <w:rPr>
          <w:rFonts w:asciiTheme="minorHAnsi" w:hAnsiTheme="minorHAnsi" w:cstheme="minorHAnsi"/>
        </w:rPr>
        <w:t xml:space="preserve"> emotional pressures</w:t>
      </w:r>
      <w:r w:rsidRPr="00352128">
        <w:rPr>
          <w:rStyle w:val="FootnoteReference"/>
          <w:rFonts w:asciiTheme="minorHAnsi" w:hAnsiTheme="minorHAnsi" w:cstheme="minorHAnsi"/>
        </w:rPr>
        <w:footnoteReference w:id="1"/>
      </w:r>
      <w:r w:rsidRPr="00352128">
        <w:rPr>
          <w:rFonts w:asciiTheme="minorHAnsi" w:hAnsiTheme="minorHAnsi" w:cstheme="minorHAnsi"/>
        </w:rPr>
        <w:t>. Compliance may be e</w:t>
      </w:r>
      <w:r>
        <w:rPr>
          <w:rFonts w:asciiTheme="minorHAnsi" w:hAnsiTheme="minorHAnsi" w:cstheme="minorHAnsi"/>
        </w:rPr>
        <w:t>x</w:t>
      </w:r>
      <w:r w:rsidRPr="00352128">
        <w:rPr>
          <w:rFonts w:asciiTheme="minorHAnsi" w:hAnsiTheme="minorHAnsi" w:cstheme="minorHAnsi"/>
        </w:rPr>
        <w:t>acted through emotional pressure; threats to withdraw family support or evict; isolation from family, friends and the community; being held captive; threats of physical harm; and</w:t>
      </w:r>
      <w:r>
        <w:rPr>
          <w:rFonts w:asciiTheme="minorHAnsi" w:hAnsiTheme="minorHAnsi" w:cstheme="minorHAnsi"/>
        </w:rPr>
        <w:t xml:space="preserve"> even</w:t>
      </w:r>
      <w:r w:rsidRPr="00352128">
        <w:rPr>
          <w:rFonts w:asciiTheme="minorHAnsi" w:hAnsiTheme="minorHAnsi" w:cstheme="minorHAnsi"/>
        </w:rPr>
        <w:t xml:space="preserve"> murder</w:t>
      </w:r>
      <w:r w:rsidRPr="00352128">
        <w:rPr>
          <w:rStyle w:val="FootnoteReference"/>
          <w:rFonts w:asciiTheme="minorHAnsi" w:hAnsiTheme="minorHAnsi" w:cstheme="minorHAnsi"/>
        </w:rPr>
        <w:footnoteReference w:id="2"/>
      </w:r>
      <w:r w:rsidRPr="00352128">
        <w:rPr>
          <w:rFonts w:asciiTheme="minorHAnsi" w:hAnsiTheme="minorHAnsi" w:cstheme="minorHAnsi"/>
        </w:rPr>
        <w:t>. Young women account for about nine-tenths of victim/survivors of forced marriages</w:t>
      </w:r>
      <w:r w:rsidRPr="00352128">
        <w:rPr>
          <w:rStyle w:val="FootnoteReference"/>
          <w:rFonts w:asciiTheme="minorHAnsi" w:hAnsiTheme="minorHAnsi" w:cstheme="minorHAnsi"/>
        </w:rPr>
        <w:footnoteReference w:id="3"/>
      </w:r>
      <w:r w:rsidRPr="00352128">
        <w:rPr>
          <w:rStyle w:val="FootnoteReference"/>
          <w:rFonts w:asciiTheme="minorHAnsi" w:hAnsiTheme="minorHAnsi" w:cstheme="minorHAnsi"/>
        </w:rPr>
        <w:footnoteReference w:id="4"/>
      </w:r>
      <w:r w:rsidRPr="00352128">
        <w:rPr>
          <w:rFonts w:asciiTheme="minorHAnsi" w:hAnsiTheme="minorHAnsi" w:cstheme="minorHAnsi"/>
        </w:rPr>
        <w:t>.</w:t>
      </w:r>
      <w:r>
        <w:rPr>
          <w:rFonts w:asciiTheme="minorHAnsi" w:hAnsiTheme="minorHAnsi" w:cstheme="minorHAnsi"/>
        </w:rPr>
        <w:t xml:space="preserve"> </w:t>
      </w:r>
    </w:p>
    <w:p w14:paraId="090D2CD0" w14:textId="77777777" w:rsidR="00C65183" w:rsidRPr="00352128" w:rsidRDefault="00C65183" w:rsidP="00C65183">
      <w:pPr>
        <w:spacing w:line="360" w:lineRule="auto"/>
        <w:jc w:val="both"/>
        <w:rPr>
          <w:rFonts w:asciiTheme="minorHAnsi" w:hAnsiTheme="minorHAnsi" w:cstheme="minorHAnsi"/>
        </w:rPr>
      </w:pPr>
      <w:r>
        <w:rPr>
          <w:rFonts w:asciiTheme="minorHAnsi" w:hAnsiTheme="minorHAnsi" w:cstheme="minorHAnsi"/>
        </w:rPr>
        <w:t xml:space="preserve">Forced marriage is practised </w:t>
      </w:r>
      <w:r w:rsidRPr="00352128">
        <w:rPr>
          <w:rFonts w:asciiTheme="minorHAnsi" w:hAnsiTheme="minorHAnsi" w:cstheme="minorHAnsi"/>
        </w:rPr>
        <w:t xml:space="preserve">in 126 nations, with rates exceeding 30% in 34 countries, </w:t>
      </w:r>
      <w:r>
        <w:rPr>
          <w:rFonts w:asciiTheme="minorHAnsi" w:hAnsiTheme="minorHAnsi" w:cstheme="minorHAnsi"/>
        </w:rPr>
        <w:t xml:space="preserve">while </w:t>
      </w:r>
      <w:r w:rsidRPr="00352128">
        <w:rPr>
          <w:rFonts w:asciiTheme="minorHAnsi" w:hAnsiTheme="minorHAnsi" w:cstheme="minorHAnsi"/>
        </w:rPr>
        <w:t xml:space="preserve">in Australia, </w:t>
      </w:r>
      <w:r>
        <w:rPr>
          <w:rFonts w:asciiTheme="minorHAnsi" w:hAnsiTheme="minorHAnsi" w:cstheme="minorHAnsi"/>
        </w:rPr>
        <w:t xml:space="preserve">victim/survivors </w:t>
      </w:r>
      <w:r w:rsidRPr="00352128">
        <w:rPr>
          <w:rFonts w:asciiTheme="minorHAnsi" w:hAnsiTheme="minorHAnsi" w:cstheme="minorHAnsi"/>
        </w:rPr>
        <w:t xml:space="preserve">are </w:t>
      </w:r>
      <w:r>
        <w:rPr>
          <w:rFonts w:asciiTheme="minorHAnsi" w:hAnsiTheme="minorHAnsi" w:cstheme="minorHAnsi"/>
        </w:rPr>
        <w:t xml:space="preserve">largely </w:t>
      </w:r>
      <w:r w:rsidRPr="00352128">
        <w:rPr>
          <w:rFonts w:asciiTheme="minorHAnsi" w:hAnsiTheme="minorHAnsi" w:cstheme="minorHAnsi"/>
        </w:rPr>
        <w:t>from countries such as Afghanistan, Pakistan, India, Somalia, Fiji, Bangladesh, Sudan</w:t>
      </w:r>
      <w:r>
        <w:rPr>
          <w:rFonts w:asciiTheme="minorHAnsi" w:hAnsiTheme="minorHAnsi" w:cstheme="minorHAnsi"/>
        </w:rPr>
        <w:t>, and</w:t>
      </w:r>
      <w:r w:rsidRPr="00352128">
        <w:rPr>
          <w:rFonts w:asciiTheme="minorHAnsi" w:hAnsiTheme="minorHAnsi" w:cstheme="minorHAnsi"/>
        </w:rPr>
        <w:t xml:space="preserve"> Turkey</w:t>
      </w:r>
      <w:r>
        <w:rPr>
          <w:rFonts w:asciiTheme="minorHAnsi" w:hAnsiTheme="minorHAnsi" w:cstheme="minorHAnsi"/>
        </w:rPr>
        <w:t xml:space="preserve">, </w:t>
      </w:r>
      <w:r w:rsidRPr="00352128">
        <w:rPr>
          <w:rFonts w:asciiTheme="minorHAnsi" w:hAnsiTheme="minorHAnsi" w:cstheme="minorHAnsi"/>
        </w:rPr>
        <w:t xml:space="preserve">and </w:t>
      </w:r>
      <w:r>
        <w:rPr>
          <w:rFonts w:asciiTheme="minorHAnsi" w:hAnsiTheme="minorHAnsi" w:cstheme="minorHAnsi"/>
        </w:rPr>
        <w:t>most</w:t>
      </w:r>
      <w:r w:rsidRPr="00352128">
        <w:rPr>
          <w:rFonts w:asciiTheme="minorHAnsi" w:hAnsiTheme="minorHAnsi" w:cstheme="minorHAnsi"/>
        </w:rPr>
        <w:t xml:space="preserve"> are Muslims</w:t>
      </w:r>
      <w:r w:rsidRPr="00352128">
        <w:rPr>
          <w:rStyle w:val="FootnoteReference"/>
          <w:rFonts w:asciiTheme="minorHAnsi" w:hAnsiTheme="minorHAnsi" w:cstheme="minorHAnsi"/>
        </w:rPr>
        <w:footnoteReference w:id="5"/>
      </w:r>
      <w:r w:rsidRPr="00352128">
        <w:rPr>
          <w:rFonts w:asciiTheme="minorHAnsi" w:hAnsiTheme="minorHAnsi" w:cstheme="minorHAnsi"/>
        </w:rPr>
        <w:t>.</w:t>
      </w:r>
    </w:p>
    <w:p w14:paraId="597CD98A" w14:textId="77777777" w:rsidR="00C65183" w:rsidRPr="00352128" w:rsidRDefault="00C65183" w:rsidP="00C65183">
      <w:pPr>
        <w:spacing w:line="360" w:lineRule="auto"/>
        <w:jc w:val="both"/>
        <w:rPr>
          <w:rFonts w:asciiTheme="minorHAnsi" w:hAnsiTheme="minorHAnsi" w:cstheme="minorHAnsi"/>
        </w:rPr>
      </w:pPr>
      <w:r w:rsidRPr="00352128">
        <w:rPr>
          <w:rFonts w:asciiTheme="minorHAnsi" w:hAnsiTheme="minorHAnsi" w:cstheme="minorHAnsi"/>
        </w:rPr>
        <w:t>Such practices are most common among socially conservative, less educated families</w:t>
      </w:r>
      <w:r w:rsidRPr="00352128">
        <w:rPr>
          <w:rStyle w:val="FootnoteReference"/>
          <w:rFonts w:asciiTheme="minorHAnsi" w:hAnsiTheme="minorHAnsi" w:cstheme="minorHAnsi"/>
        </w:rPr>
        <w:footnoteReference w:id="6"/>
      </w:r>
      <w:r w:rsidRPr="00352128">
        <w:rPr>
          <w:rFonts w:asciiTheme="minorHAnsi" w:hAnsiTheme="minorHAnsi" w:cstheme="minorHAnsi"/>
        </w:rPr>
        <w:t>, often to uphold traditional social beliefs, control a girl they consider promiscuous or enable an intended spouse to settle in Australia.</w:t>
      </w:r>
      <w:r>
        <w:rPr>
          <w:rStyle w:val="FootnoteReference"/>
          <w:rFonts w:asciiTheme="minorHAnsi" w:hAnsiTheme="minorHAnsi" w:cstheme="minorHAnsi"/>
        </w:rPr>
        <w:footnoteReference w:id="7"/>
      </w:r>
      <w:r w:rsidRPr="00352128">
        <w:rPr>
          <w:rFonts w:asciiTheme="minorHAnsi" w:hAnsiTheme="minorHAnsi" w:cstheme="minorHAnsi"/>
        </w:rPr>
        <w:t xml:space="preserve"> The family often anticipates a dowry or ‘bride price’ and being relieved of the need to pay for her support.</w:t>
      </w:r>
      <w:r>
        <w:rPr>
          <w:rStyle w:val="FootnoteReference"/>
          <w:rFonts w:asciiTheme="minorHAnsi" w:hAnsiTheme="minorHAnsi" w:cstheme="minorHAnsi"/>
        </w:rPr>
        <w:footnoteReference w:id="8"/>
      </w:r>
      <w:r>
        <w:rPr>
          <w:rFonts w:asciiTheme="minorHAnsi" w:hAnsiTheme="minorHAnsi" w:cstheme="minorHAnsi"/>
        </w:rPr>
        <w:t xml:space="preserve"> </w:t>
      </w:r>
      <w:r w:rsidRPr="00352128">
        <w:rPr>
          <w:rFonts w:asciiTheme="minorHAnsi" w:hAnsiTheme="minorHAnsi" w:cstheme="minorHAnsi"/>
        </w:rPr>
        <w:t>Child victim/survivors of forced marriage are vulnerable to grievous and enduring harm, including physical and verbal abuse; restrictions upon their movement, access to money, employment and education; isolation from friends and family; arduous domestic servitude</w:t>
      </w:r>
      <w:r w:rsidRPr="00352128">
        <w:rPr>
          <w:rStyle w:val="FootnoteReference"/>
          <w:rFonts w:asciiTheme="minorHAnsi" w:hAnsiTheme="minorHAnsi" w:cstheme="minorHAnsi"/>
        </w:rPr>
        <w:footnoteReference w:id="9"/>
      </w:r>
      <w:r w:rsidRPr="00352128">
        <w:rPr>
          <w:rFonts w:asciiTheme="minorHAnsi" w:hAnsiTheme="minorHAnsi" w:cstheme="minorHAnsi"/>
        </w:rPr>
        <w:t>, and “…a lifetime of non</w:t>
      </w:r>
      <w:r>
        <w:rPr>
          <w:rFonts w:asciiTheme="minorHAnsi" w:hAnsiTheme="minorHAnsi" w:cstheme="minorHAnsi"/>
        </w:rPr>
        <w:t>-</w:t>
      </w:r>
      <w:r w:rsidRPr="00352128">
        <w:rPr>
          <w:rFonts w:asciiTheme="minorHAnsi" w:hAnsiTheme="minorHAnsi" w:cstheme="minorHAnsi"/>
        </w:rPr>
        <w:t>consensual or violent sexual intercourse [and] forced pregnancies…”</w:t>
      </w:r>
      <w:r w:rsidRPr="00352128">
        <w:rPr>
          <w:rStyle w:val="FootnoteReference"/>
          <w:rFonts w:asciiTheme="minorHAnsi" w:hAnsiTheme="minorHAnsi" w:cstheme="minorHAnsi"/>
        </w:rPr>
        <w:footnoteReference w:id="10"/>
      </w:r>
      <w:r w:rsidRPr="00352128">
        <w:rPr>
          <w:rFonts w:asciiTheme="minorHAnsi" w:hAnsiTheme="minorHAnsi" w:cstheme="minorHAnsi"/>
        </w:rPr>
        <w:t xml:space="preserve">. </w:t>
      </w:r>
    </w:p>
    <w:p w14:paraId="25B262E5" w14:textId="77777777" w:rsidR="00C65183" w:rsidRPr="00352128" w:rsidRDefault="00C65183" w:rsidP="00C65183">
      <w:pPr>
        <w:spacing w:line="360" w:lineRule="auto"/>
        <w:jc w:val="both"/>
        <w:rPr>
          <w:rFonts w:asciiTheme="minorHAnsi" w:hAnsiTheme="minorHAnsi" w:cstheme="minorHAnsi"/>
        </w:rPr>
      </w:pPr>
      <w:r w:rsidRPr="00352128">
        <w:rPr>
          <w:rFonts w:asciiTheme="minorHAnsi" w:hAnsiTheme="minorHAnsi" w:cstheme="minorHAnsi"/>
        </w:rPr>
        <w:t>Little is known about the prevalence of forced marriage in Australian society, since its victim/survivors are generally unable or unwilling to speak out against their families</w:t>
      </w:r>
      <w:r w:rsidRPr="00352128">
        <w:rPr>
          <w:rStyle w:val="FootnoteReference"/>
          <w:rFonts w:asciiTheme="minorHAnsi" w:hAnsiTheme="minorHAnsi" w:cstheme="minorHAnsi"/>
        </w:rPr>
        <w:footnoteReference w:id="11"/>
      </w:r>
      <w:r w:rsidRPr="00352128">
        <w:rPr>
          <w:rFonts w:asciiTheme="minorHAnsi" w:hAnsiTheme="minorHAnsi" w:cstheme="minorHAnsi"/>
        </w:rPr>
        <w:t xml:space="preserve">, though the prevalence of forced marriage appears higher than the number of formal reports of </w:t>
      </w:r>
      <w:r>
        <w:rPr>
          <w:rFonts w:asciiTheme="minorHAnsi" w:hAnsiTheme="minorHAnsi" w:cstheme="minorHAnsi"/>
        </w:rPr>
        <w:t>this crime</w:t>
      </w:r>
      <w:r w:rsidRPr="00352128">
        <w:rPr>
          <w:rFonts w:asciiTheme="minorHAnsi" w:hAnsiTheme="minorHAnsi" w:cstheme="minorHAnsi"/>
        </w:rPr>
        <w:t>. One survey of Australian service providers found that over half reporting that they had encountered clients at risk of such practices in the preceding two years</w:t>
      </w:r>
      <w:r w:rsidRPr="00352128">
        <w:rPr>
          <w:rStyle w:val="FootnoteReference"/>
          <w:rFonts w:asciiTheme="minorHAnsi" w:hAnsiTheme="minorHAnsi" w:cstheme="minorHAnsi"/>
        </w:rPr>
        <w:footnoteReference w:id="12"/>
      </w:r>
      <w:r w:rsidRPr="00352128">
        <w:rPr>
          <w:rFonts w:asciiTheme="minorHAnsi" w:hAnsiTheme="minorHAnsi" w:cstheme="minorHAnsi"/>
        </w:rPr>
        <w:t xml:space="preserve">. Moreover, </w:t>
      </w:r>
      <w:r>
        <w:rPr>
          <w:rFonts w:asciiTheme="minorHAnsi" w:hAnsiTheme="minorHAnsi" w:cstheme="minorHAnsi"/>
        </w:rPr>
        <w:t xml:space="preserve">many </w:t>
      </w:r>
      <w:r w:rsidRPr="00352128">
        <w:rPr>
          <w:rFonts w:asciiTheme="minorHAnsi" w:hAnsiTheme="minorHAnsi" w:cstheme="minorHAnsi"/>
        </w:rPr>
        <w:t xml:space="preserve">victim/survivors attest that family members, relatives and other community members were present at the wedding, often playing a formal role in the ceremony, and </w:t>
      </w:r>
      <w:r>
        <w:rPr>
          <w:rFonts w:asciiTheme="minorHAnsi" w:hAnsiTheme="minorHAnsi" w:cstheme="minorHAnsi"/>
        </w:rPr>
        <w:t xml:space="preserve">apparently </w:t>
      </w:r>
      <w:r w:rsidRPr="00352128">
        <w:rPr>
          <w:rFonts w:asciiTheme="minorHAnsi" w:hAnsiTheme="minorHAnsi" w:cstheme="minorHAnsi"/>
        </w:rPr>
        <w:t>aware of its coercive nature</w:t>
      </w:r>
      <w:r w:rsidRPr="00352128">
        <w:rPr>
          <w:rStyle w:val="FootnoteReference"/>
          <w:rFonts w:asciiTheme="minorHAnsi" w:hAnsiTheme="minorHAnsi" w:cstheme="minorHAnsi"/>
        </w:rPr>
        <w:footnoteReference w:id="13"/>
      </w:r>
      <w:r w:rsidRPr="00352128">
        <w:rPr>
          <w:rFonts w:asciiTheme="minorHAnsi" w:hAnsiTheme="minorHAnsi" w:cstheme="minorHAnsi"/>
        </w:rPr>
        <w:t>.</w:t>
      </w:r>
    </w:p>
    <w:p w14:paraId="4788A3E9" w14:textId="77777777" w:rsidR="00C65183" w:rsidRDefault="00C65183" w:rsidP="00C65183">
      <w:pPr>
        <w:spacing w:line="360" w:lineRule="auto"/>
        <w:jc w:val="both"/>
        <w:rPr>
          <w:rFonts w:asciiTheme="minorHAnsi" w:hAnsiTheme="minorHAnsi" w:cstheme="minorHAnsi"/>
        </w:rPr>
      </w:pPr>
      <w:r w:rsidRPr="00352128">
        <w:rPr>
          <w:rFonts w:asciiTheme="minorHAnsi" w:hAnsiTheme="minorHAnsi" w:cstheme="minorHAnsi"/>
        </w:rPr>
        <w:t>Proposed and actual measures to address forced marriage include consultation with the community, while improving detection of, and strengthening responses to, such crimes</w:t>
      </w:r>
      <w:r w:rsidRPr="00352128">
        <w:rPr>
          <w:rStyle w:val="FootnoteReference"/>
          <w:rFonts w:asciiTheme="minorHAnsi" w:hAnsiTheme="minorHAnsi" w:cstheme="minorHAnsi"/>
        </w:rPr>
        <w:footnoteReference w:id="14"/>
      </w:r>
      <w:r w:rsidRPr="00352128">
        <w:rPr>
          <w:rFonts w:asciiTheme="minorHAnsi" w:hAnsiTheme="minorHAnsi" w:cstheme="minorHAnsi"/>
        </w:rPr>
        <w:t xml:space="preserve">. </w:t>
      </w:r>
    </w:p>
    <w:p w14:paraId="60050EBD" w14:textId="77777777" w:rsidR="00C65183" w:rsidRDefault="00C65183" w:rsidP="00C65183">
      <w:pPr>
        <w:rPr>
          <w:rFonts w:asciiTheme="minorHAnsi" w:hAnsiTheme="minorHAnsi" w:cstheme="minorHAnsi"/>
        </w:rPr>
      </w:pPr>
      <w:r>
        <w:rPr>
          <w:rFonts w:asciiTheme="minorHAnsi" w:hAnsiTheme="minorHAnsi" w:cstheme="minorHAnsi"/>
        </w:rPr>
        <w:br w:type="page"/>
      </w:r>
    </w:p>
    <w:p w14:paraId="3D13547C" w14:textId="77777777" w:rsidR="00C65183" w:rsidRPr="00827F47" w:rsidRDefault="00C65183" w:rsidP="00C65183">
      <w:pPr>
        <w:pBdr>
          <w:top w:val="single" w:sz="4" w:space="0" w:color="244061" w:themeColor="accent1" w:themeShade="80"/>
          <w:bottom w:val="single" w:sz="4" w:space="1" w:color="244061" w:themeColor="accent1" w:themeShade="80"/>
        </w:pBdr>
        <w:tabs>
          <w:tab w:val="center" w:pos="4678"/>
        </w:tabs>
        <w:jc w:val="center"/>
        <w:rPr>
          <w:rFonts w:ascii="Garamond" w:hAnsi="Garamond"/>
          <w:noProof/>
          <w:color w:val="244061" w:themeColor="accent1" w:themeShade="80"/>
          <w:sz w:val="36"/>
          <w:szCs w:val="36"/>
        </w:rPr>
      </w:pPr>
      <w:r w:rsidRPr="00827F47">
        <w:rPr>
          <w:rFonts w:ascii="Garamond" w:hAnsi="Garamond"/>
          <w:noProof/>
          <w:color w:val="244061" w:themeColor="accent1" w:themeShade="80"/>
          <w:sz w:val="36"/>
          <w:szCs w:val="36"/>
        </w:rPr>
        <w:lastRenderedPageBreak/>
        <w:t>Young People</w:t>
      </w:r>
    </w:p>
    <w:p w14:paraId="299CDB23" w14:textId="77777777" w:rsidR="00C65183" w:rsidRDefault="00C65183" w:rsidP="00C65183">
      <w:pPr>
        <w:tabs>
          <w:tab w:val="left" w:pos="284"/>
        </w:tabs>
        <w:jc w:val="both"/>
        <w:rPr>
          <w:sz w:val="10"/>
          <w:szCs w:val="10"/>
        </w:rPr>
      </w:pPr>
    </w:p>
    <w:p w14:paraId="018F8923" w14:textId="77777777" w:rsidR="00C65183" w:rsidRPr="002B7D52" w:rsidRDefault="00C65183" w:rsidP="00C65183">
      <w:pPr>
        <w:tabs>
          <w:tab w:val="left" w:pos="284"/>
        </w:tabs>
        <w:spacing w:line="360" w:lineRule="auto"/>
        <w:jc w:val="both"/>
        <w:rPr>
          <w:rFonts w:ascii="Calibri" w:hAnsi="Calibri"/>
        </w:rPr>
      </w:pPr>
      <w:r w:rsidRPr="002B7D52">
        <w:rPr>
          <w:rFonts w:ascii="Calibri" w:hAnsi="Calibri"/>
        </w:rPr>
        <w:t>Persons aged 12 to 2</w:t>
      </w:r>
      <w:r>
        <w:rPr>
          <w:rFonts w:ascii="Calibri" w:hAnsi="Calibri"/>
        </w:rPr>
        <w:t>5</w:t>
      </w:r>
      <w:r w:rsidRPr="002B7D52">
        <w:rPr>
          <w:rFonts w:ascii="Calibri" w:hAnsi="Calibri"/>
        </w:rPr>
        <w:t xml:space="preserve"> years are counted here as young people, as this </w:t>
      </w:r>
      <w:r>
        <w:rPr>
          <w:rFonts w:ascii="Calibri" w:hAnsi="Calibri"/>
        </w:rPr>
        <w:t xml:space="preserve">range </w:t>
      </w:r>
      <w:r w:rsidRPr="002B7D52">
        <w:rPr>
          <w:rFonts w:ascii="Calibri" w:hAnsi="Calibri"/>
        </w:rPr>
        <w:t xml:space="preserve">best matches the age span of those assisted by </w:t>
      </w:r>
      <w:r>
        <w:rPr>
          <w:rFonts w:ascii="Calibri" w:hAnsi="Calibri"/>
        </w:rPr>
        <w:t>most youth service providers</w:t>
      </w:r>
      <w:r w:rsidRPr="002B7D52">
        <w:rPr>
          <w:rFonts w:ascii="Calibri" w:hAnsi="Calibri"/>
        </w:rPr>
        <w:t xml:space="preserve">. In some instances </w:t>
      </w:r>
      <w:r>
        <w:rPr>
          <w:rFonts w:ascii="Calibri" w:hAnsi="Calibri"/>
        </w:rPr>
        <w:t>though</w:t>
      </w:r>
      <w:r w:rsidRPr="002B7D52">
        <w:rPr>
          <w:rFonts w:ascii="Calibri" w:hAnsi="Calibri"/>
        </w:rPr>
        <w:t xml:space="preserve">, other ages are specified, either to </w:t>
      </w:r>
      <w:r>
        <w:rPr>
          <w:rFonts w:ascii="Calibri" w:hAnsi="Calibri"/>
        </w:rPr>
        <w:t>match</w:t>
      </w:r>
      <w:r w:rsidRPr="002B7D52">
        <w:rPr>
          <w:rFonts w:ascii="Calibri" w:hAnsi="Calibri"/>
        </w:rPr>
        <w:t xml:space="preserve"> the structure of the available data or because an alternative range </w:t>
      </w:r>
      <w:r>
        <w:rPr>
          <w:rFonts w:ascii="Calibri" w:hAnsi="Calibri"/>
        </w:rPr>
        <w:t>is more suitable</w:t>
      </w:r>
      <w:r w:rsidRPr="002B7D52">
        <w:rPr>
          <w:rFonts w:ascii="Calibri" w:hAnsi="Calibri"/>
        </w:rPr>
        <w:t>.</w:t>
      </w:r>
    </w:p>
    <w:p w14:paraId="7A8CB8C3" w14:textId="77777777" w:rsidR="00C65183" w:rsidRPr="002B7D52" w:rsidRDefault="00C65183" w:rsidP="00C65183">
      <w:pPr>
        <w:tabs>
          <w:tab w:val="left" w:pos="284"/>
        </w:tabs>
        <w:spacing w:after="60"/>
        <w:jc w:val="both"/>
        <w:rPr>
          <w:rFonts w:ascii="Calibri" w:hAnsi="Calibri"/>
          <w:b/>
        </w:rPr>
      </w:pPr>
      <w:r>
        <w:rPr>
          <w:rFonts w:ascii="Calibri" w:hAnsi="Calibri"/>
          <w:b/>
          <w:noProof/>
          <w:lang w:eastAsia="en-AU"/>
        </w:rPr>
        <w:drawing>
          <wp:anchor distT="0" distB="0" distL="114300" distR="114300" simplePos="0" relativeHeight="251684864" behindDoc="1" locked="0" layoutInCell="1" allowOverlap="1" wp14:anchorId="6B37800E" wp14:editId="4B388A87">
            <wp:simplePos x="0" y="0"/>
            <wp:positionH relativeFrom="column">
              <wp:posOffset>2456180</wp:posOffset>
            </wp:positionH>
            <wp:positionV relativeFrom="paragraph">
              <wp:posOffset>31750</wp:posOffset>
            </wp:positionV>
            <wp:extent cx="3705860" cy="3718560"/>
            <wp:effectExtent l="0" t="0" r="8890" b="0"/>
            <wp:wrapTight wrapText="bothSides">
              <wp:wrapPolygon edited="0">
                <wp:start x="0" y="0"/>
                <wp:lineTo x="0" y="21467"/>
                <wp:lineTo x="21541" y="21467"/>
                <wp:lineTo x="21541" y="0"/>
                <wp:lineTo x="0" y="0"/>
              </wp:wrapPolygon>
            </wp:wrapTight>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7">
                      <a:extLst>
                        <a:ext uri="{28A0092B-C50C-407E-A947-70E740481C1C}">
                          <a14:useLocalDpi xmlns:a14="http://schemas.microsoft.com/office/drawing/2010/main" val="0"/>
                        </a:ext>
                      </a:extLst>
                    </a:blip>
                    <a:srcRect l="1250" r="4015" b="2681"/>
                    <a:stretch>
                      <a:fillRect/>
                    </a:stretch>
                  </pic:blipFill>
                  <pic:spPr bwMode="auto">
                    <a:xfrm>
                      <a:off x="0" y="0"/>
                      <a:ext cx="3705860" cy="3718560"/>
                    </a:xfrm>
                    <a:prstGeom prst="rect">
                      <a:avLst/>
                    </a:prstGeom>
                    <a:noFill/>
                  </pic:spPr>
                </pic:pic>
              </a:graphicData>
            </a:graphic>
            <wp14:sizeRelH relativeFrom="page">
              <wp14:pctWidth>0</wp14:pctWidth>
            </wp14:sizeRelH>
            <wp14:sizeRelV relativeFrom="page">
              <wp14:pctHeight>0</wp14:pctHeight>
            </wp14:sizeRelV>
          </wp:anchor>
        </w:drawing>
      </w:r>
      <w:r w:rsidRPr="002B7D52">
        <w:rPr>
          <w:rFonts w:ascii="Calibri" w:hAnsi="Calibri"/>
          <w:b/>
        </w:rPr>
        <w:t xml:space="preserve">Cultural Diversity </w:t>
      </w:r>
    </w:p>
    <w:p w14:paraId="039901C3" w14:textId="77777777" w:rsidR="00C65183" w:rsidRPr="002B7D52" w:rsidRDefault="00C65183" w:rsidP="00C65183">
      <w:pPr>
        <w:tabs>
          <w:tab w:val="left" w:pos="284"/>
        </w:tabs>
        <w:spacing w:line="360" w:lineRule="auto"/>
        <w:ind w:right="5670"/>
        <w:jc w:val="both"/>
        <w:rPr>
          <w:rFonts w:ascii="Calibri" w:hAnsi="Calibri"/>
        </w:rPr>
      </w:pPr>
      <w:r>
        <w:rPr>
          <w:rFonts w:ascii="Calibri" w:hAnsi="Calibri"/>
          <w:noProof/>
        </w:rPr>
        <w:t>In 2016, just over</w:t>
      </w:r>
      <w:r w:rsidRPr="002B7D52">
        <w:rPr>
          <w:rFonts w:ascii="Calibri" w:hAnsi="Calibri"/>
          <w:noProof/>
        </w:rPr>
        <w:t xml:space="preserve"> half</w:t>
      </w:r>
      <w:r w:rsidRPr="002B7D52">
        <w:rPr>
          <w:rFonts w:ascii="Calibri" w:hAnsi="Calibri"/>
        </w:rPr>
        <w:t xml:space="preserve"> </w:t>
      </w:r>
      <w:r w:rsidRPr="002B7D52">
        <w:rPr>
          <w:rFonts w:ascii="Calibri" w:hAnsi="Calibri"/>
          <w:sz w:val="18"/>
          <w:szCs w:val="18"/>
        </w:rPr>
        <w:t>(</w:t>
      </w:r>
      <w:r>
        <w:rPr>
          <w:rFonts w:ascii="Calibri" w:hAnsi="Calibri"/>
          <w:sz w:val="18"/>
          <w:szCs w:val="18"/>
        </w:rPr>
        <w:t>50.1</w:t>
      </w:r>
      <w:r w:rsidRPr="002B7D52">
        <w:rPr>
          <w:rFonts w:ascii="Calibri" w:hAnsi="Calibri"/>
          <w:sz w:val="18"/>
          <w:szCs w:val="18"/>
        </w:rPr>
        <w:t>%)</w:t>
      </w:r>
      <w:r w:rsidRPr="002B7D52">
        <w:rPr>
          <w:rFonts w:ascii="Calibri" w:hAnsi="Calibri"/>
        </w:rPr>
        <w:t xml:space="preserve"> of </w:t>
      </w:r>
      <w:r>
        <w:rPr>
          <w:rFonts w:ascii="Calibri" w:hAnsi="Calibri"/>
        </w:rPr>
        <w:t xml:space="preserve">Greater Dandenong </w:t>
      </w:r>
      <w:r w:rsidRPr="002B7D52">
        <w:rPr>
          <w:rFonts w:ascii="Calibri" w:hAnsi="Calibri"/>
        </w:rPr>
        <w:t xml:space="preserve">residents aged 12-25 were born overseas. They come from </w:t>
      </w:r>
      <w:r>
        <w:rPr>
          <w:rFonts w:ascii="Calibri" w:hAnsi="Calibri"/>
        </w:rPr>
        <w:t>104</w:t>
      </w:r>
      <w:r w:rsidRPr="002B7D52">
        <w:rPr>
          <w:rFonts w:ascii="Calibri" w:hAnsi="Calibri"/>
        </w:rPr>
        <w:t xml:space="preserve"> </w:t>
      </w:r>
      <w:r>
        <w:rPr>
          <w:rFonts w:ascii="Calibri" w:hAnsi="Calibri"/>
        </w:rPr>
        <w:t xml:space="preserve">different </w:t>
      </w:r>
      <w:r w:rsidRPr="002B7D52">
        <w:rPr>
          <w:rFonts w:ascii="Calibri" w:hAnsi="Calibri"/>
        </w:rPr>
        <w:t>birthplaces, including India</w:t>
      </w:r>
      <w:r>
        <w:rPr>
          <w:rFonts w:ascii="Calibri" w:hAnsi="Calibri"/>
        </w:rPr>
        <w:t xml:space="preserve">, Afghanistan, </w:t>
      </w:r>
      <w:r w:rsidRPr="002B7D52">
        <w:rPr>
          <w:rFonts w:ascii="Calibri" w:hAnsi="Calibri"/>
        </w:rPr>
        <w:t>Vietnam</w:t>
      </w:r>
      <w:r>
        <w:rPr>
          <w:rFonts w:ascii="Calibri" w:hAnsi="Calibri"/>
        </w:rPr>
        <w:t xml:space="preserve">, </w:t>
      </w:r>
      <w:r w:rsidRPr="002B7D52">
        <w:rPr>
          <w:rFonts w:ascii="Calibri" w:hAnsi="Calibri"/>
        </w:rPr>
        <w:t>Cambodia</w:t>
      </w:r>
      <w:r>
        <w:rPr>
          <w:rFonts w:ascii="Calibri" w:hAnsi="Calibri"/>
        </w:rPr>
        <w:t xml:space="preserve">, </w:t>
      </w:r>
      <w:r w:rsidRPr="002B7D52">
        <w:rPr>
          <w:rFonts w:ascii="Calibri" w:hAnsi="Calibri"/>
        </w:rPr>
        <w:t xml:space="preserve">Sri Lanka, China, </w:t>
      </w:r>
      <w:r>
        <w:rPr>
          <w:rFonts w:ascii="Calibri" w:hAnsi="Calibri"/>
        </w:rPr>
        <w:t>Pakistan and Burma</w:t>
      </w:r>
      <w:r w:rsidRPr="002B7D52">
        <w:rPr>
          <w:rFonts w:ascii="Calibri" w:hAnsi="Calibri"/>
          <w:sz w:val="18"/>
          <w:szCs w:val="18"/>
        </w:rPr>
        <w:t>.</w:t>
      </w:r>
      <w:r w:rsidRPr="002B7D52">
        <w:rPr>
          <w:rFonts w:ascii="Calibri" w:hAnsi="Calibri"/>
        </w:rPr>
        <w:t xml:space="preserve"> </w:t>
      </w:r>
    </w:p>
    <w:p w14:paraId="1FE54AAB" w14:textId="77777777" w:rsidR="00C65183" w:rsidRDefault="00C65183" w:rsidP="00C65183">
      <w:pPr>
        <w:tabs>
          <w:tab w:val="left" w:pos="284"/>
        </w:tabs>
        <w:spacing w:before="120" w:line="360" w:lineRule="auto"/>
        <w:jc w:val="both"/>
        <w:rPr>
          <w:rFonts w:ascii="Calibri" w:hAnsi="Calibri"/>
          <w:b/>
          <w:sz w:val="10"/>
          <w:szCs w:val="10"/>
        </w:rPr>
      </w:pPr>
    </w:p>
    <w:p w14:paraId="3A6E37C5" w14:textId="77777777" w:rsidR="00C65183" w:rsidRDefault="00C65183" w:rsidP="00C65183">
      <w:pPr>
        <w:tabs>
          <w:tab w:val="left" w:pos="284"/>
        </w:tabs>
        <w:spacing w:after="60"/>
        <w:jc w:val="both"/>
        <w:rPr>
          <w:rFonts w:ascii="Calibri" w:hAnsi="Calibri"/>
          <w:b/>
        </w:rPr>
      </w:pPr>
      <w:r>
        <w:rPr>
          <w:rFonts w:ascii="Calibri" w:hAnsi="Calibri"/>
          <w:color w:val="7F7F7F"/>
          <w:sz w:val="20"/>
          <w:szCs w:val="20"/>
        </w:rPr>
        <w:t>Birthplaces</w:t>
      </w:r>
      <w:r w:rsidRPr="002874B0">
        <w:rPr>
          <w:rFonts w:ascii="Calibri" w:hAnsi="Calibri"/>
          <w:color w:val="7F7F7F"/>
          <w:sz w:val="20"/>
          <w:szCs w:val="20"/>
        </w:rPr>
        <w:t>: persons aged 12 to 24, Greater Dandenong, 201</w:t>
      </w:r>
      <w:r>
        <w:rPr>
          <w:rFonts w:ascii="Calibri" w:hAnsi="Calibri"/>
          <w:color w:val="7F7F7F"/>
          <w:sz w:val="20"/>
          <w:szCs w:val="20"/>
        </w:rPr>
        <w:t>6</w:t>
      </w:r>
    </w:p>
    <w:p w14:paraId="315E5C81" w14:textId="77777777" w:rsidR="00C65183" w:rsidRDefault="00C65183" w:rsidP="00C65183">
      <w:pPr>
        <w:tabs>
          <w:tab w:val="left" w:pos="284"/>
        </w:tabs>
        <w:spacing w:before="120" w:line="360" w:lineRule="auto"/>
        <w:jc w:val="both"/>
        <w:rPr>
          <w:rFonts w:ascii="Calibri" w:hAnsi="Calibri"/>
          <w:b/>
          <w:sz w:val="10"/>
          <w:szCs w:val="10"/>
        </w:rPr>
      </w:pPr>
      <w:r>
        <w:rPr>
          <w:rFonts w:ascii="Calibri" w:hAnsi="Calibri"/>
          <w:b/>
          <w:noProof/>
          <w:sz w:val="10"/>
          <w:szCs w:val="10"/>
          <w:lang w:eastAsia="en-AU"/>
        </w:rPr>
        <w:drawing>
          <wp:anchor distT="0" distB="0" distL="114300" distR="114300" simplePos="0" relativeHeight="251689984" behindDoc="0" locked="0" layoutInCell="1" allowOverlap="1" wp14:anchorId="5327372E" wp14:editId="227CCD42">
            <wp:simplePos x="0" y="0"/>
            <wp:positionH relativeFrom="column">
              <wp:posOffset>13335</wp:posOffset>
            </wp:positionH>
            <wp:positionV relativeFrom="paragraph">
              <wp:posOffset>163195</wp:posOffset>
            </wp:positionV>
            <wp:extent cx="1238250" cy="1225550"/>
            <wp:effectExtent l="0" t="0" r="0" b="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munity Youth 3.JPG"/>
                    <pic:cNvPicPr/>
                  </pic:nvPicPr>
                  <pic:blipFill rotWithShape="1">
                    <a:blip r:embed="rId38" cstate="print">
                      <a:extLst>
                        <a:ext uri="{BEBA8EAE-BF5A-486C-A8C5-ECC9F3942E4B}">
                          <a14:imgProps xmlns:a14="http://schemas.microsoft.com/office/drawing/2010/main">
                            <a14:imgLayer r:embed="rId39">
                              <a14:imgEffect>
                                <a14:brightnessContrast bright="20000" contrast="-20000"/>
                              </a14:imgEffect>
                            </a14:imgLayer>
                          </a14:imgProps>
                        </a:ext>
                        <a:ext uri="{28A0092B-C50C-407E-A947-70E740481C1C}">
                          <a14:useLocalDpi xmlns:a14="http://schemas.microsoft.com/office/drawing/2010/main" val="0"/>
                        </a:ext>
                      </a:extLst>
                    </a:blip>
                    <a:srcRect l="30657" t="15326" r="21898" b="14234"/>
                    <a:stretch/>
                  </pic:blipFill>
                  <pic:spPr bwMode="auto">
                    <a:xfrm>
                      <a:off x="0" y="0"/>
                      <a:ext cx="1238250" cy="122555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C0F95D6" w14:textId="77777777" w:rsidR="00C65183" w:rsidRDefault="00C65183" w:rsidP="00C65183">
      <w:pPr>
        <w:tabs>
          <w:tab w:val="left" w:pos="284"/>
        </w:tabs>
        <w:spacing w:line="360" w:lineRule="auto"/>
        <w:jc w:val="both"/>
        <w:rPr>
          <w:rFonts w:ascii="Calibri" w:hAnsi="Calibri"/>
          <w:b/>
          <w:sz w:val="10"/>
          <w:szCs w:val="10"/>
        </w:rPr>
      </w:pPr>
    </w:p>
    <w:p w14:paraId="4CF3E578" w14:textId="77777777" w:rsidR="00C65183" w:rsidRDefault="00C65183" w:rsidP="00C65183">
      <w:pPr>
        <w:tabs>
          <w:tab w:val="left" w:pos="284"/>
        </w:tabs>
        <w:spacing w:line="360" w:lineRule="auto"/>
        <w:jc w:val="both"/>
        <w:rPr>
          <w:rFonts w:ascii="Calibri" w:hAnsi="Calibri"/>
          <w:b/>
          <w:sz w:val="10"/>
          <w:szCs w:val="10"/>
        </w:rPr>
      </w:pPr>
    </w:p>
    <w:p w14:paraId="43B7054F" w14:textId="77777777" w:rsidR="00C65183" w:rsidRDefault="00C65183" w:rsidP="00C65183">
      <w:pPr>
        <w:tabs>
          <w:tab w:val="left" w:pos="284"/>
        </w:tabs>
        <w:spacing w:line="360" w:lineRule="auto"/>
        <w:jc w:val="both"/>
        <w:rPr>
          <w:rFonts w:ascii="Calibri" w:hAnsi="Calibri"/>
          <w:b/>
          <w:sz w:val="10"/>
          <w:szCs w:val="10"/>
        </w:rPr>
      </w:pPr>
    </w:p>
    <w:p w14:paraId="5F5383EF" w14:textId="77777777" w:rsidR="00C65183" w:rsidRDefault="00C65183" w:rsidP="00C65183">
      <w:pPr>
        <w:tabs>
          <w:tab w:val="left" w:pos="284"/>
        </w:tabs>
        <w:spacing w:line="360" w:lineRule="auto"/>
        <w:jc w:val="both"/>
        <w:rPr>
          <w:rFonts w:ascii="Calibri" w:hAnsi="Calibri"/>
          <w:b/>
          <w:sz w:val="10"/>
          <w:szCs w:val="10"/>
        </w:rPr>
      </w:pPr>
    </w:p>
    <w:p w14:paraId="21F958AB" w14:textId="77777777" w:rsidR="00C65183" w:rsidRDefault="00C65183" w:rsidP="00C65183">
      <w:pPr>
        <w:tabs>
          <w:tab w:val="left" w:pos="284"/>
        </w:tabs>
        <w:spacing w:line="360" w:lineRule="auto"/>
        <w:jc w:val="both"/>
        <w:rPr>
          <w:rFonts w:ascii="Calibri" w:hAnsi="Calibri"/>
          <w:b/>
          <w:sz w:val="10"/>
          <w:szCs w:val="10"/>
        </w:rPr>
      </w:pPr>
    </w:p>
    <w:p w14:paraId="75CB60B9" w14:textId="77777777" w:rsidR="00C65183" w:rsidRDefault="00C65183" w:rsidP="00C65183">
      <w:pPr>
        <w:tabs>
          <w:tab w:val="left" w:pos="284"/>
        </w:tabs>
        <w:spacing w:line="360" w:lineRule="auto"/>
        <w:jc w:val="both"/>
        <w:rPr>
          <w:rFonts w:ascii="Calibri" w:hAnsi="Calibri"/>
          <w:b/>
          <w:sz w:val="10"/>
          <w:szCs w:val="10"/>
        </w:rPr>
      </w:pPr>
    </w:p>
    <w:p w14:paraId="164A99C9" w14:textId="77777777" w:rsidR="00C65183" w:rsidRDefault="00C65183" w:rsidP="00C65183">
      <w:pPr>
        <w:tabs>
          <w:tab w:val="left" w:pos="284"/>
        </w:tabs>
        <w:spacing w:line="360" w:lineRule="auto"/>
        <w:jc w:val="both"/>
        <w:rPr>
          <w:rFonts w:ascii="Calibri" w:hAnsi="Calibri"/>
          <w:b/>
          <w:sz w:val="10"/>
          <w:szCs w:val="10"/>
        </w:rPr>
      </w:pPr>
    </w:p>
    <w:p w14:paraId="46FA822B" w14:textId="77777777" w:rsidR="00C65183" w:rsidRDefault="00C65183" w:rsidP="00C65183">
      <w:pPr>
        <w:tabs>
          <w:tab w:val="left" w:pos="284"/>
        </w:tabs>
        <w:spacing w:line="360" w:lineRule="auto"/>
        <w:jc w:val="both"/>
        <w:rPr>
          <w:rFonts w:ascii="Calibri" w:hAnsi="Calibri"/>
          <w:b/>
          <w:sz w:val="10"/>
          <w:szCs w:val="10"/>
        </w:rPr>
      </w:pPr>
    </w:p>
    <w:p w14:paraId="136096C6" w14:textId="77777777" w:rsidR="00C65183" w:rsidRDefault="00C65183" w:rsidP="00C65183">
      <w:pPr>
        <w:tabs>
          <w:tab w:val="left" w:pos="284"/>
        </w:tabs>
        <w:spacing w:line="360" w:lineRule="auto"/>
        <w:jc w:val="both"/>
        <w:rPr>
          <w:rFonts w:ascii="Calibri" w:hAnsi="Calibri"/>
          <w:b/>
          <w:sz w:val="10"/>
          <w:szCs w:val="10"/>
        </w:rPr>
      </w:pPr>
    </w:p>
    <w:p w14:paraId="7B84D3A9" w14:textId="77777777" w:rsidR="00C65183" w:rsidRDefault="00C65183" w:rsidP="00C65183">
      <w:pPr>
        <w:tabs>
          <w:tab w:val="left" w:pos="284"/>
        </w:tabs>
        <w:spacing w:line="360" w:lineRule="auto"/>
        <w:jc w:val="both"/>
        <w:rPr>
          <w:rFonts w:ascii="Calibri" w:hAnsi="Calibri"/>
          <w:b/>
          <w:sz w:val="10"/>
          <w:szCs w:val="10"/>
        </w:rPr>
      </w:pPr>
    </w:p>
    <w:p w14:paraId="31B90144" w14:textId="77777777" w:rsidR="00C65183" w:rsidRDefault="00C65183" w:rsidP="00C65183">
      <w:pPr>
        <w:tabs>
          <w:tab w:val="left" w:pos="284"/>
        </w:tabs>
        <w:spacing w:line="360" w:lineRule="auto"/>
        <w:jc w:val="both"/>
        <w:rPr>
          <w:rFonts w:ascii="Calibri" w:hAnsi="Calibri"/>
          <w:b/>
          <w:sz w:val="10"/>
          <w:szCs w:val="10"/>
        </w:rPr>
      </w:pPr>
    </w:p>
    <w:p w14:paraId="217265BF" w14:textId="77777777" w:rsidR="00C65183" w:rsidRDefault="00C65183" w:rsidP="00C65183">
      <w:pPr>
        <w:tabs>
          <w:tab w:val="left" w:pos="5670"/>
        </w:tabs>
        <w:jc w:val="both"/>
        <w:rPr>
          <w:rFonts w:ascii="Calibri" w:hAnsi="Calibri"/>
          <w:color w:val="7F7F7F"/>
          <w:sz w:val="20"/>
          <w:szCs w:val="20"/>
        </w:rPr>
      </w:pPr>
    </w:p>
    <w:p w14:paraId="3CB61446" w14:textId="77777777" w:rsidR="00C65183" w:rsidRDefault="00C65183" w:rsidP="00C65183">
      <w:pPr>
        <w:tabs>
          <w:tab w:val="left" w:pos="5670"/>
        </w:tabs>
        <w:jc w:val="both"/>
        <w:rPr>
          <w:rFonts w:ascii="Calibri" w:hAnsi="Calibri"/>
          <w:b/>
        </w:rPr>
      </w:pPr>
      <w:r w:rsidRPr="002874B0">
        <w:rPr>
          <w:rFonts w:ascii="Calibri" w:hAnsi="Calibri"/>
          <w:color w:val="7F7F7F"/>
          <w:sz w:val="20"/>
          <w:szCs w:val="20"/>
        </w:rPr>
        <w:t>Languages: persons aged 12 to 24, Greater Dandenong, 201</w:t>
      </w:r>
      <w:r>
        <w:rPr>
          <w:rFonts w:ascii="Calibri" w:hAnsi="Calibri"/>
          <w:color w:val="7F7F7F"/>
          <w:sz w:val="20"/>
          <w:szCs w:val="20"/>
        </w:rPr>
        <w:t>6</w:t>
      </w:r>
      <w:r>
        <w:rPr>
          <w:rFonts w:ascii="Calibri" w:hAnsi="Calibri"/>
          <w:b/>
        </w:rPr>
        <w:t xml:space="preserve">                        </w:t>
      </w:r>
      <w:r w:rsidRPr="002B7D52">
        <w:rPr>
          <w:rFonts w:ascii="Calibri" w:hAnsi="Calibri"/>
          <w:b/>
        </w:rPr>
        <w:t>Spoken Languages &amp; English Fluency</w:t>
      </w:r>
    </w:p>
    <w:p w14:paraId="30348AA3" w14:textId="77777777" w:rsidR="00C65183" w:rsidRPr="002B7D52" w:rsidRDefault="00C65183" w:rsidP="00C65183">
      <w:pPr>
        <w:tabs>
          <w:tab w:val="left" w:pos="284"/>
        </w:tabs>
        <w:spacing w:line="360" w:lineRule="auto"/>
        <w:jc w:val="both"/>
        <w:rPr>
          <w:rFonts w:ascii="Calibri" w:hAnsi="Calibri"/>
        </w:rPr>
      </w:pPr>
      <w:r>
        <w:rPr>
          <w:rFonts w:ascii="Calibri" w:hAnsi="Calibri"/>
          <w:noProof/>
          <w:lang w:eastAsia="en-AU"/>
        </w:rPr>
        <w:drawing>
          <wp:anchor distT="0" distB="0" distL="114300" distR="114300" simplePos="0" relativeHeight="251685888" behindDoc="0" locked="0" layoutInCell="1" allowOverlap="1" wp14:anchorId="28DB25E2" wp14:editId="7A491ED2">
            <wp:simplePos x="0" y="0"/>
            <wp:positionH relativeFrom="column">
              <wp:posOffset>13335</wp:posOffset>
            </wp:positionH>
            <wp:positionV relativeFrom="paragraph">
              <wp:posOffset>13335</wp:posOffset>
            </wp:positionV>
            <wp:extent cx="3683635" cy="3810000"/>
            <wp:effectExtent l="0" t="0" r="0" b="0"/>
            <wp:wrapSquare wrapText="bothSides"/>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0">
                      <a:extLst>
                        <a:ext uri="{28A0092B-C50C-407E-A947-70E740481C1C}">
                          <a14:useLocalDpi xmlns:a14="http://schemas.microsoft.com/office/drawing/2010/main" val="0"/>
                        </a:ext>
                      </a:extLst>
                    </a:blip>
                    <a:srcRect l="1974" r="7948" b="1674"/>
                    <a:stretch>
                      <a:fillRect/>
                    </a:stretch>
                  </pic:blipFill>
                  <pic:spPr bwMode="auto">
                    <a:xfrm>
                      <a:off x="0" y="0"/>
                      <a:ext cx="3683635" cy="3810000"/>
                    </a:xfrm>
                    <a:prstGeom prst="rect">
                      <a:avLst/>
                    </a:prstGeom>
                    <a:noFill/>
                  </pic:spPr>
                </pic:pic>
              </a:graphicData>
            </a:graphic>
            <wp14:sizeRelH relativeFrom="page">
              <wp14:pctWidth>0</wp14:pctWidth>
            </wp14:sizeRelH>
            <wp14:sizeRelV relativeFrom="page">
              <wp14:pctHeight>0</wp14:pctHeight>
            </wp14:sizeRelV>
          </wp:anchor>
        </w:drawing>
      </w:r>
      <w:r w:rsidRPr="008E2CA7">
        <w:rPr>
          <w:rFonts w:ascii="Calibri" w:hAnsi="Calibri"/>
          <w:noProof/>
        </w:rPr>
        <w:t>Seventy per cent</w:t>
      </w:r>
      <w:r w:rsidRPr="008E2CA7">
        <w:rPr>
          <w:rFonts w:ascii="Calibri" w:hAnsi="Calibri"/>
        </w:rPr>
        <w:t xml:space="preserve"> of 12 to 24 year-olds speak languages other than English </w:t>
      </w:r>
      <w:r w:rsidRPr="002B7D52">
        <w:rPr>
          <w:rFonts w:ascii="Calibri" w:hAnsi="Calibri"/>
        </w:rPr>
        <w:t>at home, including Vietnamese</w:t>
      </w:r>
      <w:r w:rsidRPr="002B7D52">
        <w:rPr>
          <w:rFonts w:ascii="Calibri" w:hAnsi="Calibri"/>
          <w:sz w:val="18"/>
          <w:szCs w:val="18"/>
        </w:rPr>
        <w:t xml:space="preserve">, </w:t>
      </w:r>
      <w:r w:rsidRPr="002B7D52">
        <w:rPr>
          <w:rFonts w:ascii="Calibri" w:hAnsi="Calibri"/>
        </w:rPr>
        <w:t>Khmer</w:t>
      </w:r>
      <w:r>
        <w:rPr>
          <w:rFonts w:ascii="Calibri" w:hAnsi="Calibri"/>
        </w:rPr>
        <w:t xml:space="preserve">, </w:t>
      </w:r>
      <w:r w:rsidRPr="002B7D52">
        <w:rPr>
          <w:rFonts w:ascii="Calibri" w:hAnsi="Calibri"/>
        </w:rPr>
        <w:t>Punjabi</w:t>
      </w:r>
      <w:r w:rsidRPr="002B7D52">
        <w:rPr>
          <w:rFonts w:ascii="Calibri" w:hAnsi="Calibri"/>
          <w:sz w:val="18"/>
          <w:szCs w:val="18"/>
        </w:rPr>
        <w:t xml:space="preserve">, </w:t>
      </w:r>
      <w:r w:rsidRPr="002B7D52">
        <w:rPr>
          <w:rFonts w:ascii="Calibri" w:hAnsi="Calibri"/>
        </w:rPr>
        <w:t>Cantonese</w:t>
      </w:r>
      <w:r w:rsidRPr="002B7D52">
        <w:rPr>
          <w:rFonts w:ascii="Calibri" w:hAnsi="Calibri"/>
          <w:sz w:val="18"/>
          <w:szCs w:val="18"/>
        </w:rPr>
        <w:t xml:space="preserve">, </w:t>
      </w:r>
      <w:r w:rsidRPr="002B7D52">
        <w:rPr>
          <w:rFonts w:ascii="Calibri" w:hAnsi="Calibri"/>
        </w:rPr>
        <w:t>Mandarin</w:t>
      </w:r>
      <w:r>
        <w:rPr>
          <w:rFonts w:ascii="Calibri" w:hAnsi="Calibri"/>
        </w:rPr>
        <w:t>, Dari</w:t>
      </w:r>
      <w:r>
        <w:rPr>
          <w:rFonts w:ascii="Calibri" w:hAnsi="Calibri"/>
          <w:sz w:val="18"/>
          <w:szCs w:val="18"/>
        </w:rPr>
        <w:t xml:space="preserve">, </w:t>
      </w:r>
      <w:r w:rsidRPr="00205E29">
        <w:rPr>
          <w:rFonts w:ascii="Calibri" w:hAnsi="Calibri"/>
        </w:rPr>
        <w:t>Hazara</w:t>
      </w:r>
      <w:r>
        <w:rPr>
          <w:rFonts w:ascii="Calibri" w:hAnsi="Calibri"/>
        </w:rPr>
        <w:t>g</w:t>
      </w:r>
      <w:r w:rsidRPr="00205E29">
        <w:rPr>
          <w:rFonts w:ascii="Calibri" w:hAnsi="Calibri"/>
        </w:rPr>
        <w:t>hi</w:t>
      </w:r>
      <w:r>
        <w:rPr>
          <w:rFonts w:ascii="Calibri" w:hAnsi="Calibri"/>
          <w:sz w:val="18"/>
          <w:szCs w:val="18"/>
        </w:rPr>
        <w:t xml:space="preserve"> </w:t>
      </w:r>
      <w:r w:rsidRPr="002B7D52">
        <w:rPr>
          <w:rFonts w:ascii="Calibri" w:hAnsi="Calibri"/>
        </w:rPr>
        <w:t>and Arabic</w:t>
      </w:r>
      <w:r w:rsidRPr="002B7D52">
        <w:rPr>
          <w:rFonts w:ascii="Calibri" w:hAnsi="Calibri"/>
          <w:sz w:val="18"/>
          <w:szCs w:val="18"/>
        </w:rPr>
        <w:t xml:space="preserve">. </w:t>
      </w:r>
      <w:r w:rsidRPr="002B7D52">
        <w:rPr>
          <w:rFonts w:ascii="Calibri" w:hAnsi="Calibri"/>
        </w:rPr>
        <w:t xml:space="preserve">By contrast, </w:t>
      </w:r>
      <w:r>
        <w:rPr>
          <w:rFonts w:ascii="Calibri" w:hAnsi="Calibri"/>
        </w:rPr>
        <w:t>fewer</w:t>
      </w:r>
      <w:r w:rsidRPr="002B7D52">
        <w:rPr>
          <w:rFonts w:ascii="Calibri" w:hAnsi="Calibri"/>
        </w:rPr>
        <w:t xml:space="preserve"> than a </w:t>
      </w:r>
      <w:r>
        <w:rPr>
          <w:rFonts w:ascii="Calibri" w:hAnsi="Calibri"/>
        </w:rPr>
        <w:t>30%</w:t>
      </w:r>
      <w:r w:rsidRPr="002B7D52">
        <w:rPr>
          <w:rFonts w:ascii="Calibri" w:hAnsi="Calibri"/>
        </w:rPr>
        <w:t xml:space="preserve"> of young people across Melbourne speak languages other than English at home.</w:t>
      </w:r>
    </w:p>
    <w:p w14:paraId="6AB75472" w14:textId="77777777" w:rsidR="00C65183" w:rsidRDefault="00C65183" w:rsidP="00C65183">
      <w:pPr>
        <w:tabs>
          <w:tab w:val="left" w:pos="284"/>
        </w:tabs>
        <w:spacing w:line="360" w:lineRule="auto"/>
        <w:jc w:val="both"/>
        <w:rPr>
          <w:rFonts w:ascii="Calibri" w:hAnsi="Calibri"/>
          <w:color w:val="000000"/>
          <w:sz w:val="18"/>
          <w:szCs w:val="18"/>
        </w:rPr>
      </w:pPr>
      <w:r w:rsidRPr="002B7D52">
        <w:rPr>
          <w:rFonts w:ascii="Calibri" w:hAnsi="Calibri"/>
          <w:color w:val="000000"/>
        </w:rPr>
        <w:t xml:space="preserve">Approximately </w:t>
      </w:r>
      <w:r>
        <w:rPr>
          <w:rFonts w:ascii="Calibri" w:hAnsi="Calibri"/>
          <w:color w:val="000000"/>
        </w:rPr>
        <w:t>6</w:t>
      </w:r>
      <w:r w:rsidRPr="002B7D52">
        <w:rPr>
          <w:rFonts w:ascii="Calibri" w:hAnsi="Calibri"/>
          <w:color w:val="000000"/>
        </w:rPr>
        <w:t>% of young people aged 12 to 2</w:t>
      </w:r>
      <w:r>
        <w:rPr>
          <w:rFonts w:ascii="Calibri" w:hAnsi="Calibri"/>
          <w:color w:val="000000"/>
        </w:rPr>
        <w:t>4</w:t>
      </w:r>
      <w:r w:rsidRPr="002B7D52">
        <w:rPr>
          <w:rFonts w:ascii="Calibri" w:hAnsi="Calibri"/>
          <w:color w:val="000000"/>
        </w:rPr>
        <w:t xml:space="preserve"> in Greater Dandenong,</w:t>
      </w:r>
      <w:r>
        <w:rPr>
          <w:rFonts w:ascii="Calibri" w:hAnsi="Calibri"/>
          <w:color w:val="000000"/>
        </w:rPr>
        <w:t xml:space="preserve"> numbering 1,500,</w:t>
      </w:r>
      <w:r w:rsidRPr="002B7D52">
        <w:rPr>
          <w:rFonts w:ascii="Calibri" w:hAnsi="Calibri"/>
          <w:color w:val="000000"/>
        </w:rPr>
        <w:t xml:space="preserve"> have limited fluency in the use of spoken English. Limited fluency is most widespread among those who speak languages such as </w:t>
      </w:r>
      <w:r>
        <w:rPr>
          <w:rFonts w:ascii="Calibri" w:hAnsi="Calibri"/>
          <w:color w:val="000000"/>
        </w:rPr>
        <w:t>Rohingya</w:t>
      </w:r>
      <w:r w:rsidRPr="002B7D52">
        <w:rPr>
          <w:rFonts w:ascii="Calibri" w:hAnsi="Calibri"/>
          <w:color w:val="000000"/>
        </w:rPr>
        <w:t xml:space="preserve"> </w:t>
      </w:r>
      <w:r w:rsidRPr="002B7D52">
        <w:rPr>
          <w:rFonts w:ascii="Calibri" w:hAnsi="Calibri"/>
          <w:color w:val="000000"/>
          <w:sz w:val="18"/>
          <w:szCs w:val="18"/>
        </w:rPr>
        <w:t>(</w:t>
      </w:r>
      <w:r>
        <w:rPr>
          <w:rFonts w:ascii="Calibri" w:hAnsi="Calibri"/>
          <w:color w:val="000000"/>
          <w:sz w:val="18"/>
          <w:szCs w:val="18"/>
        </w:rPr>
        <w:t>62</w:t>
      </w:r>
      <w:r w:rsidRPr="002B7D52">
        <w:rPr>
          <w:rFonts w:ascii="Calibri" w:hAnsi="Calibri"/>
          <w:color w:val="000000"/>
          <w:sz w:val="18"/>
          <w:szCs w:val="18"/>
        </w:rPr>
        <w:t>%)</w:t>
      </w:r>
      <w:r w:rsidRPr="002B7D52">
        <w:rPr>
          <w:rFonts w:ascii="Calibri" w:hAnsi="Calibri"/>
          <w:color w:val="000000"/>
        </w:rPr>
        <w:t xml:space="preserve">, </w:t>
      </w:r>
      <w:r>
        <w:rPr>
          <w:rFonts w:ascii="Calibri" w:hAnsi="Calibri"/>
          <w:color w:val="000000"/>
        </w:rPr>
        <w:t xml:space="preserve">Burmese, Pashto, Hazaraghi and </w:t>
      </w:r>
      <w:r>
        <w:rPr>
          <w:rFonts w:ascii="Calibri" w:hAnsi="Calibri"/>
          <w:color w:val="000000"/>
        </w:rPr>
        <w:lastRenderedPageBreak/>
        <w:t>Dari</w:t>
      </w:r>
      <w:r w:rsidRPr="002B7D52">
        <w:rPr>
          <w:rFonts w:ascii="Calibri" w:hAnsi="Calibri"/>
          <w:color w:val="000000"/>
        </w:rPr>
        <w:t xml:space="preserve">. </w:t>
      </w:r>
      <w:r>
        <w:rPr>
          <w:rFonts w:ascii="Calibri" w:hAnsi="Calibri"/>
          <w:color w:val="000000"/>
        </w:rPr>
        <w:t>T</w:t>
      </w:r>
      <w:r w:rsidRPr="002B7D52">
        <w:rPr>
          <w:rFonts w:ascii="Calibri" w:hAnsi="Calibri"/>
          <w:color w:val="000000"/>
        </w:rPr>
        <w:t xml:space="preserve">he greater </w:t>
      </w:r>
      <w:r w:rsidRPr="002B7D52">
        <w:rPr>
          <w:rFonts w:ascii="Calibri" w:hAnsi="Calibri"/>
          <w:i/>
          <w:color w:val="000000"/>
        </w:rPr>
        <w:t>number</w:t>
      </w:r>
      <w:r>
        <w:rPr>
          <w:rFonts w:ascii="Calibri" w:hAnsi="Calibri"/>
          <w:i/>
          <w:color w:val="000000"/>
        </w:rPr>
        <w:t>s</w:t>
      </w:r>
      <w:r w:rsidRPr="002B7D52">
        <w:rPr>
          <w:rFonts w:ascii="Calibri" w:hAnsi="Calibri"/>
          <w:color w:val="000000"/>
        </w:rPr>
        <w:t xml:space="preserve"> of young people with limited English </w:t>
      </w:r>
      <w:r>
        <w:rPr>
          <w:rFonts w:ascii="Calibri" w:hAnsi="Calibri"/>
          <w:color w:val="000000"/>
        </w:rPr>
        <w:t>fluency however, include</w:t>
      </w:r>
      <w:r w:rsidRPr="002B7D52">
        <w:rPr>
          <w:rFonts w:ascii="Calibri" w:hAnsi="Calibri"/>
          <w:color w:val="000000"/>
        </w:rPr>
        <w:t xml:space="preserve"> those who speak Vietnamese</w:t>
      </w:r>
      <w:r>
        <w:rPr>
          <w:rFonts w:ascii="Calibri" w:hAnsi="Calibri"/>
          <w:color w:val="000000"/>
        </w:rPr>
        <w:t xml:space="preserve">, numbering </w:t>
      </w:r>
      <w:r w:rsidRPr="0085463C">
        <w:rPr>
          <w:rFonts w:ascii="Calibri" w:hAnsi="Calibri"/>
          <w:color w:val="000000"/>
        </w:rPr>
        <w:t>318</w:t>
      </w:r>
      <w:r w:rsidRPr="002B7D52">
        <w:rPr>
          <w:rFonts w:ascii="Calibri" w:hAnsi="Calibri"/>
          <w:color w:val="000000"/>
          <w:sz w:val="18"/>
          <w:szCs w:val="18"/>
        </w:rPr>
        <w:t xml:space="preserve">, </w:t>
      </w:r>
      <w:r w:rsidRPr="002B7D52">
        <w:rPr>
          <w:rFonts w:ascii="Calibri" w:hAnsi="Calibri"/>
          <w:color w:val="000000"/>
        </w:rPr>
        <w:t>Khmer</w:t>
      </w:r>
      <w:r w:rsidRPr="002B7D52">
        <w:rPr>
          <w:rFonts w:ascii="Calibri" w:hAnsi="Calibri"/>
          <w:color w:val="000000"/>
          <w:sz w:val="18"/>
          <w:szCs w:val="18"/>
        </w:rPr>
        <w:t xml:space="preserve"> (</w:t>
      </w:r>
      <w:r>
        <w:rPr>
          <w:rFonts w:ascii="Calibri" w:hAnsi="Calibri"/>
          <w:color w:val="000000"/>
          <w:sz w:val="18"/>
          <w:szCs w:val="18"/>
        </w:rPr>
        <w:t>208</w:t>
      </w:r>
      <w:r w:rsidRPr="002B7D52">
        <w:rPr>
          <w:rFonts w:ascii="Calibri" w:hAnsi="Calibri"/>
          <w:color w:val="000000"/>
          <w:sz w:val="18"/>
          <w:szCs w:val="18"/>
        </w:rPr>
        <w:t xml:space="preserve">), </w:t>
      </w:r>
      <w:r>
        <w:rPr>
          <w:rFonts w:ascii="Calibri" w:hAnsi="Calibri"/>
          <w:color w:val="000000"/>
        </w:rPr>
        <w:t>Hazaraghi</w:t>
      </w:r>
      <w:r w:rsidRPr="002B7D52">
        <w:rPr>
          <w:rFonts w:ascii="Calibri" w:hAnsi="Calibri"/>
          <w:color w:val="000000"/>
        </w:rPr>
        <w:t xml:space="preserve"> </w:t>
      </w:r>
      <w:r w:rsidRPr="002B7D52">
        <w:rPr>
          <w:rFonts w:ascii="Calibri" w:hAnsi="Calibri"/>
          <w:color w:val="000000"/>
          <w:sz w:val="18"/>
          <w:szCs w:val="18"/>
        </w:rPr>
        <w:t>(</w:t>
      </w:r>
      <w:r>
        <w:rPr>
          <w:rFonts w:ascii="Calibri" w:hAnsi="Calibri"/>
          <w:color w:val="000000"/>
          <w:sz w:val="18"/>
          <w:szCs w:val="18"/>
        </w:rPr>
        <w:t>154</w:t>
      </w:r>
      <w:r w:rsidRPr="002B7D52">
        <w:rPr>
          <w:rFonts w:ascii="Calibri" w:hAnsi="Calibri"/>
          <w:color w:val="000000"/>
        </w:rPr>
        <w:t>)</w:t>
      </w:r>
      <w:r>
        <w:rPr>
          <w:rFonts w:ascii="Calibri" w:hAnsi="Calibri"/>
          <w:color w:val="000000"/>
        </w:rPr>
        <w:t xml:space="preserve">, Dari </w:t>
      </w:r>
      <w:r w:rsidRPr="008E2CA7">
        <w:rPr>
          <w:rFonts w:ascii="Calibri" w:hAnsi="Calibri"/>
          <w:color w:val="000000"/>
          <w:sz w:val="18"/>
          <w:szCs w:val="18"/>
        </w:rPr>
        <w:t>(117)</w:t>
      </w:r>
      <w:r>
        <w:rPr>
          <w:rFonts w:ascii="Calibri" w:hAnsi="Calibri"/>
          <w:color w:val="000000"/>
        </w:rPr>
        <w:t xml:space="preserve"> </w:t>
      </w:r>
      <w:r w:rsidRPr="002B7D52">
        <w:rPr>
          <w:rFonts w:ascii="Calibri" w:hAnsi="Calibri"/>
          <w:color w:val="000000"/>
        </w:rPr>
        <w:t xml:space="preserve">and Mandarin </w:t>
      </w:r>
      <w:r w:rsidRPr="002B7D52">
        <w:rPr>
          <w:rFonts w:ascii="Calibri" w:hAnsi="Calibri"/>
          <w:color w:val="000000"/>
          <w:sz w:val="18"/>
          <w:szCs w:val="18"/>
        </w:rPr>
        <w:t>(</w:t>
      </w:r>
      <w:r>
        <w:rPr>
          <w:rFonts w:ascii="Calibri" w:hAnsi="Calibri"/>
          <w:color w:val="000000"/>
          <w:sz w:val="18"/>
          <w:szCs w:val="18"/>
        </w:rPr>
        <w:t>108</w:t>
      </w:r>
      <w:r w:rsidRPr="002B7D52">
        <w:rPr>
          <w:rFonts w:ascii="Calibri" w:hAnsi="Calibri"/>
          <w:color w:val="000000"/>
          <w:sz w:val="18"/>
          <w:szCs w:val="18"/>
        </w:rPr>
        <w:t>).</w:t>
      </w:r>
    </w:p>
    <w:p w14:paraId="162F9353" w14:textId="77777777" w:rsidR="00C65183" w:rsidRPr="002874B0" w:rsidRDefault="00C65183" w:rsidP="00C65183">
      <w:pPr>
        <w:tabs>
          <w:tab w:val="left" w:pos="284"/>
        </w:tabs>
        <w:jc w:val="both"/>
        <w:rPr>
          <w:rFonts w:ascii="Calibri" w:hAnsi="Calibri"/>
          <w:color w:val="7F7F7F"/>
          <w:sz w:val="20"/>
          <w:szCs w:val="20"/>
        </w:rPr>
      </w:pPr>
      <w:r w:rsidRPr="002874B0">
        <w:rPr>
          <w:rFonts w:ascii="Calibri" w:hAnsi="Calibri"/>
          <w:color w:val="7F7F7F"/>
          <w:sz w:val="20"/>
          <w:szCs w:val="20"/>
        </w:rPr>
        <w:t xml:space="preserve">Per cent of 20-24 year-olds who had </w:t>
      </w:r>
      <w:r>
        <w:rPr>
          <w:rFonts w:ascii="Calibri" w:hAnsi="Calibri"/>
          <w:color w:val="7F7F7F"/>
          <w:sz w:val="20"/>
          <w:szCs w:val="20"/>
        </w:rPr>
        <w:t>l</w:t>
      </w:r>
      <w:r w:rsidRPr="002874B0">
        <w:rPr>
          <w:rFonts w:ascii="Calibri" w:hAnsi="Calibri"/>
          <w:color w:val="7F7F7F"/>
          <w:sz w:val="20"/>
          <w:szCs w:val="20"/>
        </w:rPr>
        <w:t xml:space="preserve">eft </w:t>
      </w:r>
      <w:r>
        <w:rPr>
          <w:rFonts w:ascii="Calibri" w:hAnsi="Calibri"/>
          <w:color w:val="7F7F7F"/>
          <w:sz w:val="20"/>
          <w:szCs w:val="20"/>
        </w:rPr>
        <w:t>s</w:t>
      </w:r>
      <w:r w:rsidRPr="002874B0">
        <w:rPr>
          <w:rFonts w:ascii="Calibri" w:hAnsi="Calibri"/>
          <w:color w:val="7F7F7F"/>
          <w:sz w:val="20"/>
          <w:szCs w:val="20"/>
        </w:rPr>
        <w:t xml:space="preserve">chool before </w:t>
      </w:r>
    </w:p>
    <w:p w14:paraId="3A339EEF" w14:textId="77777777" w:rsidR="00C65183" w:rsidRPr="002B7D52" w:rsidRDefault="00C65183" w:rsidP="00C65183">
      <w:pPr>
        <w:tabs>
          <w:tab w:val="left" w:pos="284"/>
          <w:tab w:val="left" w:pos="5954"/>
        </w:tabs>
        <w:jc w:val="both"/>
        <w:rPr>
          <w:rFonts w:ascii="Calibri" w:hAnsi="Calibri"/>
          <w:color w:val="7F7F7F"/>
        </w:rPr>
      </w:pPr>
      <w:r>
        <w:rPr>
          <w:rFonts w:ascii="Calibri" w:hAnsi="Calibri"/>
          <w:color w:val="7F7F7F"/>
          <w:sz w:val="20"/>
          <w:szCs w:val="20"/>
        </w:rPr>
        <w:t>c</w:t>
      </w:r>
      <w:r w:rsidRPr="002874B0">
        <w:rPr>
          <w:rFonts w:ascii="Calibri" w:hAnsi="Calibri"/>
          <w:color w:val="7F7F7F"/>
          <w:sz w:val="20"/>
          <w:szCs w:val="20"/>
        </w:rPr>
        <w:t xml:space="preserve">ompleting </w:t>
      </w:r>
      <w:r>
        <w:rPr>
          <w:rFonts w:ascii="Calibri" w:hAnsi="Calibri"/>
          <w:color w:val="7F7F7F"/>
          <w:sz w:val="20"/>
          <w:szCs w:val="20"/>
        </w:rPr>
        <w:t>y</w:t>
      </w:r>
      <w:r w:rsidRPr="002874B0">
        <w:rPr>
          <w:rFonts w:ascii="Calibri" w:hAnsi="Calibri"/>
          <w:color w:val="7F7F7F"/>
          <w:sz w:val="20"/>
          <w:szCs w:val="20"/>
        </w:rPr>
        <w:t>ear 11: Greater Dandenong, 201</w:t>
      </w:r>
      <w:r>
        <w:rPr>
          <w:rFonts w:ascii="Calibri" w:hAnsi="Calibri"/>
          <w:color w:val="7F7F7F"/>
          <w:sz w:val="20"/>
          <w:szCs w:val="20"/>
        </w:rPr>
        <w:t>6</w:t>
      </w:r>
      <w:r>
        <w:rPr>
          <w:rFonts w:ascii="Calibri" w:hAnsi="Calibri"/>
          <w:color w:val="7F7F7F"/>
        </w:rPr>
        <w:tab/>
      </w:r>
      <w:r w:rsidRPr="002B7D52">
        <w:rPr>
          <w:rFonts w:ascii="Calibri" w:hAnsi="Calibri"/>
          <w:b/>
        </w:rPr>
        <w:t>Educational Participation and Outcomes</w:t>
      </w:r>
    </w:p>
    <w:p w14:paraId="6965111C" w14:textId="77777777" w:rsidR="00C65183" w:rsidRDefault="00C65183" w:rsidP="00C65183">
      <w:pPr>
        <w:tabs>
          <w:tab w:val="left" w:pos="284"/>
        </w:tabs>
        <w:spacing w:line="360" w:lineRule="auto"/>
        <w:jc w:val="both"/>
        <w:rPr>
          <w:rFonts w:ascii="Calibri" w:hAnsi="Calibri"/>
        </w:rPr>
      </w:pPr>
      <w:r>
        <w:rPr>
          <w:rFonts w:ascii="Calibri" w:hAnsi="Calibri"/>
          <w:noProof/>
          <w:lang w:eastAsia="en-AU"/>
        </w:rPr>
        <w:drawing>
          <wp:anchor distT="0" distB="0" distL="114300" distR="114300" simplePos="0" relativeHeight="251686912" behindDoc="1" locked="0" layoutInCell="1" allowOverlap="1" wp14:anchorId="623068AE" wp14:editId="762CC7EE">
            <wp:simplePos x="0" y="0"/>
            <wp:positionH relativeFrom="column">
              <wp:posOffset>3810</wp:posOffset>
            </wp:positionH>
            <wp:positionV relativeFrom="paragraph">
              <wp:posOffset>40005</wp:posOffset>
            </wp:positionV>
            <wp:extent cx="3891280" cy="3533775"/>
            <wp:effectExtent l="0" t="0" r="0" b="9525"/>
            <wp:wrapSquare wrapText="bothSides"/>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891280" cy="3533775"/>
                    </a:xfrm>
                    <a:prstGeom prst="rect">
                      <a:avLst/>
                    </a:prstGeom>
                    <a:noFill/>
                  </pic:spPr>
                </pic:pic>
              </a:graphicData>
            </a:graphic>
            <wp14:sizeRelH relativeFrom="page">
              <wp14:pctWidth>0</wp14:pctWidth>
            </wp14:sizeRelH>
            <wp14:sizeRelV relativeFrom="page">
              <wp14:pctHeight>0</wp14:pctHeight>
            </wp14:sizeRelV>
          </wp:anchor>
        </w:drawing>
      </w:r>
      <w:r w:rsidRPr="002B7D52">
        <w:rPr>
          <w:rFonts w:ascii="Calibri" w:hAnsi="Calibri"/>
        </w:rPr>
        <w:t>In 201</w:t>
      </w:r>
      <w:r>
        <w:rPr>
          <w:rFonts w:ascii="Calibri" w:hAnsi="Calibri"/>
        </w:rPr>
        <w:t>6</w:t>
      </w:r>
      <w:r w:rsidRPr="002B7D52">
        <w:rPr>
          <w:rFonts w:ascii="Calibri" w:hAnsi="Calibri"/>
        </w:rPr>
        <w:t xml:space="preserve">, 13% of 20 to 24 year-olds in Greater Dandenong had left school before </w:t>
      </w:r>
      <w:r>
        <w:rPr>
          <w:rFonts w:ascii="Calibri" w:hAnsi="Calibri"/>
        </w:rPr>
        <w:t xml:space="preserve">completing </w:t>
      </w:r>
      <w:r w:rsidRPr="002B7D52">
        <w:rPr>
          <w:rFonts w:ascii="Calibri" w:hAnsi="Calibri"/>
        </w:rPr>
        <w:t xml:space="preserve">year 11 </w:t>
      </w:r>
      <w:r>
        <w:rPr>
          <w:rFonts w:ascii="Calibri" w:hAnsi="Calibri"/>
        </w:rPr>
        <w:t xml:space="preserve">(‘left school early’) </w:t>
      </w:r>
      <w:r w:rsidRPr="002B7D52">
        <w:rPr>
          <w:rFonts w:ascii="Calibri" w:hAnsi="Calibri"/>
        </w:rPr>
        <w:t xml:space="preserve">- compared with </w:t>
      </w:r>
      <w:r>
        <w:rPr>
          <w:rFonts w:ascii="Calibri" w:hAnsi="Calibri"/>
        </w:rPr>
        <w:t>8.3</w:t>
      </w:r>
      <w:r w:rsidRPr="002B7D52">
        <w:rPr>
          <w:rFonts w:ascii="Calibri" w:hAnsi="Calibri"/>
        </w:rPr>
        <w:t xml:space="preserve">% across Melbourne. </w:t>
      </w:r>
    </w:p>
    <w:p w14:paraId="654E5AA7" w14:textId="77777777" w:rsidR="00C65183" w:rsidRPr="002B7D52" w:rsidRDefault="00C65183" w:rsidP="00C65183">
      <w:pPr>
        <w:tabs>
          <w:tab w:val="left" w:pos="284"/>
        </w:tabs>
        <w:spacing w:line="360" w:lineRule="auto"/>
        <w:jc w:val="both"/>
        <w:rPr>
          <w:rFonts w:ascii="Calibri" w:hAnsi="Calibri"/>
        </w:rPr>
      </w:pPr>
      <w:r>
        <w:rPr>
          <w:noProof/>
          <w:lang w:eastAsia="en-AU"/>
        </w:rPr>
        <w:drawing>
          <wp:anchor distT="140208" distB="332359" distL="242316" distR="459232" simplePos="0" relativeHeight="251687936" behindDoc="0" locked="0" layoutInCell="1" allowOverlap="1" wp14:anchorId="2EFEE4CE" wp14:editId="039C89AF">
            <wp:simplePos x="0" y="0"/>
            <wp:positionH relativeFrom="column">
              <wp:posOffset>2409304</wp:posOffset>
            </wp:positionH>
            <wp:positionV relativeFrom="paragraph">
              <wp:posOffset>1363979</wp:posOffset>
            </wp:positionV>
            <wp:extent cx="1192890" cy="791845"/>
            <wp:effectExtent l="0" t="0" r="7620" b="8255"/>
            <wp:wrapNone/>
            <wp:docPr id="30" name="Picture 176" descr="educ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Picture 176" descr="education.jpg"/>
                    <pic:cNvPicPr/>
                  </pic:nvPicPr>
                  <pic:blipFill>
                    <a:blip r:embed="rId42" cstate="print"/>
                    <a:stretch>
                      <a:fillRect/>
                    </a:stretch>
                  </pic:blipFill>
                  <pic:spPr>
                    <a:xfrm>
                      <a:off x="0" y="0"/>
                      <a:ext cx="1205526" cy="800233"/>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Pr>
          <w:rFonts w:ascii="Calibri" w:hAnsi="Calibri"/>
        </w:rPr>
        <w:t>Two-thirds</w:t>
      </w:r>
      <w:r w:rsidRPr="002B7D52">
        <w:rPr>
          <w:rFonts w:ascii="Calibri" w:hAnsi="Calibri"/>
        </w:rPr>
        <w:t xml:space="preserve"> of </w:t>
      </w:r>
      <w:r>
        <w:rPr>
          <w:rFonts w:ascii="Calibri" w:hAnsi="Calibri"/>
        </w:rPr>
        <w:t>those from</w:t>
      </w:r>
      <w:r w:rsidRPr="002B7D52">
        <w:rPr>
          <w:rFonts w:ascii="Calibri" w:hAnsi="Calibri"/>
        </w:rPr>
        <w:t xml:space="preserve"> Burma, </w:t>
      </w:r>
      <w:r>
        <w:rPr>
          <w:rFonts w:ascii="Calibri" w:hAnsi="Calibri"/>
        </w:rPr>
        <w:t xml:space="preserve">and over a third of young adults from Afghanistan, Iran and Cook Islands </w:t>
      </w:r>
      <w:r w:rsidRPr="002B7D52">
        <w:rPr>
          <w:rFonts w:ascii="Calibri" w:hAnsi="Calibri"/>
        </w:rPr>
        <w:t xml:space="preserve">had left school early, compared with </w:t>
      </w:r>
      <w:r>
        <w:rPr>
          <w:rFonts w:ascii="Calibri" w:hAnsi="Calibri"/>
        </w:rPr>
        <w:t>less than one in ten</w:t>
      </w:r>
      <w:r w:rsidRPr="002B7D52">
        <w:rPr>
          <w:rFonts w:ascii="Calibri" w:hAnsi="Calibri"/>
        </w:rPr>
        <w:t xml:space="preserve"> from Australia, and fewer than </w:t>
      </w:r>
      <w:r>
        <w:rPr>
          <w:rFonts w:ascii="Calibri" w:hAnsi="Calibri"/>
        </w:rPr>
        <w:t>one in twenty</w:t>
      </w:r>
      <w:r w:rsidRPr="002B7D52">
        <w:rPr>
          <w:rFonts w:ascii="Calibri" w:hAnsi="Calibri"/>
        </w:rPr>
        <w:t xml:space="preserve"> from India, Sri Lanka</w:t>
      </w:r>
      <w:r>
        <w:rPr>
          <w:rFonts w:ascii="Calibri" w:hAnsi="Calibri"/>
        </w:rPr>
        <w:t xml:space="preserve"> and Bosnia</w:t>
      </w:r>
      <w:r w:rsidRPr="002B7D52">
        <w:rPr>
          <w:rFonts w:ascii="Calibri" w:hAnsi="Calibri"/>
        </w:rPr>
        <w:t>.</w:t>
      </w:r>
    </w:p>
    <w:p w14:paraId="09F89FB3" w14:textId="77777777" w:rsidR="00C65183" w:rsidRDefault="00C65183" w:rsidP="00C65183">
      <w:pPr>
        <w:tabs>
          <w:tab w:val="left" w:pos="284"/>
        </w:tabs>
        <w:spacing w:line="360" w:lineRule="auto"/>
        <w:jc w:val="both"/>
        <w:rPr>
          <w:rFonts w:ascii="Calibri" w:hAnsi="Calibri"/>
        </w:rPr>
      </w:pPr>
    </w:p>
    <w:p w14:paraId="22134024" w14:textId="77777777" w:rsidR="00C65183" w:rsidRDefault="00C65183" w:rsidP="00C65183">
      <w:pPr>
        <w:tabs>
          <w:tab w:val="left" w:pos="284"/>
        </w:tabs>
        <w:spacing w:line="360" w:lineRule="auto"/>
        <w:jc w:val="both"/>
        <w:rPr>
          <w:rFonts w:ascii="Calibri" w:hAnsi="Calibri"/>
        </w:rPr>
      </w:pPr>
      <w:r>
        <w:rPr>
          <w:rFonts w:ascii="Calibri" w:hAnsi="Calibri"/>
        </w:rPr>
        <w:t>Nearly a third (</w:t>
      </w:r>
      <w:r w:rsidRPr="002B7D52">
        <w:rPr>
          <w:rFonts w:ascii="Calibri" w:hAnsi="Calibri"/>
        </w:rPr>
        <w:t>3</w:t>
      </w:r>
      <w:r>
        <w:rPr>
          <w:rFonts w:ascii="Calibri" w:hAnsi="Calibri"/>
        </w:rPr>
        <w:t>1</w:t>
      </w:r>
      <w:r w:rsidRPr="002B7D52">
        <w:rPr>
          <w:rFonts w:ascii="Calibri" w:hAnsi="Calibri"/>
        </w:rPr>
        <w:t>%</w:t>
      </w:r>
      <w:r>
        <w:rPr>
          <w:rFonts w:ascii="Calibri" w:hAnsi="Calibri"/>
        </w:rPr>
        <w:t>)</w:t>
      </w:r>
      <w:r w:rsidRPr="002B7D52">
        <w:rPr>
          <w:rFonts w:ascii="Calibri" w:hAnsi="Calibri"/>
        </w:rPr>
        <w:t xml:space="preserve"> of </w:t>
      </w:r>
      <w:r>
        <w:rPr>
          <w:rFonts w:ascii="Calibri" w:hAnsi="Calibri"/>
        </w:rPr>
        <w:t>20-24</w:t>
      </w:r>
      <w:r w:rsidRPr="002B7D52">
        <w:rPr>
          <w:rFonts w:ascii="Calibri" w:hAnsi="Calibri"/>
        </w:rPr>
        <w:t xml:space="preserve"> year-olds in Greater Dandenong </w:t>
      </w:r>
      <w:r>
        <w:rPr>
          <w:rFonts w:ascii="Calibri" w:hAnsi="Calibri"/>
        </w:rPr>
        <w:t xml:space="preserve">were </w:t>
      </w:r>
      <w:r w:rsidRPr="002B7D52">
        <w:rPr>
          <w:rFonts w:ascii="Calibri" w:hAnsi="Calibri"/>
        </w:rPr>
        <w:t>attending university and other tertiary institutions</w:t>
      </w:r>
      <w:r>
        <w:rPr>
          <w:rFonts w:ascii="Calibri" w:hAnsi="Calibri"/>
        </w:rPr>
        <w:t xml:space="preserve"> in 2016</w:t>
      </w:r>
      <w:r w:rsidRPr="002B7D52">
        <w:rPr>
          <w:rFonts w:ascii="Calibri" w:hAnsi="Calibri"/>
        </w:rPr>
        <w:t>, compared with 4</w:t>
      </w:r>
      <w:r>
        <w:rPr>
          <w:rFonts w:ascii="Calibri" w:hAnsi="Calibri"/>
        </w:rPr>
        <w:t>0</w:t>
      </w:r>
      <w:r w:rsidRPr="002B7D52">
        <w:rPr>
          <w:rFonts w:ascii="Calibri" w:hAnsi="Calibri"/>
        </w:rPr>
        <w:t>% of those across Melbourne</w:t>
      </w:r>
      <w:r>
        <w:rPr>
          <w:rFonts w:ascii="Calibri" w:hAnsi="Calibri"/>
        </w:rPr>
        <w:t>, though representing a substantial rise from 20% a decade before</w:t>
      </w:r>
      <w:r w:rsidRPr="002B7D52">
        <w:rPr>
          <w:rFonts w:ascii="Calibri" w:hAnsi="Calibri"/>
        </w:rPr>
        <w:t>.</w:t>
      </w:r>
      <w:r>
        <w:rPr>
          <w:rFonts w:ascii="Calibri" w:hAnsi="Calibri"/>
        </w:rPr>
        <w:t xml:space="preserve"> By contrast, 10% of young adults of this age were attending TAFE institutions, compared with 6.7% of those across Melbourne.</w:t>
      </w:r>
    </w:p>
    <w:p w14:paraId="57905BB3" w14:textId="77777777" w:rsidR="00C65183" w:rsidRDefault="00C65183" w:rsidP="00C65183">
      <w:pPr>
        <w:tabs>
          <w:tab w:val="left" w:pos="5103"/>
        </w:tabs>
        <w:jc w:val="both"/>
        <w:rPr>
          <w:rFonts w:ascii="Calibri" w:hAnsi="Calibri"/>
          <w:b/>
        </w:rPr>
      </w:pPr>
    </w:p>
    <w:p w14:paraId="581ACBD3" w14:textId="77777777" w:rsidR="00C65183" w:rsidRPr="005D1989" w:rsidRDefault="00C65183" w:rsidP="00C65183">
      <w:pPr>
        <w:tabs>
          <w:tab w:val="left" w:pos="5103"/>
        </w:tabs>
        <w:jc w:val="both"/>
        <w:rPr>
          <w:rFonts w:ascii="Calibri" w:hAnsi="Calibri"/>
          <w:color w:val="7F7F7F" w:themeColor="text1" w:themeTint="80"/>
          <w:sz w:val="20"/>
          <w:szCs w:val="20"/>
        </w:rPr>
      </w:pPr>
      <w:r>
        <w:rPr>
          <w:rFonts w:ascii="Calibri" w:hAnsi="Calibri"/>
          <w:b/>
        </w:rPr>
        <w:tab/>
      </w:r>
      <w:r w:rsidRPr="005D1989">
        <w:rPr>
          <w:rFonts w:ascii="Calibri" w:hAnsi="Calibri"/>
          <w:color w:val="7F7F7F" w:themeColor="text1" w:themeTint="80"/>
          <w:sz w:val="20"/>
          <w:szCs w:val="20"/>
        </w:rPr>
        <w:t xml:space="preserve">Disengagement by age and </w:t>
      </w:r>
      <w:r>
        <w:rPr>
          <w:rFonts w:ascii="Calibri" w:hAnsi="Calibri"/>
          <w:color w:val="7F7F7F" w:themeColor="text1" w:themeTint="80"/>
          <w:sz w:val="20"/>
          <w:szCs w:val="20"/>
        </w:rPr>
        <w:t>sex</w:t>
      </w:r>
      <w:r w:rsidRPr="005D1989">
        <w:rPr>
          <w:rFonts w:ascii="Calibri" w:hAnsi="Calibri"/>
          <w:color w:val="7F7F7F" w:themeColor="text1" w:themeTint="80"/>
          <w:sz w:val="20"/>
          <w:szCs w:val="20"/>
        </w:rPr>
        <w:t xml:space="preserve">: Greater </w:t>
      </w:r>
    </w:p>
    <w:p w14:paraId="170A49C7" w14:textId="77777777" w:rsidR="00C65183" w:rsidRPr="005D1989" w:rsidRDefault="00C65183" w:rsidP="00C65183">
      <w:pPr>
        <w:tabs>
          <w:tab w:val="left" w:pos="284"/>
          <w:tab w:val="left" w:pos="5103"/>
        </w:tabs>
        <w:jc w:val="both"/>
        <w:rPr>
          <w:rFonts w:ascii="Calibri" w:hAnsi="Calibri"/>
          <w:sz w:val="20"/>
          <w:szCs w:val="20"/>
        </w:rPr>
      </w:pPr>
      <w:r>
        <w:rPr>
          <w:rFonts w:ascii="Calibri" w:hAnsi="Calibri"/>
          <w:b/>
        </w:rPr>
        <w:t xml:space="preserve">Youth Disengagement </w:t>
      </w:r>
      <w:r>
        <w:rPr>
          <w:rFonts w:ascii="Calibri" w:hAnsi="Calibri"/>
          <w:b/>
        </w:rPr>
        <w:tab/>
      </w:r>
      <w:r w:rsidRPr="005D1989">
        <w:rPr>
          <w:rFonts w:ascii="Calibri" w:hAnsi="Calibri"/>
          <w:color w:val="7F7F7F" w:themeColor="text1" w:themeTint="80"/>
          <w:sz w:val="20"/>
          <w:szCs w:val="20"/>
        </w:rPr>
        <w:t>Dandenong and metro. Melbourne 2016</w:t>
      </w:r>
    </w:p>
    <w:p w14:paraId="00BD0EE5" w14:textId="77777777" w:rsidR="00C65183" w:rsidRPr="008E29A2" w:rsidRDefault="00C65183" w:rsidP="00C65183">
      <w:pPr>
        <w:tabs>
          <w:tab w:val="left" w:pos="284"/>
        </w:tabs>
        <w:spacing w:before="120" w:line="360" w:lineRule="auto"/>
        <w:jc w:val="both"/>
        <w:rPr>
          <w:rFonts w:ascii="Calibri" w:eastAsia="Calibri" w:hAnsi="Calibri"/>
        </w:rPr>
      </w:pPr>
      <w:r>
        <w:rPr>
          <w:rFonts w:ascii="Calibri" w:hAnsi="Calibri"/>
          <w:b/>
          <w:noProof/>
          <w:lang w:eastAsia="en-AU"/>
        </w:rPr>
        <w:drawing>
          <wp:anchor distT="0" distB="0" distL="114300" distR="114300" simplePos="0" relativeHeight="251691008" behindDoc="0" locked="0" layoutInCell="1" allowOverlap="1" wp14:anchorId="275A9FB2" wp14:editId="5AAD2E14">
            <wp:simplePos x="0" y="0"/>
            <wp:positionH relativeFrom="column">
              <wp:posOffset>2610485</wp:posOffset>
            </wp:positionH>
            <wp:positionV relativeFrom="paragraph">
              <wp:posOffset>323215</wp:posOffset>
            </wp:positionV>
            <wp:extent cx="3467100" cy="2652395"/>
            <wp:effectExtent l="0" t="0" r="0" b="0"/>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467100" cy="2652395"/>
                    </a:xfrm>
                    <a:prstGeom prst="rect">
                      <a:avLst/>
                    </a:prstGeom>
                    <a:noFill/>
                  </pic:spPr>
                </pic:pic>
              </a:graphicData>
            </a:graphic>
            <wp14:sizeRelH relativeFrom="page">
              <wp14:pctWidth>0</wp14:pctWidth>
            </wp14:sizeRelH>
            <wp14:sizeRelV relativeFrom="page">
              <wp14:pctHeight>0</wp14:pctHeight>
            </wp14:sizeRelV>
          </wp:anchor>
        </w:drawing>
      </w:r>
      <w:r>
        <w:rPr>
          <w:rFonts w:ascii="Calibri" w:eastAsia="Calibri" w:hAnsi="Calibri"/>
        </w:rPr>
        <w:t>Counting the number of young people who are not in paid work or enrolled in education</w:t>
      </w:r>
      <w:r w:rsidRPr="008E29A2">
        <w:rPr>
          <w:rFonts w:ascii="Calibri" w:eastAsia="Calibri" w:hAnsi="Calibri"/>
        </w:rPr>
        <w:t xml:space="preserve"> </w:t>
      </w:r>
      <w:r>
        <w:rPr>
          <w:rFonts w:ascii="Calibri" w:eastAsia="Calibri" w:hAnsi="Calibri"/>
        </w:rPr>
        <w:t>– termed ‘disengagement’ - gives a balanced measure of</w:t>
      </w:r>
      <w:r w:rsidRPr="008E29A2">
        <w:rPr>
          <w:rFonts w:ascii="Calibri" w:eastAsia="Calibri" w:hAnsi="Calibri"/>
        </w:rPr>
        <w:t xml:space="preserve"> the overall educational and economic advancement of young people in the community.</w:t>
      </w:r>
    </w:p>
    <w:p w14:paraId="6FF1121F" w14:textId="77777777" w:rsidR="00C65183" w:rsidRDefault="00C65183" w:rsidP="00C65183">
      <w:pPr>
        <w:tabs>
          <w:tab w:val="left" w:pos="284"/>
        </w:tabs>
        <w:spacing w:line="360" w:lineRule="auto"/>
        <w:jc w:val="both"/>
        <w:rPr>
          <w:rFonts w:ascii="Calibri" w:hAnsi="Calibri"/>
        </w:rPr>
      </w:pPr>
      <w:r w:rsidRPr="00460985">
        <w:rPr>
          <w:rFonts w:ascii="Calibri" w:hAnsi="Calibri"/>
        </w:rPr>
        <w:t>In 201</w:t>
      </w:r>
      <w:r>
        <w:rPr>
          <w:rFonts w:ascii="Calibri" w:hAnsi="Calibri"/>
        </w:rPr>
        <w:t>6</w:t>
      </w:r>
      <w:r w:rsidRPr="00460985">
        <w:rPr>
          <w:rFonts w:ascii="Calibri" w:hAnsi="Calibri"/>
        </w:rPr>
        <w:t xml:space="preserve">, the Census found that </w:t>
      </w:r>
      <w:r>
        <w:rPr>
          <w:rFonts w:ascii="Calibri" w:hAnsi="Calibri"/>
        </w:rPr>
        <w:t xml:space="preserve">2,516 </w:t>
      </w:r>
      <w:r w:rsidRPr="00460985">
        <w:rPr>
          <w:rFonts w:ascii="Calibri" w:hAnsi="Calibri"/>
        </w:rPr>
        <w:t>15-24 year-olds in Greater Dandenong were neither employed nor enrolled in education</w:t>
      </w:r>
      <w:r>
        <w:rPr>
          <w:rFonts w:ascii="Calibri" w:hAnsi="Calibri"/>
        </w:rPr>
        <w:t xml:space="preserve">. The proportion of young people who were disengaged rose with age from 6.5% among 15-19 year-olds, to 17.6% among those aged 20-24 years. </w:t>
      </w:r>
    </w:p>
    <w:p w14:paraId="0E51328A" w14:textId="77777777" w:rsidR="00C65183" w:rsidRPr="0085463C" w:rsidRDefault="00C65183" w:rsidP="00C65183">
      <w:pPr>
        <w:tabs>
          <w:tab w:val="left" w:pos="284"/>
        </w:tabs>
        <w:spacing w:line="360" w:lineRule="auto"/>
        <w:jc w:val="both"/>
        <w:rPr>
          <w:rFonts w:ascii="Calibri" w:hAnsi="Calibri"/>
          <w:i/>
        </w:rPr>
      </w:pPr>
      <w:r w:rsidRPr="0085463C">
        <w:rPr>
          <w:rFonts w:ascii="Calibri" w:hAnsi="Calibri"/>
          <w:i/>
        </w:rPr>
        <w:lastRenderedPageBreak/>
        <w:t>Disengagement and Gender</w:t>
      </w:r>
    </w:p>
    <w:p w14:paraId="5C0CA023" w14:textId="77777777" w:rsidR="00C65183" w:rsidRDefault="00C65183" w:rsidP="00C65183">
      <w:pPr>
        <w:tabs>
          <w:tab w:val="left" w:pos="284"/>
        </w:tabs>
        <w:spacing w:line="360" w:lineRule="auto"/>
        <w:jc w:val="both"/>
        <w:rPr>
          <w:rFonts w:ascii="Calibri" w:hAnsi="Calibri"/>
        </w:rPr>
      </w:pPr>
      <w:r>
        <w:rPr>
          <w:rFonts w:ascii="Calibri" w:hAnsi="Calibri"/>
        </w:rPr>
        <w:t xml:space="preserve">In 2016 rates of disengagement among 20-24 year-olds stood at 20% among males and 15.8% among females. The difference is almost entirely due to the high rate of disengagement among young women with children. </w:t>
      </w:r>
    </w:p>
    <w:p w14:paraId="6B684DE8" w14:textId="77777777" w:rsidR="00C65183" w:rsidRDefault="00C65183" w:rsidP="00C65183">
      <w:pPr>
        <w:tabs>
          <w:tab w:val="left" w:pos="284"/>
        </w:tabs>
        <w:spacing w:line="360" w:lineRule="auto"/>
        <w:jc w:val="both"/>
        <w:rPr>
          <w:rFonts w:ascii="Calibri" w:hAnsi="Calibri"/>
          <w:i/>
        </w:rPr>
      </w:pPr>
      <w:r w:rsidRPr="0085463C">
        <w:rPr>
          <w:rFonts w:ascii="Calibri" w:hAnsi="Calibri"/>
          <w:i/>
        </w:rPr>
        <w:t>Disengagement and Birthplace</w:t>
      </w:r>
    </w:p>
    <w:p w14:paraId="1B81AC67" w14:textId="77777777" w:rsidR="00C65183" w:rsidRDefault="00C65183" w:rsidP="00C65183">
      <w:pPr>
        <w:tabs>
          <w:tab w:val="left" w:pos="284"/>
        </w:tabs>
        <w:spacing w:line="360" w:lineRule="auto"/>
        <w:jc w:val="both"/>
        <w:rPr>
          <w:rFonts w:ascii="Calibri" w:hAnsi="Calibri"/>
        </w:rPr>
      </w:pPr>
      <w:r>
        <w:rPr>
          <w:rFonts w:ascii="Calibri" w:hAnsi="Calibri"/>
        </w:rPr>
        <w:t>The rate</w:t>
      </w:r>
      <w:r w:rsidRPr="002004D1">
        <w:rPr>
          <w:rFonts w:ascii="Calibri" w:hAnsi="Calibri"/>
        </w:rPr>
        <w:t xml:space="preserve"> of disengagement</w:t>
      </w:r>
      <w:r>
        <w:rPr>
          <w:rFonts w:ascii="Calibri" w:hAnsi="Calibri"/>
        </w:rPr>
        <w:t xml:space="preserve"> in Greater Dandenong</w:t>
      </w:r>
      <w:r w:rsidRPr="002004D1">
        <w:rPr>
          <w:rFonts w:ascii="Calibri" w:hAnsi="Calibri"/>
        </w:rPr>
        <w:t xml:space="preserve"> </w:t>
      </w:r>
      <w:r>
        <w:rPr>
          <w:rFonts w:ascii="Calibri" w:hAnsi="Calibri"/>
        </w:rPr>
        <w:t>was</w:t>
      </w:r>
      <w:r w:rsidRPr="002004D1">
        <w:rPr>
          <w:rFonts w:ascii="Calibri" w:hAnsi="Calibri"/>
        </w:rPr>
        <w:t xml:space="preserve"> </w:t>
      </w:r>
      <w:r>
        <w:rPr>
          <w:rFonts w:ascii="Calibri" w:hAnsi="Calibri"/>
        </w:rPr>
        <w:t>16.2</w:t>
      </w:r>
      <w:r w:rsidRPr="002004D1">
        <w:rPr>
          <w:rFonts w:ascii="Calibri" w:hAnsi="Calibri"/>
        </w:rPr>
        <w:t>% amo</w:t>
      </w:r>
      <w:r>
        <w:rPr>
          <w:rFonts w:ascii="Calibri" w:hAnsi="Calibri"/>
        </w:rPr>
        <w:t>ng Australian-born young people, rising</w:t>
      </w:r>
      <w:r w:rsidRPr="002004D1">
        <w:rPr>
          <w:rFonts w:ascii="Calibri" w:hAnsi="Calibri"/>
        </w:rPr>
        <w:t xml:space="preserve"> to </w:t>
      </w:r>
      <w:r>
        <w:rPr>
          <w:rFonts w:ascii="Calibri" w:hAnsi="Calibri"/>
        </w:rPr>
        <w:t>3</w:t>
      </w:r>
      <w:r w:rsidRPr="002004D1">
        <w:rPr>
          <w:rFonts w:ascii="Calibri" w:hAnsi="Calibri"/>
        </w:rPr>
        <w:t xml:space="preserve">0% or more among those from </w:t>
      </w:r>
      <w:r>
        <w:rPr>
          <w:rFonts w:ascii="Calibri" w:hAnsi="Calibri"/>
        </w:rPr>
        <w:t>Pakistan, Iran, Sudan and Burma</w:t>
      </w:r>
    </w:p>
    <w:p w14:paraId="58BFAD47" w14:textId="77777777" w:rsidR="00C65183" w:rsidRPr="005D1989" w:rsidRDefault="00C65183" w:rsidP="00C65183">
      <w:pPr>
        <w:tabs>
          <w:tab w:val="left" w:pos="284"/>
        </w:tabs>
        <w:jc w:val="both"/>
        <w:rPr>
          <w:rFonts w:ascii="Calibri" w:hAnsi="Calibri"/>
          <w:color w:val="7F7F7F" w:themeColor="text1" w:themeTint="80"/>
          <w:sz w:val="20"/>
          <w:szCs w:val="20"/>
        </w:rPr>
      </w:pPr>
      <w:r w:rsidRPr="005D1989">
        <w:rPr>
          <w:rFonts w:ascii="Calibri" w:hAnsi="Calibri"/>
          <w:color w:val="7F7F7F" w:themeColor="text1" w:themeTint="80"/>
          <w:sz w:val="20"/>
          <w:szCs w:val="20"/>
        </w:rPr>
        <w:t>Disengagement rates by birthplace, Greater Dandenong, 2016</w:t>
      </w:r>
    </w:p>
    <w:p w14:paraId="4C677008" w14:textId="77777777" w:rsidR="00C65183" w:rsidRDefault="00C65183" w:rsidP="00C65183">
      <w:pPr>
        <w:tabs>
          <w:tab w:val="left" w:pos="284"/>
        </w:tabs>
        <w:spacing w:line="360" w:lineRule="auto"/>
        <w:jc w:val="both"/>
        <w:rPr>
          <w:rFonts w:ascii="Calibri" w:hAnsi="Calibri"/>
        </w:rPr>
      </w:pPr>
      <w:r>
        <w:rPr>
          <w:rFonts w:ascii="Calibri" w:hAnsi="Calibri"/>
          <w:noProof/>
          <w:lang w:eastAsia="en-AU"/>
        </w:rPr>
        <w:drawing>
          <wp:anchor distT="0" distB="0" distL="114300" distR="114300" simplePos="0" relativeHeight="251936768" behindDoc="0" locked="0" layoutInCell="1" allowOverlap="1" wp14:anchorId="40CD9ADE" wp14:editId="2ABB1C2E">
            <wp:simplePos x="0" y="0"/>
            <wp:positionH relativeFrom="column">
              <wp:posOffset>4237355</wp:posOffset>
            </wp:positionH>
            <wp:positionV relativeFrom="paragraph">
              <wp:posOffset>4762</wp:posOffset>
            </wp:positionV>
            <wp:extent cx="776288" cy="1164165"/>
            <wp:effectExtent l="0" t="0" r="5080" b="0"/>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munity Unhappy 2.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776288" cy="116416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Pr>
          <w:rFonts w:ascii="Calibri" w:hAnsi="Calibri"/>
          <w:i/>
          <w:noProof/>
          <w:lang w:eastAsia="en-AU"/>
        </w:rPr>
        <w:drawing>
          <wp:anchor distT="0" distB="0" distL="114300" distR="114300" simplePos="0" relativeHeight="251692032" behindDoc="0" locked="0" layoutInCell="1" allowOverlap="1" wp14:anchorId="6734C8E8" wp14:editId="6F0C4EF6">
            <wp:simplePos x="0" y="0"/>
            <wp:positionH relativeFrom="column">
              <wp:posOffset>70485</wp:posOffset>
            </wp:positionH>
            <wp:positionV relativeFrom="paragraph">
              <wp:posOffset>62865</wp:posOffset>
            </wp:positionV>
            <wp:extent cx="3741420" cy="3938270"/>
            <wp:effectExtent l="0" t="0" r="0" b="5080"/>
            <wp:wrapSquare wrapText="bothSides"/>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741420" cy="3938270"/>
                    </a:xfrm>
                    <a:prstGeom prst="rect">
                      <a:avLst/>
                    </a:prstGeom>
                    <a:noFill/>
                  </pic:spPr>
                </pic:pic>
              </a:graphicData>
            </a:graphic>
            <wp14:sizeRelH relativeFrom="page">
              <wp14:pctWidth>0</wp14:pctWidth>
            </wp14:sizeRelH>
            <wp14:sizeRelV relativeFrom="page">
              <wp14:pctHeight>0</wp14:pctHeight>
            </wp14:sizeRelV>
          </wp:anchor>
        </w:drawing>
      </w:r>
    </w:p>
    <w:p w14:paraId="3741CAAF" w14:textId="77777777" w:rsidR="00C65183" w:rsidRDefault="00C65183" w:rsidP="00C65183">
      <w:pPr>
        <w:tabs>
          <w:tab w:val="left" w:pos="284"/>
        </w:tabs>
        <w:spacing w:line="360" w:lineRule="auto"/>
        <w:jc w:val="both"/>
        <w:rPr>
          <w:rFonts w:ascii="Calibri" w:hAnsi="Calibri"/>
        </w:rPr>
      </w:pPr>
    </w:p>
    <w:p w14:paraId="72096500" w14:textId="77777777" w:rsidR="00C65183" w:rsidRDefault="00C65183" w:rsidP="00C65183">
      <w:pPr>
        <w:tabs>
          <w:tab w:val="left" w:pos="284"/>
        </w:tabs>
        <w:spacing w:line="360" w:lineRule="auto"/>
        <w:jc w:val="both"/>
        <w:rPr>
          <w:rFonts w:ascii="Calibri" w:hAnsi="Calibri"/>
        </w:rPr>
      </w:pPr>
    </w:p>
    <w:p w14:paraId="6D74B180" w14:textId="77777777" w:rsidR="00C65183" w:rsidRDefault="00C65183" w:rsidP="00C65183">
      <w:pPr>
        <w:tabs>
          <w:tab w:val="left" w:pos="284"/>
        </w:tabs>
        <w:spacing w:line="360" w:lineRule="auto"/>
        <w:jc w:val="both"/>
        <w:rPr>
          <w:rFonts w:ascii="Calibri" w:hAnsi="Calibri"/>
        </w:rPr>
      </w:pPr>
    </w:p>
    <w:p w14:paraId="30CA691F" w14:textId="77777777" w:rsidR="00C65183" w:rsidRDefault="00C65183" w:rsidP="00C65183">
      <w:pPr>
        <w:tabs>
          <w:tab w:val="left" w:pos="284"/>
        </w:tabs>
        <w:spacing w:line="360" w:lineRule="auto"/>
        <w:jc w:val="both"/>
        <w:rPr>
          <w:rFonts w:ascii="Calibri" w:hAnsi="Calibri"/>
        </w:rPr>
      </w:pPr>
    </w:p>
    <w:p w14:paraId="602F9A35" w14:textId="77777777" w:rsidR="00C65183" w:rsidRDefault="00C65183" w:rsidP="00C65183">
      <w:pPr>
        <w:spacing w:line="360" w:lineRule="auto"/>
        <w:jc w:val="both"/>
        <w:rPr>
          <w:rFonts w:ascii="Calibri" w:hAnsi="Calibri"/>
          <w:b/>
        </w:rPr>
      </w:pPr>
    </w:p>
    <w:p w14:paraId="1D3BDC31" w14:textId="77777777" w:rsidR="00C65183" w:rsidRPr="00533D42" w:rsidRDefault="00C65183" w:rsidP="00C65183">
      <w:pPr>
        <w:spacing w:line="360" w:lineRule="auto"/>
        <w:jc w:val="both"/>
        <w:rPr>
          <w:rFonts w:ascii="Calibri" w:hAnsi="Calibri"/>
          <w:b/>
        </w:rPr>
      </w:pPr>
      <w:r w:rsidRPr="00533D42">
        <w:rPr>
          <w:rFonts w:ascii="Calibri" w:hAnsi="Calibri"/>
          <w:b/>
        </w:rPr>
        <w:t>Personal Wellbeing</w:t>
      </w:r>
    </w:p>
    <w:p w14:paraId="1C7AFDB9" w14:textId="77777777" w:rsidR="00C65183" w:rsidRDefault="00C65183" w:rsidP="00C65183">
      <w:pPr>
        <w:spacing w:line="360" w:lineRule="auto"/>
        <w:jc w:val="both"/>
        <w:rPr>
          <w:rFonts w:ascii="Calibri" w:hAnsi="Calibri"/>
        </w:rPr>
      </w:pPr>
      <w:r w:rsidRPr="00205E29">
        <w:rPr>
          <w:noProof/>
          <w:lang w:eastAsia="en-AU"/>
        </w:rPr>
        <w:drawing>
          <wp:anchor distT="0" distB="0" distL="114300" distR="114300" simplePos="0" relativeHeight="251688960" behindDoc="0" locked="0" layoutInCell="1" allowOverlap="1" wp14:anchorId="463E15AC" wp14:editId="56D24D50">
            <wp:simplePos x="0" y="0"/>
            <wp:positionH relativeFrom="column">
              <wp:posOffset>2475230</wp:posOffset>
            </wp:positionH>
            <wp:positionV relativeFrom="paragraph">
              <wp:posOffset>1852295</wp:posOffset>
            </wp:positionV>
            <wp:extent cx="3576320" cy="2438400"/>
            <wp:effectExtent l="0" t="0" r="0" b="0"/>
            <wp:wrapSquare wrapText="bothSides"/>
            <wp:docPr id="11" name="Chart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hart 1"/>
                    <pic:cNvPicPr>
                      <a:picLocks noChangeArrowheads="1"/>
                    </pic:cNvPicPr>
                  </pic:nvPicPr>
                  <pic:blipFill>
                    <a:blip r:embed="rId46">
                      <a:extLst>
                        <a:ext uri="{28A0092B-C50C-407E-A947-70E740481C1C}">
                          <a14:useLocalDpi xmlns:a14="http://schemas.microsoft.com/office/drawing/2010/main" val="0"/>
                        </a:ext>
                      </a:extLst>
                    </a:blip>
                    <a:srcRect l="-2428" t="-5995" r="-1285" b="-1810"/>
                    <a:stretch>
                      <a:fillRect/>
                    </a:stretch>
                  </pic:blipFill>
                  <pic:spPr bwMode="auto">
                    <a:xfrm>
                      <a:off x="0" y="0"/>
                      <a:ext cx="3576320" cy="2438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05E29">
        <w:rPr>
          <w:rFonts w:ascii="Calibri" w:hAnsi="Calibri"/>
        </w:rPr>
        <w:t xml:space="preserve">A 2009 local-level survey of mental health focused upon the wellbeing of adolescents. Published by the Victorian Department of Education and Early Childhood Development in 2012, the survey found that a relatively high proportion of adolescents in Greater Dandenong had </w:t>
      </w:r>
      <w:r>
        <w:rPr>
          <w:rFonts w:ascii="Calibri" w:hAnsi="Calibri"/>
        </w:rPr>
        <w:t>experienced unfavorable</w:t>
      </w:r>
      <w:r w:rsidRPr="00205E29">
        <w:rPr>
          <w:rFonts w:ascii="Calibri" w:hAnsi="Calibri"/>
        </w:rPr>
        <w:t xml:space="preserve"> psychological development, were not satisfied with their lives or had few trusted people in their lives.</w:t>
      </w:r>
    </w:p>
    <w:p w14:paraId="35646558" w14:textId="77777777" w:rsidR="00C65183" w:rsidRDefault="00C65183" w:rsidP="00C65183">
      <w:pPr>
        <w:spacing w:line="360" w:lineRule="auto"/>
        <w:jc w:val="both"/>
        <w:rPr>
          <w:rFonts w:ascii="Calibri" w:hAnsi="Calibri"/>
        </w:rPr>
      </w:pPr>
    </w:p>
    <w:p w14:paraId="6790B137" w14:textId="77777777" w:rsidR="00C65183" w:rsidRPr="00EF170E" w:rsidRDefault="00C65183" w:rsidP="00C65183">
      <w:pPr>
        <w:jc w:val="both"/>
        <w:rPr>
          <w:rFonts w:ascii="Calibri" w:hAnsi="Calibri"/>
          <w:color w:val="7F7F7F"/>
          <w:sz w:val="20"/>
          <w:szCs w:val="20"/>
        </w:rPr>
      </w:pPr>
      <w:r w:rsidRPr="00EF170E">
        <w:rPr>
          <w:rFonts w:ascii="Calibri" w:hAnsi="Calibri"/>
          <w:color w:val="7F7F7F"/>
          <w:sz w:val="20"/>
          <w:szCs w:val="20"/>
        </w:rPr>
        <w:t>Measures of Adolescent Mental Wellbeing: Greater Dandenong and Victoria, 2009</w:t>
      </w:r>
    </w:p>
    <w:p w14:paraId="34EB796D" w14:textId="77777777" w:rsidR="00C65183" w:rsidRDefault="00C65183" w:rsidP="00C65183">
      <w:pPr>
        <w:spacing w:line="360" w:lineRule="auto"/>
        <w:jc w:val="both"/>
        <w:rPr>
          <w:rFonts w:ascii="Calibri" w:hAnsi="Calibri"/>
        </w:rPr>
      </w:pPr>
    </w:p>
    <w:p w14:paraId="489E1A65" w14:textId="77777777" w:rsidR="00C65183" w:rsidRPr="00AA2B89" w:rsidRDefault="00C65183" w:rsidP="00C65183">
      <w:pPr>
        <w:tabs>
          <w:tab w:val="left" w:pos="284"/>
        </w:tabs>
        <w:spacing w:line="360" w:lineRule="auto"/>
        <w:jc w:val="both"/>
        <w:rPr>
          <w:rFonts w:ascii="Calibri" w:hAnsi="Calibri"/>
        </w:rPr>
      </w:pPr>
      <w:r w:rsidRPr="002A265E">
        <w:rPr>
          <w:rFonts w:ascii="Calibri" w:hAnsi="Calibri"/>
        </w:rPr>
        <w:t xml:space="preserve">A 2017 </w:t>
      </w:r>
      <w:r>
        <w:rPr>
          <w:rFonts w:ascii="Calibri" w:hAnsi="Calibri"/>
        </w:rPr>
        <w:t xml:space="preserve">Council </w:t>
      </w:r>
      <w:r w:rsidRPr="002A265E">
        <w:rPr>
          <w:rFonts w:ascii="Calibri" w:hAnsi="Calibri"/>
        </w:rPr>
        <w:t>survey of young people attending secondary schools in Greater Dandenong found that 23% had very limited personal resilience and a further 41% only ‘fair’ levels of resilience. A third of young people surveyed reported that they felt under constant stress. Among other personal challenges were bullying, motivation to learn, and feeling acknowledged and listened to by adults</w:t>
      </w:r>
      <w:r>
        <w:rPr>
          <w:rFonts w:ascii="Calibri" w:hAnsi="Calibri"/>
        </w:rPr>
        <w:t>.</w:t>
      </w:r>
    </w:p>
    <w:p w14:paraId="74677FB0" w14:textId="77777777" w:rsidR="00C65183" w:rsidRDefault="00C65183" w:rsidP="00C65183">
      <w:pPr>
        <w:rPr>
          <w:rFonts w:asciiTheme="minorHAnsi" w:hAnsiTheme="minorHAnsi" w:cstheme="minorHAnsi"/>
        </w:rPr>
      </w:pPr>
      <w:r>
        <w:rPr>
          <w:rFonts w:asciiTheme="minorHAnsi" w:hAnsiTheme="minorHAnsi" w:cstheme="minorHAnsi"/>
        </w:rPr>
        <w:br w:type="page"/>
      </w:r>
    </w:p>
    <w:p w14:paraId="419A6B76" w14:textId="77777777" w:rsidR="00C65183" w:rsidRPr="00827F47" w:rsidRDefault="00C65183" w:rsidP="00C65183">
      <w:pPr>
        <w:pBdr>
          <w:top w:val="single" w:sz="4" w:space="0" w:color="244061" w:themeColor="accent1" w:themeShade="80"/>
          <w:bottom w:val="single" w:sz="4" w:space="1" w:color="244061" w:themeColor="accent1" w:themeShade="80"/>
        </w:pBdr>
        <w:tabs>
          <w:tab w:val="center" w:pos="4678"/>
        </w:tabs>
        <w:jc w:val="center"/>
        <w:rPr>
          <w:rFonts w:ascii="Garamond" w:hAnsi="Garamond"/>
          <w:noProof/>
          <w:color w:val="244061" w:themeColor="accent1" w:themeShade="80"/>
          <w:sz w:val="36"/>
          <w:szCs w:val="36"/>
        </w:rPr>
      </w:pPr>
      <w:r w:rsidRPr="00827F47">
        <w:rPr>
          <w:rFonts w:ascii="Garamond" w:hAnsi="Garamond"/>
          <w:noProof/>
          <w:color w:val="244061" w:themeColor="accent1" w:themeShade="80"/>
          <w:sz w:val="36"/>
          <w:szCs w:val="36"/>
        </w:rPr>
        <w:lastRenderedPageBreak/>
        <w:drawing>
          <wp:anchor distT="0" distB="210820" distL="382524" distR="579120" simplePos="0" relativeHeight="251698176" behindDoc="1" locked="0" layoutInCell="1" allowOverlap="1" wp14:anchorId="5CECCA21" wp14:editId="03134C8D">
            <wp:simplePos x="0" y="0"/>
            <wp:positionH relativeFrom="margin">
              <wp:align>right</wp:align>
            </wp:positionH>
            <wp:positionV relativeFrom="paragraph">
              <wp:posOffset>222250</wp:posOffset>
            </wp:positionV>
            <wp:extent cx="1160145" cy="1386840"/>
            <wp:effectExtent l="953" t="0" r="2857" b="2858"/>
            <wp:wrapTight wrapText="bothSides">
              <wp:wrapPolygon edited="0">
                <wp:start x="21582" y="1172"/>
                <wp:lineTo x="19454" y="-15"/>
                <wp:lineTo x="301" y="-15"/>
                <wp:lineTo x="301" y="1172"/>
                <wp:lineTo x="301" y="20161"/>
                <wp:lineTo x="4203" y="21348"/>
                <wp:lineTo x="15907" y="21348"/>
                <wp:lineTo x="21228" y="20161"/>
                <wp:lineTo x="21582" y="20161"/>
                <wp:lineTo x="21582" y="1172"/>
              </wp:wrapPolygon>
            </wp:wrapTight>
            <wp:docPr id="36" name="Picture 3" descr="Alma sho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3" descr="Alma short.jpg"/>
                    <pic:cNvPicPr>
                      <a:picLocks noChangeAspect="1" noChangeArrowheads="1"/>
                    </pic:cNvPicPr>
                  </pic:nvPicPr>
                  <pic:blipFill>
                    <a:blip r:embed="rId47" cstate="print"/>
                    <a:srcRect l="33391" r="24361" b="21948"/>
                    <a:stretch>
                      <a:fillRect/>
                    </a:stretch>
                  </pic:blipFill>
                  <pic:spPr bwMode="auto">
                    <a:xfrm rot="-5400000">
                      <a:off x="0" y="0"/>
                      <a:ext cx="1160145" cy="138684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827F47">
        <w:rPr>
          <w:rFonts w:ascii="Garamond" w:hAnsi="Garamond"/>
          <w:noProof/>
          <w:color w:val="244061" w:themeColor="accent1" w:themeShade="80"/>
          <w:sz w:val="36"/>
          <w:szCs w:val="36"/>
        </w:rPr>
        <w:t>Older Residents</w:t>
      </w:r>
    </w:p>
    <w:p w14:paraId="5C1976B1" w14:textId="77777777" w:rsidR="00C65183" w:rsidRDefault="00C65183" w:rsidP="00C65183">
      <w:pPr>
        <w:tabs>
          <w:tab w:val="left" w:pos="284"/>
        </w:tabs>
        <w:jc w:val="both"/>
        <w:rPr>
          <w:sz w:val="10"/>
          <w:szCs w:val="10"/>
        </w:rPr>
      </w:pPr>
    </w:p>
    <w:p w14:paraId="57EB428F" w14:textId="77777777" w:rsidR="00C65183" w:rsidRDefault="00C65183" w:rsidP="00C65183">
      <w:pPr>
        <w:tabs>
          <w:tab w:val="left" w:pos="284"/>
        </w:tabs>
        <w:spacing w:line="360" w:lineRule="auto"/>
        <w:jc w:val="both"/>
        <w:rPr>
          <w:rFonts w:ascii="Calibri" w:hAnsi="Calibri"/>
        </w:rPr>
      </w:pPr>
      <w:r w:rsidRPr="00861359">
        <w:rPr>
          <w:rFonts w:ascii="Calibri" w:hAnsi="Calibri"/>
          <w:b/>
        </w:rPr>
        <w:t>Population</w:t>
      </w:r>
      <w:r w:rsidRPr="00861359">
        <w:rPr>
          <w:rFonts w:ascii="Calibri" w:hAnsi="Calibri"/>
        </w:rPr>
        <w:t>: In 2021, approximately 1</w:t>
      </w:r>
      <w:r>
        <w:rPr>
          <w:rFonts w:ascii="Calibri" w:hAnsi="Calibri"/>
        </w:rPr>
        <w:t>8</w:t>
      </w:r>
      <w:r w:rsidRPr="00861359">
        <w:rPr>
          <w:rFonts w:ascii="Calibri" w:hAnsi="Calibri"/>
        </w:rPr>
        <w:t>,000 people in Greater Dandenong – or one in ten residents – were aged 70 years or more. In the decade to 20</w:t>
      </w:r>
      <w:r>
        <w:rPr>
          <w:rFonts w:ascii="Calibri" w:hAnsi="Calibri"/>
        </w:rPr>
        <w:t>31</w:t>
      </w:r>
      <w:r w:rsidRPr="00861359">
        <w:rPr>
          <w:rFonts w:ascii="Calibri" w:hAnsi="Calibri"/>
        </w:rPr>
        <w:t>, this number may increase by 4</w:t>
      </w:r>
      <w:r>
        <w:rPr>
          <w:rFonts w:ascii="Calibri" w:hAnsi="Calibri"/>
        </w:rPr>
        <w:t>,700</w:t>
      </w:r>
      <w:r w:rsidRPr="00861359">
        <w:rPr>
          <w:rFonts w:ascii="Calibri" w:hAnsi="Calibri"/>
        </w:rPr>
        <w:t>, or 2</w:t>
      </w:r>
      <w:r>
        <w:rPr>
          <w:rFonts w:ascii="Calibri" w:hAnsi="Calibri"/>
        </w:rPr>
        <w:t>6</w:t>
      </w:r>
      <w:r w:rsidRPr="00861359">
        <w:rPr>
          <w:rFonts w:ascii="Calibri" w:hAnsi="Calibri"/>
        </w:rPr>
        <w:t>%, to 2</w:t>
      </w:r>
      <w:r>
        <w:rPr>
          <w:rFonts w:ascii="Calibri" w:hAnsi="Calibri"/>
        </w:rPr>
        <w:t>2</w:t>
      </w:r>
      <w:r w:rsidRPr="00861359">
        <w:rPr>
          <w:rFonts w:ascii="Calibri" w:hAnsi="Calibri"/>
        </w:rPr>
        <w:t>,700. Meantime, the population aged 85+ is forecast to swell by 1,</w:t>
      </w:r>
      <w:r>
        <w:rPr>
          <w:rFonts w:ascii="Calibri" w:hAnsi="Calibri"/>
        </w:rPr>
        <w:t>460</w:t>
      </w:r>
      <w:r w:rsidRPr="00861359">
        <w:rPr>
          <w:rFonts w:ascii="Calibri" w:hAnsi="Calibri"/>
        </w:rPr>
        <w:t xml:space="preserve"> – a rise of </w:t>
      </w:r>
      <w:r>
        <w:rPr>
          <w:rFonts w:ascii="Calibri" w:hAnsi="Calibri"/>
        </w:rPr>
        <w:t>40</w:t>
      </w:r>
      <w:r w:rsidRPr="00861359">
        <w:rPr>
          <w:rFonts w:ascii="Calibri" w:hAnsi="Calibri"/>
        </w:rPr>
        <w:t>%.</w:t>
      </w:r>
    </w:p>
    <w:p w14:paraId="7765551E" w14:textId="77777777" w:rsidR="00C65183" w:rsidRPr="00861359" w:rsidRDefault="00C65183" w:rsidP="00C65183">
      <w:pPr>
        <w:tabs>
          <w:tab w:val="left" w:pos="284"/>
        </w:tabs>
        <w:spacing w:line="360" w:lineRule="auto"/>
        <w:jc w:val="both"/>
        <w:rPr>
          <w:rFonts w:ascii="Calibri" w:hAnsi="Calibri"/>
        </w:rPr>
      </w:pPr>
    </w:p>
    <w:p w14:paraId="057F52B1" w14:textId="77777777" w:rsidR="00C65183" w:rsidRPr="00C9604B" w:rsidRDefault="00C65183" w:rsidP="00C65183">
      <w:pPr>
        <w:tabs>
          <w:tab w:val="left" w:pos="284"/>
        </w:tabs>
        <w:jc w:val="both"/>
        <w:rPr>
          <w:rFonts w:ascii="Calibri" w:hAnsi="Calibri"/>
          <w:color w:val="7F7F7F"/>
          <w:sz w:val="20"/>
          <w:szCs w:val="20"/>
        </w:rPr>
      </w:pPr>
      <w:r w:rsidRPr="00C9604B">
        <w:rPr>
          <w:rFonts w:ascii="Calibri" w:hAnsi="Calibri"/>
          <w:color w:val="7F7F7F"/>
          <w:sz w:val="20"/>
          <w:szCs w:val="20"/>
        </w:rPr>
        <w:t>Persons aged 70 years or more, by selected birthplaces</w:t>
      </w:r>
      <w:r>
        <w:rPr>
          <w:rFonts w:ascii="Calibri" w:hAnsi="Calibri"/>
          <w:color w:val="7F7F7F"/>
          <w:sz w:val="20"/>
          <w:szCs w:val="20"/>
        </w:rPr>
        <w:t xml:space="preserve">: Greater Dandenong, </w:t>
      </w:r>
      <w:r w:rsidRPr="00C9604B">
        <w:rPr>
          <w:rFonts w:ascii="Calibri" w:hAnsi="Calibri"/>
          <w:color w:val="7F7F7F"/>
          <w:sz w:val="20"/>
          <w:szCs w:val="20"/>
        </w:rPr>
        <w:t>2016</w:t>
      </w:r>
    </w:p>
    <w:p w14:paraId="00940E45" w14:textId="77777777" w:rsidR="00C65183" w:rsidRPr="000030B5" w:rsidRDefault="00C65183" w:rsidP="00C65183">
      <w:pPr>
        <w:tabs>
          <w:tab w:val="left" w:pos="284"/>
        </w:tabs>
        <w:spacing w:before="60" w:line="360" w:lineRule="auto"/>
        <w:jc w:val="both"/>
        <w:rPr>
          <w:rFonts w:ascii="Calibri" w:hAnsi="Calibri"/>
          <w:b/>
        </w:rPr>
      </w:pPr>
      <w:r>
        <w:rPr>
          <w:rFonts w:ascii="Calibri" w:hAnsi="Calibri"/>
          <w:b/>
          <w:noProof/>
          <w:lang w:eastAsia="en-AU"/>
        </w:rPr>
        <w:drawing>
          <wp:anchor distT="0" distB="0" distL="114300" distR="114300" simplePos="0" relativeHeight="251693056" behindDoc="1" locked="0" layoutInCell="1" allowOverlap="1" wp14:anchorId="166C7AAB" wp14:editId="5AAAA380">
            <wp:simplePos x="0" y="0"/>
            <wp:positionH relativeFrom="margin">
              <wp:align>left</wp:align>
            </wp:positionH>
            <wp:positionV relativeFrom="paragraph">
              <wp:posOffset>90805</wp:posOffset>
            </wp:positionV>
            <wp:extent cx="3193415" cy="2984500"/>
            <wp:effectExtent l="0" t="0" r="6985" b="6350"/>
            <wp:wrapTight wrapText="bothSides">
              <wp:wrapPolygon edited="0">
                <wp:start x="0" y="0"/>
                <wp:lineTo x="0" y="21508"/>
                <wp:lineTo x="21518" y="21508"/>
                <wp:lineTo x="21518" y="0"/>
                <wp:lineTo x="0" y="0"/>
              </wp:wrapPolygon>
            </wp:wrapTight>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8">
                      <a:extLst>
                        <a:ext uri="{28A0092B-C50C-407E-A947-70E740481C1C}">
                          <a14:useLocalDpi xmlns:a14="http://schemas.microsoft.com/office/drawing/2010/main" val="0"/>
                        </a:ext>
                      </a:extLst>
                    </a:blip>
                    <a:srcRect r="2242" b="1416"/>
                    <a:stretch>
                      <a:fillRect/>
                    </a:stretch>
                  </pic:blipFill>
                  <pic:spPr bwMode="auto">
                    <a:xfrm>
                      <a:off x="0" y="0"/>
                      <a:ext cx="3193415" cy="2984500"/>
                    </a:xfrm>
                    <a:prstGeom prst="rect">
                      <a:avLst/>
                    </a:prstGeom>
                    <a:noFill/>
                  </pic:spPr>
                </pic:pic>
              </a:graphicData>
            </a:graphic>
            <wp14:sizeRelH relativeFrom="page">
              <wp14:pctWidth>0</wp14:pctWidth>
            </wp14:sizeRelH>
            <wp14:sizeRelV relativeFrom="page">
              <wp14:pctHeight>0</wp14:pctHeight>
            </wp14:sizeRelV>
          </wp:anchor>
        </w:drawing>
      </w:r>
      <w:r w:rsidRPr="000030B5">
        <w:rPr>
          <w:rFonts w:ascii="Calibri" w:hAnsi="Calibri"/>
          <w:b/>
        </w:rPr>
        <w:t>Cultural Diversity</w:t>
      </w:r>
    </w:p>
    <w:p w14:paraId="4AF428DC" w14:textId="77777777" w:rsidR="00C65183" w:rsidRPr="000030B5" w:rsidRDefault="00C65183" w:rsidP="00C65183">
      <w:pPr>
        <w:tabs>
          <w:tab w:val="left" w:pos="284"/>
        </w:tabs>
        <w:spacing w:line="360" w:lineRule="auto"/>
        <w:jc w:val="both"/>
        <w:rPr>
          <w:rFonts w:ascii="Calibri" w:hAnsi="Calibri"/>
        </w:rPr>
      </w:pPr>
      <w:r>
        <w:rPr>
          <w:rFonts w:ascii="Calibri" w:hAnsi="Calibri"/>
        </w:rPr>
        <w:t>In 2016, n</w:t>
      </w:r>
      <w:r w:rsidRPr="000030B5">
        <w:rPr>
          <w:rFonts w:ascii="Calibri" w:hAnsi="Calibri"/>
        </w:rPr>
        <w:t>early three-quarters (7</w:t>
      </w:r>
      <w:r>
        <w:rPr>
          <w:rFonts w:ascii="Calibri" w:hAnsi="Calibri"/>
        </w:rPr>
        <w:t>3</w:t>
      </w:r>
      <w:r w:rsidRPr="000030B5">
        <w:rPr>
          <w:rFonts w:ascii="Calibri" w:hAnsi="Calibri"/>
        </w:rPr>
        <w:t>%) of residents in Greater Dandenong aged 7</w:t>
      </w:r>
      <w:r>
        <w:rPr>
          <w:rFonts w:ascii="Calibri" w:hAnsi="Calibri"/>
        </w:rPr>
        <w:t>0 or more</w:t>
      </w:r>
      <w:r w:rsidRPr="000030B5">
        <w:rPr>
          <w:rFonts w:ascii="Calibri" w:hAnsi="Calibri"/>
        </w:rPr>
        <w:t xml:space="preserve"> </w:t>
      </w:r>
      <w:r>
        <w:rPr>
          <w:rFonts w:ascii="Calibri" w:hAnsi="Calibri"/>
        </w:rPr>
        <w:t>were</w:t>
      </w:r>
      <w:r w:rsidRPr="000030B5">
        <w:rPr>
          <w:rFonts w:ascii="Calibri" w:hAnsi="Calibri"/>
        </w:rPr>
        <w:t xml:space="preserve"> born overseas – higher than the metropolitan level of 5</w:t>
      </w:r>
      <w:r>
        <w:rPr>
          <w:rFonts w:ascii="Calibri" w:hAnsi="Calibri"/>
        </w:rPr>
        <w:t>1</w:t>
      </w:r>
      <w:r w:rsidRPr="000030B5">
        <w:rPr>
          <w:rFonts w:ascii="Calibri" w:hAnsi="Calibri"/>
        </w:rPr>
        <w:t>%</w:t>
      </w:r>
      <w:r>
        <w:rPr>
          <w:rFonts w:ascii="Calibri" w:hAnsi="Calibri"/>
        </w:rPr>
        <w:t>,</w:t>
      </w:r>
      <w:r w:rsidRPr="000030B5">
        <w:rPr>
          <w:rFonts w:ascii="Calibri" w:hAnsi="Calibri"/>
        </w:rPr>
        <w:t xml:space="preserve"> and the largest proportion in Victoria. </w:t>
      </w:r>
    </w:p>
    <w:p w14:paraId="13D057D1" w14:textId="77777777" w:rsidR="00C65183" w:rsidRDefault="00C65183" w:rsidP="00C65183">
      <w:pPr>
        <w:tabs>
          <w:tab w:val="left" w:pos="284"/>
        </w:tabs>
        <w:spacing w:line="360" w:lineRule="auto"/>
        <w:jc w:val="both"/>
        <w:rPr>
          <w:rFonts w:ascii="Calibri" w:hAnsi="Calibri"/>
        </w:rPr>
      </w:pPr>
      <w:r>
        <w:rPr>
          <w:rFonts w:ascii="Calibri" w:hAnsi="Calibri"/>
        </w:rPr>
        <w:t>Their birthplaces include</w:t>
      </w:r>
      <w:r w:rsidRPr="000030B5">
        <w:rPr>
          <w:rFonts w:ascii="Calibri" w:hAnsi="Calibri"/>
        </w:rPr>
        <w:t xml:space="preserve"> Italy</w:t>
      </w:r>
      <w:r>
        <w:rPr>
          <w:rFonts w:ascii="Calibri" w:hAnsi="Calibri"/>
        </w:rPr>
        <w:t>,</w:t>
      </w:r>
      <w:r w:rsidRPr="000030B5">
        <w:rPr>
          <w:rFonts w:ascii="Calibri" w:hAnsi="Calibri"/>
        </w:rPr>
        <w:t xml:space="preserve"> Vietnam,</w:t>
      </w:r>
      <w:r>
        <w:rPr>
          <w:rFonts w:ascii="Calibri" w:hAnsi="Calibri"/>
        </w:rPr>
        <w:t xml:space="preserve"> Greece, England</w:t>
      </w:r>
      <w:r w:rsidRPr="000030B5">
        <w:rPr>
          <w:rFonts w:ascii="Calibri" w:hAnsi="Calibri"/>
        </w:rPr>
        <w:t>, Sri Lanka</w:t>
      </w:r>
      <w:r>
        <w:rPr>
          <w:rFonts w:ascii="Calibri" w:hAnsi="Calibri"/>
        </w:rPr>
        <w:t xml:space="preserve"> and China.</w:t>
      </w:r>
    </w:p>
    <w:p w14:paraId="3AC5AE57" w14:textId="77777777" w:rsidR="00C65183" w:rsidRPr="00073937" w:rsidRDefault="00C65183" w:rsidP="00C65183">
      <w:pPr>
        <w:tabs>
          <w:tab w:val="left" w:pos="284"/>
        </w:tabs>
        <w:jc w:val="both"/>
        <w:rPr>
          <w:rFonts w:ascii="Calibri" w:hAnsi="Calibri"/>
          <w:color w:val="7F7F7F"/>
          <w:sz w:val="6"/>
          <w:szCs w:val="6"/>
        </w:rPr>
      </w:pPr>
      <w:r>
        <w:rPr>
          <w:rFonts w:ascii="Calibri" w:hAnsi="Calibri"/>
          <w:noProof/>
          <w:lang w:eastAsia="en-AU"/>
        </w:rPr>
        <w:drawing>
          <wp:anchor distT="0" distB="0" distL="114300" distR="114300" simplePos="0" relativeHeight="251697152" behindDoc="1" locked="0" layoutInCell="1" allowOverlap="1" wp14:anchorId="5F4F4AE0" wp14:editId="7FF86A5C">
            <wp:simplePos x="0" y="0"/>
            <wp:positionH relativeFrom="margin">
              <wp:align>right</wp:align>
            </wp:positionH>
            <wp:positionV relativeFrom="paragraph">
              <wp:posOffset>94298</wp:posOffset>
            </wp:positionV>
            <wp:extent cx="3208020" cy="5278755"/>
            <wp:effectExtent l="0" t="0" r="0" b="0"/>
            <wp:wrapTight wrapText="bothSides">
              <wp:wrapPolygon edited="0">
                <wp:start x="0" y="0"/>
                <wp:lineTo x="0" y="21514"/>
                <wp:lineTo x="21420" y="21514"/>
                <wp:lineTo x="21420" y="0"/>
                <wp:lineTo x="0" y="0"/>
              </wp:wrapPolygon>
            </wp:wrapTight>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9">
                      <a:extLst>
                        <a:ext uri="{28A0092B-C50C-407E-A947-70E740481C1C}">
                          <a14:useLocalDpi xmlns:a14="http://schemas.microsoft.com/office/drawing/2010/main" val="0"/>
                        </a:ext>
                      </a:extLst>
                    </a:blip>
                    <a:srcRect l="10440" r="6786"/>
                    <a:stretch>
                      <a:fillRect/>
                    </a:stretch>
                  </pic:blipFill>
                  <pic:spPr bwMode="auto">
                    <a:xfrm>
                      <a:off x="0" y="0"/>
                      <a:ext cx="3208020" cy="5278755"/>
                    </a:xfrm>
                    <a:prstGeom prst="rect">
                      <a:avLst/>
                    </a:prstGeom>
                    <a:noFill/>
                  </pic:spPr>
                </pic:pic>
              </a:graphicData>
            </a:graphic>
            <wp14:sizeRelH relativeFrom="page">
              <wp14:pctWidth>0</wp14:pctWidth>
            </wp14:sizeRelH>
            <wp14:sizeRelV relativeFrom="page">
              <wp14:pctHeight>0</wp14:pctHeight>
            </wp14:sizeRelV>
          </wp:anchor>
        </w:drawing>
      </w:r>
    </w:p>
    <w:p w14:paraId="4CBE0909" w14:textId="77777777" w:rsidR="00C65183" w:rsidRDefault="00C65183" w:rsidP="00C65183">
      <w:pPr>
        <w:tabs>
          <w:tab w:val="left" w:pos="284"/>
        </w:tabs>
        <w:jc w:val="both"/>
        <w:rPr>
          <w:rFonts w:ascii="Calibri" w:hAnsi="Calibri"/>
          <w:color w:val="7F7F7F"/>
          <w:sz w:val="20"/>
          <w:szCs w:val="20"/>
        </w:rPr>
      </w:pPr>
    </w:p>
    <w:p w14:paraId="316D7869" w14:textId="77777777" w:rsidR="00C65183" w:rsidRDefault="00C65183" w:rsidP="00C65183">
      <w:pPr>
        <w:tabs>
          <w:tab w:val="left" w:pos="284"/>
        </w:tabs>
        <w:jc w:val="both"/>
        <w:rPr>
          <w:rFonts w:ascii="Calibri" w:hAnsi="Calibri"/>
          <w:color w:val="7F7F7F"/>
          <w:sz w:val="20"/>
          <w:szCs w:val="20"/>
        </w:rPr>
      </w:pPr>
    </w:p>
    <w:p w14:paraId="4FB11B53" w14:textId="77777777" w:rsidR="00C65183" w:rsidRPr="008D7367" w:rsidRDefault="00C65183" w:rsidP="00C65183">
      <w:pPr>
        <w:tabs>
          <w:tab w:val="left" w:pos="284"/>
        </w:tabs>
        <w:jc w:val="both"/>
        <w:rPr>
          <w:rFonts w:ascii="Calibri" w:hAnsi="Calibri"/>
          <w:color w:val="7F7F7F"/>
          <w:sz w:val="20"/>
          <w:szCs w:val="20"/>
        </w:rPr>
      </w:pPr>
      <w:r w:rsidRPr="008D7367">
        <w:rPr>
          <w:rFonts w:ascii="Calibri" w:hAnsi="Calibri"/>
          <w:color w:val="7F7F7F"/>
          <w:sz w:val="20"/>
          <w:szCs w:val="20"/>
        </w:rPr>
        <w:t>Change in population aged 70+, by selected birthplaces</w:t>
      </w:r>
      <w:r>
        <w:rPr>
          <w:rFonts w:ascii="Calibri" w:hAnsi="Calibri"/>
          <w:color w:val="7F7F7F"/>
          <w:sz w:val="20"/>
          <w:szCs w:val="20"/>
        </w:rPr>
        <w:t>: Greater Dandenong,</w:t>
      </w:r>
      <w:r w:rsidRPr="008D7367">
        <w:rPr>
          <w:rFonts w:ascii="Calibri" w:hAnsi="Calibri"/>
          <w:color w:val="7F7F7F"/>
          <w:sz w:val="20"/>
          <w:szCs w:val="20"/>
        </w:rPr>
        <w:t xml:space="preserve"> 2006 to 2016</w:t>
      </w:r>
    </w:p>
    <w:p w14:paraId="58722E6B" w14:textId="77777777" w:rsidR="00C65183" w:rsidRPr="00073937" w:rsidRDefault="00C65183" w:rsidP="00C65183">
      <w:pPr>
        <w:tabs>
          <w:tab w:val="left" w:pos="284"/>
        </w:tabs>
        <w:jc w:val="both"/>
        <w:rPr>
          <w:rFonts w:ascii="Calibri" w:hAnsi="Calibri"/>
          <w:sz w:val="6"/>
          <w:szCs w:val="6"/>
        </w:rPr>
      </w:pPr>
    </w:p>
    <w:p w14:paraId="2F6BB4F6" w14:textId="77777777" w:rsidR="00C65183" w:rsidRPr="00F0132B" w:rsidRDefault="00C65183" w:rsidP="00C65183">
      <w:pPr>
        <w:tabs>
          <w:tab w:val="left" w:pos="284"/>
        </w:tabs>
        <w:spacing w:line="360" w:lineRule="auto"/>
        <w:jc w:val="both"/>
        <w:rPr>
          <w:rFonts w:ascii="Calibri" w:hAnsi="Calibri"/>
          <w:sz w:val="12"/>
          <w:szCs w:val="12"/>
        </w:rPr>
      </w:pPr>
    </w:p>
    <w:p w14:paraId="5209FF08" w14:textId="77777777" w:rsidR="00C65183" w:rsidRDefault="00C65183" w:rsidP="00C65183">
      <w:pPr>
        <w:tabs>
          <w:tab w:val="left" w:pos="284"/>
        </w:tabs>
        <w:spacing w:line="360" w:lineRule="auto"/>
        <w:jc w:val="both"/>
        <w:rPr>
          <w:rFonts w:ascii="Calibri" w:hAnsi="Calibri"/>
        </w:rPr>
      </w:pPr>
      <w:r w:rsidRPr="000030B5">
        <w:rPr>
          <w:rFonts w:ascii="Calibri" w:hAnsi="Calibri"/>
        </w:rPr>
        <w:t>The 201</w:t>
      </w:r>
      <w:r>
        <w:rPr>
          <w:rFonts w:ascii="Calibri" w:hAnsi="Calibri"/>
        </w:rPr>
        <w:t>6</w:t>
      </w:r>
      <w:r w:rsidRPr="000030B5">
        <w:rPr>
          <w:rFonts w:ascii="Calibri" w:hAnsi="Calibri"/>
        </w:rPr>
        <w:t xml:space="preserve"> Census recorded that 27 residents </w:t>
      </w:r>
      <w:r>
        <w:rPr>
          <w:rFonts w:ascii="Calibri" w:hAnsi="Calibri"/>
        </w:rPr>
        <w:t>were</w:t>
      </w:r>
      <w:r w:rsidRPr="000030B5">
        <w:rPr>
          <w:rFonts w:ascii="Calibri" w:hAnsi="Calibri"/>
        </w:rPr>
        <w:t xml:space="preserve"> </w:t>
      </w:r>
      <w:r>
        <w:rPr>
          <w:rFonts w:ascii="Calibri" w:hAnsi="Calibri"/>
        </w:rPr>
        <w:t>A</w:t>
      </w:r>
      <w:r w:rsidRPr="000030B5">
        <w:rPr>
          <w:rFonts w:ascii="Calibri" w:hAnsi="Calibri"/>
        </w:rPr>
        <w:t>boriginal or Torres Strait Islanders</w:t>
      </w:r>
      <w:r>
        <w:rPr>
          <w:rFonts w:ascii="Calibri" w:hAnsi="Calibri"/>
        </w:rPr>
        <w:t xml:space="preserve"> aged 70 or more</w:t>
      </w:r>
      <w:r w:rsidRPr="000030B5">
        <w:rPr>
          <w:rFonts w:ascii="Calibri" w:hAnsi="Calibri"/>
        </w:rPr>
        <w:t xml:space="preserve">. </w:t>
      </w:r>
    </w:p>
    <w:p w14:paraId="6489C28D" w14:textId="77777777" w:rsidR="00C65183" w:rsidRPr="00F0132B" w:rsidRDefault="00C65183" w:rsidP="00C65183">
      <w:pPr>
        <w:tabs>
          <w:tab w:val="left" w:pos="284"/>
        </w:tabs>
        <w:spacing w:line="360" w:lineRule="auto"/>
        <w:jc w:val="both"/>
        <w:rPr>
          <w:rFonts w:ascii="Calibri" w:hAnsi="Calibri"/>
          <w:sz w:val="12"/>
          <w:szCs w:val="12"/>
        </w:rPr>
      </w:pPr>
    </w:p>
    <w:p w14:paraId="13F9839A" w14:textId="77777777" w:rsidR="00C65183" w:rsidRDefault="00C65183" w:rsidP="00C65183">
      <w:pPr>
        <w:tabs>
          <w:tab w:val="left" w:pos="284"/>
        </w:tabs>
        <w:spacing w:line="360" w:lineRule="auto"/>
        <w:jc w:val="both"/>
        <w:rPr>
          <w:rFonts w:ascii="Calibri" w:hAnsi="Calibri"/>
        </w:rPr>
      </w:pPr>
      <w:r w:rsidRPr="002100BE">
        <w:rPr>
          <w:rFonts w:ascii="Calibri" w:hAnsi="Calibri"/>
        </w:rPr>
        <w:t xml:space="preserve">The number of older residents from </w:t>
      </w:r>
      <w:r>
        <w:rPr>
          <w:rFonts w:ascii="Calibri" w:hAnsi="Calibri"/>
        </w:rPr>
        <w:t>many European</w:t>
      </w:r>
      <w:r w:rsidRPr="002100BE">
        <w:rPr>
          <w:rFonts w:ascii="Calibri" w:hAnsi="Calibri"/>
        </w:rPr>
        <w:t xml:space="preserve"> sources of migration has declined in recent years, resulting in </w:t>
      </w:r>
      <w:r>
        <w:rPr>
          <w:rFonts w:ascii="Calibri" w:hAnsi="Calibri"/>
        </w:rPr>
        <w:t>fewer</w:t>
      </w:r>
      <w:r w:rsidRPr="002100BE">
        <w:rPr>
          <w:rFonts w:ascii="Calibri" w:hAnsi="Calibri"/>
        </w:rPr>
        <w:t xml:space="preserve"> from </w:t>
      </w:r>
      <w:r>
        <w:rPr>
          <w:rFonts w:ascii="Calibri" w:hAnsi="Calibri"/>
        </w:rPr>
        <w:t>Britain, Poland and elsewhere. Meantime,</w:t>
      </w:r>
      <w:r w:rsidRPr="002100BE">
        <w:rPr>
          <w:rFonts w:ascii="Calibri" w:hAnsi="Calibri"/>
        </w:rPr>
        <w:t xml:space="preserve"> many residents from Vietnam, </w:t>
      </w:r>
      <w:r>
        <w:rPr>
          <w:rFonts w:ascii="Calibri" w:hAnsi="Calibri"/>
        </w:rPr>
        <w:t xml:space="preserve">Cambodia, India and China </w:t>
      </w:r>
      <w:r w:rsidRPr="002100BE">
        <w:rPr>
          <w:rFonts w:ascii="Calibri" w:hAnsi="Calibri"/>
        </w:rPr>
        <w:t xml:space="preserve">are passing into their older age. These two trends have </w:t>
      </w:r>
      <w:r>
        <w:rPr>
          <w:rFonts w:ascii="Calibri" w:hAnsi="Calibri"/>
        </w:rPr>
        <w:t>contributed to a</w:t>
      </w:r>
      <w:r w:rsidRPr="002100BE">
        <w:rPr>
          <w:rFonts w:ascii="Calibri" w:hAnsi="Calibri"/>
        </w:rPr>
        <w:t xml:space="preserve"> steady rise in the number of older residents in our municipality, coupled with a gradual change in the</w:t>
      </w:r>
      <w:r>
        <w:rPr>
          <w:rFonts w:ascii="Calibri" w:hAnsi="Calibri"/>
        </w:rPr>
        <w:t>ir</w:t>
      </w:r>
      <w:r w:rsidRPr="002100BE">
        <w:rPr>
          <w:rFonts w:ascii="Calibri" w:hAnsi="Calibri"/>
        </w:rPr>
        <w:t xml:space="preserve"> blend of birthplaces.</w:t>
      </w:r>
      <w:r>
        <w:rPr>
          <w:rFonts w:ascii="Calibri" w:hAnsi="Calibri"/>
        </w:rPr>
        <w:t xml:space="preserve"> </w:t>
      </w:r>
    </w:p>
    <w:p w14:paraId="663A5F65" w14:textId="77777777" w:rsidR="00C65183" w:rsidRDefault="00C65183" w:rsidP="00C65183">
      <w:pPr>
        <w:tabs>
          <w:tab w:val="left" w:pos="284"/>
          <w:tab w:val="left" w:pos="6096"/>
        </w:tabs>
        <w:jc w:val="both"/>
        <w:rPr>
          <w:rFonts w:ascii="Calibri" w:hAnsi="Calibri"/>
          <w:color w:val="7F7F7F"/>
          <w:sz w:val="20"/>
          <w:szCs w:val="20"/>
        </w:rPr>
      </w:pPr>
      <w:r w:rsidRPr="007A623F">
        <w:rPr>
          <w:rFonts w:ascii="Calibri" w:hAnsi="Calibri"/>
          <w:color w:val="7F7F7F"/>
          <w:sz w:val="20"/>
          <w:szCs w:val="20"/>
        </w:rPr>
        <w:lastRenderedPageBreak/>
        <w:t xml:space="preserve">Persons aged 70 years or more, by selected </w:t>
      </w:r>
      <w:r>
        <w:rPr>
          <w:rFonts w:ascii="Calibri" w:hAnsi="Calibri"/>
          <w:color w:val="7F7F7F"/>
          <w:sz w:val="20"/>
          <w:szCs w:val="20"/>
        </w:rPr>
        <w:t xml:space="preserve">languages: </w:t>
      </w:r>
    </w:p>
    <w:p w14:paraId="686A8539" w14:textId="77777777" w:rsidR="00C65183" w:rsidRPr="007A623F" w:rsidRDefault="00C65183" w:rsidP="00C65183">
      <w:pPr>
        <w:tabs>
          <w:tab w:val="left" w:pos="284"/>
          <w:tab w:val="left" w:pos="6096"/>
        </w:tabs>
        <w:jc w:val="both"/>
        <w:rPr>
          <w:rFonts w:ascii="Calibri" w:hAnsi="Calibri"/>
          <w:b/>
        </w:rPr>
      </w:pPr>
      <w:r>
        <w:rPr>
          <w:rFonts w:ascii="Calibri" w:hAnsi="Calibri"/>
          <w:color w:val="7F7F7F"/>
          <w:sz w:val="20"/>
          <w:szCs w:val="20"/>
        </w:rPr>
        <w:t xml:space="preserve">Greater Dandenong, </w:t>
      </w:r>
      <w:r w:rsidRPr="007A623F">
        <w:rPr>
          <w:rFonts w:ascii="Calibri" w:hAnsi="Calibri"/>
          <w:color w:val="7F7F7F"/>
          <w:sz w:val="20"/>
          <w:szCs w:val="20"/>
        </w:rPr>
        <w:t>2016</w:t>
      </w:r>
      <w:r>
        <w:rPr>
          <w:rFonts w:ascii="Calibri" w:hAnsi="Calibri"/>
          <w:color w:val="7F7F7F"/>
          <w:sz w:val="20"/>
          <w:szCs w:val="20"/>
        </w:rPr>
        <w:tab/>
      </w:r>
      <w:r w:rsidRPr="000030B5">
        <w:rPr>
          <w:rFonts w:ascii="Calibri" w:hAnsi="Calibri"/>
          <w:b/>
        </w:rPr>
        <w:t>Spoken Languages</w:t>
      </w:r>
    </w:p>
    <w:p w14:paraId="5985CC40" w14:textId="77777777" w:rsidR="00C65183" w:rsidRPr="000030B5" w:rsidRDefault="00C65183" w:rsidP="00C65183">
      <w:pPr>
        <w:tabs>
          <w:tab w:val="left" w:pos="284"/>
        </w:tabs>
        <w:spacing w:line="360" w:lineRule="auto"/>
        <w:jc w:val="both"/>
        <w:rPr>
          <w:rFonts w:ascii="Calibri" w:hAnsi="Calibri"/>
        </w:rPr>
      </w:pPr>
      <w:r>
        <w:rPr>
          <w:rFonts w:ascii="Calibri" w:hAnsi="Calibri"/>
          <w:noProof/>
          <w:lang w:eastAsia="en-AU"/>
        </w:rPr>
        <w:drawing>
          <wp:anchor distT="0" distB="0" distL="114300" distR="114300" simplePos="0" relativeHeight="251699200" behindDoc="0" locked="0" layoutInCell="1" allowOverlap="1" wp14:anchorId="78153657" wp14:editId="60D2AF99">
            <wp:simplePos x="0" y="0"/>
            <wp:positionH relativeFrom="column">
              <wp:posOffset>2504122</wp:posOffset>
            </wp:positionH>
            <wp:positionV relativeFrom="paragraph">
              <wp:posOffset>2697162</wp:posOffset>
            </wp:positionV>
            <wp:extent cx="700088" cy="1002375"/>
            <wp:effectExtent l="0" t="0" r="5080" b="7620"/>
            <wp:wrapNone/>
            <wp:docPr id="58" name="Picture 57" descr="Pictur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1.jpg"/>
                    <pic:cNvPicPr/>
                  </pic:nvPicPr>
                  <pic:blipFill>
                    <a:blip r:embed="rId50" cstate="print"/>
                    <a:stretch>
                      <a:fillRect/>
                    </a:stretch>
                  </pic:blipFill>
                  <pic:spPr>
                    <a:xfrm>
                      <a:off x="0" y="0"/>
                      <a:ext cx="700088" cy="100237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rFonts w:ascii="Calibri" w:hAnsi="Calibri"/>
          <w:b/>
          <w:noProof/>
          <w:lang w:eastAsia="en-AU"/>
        </w:rPr>
        <w:drawing>
          <wp:anchor distT="0" distB="0" distL="114300" distR="114300" simplePos="0" relativeHeight="251694080" behindDoc="1" locked="0" layoutInCell="1" allowOverlap="1" wp14:anchorId="0DA77480" wp14:editId="6C2D05E6">
            <wp:simplePos x="0" y="0"/>
            <wp:positionH relativeFrom="column">
              <wp:posOffset>-43815</wp:posOffset>
            </wp:positionH>
            <wp:positionV relativeFrom="paragraph">
              <wp:posOffset>29845</wp:posOffset>
            </wp:positionV>
            <wp:extent cx="3886200" cy="3905885"/>
            <wp:effectExtent l="0" t="0" r="0" b="0"/>
            <wp:wrapTight wrapText="bothSides">
              <wp:wrapPolygon edited="0">
                <wp:start x="0" y="0"/>
                <wp:lineTo x="0" y="21491"/>
                <wp:lineTo x="21494" y="21491"/>
                <wp:lineTo x="21494" y="0"/>
                <wp:lineTo x="0" y="0"/>
              </wp:wrapPolygon>
            </wp:wrapTight>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886200" cy="3905885"/>
                    </a:xfrm>
                    <a:prstGeom prst="rect">
                      <a:avLst/>
                    </a:prstGeom>
                    <a:noFill/>
                  </pic:spPr>
                </pic:pic>
              </a:graphicData>
            </a:graphic>
            <wp14:sizeRelH relativeFrom="page">
              <wp14:pctWidth>0</wp14:pctWidth>
            </wp14:sizeRelH>
            <wp14:sizeRelV relativeFrom="page">
              <wp14:pctHeight>0</wp14:pctHeight>
            </wp14:sizeRelV>
          </wp:anchor>
        </w:drawing>
      </w:r>
      <w:r w:rsidRPr="000030B5">
        <w:rPr>
          <w:rFonts w:ascii="Calibri" w:hAnsi="Calibri"/>
        </w:rPr>
        <w:t>Reflecting the cultural diversity of residents aged 70</w:t>
      </w:r>
      <w:r>
        <w:rPr>
          <w:rFonts w:ascii="Calibri" w:hAnsi="Calibri"/>
        </w:rPr>
        <w:t xml:space="preserve"> or more, over</w:t>
      </w:r>
      <w:r w:rsidRPr="000030B5">
        <w:rPr>
          <w:rFonts w:ascii="Calibri" w:hAnsi="Calibri"/>
        </w:rPr>
        <w:t xml:space="preserve"> half (54%) speak languages other than English at home, including Italian (spoken by </w:t>
      </w:r>
      <w:r>
        <w:rPr>
          <w:rFonts w:ascii="Calibri" w:hAnsi="Calibri"/>
        </w:rPr>
        <w:t>8.1</w:t>
      </w:r>
      <w:r w:rsidRPr="000030B5">
        <w:rPr>
          <w:rFonts w:ascii="Calibri" w:hAnsi="Calibri"/>
        </w:rPr>
        <w:t>% of older residents), Greek (</w:t>
      </w:r>
      <w:r>
        <w:rPr>
          <w:rFonts w:ascii="Calibri" w:hAnsi="Calibri"/>
        </w:rPr>
        <w:t>6.7</w:t>
      </w:r>
      <w:r w:rsidRPr="000030B5">
        <w:rPr>
          <w:rFonts w:ascii="Calibri" w:hAnsi="Calibri"/>
        </w:rPr>
        <w:t>%), Vietnamese (5</w:t>
      </w:r>
      <w:r>
        <w:rPr>
          <w:rFonts w:ascii="Calibri" w:hAnsi="Calibri"/>
        </w:rPr>
        <w:t>.5</w:t>
      </w:r>
      <w:r w:rsidRPr="000030B5">
        <w:rPr>
          <w:rFonts w:ascii="Calibri" w:hAnsi="Calibri"/>
        </w:rPr>
        <w:t>%), Cantonese (</w:t>
      </w:r>
      <w:r>
        <w:rPr>
          <w:rFonts w:ascii="Calibri" w:hAnsi="Calibri"/>
        </w:rPr>
        <w:t>2.9</w:t>
      </w:r>
      <w:r w:rsidRPr="000030B5">
        <w:rPr>
          <w:rFonts w:ascii="Calibri" w:hAnsi="Calibri"/>
        </w:rPr>
        <w:t xml:space="preserve">%), </w:t>
      </w:r>
      <w:r>
        <w:rPr>
          <w:rFonts w:ascii="Calibri" w:hAnsi="Calibri"/>
        </w:rPr>
        <w:t>Mandarin (2.6%), Serbian, Spanish, Khmer and French</w:t>
      </w:r>
      <w:r w:rsidRPr="000030B5">
        <w:rPr>
          <w:rFonts w:ascii="Calibri" w:hAnsi="Calibri"/>
        </w:rPr>
        <w:t xml:space="preserve"> (</w:t>
      </w:r>
      <w:r>
        <w:rPr>
          <w:rFonts w:ascii="Calibri" w:hAnsi="Calibri"/>
        </w:rPr>
        <w:t>a little over</w:t>
      </w:r>
      <w:r w:rsidRPr="000030B5">
        <w:rPr>
          <w:rFonts w:ascii="Calibri" w:hAnsi="Calibri"/>
        </w:rPr>
        <w:t xml:space="preserve"> 2% each). The </w:t>
      </w:r>
      <w:r>
        <w:rPr>
          <w:rFonts w:ascii="Calibri" w:hAnsi="Calibri"/>
        </w:rPr>
        <w:t>percentage</w:t>
      </w:r>
      <w:r w:rsidRPr="000030B5">
        <w:rPr>
          <w:rFonts w:ascii="Calibri" w:hAnsi="Calibri"/>
        </w:rPr>
        <w:t xml:space="preserve"> of residents </w:t>
      </w:r>
      <w:r>
        <w:rPr>
          <w:rFonts w:ascii="Calibri" w:hAnsi="Calibri"/>
        </w:rPr>
        <w:t>aged 70 or more</w:t>
      </w:r>
      <w:r w:rsidRPr="000030B5">
        <w:rPr>
          <w:rFonts w:ascii="Calibri" w:hAnsi="Calibri"/>
        </w:rPr>
        <w:t xml:space="preserve"> who speak each of a selection of </w:t>
      </w:r>
      <w:r>
        <w:rPr>
          <w:rFonts w:ascii="Calibri" w:hAnsi="Calibri"/>
        </w:rPr>
        <w:t xml:space="preserve">non-English </w:t>
      </w:r>
      <w:r w:rsidRPr="000030B5">
        <w:rPr>
          <w:rFonts w:ascii="Calibri" w:hAnsi="Calibri"/>
        </w:rPr>
        <w:t>languages, is illustrated in the accompanying diagram.</w:t>
      </w:r>
    </w:p>
    <w:p w14:paraId="7CF98658" w14:textId="77777777" w:rsidR="00C65183" w:rsidRDefault="00C65183" w:rsidP="00C65183">
      <w:pPr>
        <w:tabs>
          <w:tab w:val="left" w:pos="284"/>
        </w:tabs>
        <w:spacing w:before="60" w:line="360" w:lineRule="auto"/>
        <w:jc w:val="both"/>
        <w:rPr>
          <w:rFonts w:ascii="Calibri" w:hAnsi="Calibri"/>
          <w:b/>
        </w:rPr>
      </w:pPr>
    </w:p>
    <w:p w14:paraId="0BA3C8AC" w14:textId="77777777" w:rsidR="00C65183" w:rsidRDefault="00C65183" w:rsidP="00C65183">
      <w:pPr>
        <w:tabs>
          <w:tab w:val="left" w:pos="284"/>
        </w:tabs>
        <w:spacing w:before="60" w:line="360" w:lineRule="auto"/>
        <w:jc w:val="both"/>
        <w:rPr>
          <w:rFonts w:ascii="Calibri" w:hAnsi="Calibri"/>
          <w:b/>
        </w:rPr>
      </w:pPr>
    </w:p>
    <w:p w14:paraId="255614C6" w14:textId="77777777" w:rsidR="00C65183" w:rsidRDefault="00C65183" w:rsidP="00C65183">
      <w:pPr>
        <w:tabs>
          <w:tab w:val="left" w:pos="284"/>
        </w:tabs>
        <w:spacing w:before="60" w:line="360" w:lineRule="auto"/>
        <w:jc w:val="both"/>
        <w:rPr>
          <w:rFonts w:ascii="Calibri" w:hAnsi="Calibri"/>
          <w:b/>
        </w:rPr>
      </w:pPr>
    </w:p>
    <w:p w14:paraId="7267C2CC" w14:textId="77777777" w:rsidR="00C65183" w:rsidRDefault="00C65183" w:rsidP="00C65183">
      <w:pPr>
        <w:tabs>
          <w:tab w:val="left" w:pos="284"/>
        </w:tabs>
        <w:spacing w:before="60" w:line="360" w:lineRule="auto"/>
        <w:jc w:val="both"/>
        <w:rPr>
          <w:rFonts w:ascii="Calibri" w:hAnsi="Calibri"/>
          <w:b/>
        </w:rPr>
      </w:pPr>
    </w:p>
    <w:p w14:paraId="11A90845" w14:textId="77777777" w:rsidR="00C65183" w:rsidRPr="000030B5" w:rsidRDefault="00C65183" w:rsidP="00C65183">
      <w:pPr>
        <w:tabs>
          <w:tab w:val="left" w:pos="284"/>
        </w:tabs>
        <w:spacing w:before="60" w:line="360" w:lineRule="auto"/>
        <w:jc w:val="both"/>
        <w:rPr>
          <w:rFonts w:ascii="Calibri" w:hAnsi="Calibri"/>
          <w:b/>
        </w:rPr>
      </w:pPr>
      <w:r w:rsidRPr="000030B5">
        <w:rPr>
          <w:rFonts w:ascii="Calibri" w:hAnsi="Calibri"/>
          <w:b/>
        </w:rPr>
        <w:t>English Fluency</w:t>
      </w:r>
    </w:p>
    <w:p w14:paraId="1CAEF1CC" w14:textId="77777777" w:rsidR="00C65183" w:rsidRDefault="00C65183" w:rsidP="00C65183">
      <w:pPr>
        <w:tabs>
          <w:tab w:val="left" w:pos="284"/>
        </w:tabs>
        <w:spacing w:line="360" w:lineRule="auto"/>
        <w:jc w:val="both"/>
        <w:rPr>
          <w:rFonts w:ascii="Calibri" w:hAnsi="Calibri"/>
        </w:rPr>
      </w:pPr>
      <w:r>
        <w:rPr>
          <w:rFonts w:ascii="Calibri" w:hAnsi="Calibri"/>
          <w:noProof/>
          <w:color w:val="7F7F7F"/>
          <w:sz w:val="20"/>
          <w:szCs w:val="20"/>
          <w:lang w:eastAsia="en-AU"/>
        </w:rPr>
        <w:drawing>
          <wp:anchor distT="0" distB="0" distL="114300" distR="114300" simplePos="0" relativeHeight="251695104" behindDoc="1" locked="0" layoutInCell="1" allowOverlap="1" wp14:anchorId="164839A0" wp14:editId="6BD76658">
            <wp:simplePos x="0" y="0"/>
            <wp:positionH relativeFrom="column">
              <wp:posOffset>1908810</wp:posOffset>
            </wp:positionH>
            <wp:positionV relativeFrom="paragraph">
              <wp:posOffset>39370</wp:posOffset>
            </wp:positionV>
            <wp:extent cx="4184650" cy="3864610"/>
            <wp:effectExtent l="0" t="0" r="6350" b="2540"/>
            <wp:wrapTight wrapText="bothSides">
              <wp:wrapPolygon edited="0">
                <wp:start x="0" y="0"/>
                <wp:lineTo x="0" y="21508"/>
                <wp:lineTo x="21534" y="21508"/>
                <wp:lineTo x="21534" y="0"/>
                <wp:lineTo x="0" y="0"/>
              </wp:wrapPolygon>
            </wp:wrapTight>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184650" cy="3864610"/>
                    </a:xfrm>
                    <a:prstGeom prst="rect">
                      <a:avLst/>
                    </a:prstGeom>
                    <a:noFill/>
                  </pic:spPr>
                </pic:pic>
              </a:graphicData>
            </a:graphic>
            <wp14:sizeRelH relativeFrom="page">
              <wp14:pctWidth>0</wp14:pctWidth>
            </wp14:sizeRelH>
            <wp14:sizeRelV relativeFrom="page">
              <wp14:pctHeight>0</wp14:pctHeight>
            </wp14:sizeRelV>
          </wp:anchor>
        </w:drawing>
      </w:r>
      <w:r w:rsidRPr="000030B5">
        <w:rPr>
          <w:rFonts w:ascii="Calibri" w:hAnsi="Calibri"/>
        </w:rPr>
        <w:t xml:space="preserve">Over </w:t>
      </w:r>
      <w:r>
        <w:rPr>
          <w:rFonts w:ascii="Calibri" w:hAnsi="Calibri"/>
        </w:rPr>
        <w:t>one-</w:t>
      </w:r>
      <w:r w:rsidRPr="000030B5">
        <w:rPr>
          <w:rFonts w:ascii="Calibri" w:hAnsi="Calibri"/>
        </w:rPr>
        <w:t>quarter (2</w:t>
      </w:r>
      <w:r>
        <w:rPr>
          <w:rFonts w:ascii="Calibri" w:hAnsi="Calibri"/>
        </w:rPr>
        <w:t>9</w:t>
      </w:r>
      <w:r w:rsidRPr="000030B5">
        <w:rPr>
          <w:rFonts w:ascii="Calibri" w:hAnsi="Calibri"/>
        </w:rPr>
        <w:t xml:space="preserve">%) of </w:t>
      </w:r>
      <w:r>
        <w:rPr>
          <w:rFonts w:ascii="Calibri" w:hAnsi="Calibri"/>
        </w:rPr>
        <w:t xml:space="preserve">Greater Dandenong </w:t>
      </w:r>
      <w:r w:rsidRPr="000030B5">
        <w:rPr>
          <w:rFonts w:ascii="Calibri" w:hAnsi="Calibri"/>
        </w:rPr>
        <w:t>residents aged 70</w:t>
      </w:r>
      <w:r>
        <w:rPr>
          <w:rFonts w:ascii="Calibri" w:hAnsi="Calibri"/>
        </w:rPr>
        <w:t xml:space="preserve"> or more </w:t>
      </w:r>
      <w:r w:rsidRPr="000030B5">
        <w:rPr>
          <w:rFonts w:ascii="Calibri" w:hAnsi="Calibri"/>
        </w:rPr>
        <w:t>ha</w:t>
      </w:r>
      <w:r>
        <w:rPr>
          <w:rFonts w:ascii="Calibri" w:hAnsi="Calibri"/>
        </w:rPr>
        <w:t>s</w:t>
      </w:r>
      <w:r w:rsidRPr="000030B5">
        <w:rPr>
          <w:rFonts w:ascii="Calibri" w:hAnsi="Calibri"/>
        </w:rPr>
        <w:t xml:space="preserve"> limited fluency in the use of spoken English, the highest proportion in Victoria.</w:t>
      </w:r>
      <w:r>
        <w:rPr>
          <w:rFonts w:ascii="Calibri" w:hAnsi="Calibri"/>
        </w:rPr>
        <w:t xml:space="preserve"> These include over four-fifths </w:t>
      </w:r>
      <w:r w:rsidRPr="000030B5">
        <w:rPr>
          <w:rFonts w:ascii="Calibri" w:hAnsi="Calibri"/>
        </w:rPr>
        <w:t xml:space="preserve">of </w:t>
      </w:r>
      <w:r>
        <w:rPr>
          <w:rFonts w:ascii="Calibri" w:hAnsi="Calibri"/>
        </w:rPr>
        <w:t>those</w:t>
      </w:r>
      <w:r w:rsidRPr="000030B5">
        <w:rPr>
          <w:rFonts w:ascii="Calibri" w:hAnsi="Calibri"/>
        </w:rPr>
        <w:t xml:space="preserve"> who speak Cantonese, Khmer, Mandarin </w:t>
      </w:r>
      <w:r>
        <w:rPr>
          <w:rFonts w:ascii="Calibri" w:hAnsi="Calibri"/>
        </w:rPr>
        <w:t xml:space="preserve">and </w:t>
      </w:r>
      <w:r w:rsidRPr="000030B5">
        <w:rPr>
          <w:rFonts w:ascii="Calibri" w:hAnsi="Calibri"/>
        </w:rPr>
        <w:t>Vietnamese</w:t>
      </w:r>
      <w:r>
        <w:rPr>
          <w:rFonts w:ascii="Calibri" w:hAnsi="Calibri"/>
        </w:rPr>
        <w:t>.</w:t>
      </w:r>
    </w:p>
    <w:p w14:paraId="7E7ED175" w14:textId="77777777" w:rsidR="00C65183" w:rsidRDefault="00C65183" w:rsidP="00C65183">
      <w:pPr>
        <w:tabs>
          <w:tab w:val="left" w:pos="284"/>
        </w:tabs>
        <w:spacing w:line="360" w:lineRule="auto"/>
        <w:jc w:val="both"/>
        <w:rPr>
          <w:rFonts w:ascii="Calibri" w:hAnsi="Calibri"/>
        </w:rPr>
      </w:pPr>
    </w:p>
    <w:p w14:paraId="6236781A" w14:textId="77777777" w:rsidR="00C65183" w:rsidRPr="00C9604B" w:rsidRDefault="00C65183" w:rsidP="00C65183">
      <w:pPr>
        <w:tabs>
          <w:tab w:val="left" w:pos="284"/>
        </w:tabs>
        <w:jc w:val="both"/>
        <w:rPr>
          <w:rFonts w:ascii="Calibri" w:hAnsi="Calibri"/>
          <w:color w:val="7F7F7F"/>
          <w:sz w:val="20"/>
          <w:szCs w:val="20"/>
        </w:rPr>
      </w:pPr>
      <w:r w:rsidRPr="00C9604B">
        <w:rPr>
          <w:rFonts w:ascii="Calibri" w:hAnsi="Calibri"/>
          <w:color w:val="7F7F7F"/>
          <w:sz w:val="20"/>
          <w:szCs w:val="20"/>
        </w:rPr>
        <w:t>Per cent of residents aged 70 years or more, who have limited English fluency, by age</w:t>
      </w:r>
      <w:r>
        <w:rPr>
          <w:rFonts w:ascii="Calibri" w:hAnsi="Calibri"/>
          <w:color w:val="7F7F7F"/>
          <w:sz w:val="20"/>
          <w:szCs w:val="20"/>
        </w:rPr>
        <w:t>: Greater Dandenong,</w:t>
      </w:r>
      <w:r w:rsidRPr="00C9604B">
        <w:rPr>
          <w:rFonts w:ascii="Calibri" w:hAnsi="Calibri"/>
          <w:color w:val="7F7F7F"/>
          <w:sz w:val="20"/>
          <w:szCs w:val="20"/>
        </w:rPr>
        <w:t xml:space="preserve"> 2016</w:t>
      </w:r>
    </w:p>
    <w:p w14:paraId="5EAA6E5C" w14:textId="77777777" w:rsidR="00C65183" w:rsidRDefault="00C65183" w:rsidP="00C65183">
      <w:pPr>
        <w:tabs>
          <w:tab w:val="left" w:pos="284"/>
        </w:tabs>
        <w:spacing w:line="360" w:lineRule="auto"/>
        <w:jc w:val="both"/>
        <w:rPr>
          <w:rFonts w:ascii="Calibri" w:hAnsi="Calibri"/>
        </w:rPr>
      </w:pPr>
    </w:p>
    <w:p w14:paraId="4B58B55C" w14:textId="77777777" w:rsidR="00C65183" w:rsidRDefault="00C65183" w:rsidP="00C65183">
      <w:pPr>
        <w:tabs>
          <w:tab w:val="left" w:pos="284"/>
        </w:tabs>
        <w:spacing w:line="360" w:lineRule="auto"/>
        <w:jc w:val="both"/>
        <w:rPr>
          <w:rFonts w:ascii="Calibri" w:hAnsi="Calibri"/>
        </w:rPr>
      </w:pPr>
    </w:p>
    <w:p w14:paraId="25326084" w14:textId="77777777" w:rsidR="00C65183" w:rsidRDefault="00C65183" w:rsidP="00C65183">
      <w:pPr>
        <w:tabs>
          <w:tab w:val="left" w:pos="284"/>
        </w:tabs>
        <w:spacing w:line="360" w:lineRule="auto"/>
        <w:jc w:val="both"/>
        <w:rPr>
          <w:rFonts w:ascii="Calibri" w:hAnsi="Calibri"/>
        </w:rPr>
      </w:pPr>
    </w:p>
    <w:p w14:paraId="18AD767B" w14:textId="77777777" w:rsidR="00C65183" w:rsidRDefault="00C65183" w:rsidP="00C65183">
      <w:pPr>
        <w:tabs>
          <w:tab w:val="left" w:pos="284"/>
        </w:tabs>
        <w:spacing w:line="360" w:lineRule="auto"/>
        <w:jc w:val="both"/>
        <w:rPr>
          <w:rFonts w:ascii="Calibri" w:hAnsi="Calibri"/>
        </w:rPr>
      </w:pPr>
    </w:p>
    <w:p w14:paraId="51A70DF2" w14:textId="77777777" w:rsidR="00C65183" w:rsidRDefault="00C65183" w:rsidP="00C65183">
      <w:pPr>
        <w:tabs>
          <w:tab w:val="left" w:pos="284"/>
          <w:tab w:val="left" w:pos="5245"/>
        </w:tabs>
        <w:spacing w:line="360" w:lineRule="auto"/>
        <w:jc w:val="both"/>
        <w:rPr>
          <w:rFonts w:ascii="Calibri" w:hAnsi="Calibri"/>
          <w:b/>
        </w:rPr>
      </w:pPr>
      <w:r w:rsidRPr="000030B5">
        <w:rPr>
          <w:rFonts w:ascii="Calibri" w:hAnsi="Calibri"/>
          <w:b/>
        </w:rPr>
        <w:lastRenderedPageBreak/>
        <w:t>Household Types</w:t>
      </w:r>
    </w:p>
    <w:p w14:paraId="10CEDEC6" w14:textId="77777777" w:rsidR="00C65183" w:rsidRDefault="00C65183" w:rsidP="00C65183">
      <w:pPr>
        <w:tabs>
          <w:tab w:val="left" w:pos="284"/>
          <w:tab w:val="left" w:pos="5670"/>
        </w:tabs>
        <w:jc w:val="both"/>
        <w:rPr>
          <w:rFonts w:ascii="Calibri" w:hAnsi="Calibri"/>
          <w:color w:val="7F7F7F"/>
          <w:sz w:val="20"/>
          <w:szCs w:val="20"/>
        </w:rPr>
      </w:pPr>
      <w:r w:rsidRPr="0074374B">
        <w:rPr>
          <w:rFonts w:ascii="Calibri" w:hAnsi="Calibri"/>
          <w:color w:val="7F7F7F"/>
          <w:sz w:val="20"/>
          <w:szCs w:val="20"/>
        </w:rPr>
        <w:t>Household Types, Persons aged 70+ and living in a private dwelling</w:t>
      </w:r>
      <w:r>
        <w:rPr>
          <w:rFonts w:ascii="Calibri" w:hAnsi="Calibri"/>
          <w:color w:val="7F7F7F"/>
          <w:sz w:val="20"/>
          <w:szCs w:val="20"/>
        </w:rPr>
        <w:t>: Greater Dandenong,</w:t>
      </w:r>
      <w:r w:rsidRPr="0074374B">
        <w:rPr>
          <w:rFonts w:ascii="Calibri" w:hAnsi="Calibri"/>
          <w:color w:val="7F7F7F"/>
          <w:sz w:val="20"/>
          <w:szCs w:val="20"/>
        </w:rPr>
        <w:t xml:space="preserve"> 2016</w:t>
      </w:r>
    </w:p>
    <w:p w14:paraId="6B450DF2" w14:textId="77777777" w:rsidR="00C65183" w:rsidRDefault="00C65183" w:rsidP="00C65183">
      <w:pPr>
        <w:tabs>
          <w:tab w:val="left" w:pos="284"/>
          <w:tab w:val="left" w:pos="5670"/>
        </w:tabs>
        <w:jc w:val="both"/>
        <w:rPr>
          <w:rFonts w:ascii="Calibri" w:hAnsi="Calibri"/>
          <w:sz w:val="20"/>
          <w:szCs w:val="20"/>
        </w:rPr>
      </w:pPr>
      <w:r>
        <w:rPr>
          <w:rFonts w:ascii="Calibri" w:hAnsi="Calibri"/>
          <w:noProof/>
          <w:lang w:eastAsia="en-AU"/>
        </w:rPr>
        <w:drawing>
          <wp:anchor distT="0" distB="0" distL="114300" distR="114300" simplePos="0" relativeHeight="251696128" behindDoc="1" locked="0" layoutInCell="1" allowOverlap="1" wp14:anchorId="417E3927" wp14:editId="22635853">
            <wp:simplePos x="0" y="0"/>
            <wp:positionH relativeFrom="column">
              <wp:posOffset>3175</wp:posOffset>
            </wp:positionH>
            <wp:positionV relativeFrom="paragraph">
              <wp:posOffset>137795</wp:posOffset>
            </wp:positionV>
            <wp:extent cx="3261360" cy="1840865"/>
            <wp:effectExtent l="0" t="0" r="0" b="6985"/>
            <wp:wrapTight wrapText="bothSides">
              <wp:wrapPolygon edited="0">
                <wp:start x="0" y="0"/>
                <wp:lineTo x="0" y="21458"/>
                <wp:lineTo x="21449" y="21458"/>
                <wp:lineTo x="21449" y="0"/>
                <wp:lineTo x="0" y="0"/>
              </wp:wrapPolygon>
            </wp:wrapTight>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3">
                      <a:extLst>
                        <a:ext uri="{28A0092B-C50C-407E-A947-70E740481C1C}">
                          <a14:useLocalDpi xmlns:a14="http://schemas.microsoft.com/office/drawing/2010/main" val="0"/>
                        </a:ext>
                      </a:extLst>
                    </a:blip>
                    <a:srcRect l="5093" t="3281" r="7307" b="8792"/>
                    <a:stretch>
                      <a:fillRect/>
                    </a:stretch>
                  </pic:blipFill>
                  <pic:spPr bwMode="auto">
                    <a:xfrm>
                      <a:off x="0" y="0"/>
                      <a:ext cx="3261360" cy="1840865"/>
                    </a:xfrm>
                    <a:prstGeom prst="rect">
                      <a:avLst/>
                    </a:prstGeom>
                    <a:noFill/>
                  </pic:spPr>
                </pic:pic>
              </a:graphicData>
            </a:graphic>
            <wp14:sizeRelH relativeFrom="page">
              <wp14:pctWidth>0</wp14:pctWidth>
            </wp14:sizeRelH>
            <wp14:sizeRelV relativeFrom="page">
              <wp14:pctHeight>0</wp14:pctHeight>
            </wp14:sizeRelV>
          </wp:anchor>
        </w:drawing>
      </w:r>
    </w:p>
    <w:p w14:paraId="5334E9B6" w14:textId="77777777" w:rsidR="00C65183" w:rsidRDefault="00C65183" w:rsidP="00C65183">
      <w:pPr>
        <w:tabs>
          <w:tab w:val="left" w:pos="284"/>
          <w:tab w:val="left" w:pos="5670"/>
        </w:tabs>
        <w:jc w:val="both"/>
        <w:rPr>
          <w:rFonts w:ascii="Calibri" w:hAnsi="Calibri"/>
          <w:sz w:val="20"/>
          <w:szCs w:val="20"/>
        </w:rPr>
      </w:pPr>
    </w:p>
    <w:p w14:paraId="2FF6BB11" w14:textId="77777777" w:rsidR="00C65183" w:rsidRPr="0074374B" w:rsidRDefault="00C65183" w:rsidP="00C65183">
      <w:pPr>
        <w:tabs>
          <w:tab w:val="left" w:pos="284"/>
          <w:tab w:val="left" w:pos="5670"/>
        </w:tabs>
        <w:jc w:val="both"/>
        <w:rPr>
          <w:rFonts w:ascii="Calibri" w:hAnsi="Calibri"/>
          <w:sz w:val="20"/>
          <w:szCs w:val="20"/>
        </w:rPr>
      </w:pPr>
    </w:p>
    <w:p w14:paraId="27734DC0" w14:textId="77777777" w:rsidR="00C65183" w:rsidRPr="000030B5" w:rsidRDefault="00C65183" w:rsidP="00C65183">
      <w:pPr>
        <w:tabs>
          <w:tab w:val="left" w:pos="284"/>
          <w:tab w:val="left" w:pos="5670"/>
        </w:tabs>
        <w:spacing w:line="360" w:lineRule="auto"/>
        <w:jc w:val="both"/>
        <w:rPr>
          <w:rFonts w:ascii="Calibri" w:hAnsi="Calibri"/>
        </w:rPr>
      </w:pPr>
      <w:r w:rsidRPr="000030B5">
        <w:rPr>
          <w:rFonts w:ascii="Calibri" w:hAnsi="Calibri"/>
        </w:rPr>
        <w:t>More than half (5</w:t>
      </w:r>
      <w:r>
        <w:rPr>
          <w:rFonts w:ascii="Calibri" w:hAnsi="Calibri"/>
        </w:rPr>
        <w:t>4</w:t>
      </w:r>
      <w:r w:rsidRPr="000030B5">
        <w:rPr>
          <w:rFonts w:ascii="Calibri" w:hAnsi="Calibri"/>
        </w:rPr>
        <w:t xml:space="preserve">%) of older </w:t>
      </w:r>
      <w:r>
        <w:rPr>
          <w:rFonts w:ascii="Calibri" w:hAnsi="Calibri"/>
        </w:rPr>
        <w:t>residents aged 70 or more, live with a partner and</w:t>
      </w:r>
      <w:r w:rsidRPr="000030B5">
        <w:rPr>
          <w:rFonts w:ascii="Calibri" w:hAnsi="Calibri"/>
        </w:rPr>
        <w:t xml:space="preserve"> </w:t>
      </w:r>
      <w:r>
        <w:rPr>
          <w:rFonts w:ascii="Calibri" w:hAnsi="Calibri"/>
        </w:rPr>
        <w:t xml:space="preserve">just over </w:t>
      </w:r>
      <w:r w:rsidRPr="000030B5">
        <w:rPr>
          <w:rFonts w:ascii="Calibri" w:hAnsi="Calibri"/>
        </w:rPr>
        <w:t>a quarter (2</w:t>
      </w:r>
      <w:r>
        <w:rPr>
          <w:rFonts w:ascii="Calibri" w:hAnsi="Calibri"/>
        </w:rPr>
        <w:t>6</w:t>
      </w:r>
      <w:r w:rsidRPr="000030B5">
        <w:rPr>
          <w:rFonts w:ascii="Calibri" w:hAnsi="Calibri"/>
        </w:rPr>
        <w:t xml:space="preserve">%) alone. </w:t>
      </w:r>
      <w:r>
        <w:rPr>
          <w:rFonts w:ascii="Calibri" w:hAnsi="Calibri"/>
        </w:rPr>
        <w:t>O</w:t>
      </w:r>
      <w:r w:rsidRPr="000030B5">
        <w:rPr>
          <w:rFonts w:ascii="Calibri" w:hAnsi="Calibri"/>
        </w:rPr>
        <w:t xml:space="preserve">thers </w:t>
      </w:r>
      <w:r>
        <w:rPr>
          <w:rFonts w:ascii="Calibri" w:hAnsi="Calibri"/>
        </w:rPr>
        <w:t>reside with their children or</w:t>
      </w:r>
      <w:r w:rsidRPr="000030B5">
        <w:rPr>
          <w:rFonts w:ascii="Calibri" w:hAnsi="Calibri"/>
        </w:rPr>
        <w:t xml:space="preserve"> other relatives</w:t>
      </w:r>
      <w:r>
        <w:rPr>
          <w:rFonts w:ascii="Calibri" w:hAnsi="Calibri"/>
        </w:rPr>
        <w:t>.</w:t>
      </w:r>
    </w:p>
    <w:p w14:paraId="0D7A78AC" w14:textId="77777777" w:rsidR="00C65183" w:rsidRPr="000030B5" w:rsidRDefault="00C65183" w:rsidP="00C65183">
      <w:pPr>
        <w:tabs>
          <w:tab w:val="left" w:pos="284"/>
        </w:tabs>
        <w:spacing w:line="360" w:lineRule="auto"/>
        <w:jc w:val="both"/>
        <w:rPr>
          <w:rFonts w:ascii="Calibri" w:hAnsi="Calibri"/>
        </w:rPr>
      </w:pPr>
    </w:p>
    <w:p w14:paraId="2E74219F" w14:textId="77777777" w:rsidR="00C65183" w:rsidRDefault="00C65183" w:rsidP="00C65183">
      <w:pPr>
        <w:tabs>
          <w:tab w:val="left" w:pos="284"/>
        </w:tabs>
        <w:spacing w:line="360" w:lineRule="auto"/>
        <w:jc w:val="both"/>
        <w:rPr>
          <w:rFonts w:ascii="Calibri" w:hAnsi="Calibri"/>
          <w:b/>
        </w:rPr>
      </w:pPr>
      <w:r>
        <w:rPr>
          <w:rFonts w:ascii="Calibri" w:hAnsi="Calibri"/>
          <w:noProof/>
          <w:lang w:eastAsia="en-AU"/>
        </w:rPr>
        <w:drawing>
          <wp:anchor distT="0" distB="0" distL="114300" distR="114300" simplePos="0" relativeHeight="251937792" behindDoc="0" locked="0" layoutInCell="1" allowOverlap="1" wp14:anchorId="584022BF" wp14:editId="2F81D4E0">
            <wp:simplePos x="0" y="0"/>
            <wp:positionH relativeFrom="column">
              <wp:posOffset>4523423</wp:posOffset>
            </wp:positionH>
            <wp:positionV relativeFrom="line">
              <wp:posOffset>109356</wp:posOffset>
            </wp:positionV>
            <wp:extent cx="1171190" cy="819331"/>
            <wp:effectExtent l="0" t="0" r="0" b="0"/>
            <wp:wrapNone/>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munity Older 4.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1172375" cy="820160"/>
                    </a:xfrm>
                    <a:prstGeom prst="rect">
                      <a:avLst/>
                    </a:prstGeom>
                    <a:ln>
                      <a:noFill/>
                    </a:ln>
                    <a:effectLst>
                      <a:softEdge rad="63500"/>
                    </a:effectLst>
                  </pic:spPr>
                </pic:pic>
              </a:graphicData>
            </a:graphic>
            <wp14:sizeRelH relativeFrom="page">
              <wp14:pctWidth>0</wp14:pctWidth>
            </wp14:sizeRelH>
            <wp14:sizeRelV relativeFrom="page">
              <wp14:pctHeight>0</wp14:pctHeight>
            </wp14:sizeRelV>
          </wp:anchor>
        </w:drawing>
      </w:r>
    </w:p>
    <w:p w14:paraId="383AA103" w14:textId="77777777" w:rsidR="00C65183" w:rsidRDefault="00C65183" w:rsidP="00C65183">
      <w:pPr>
        <w:tabs>
          <w:tab w:val="left" w:pos="284"/>
        </w:tabs>
        <w:spacing w:line="360" w:lineRule="auto"/>
        <w:jc w:val="both"/>
        <w:rPr>
          <w:rFonts w:ascii="Calibri" w:hAnsi="Calibri"/>
          <w:b/>
        </w:rPr>
      </w:pPr>
    </w:p>
    <w:p w14:paraId="3C3FB82C" w14:textId="77777777" w:rsidR="00C65183" w:rsidRDefault="00C65183" w:rsidP="00C65183">
      <w:pPr>
        <w:tabs>
          <w:tab w:val="left" w:pos="284"/>
        </w:tabs>
        <w:spacing w:line="360" w:lineRule="auto"/>
        <w:jc w:val="both"/>
        <w:rPr>
          <w:rFonts w:ascii="Calibri" w:hAnsi="Calibri"/>
          <w:b/>
        </w:rPr>
      </w:pPr>
    </w:p>
    <w:p w14:paraId="73893FC8" w14:textId="77777777" w:rsidR="00C65183" w:rsidRDefault="00C65183" w:rsidP="00C65183">
      <w:pPr>
        <w:tabs>
          <w:tab w:val="left" w:pos="284"/>
        </w:tabs>
        <w:spacing w:line="360" w:lineRule="auto"/>
        <w:jc w:val="both"/>
        <w:rPr>
          <w:rFonts w:ascii="Calibri" w:hAnsi="Calibri"/>
          <w:b/>
        </w:rPr>
      </w:pPr>
    </w:p>
    <w:p w14:paraId="7360C6A7" w14:textId="77777777" w:rsidR="00C65183" w:rsidRDefault="00C65183" w:rsidP="00C65183">
      <w:pPr>
        <w:tabs>
          <w:tab w:val="left" w:pos="284"/>
        </w:tabs>
        <w:spacing w:line="360" w:lineRule="auto"/>
        <w:jc w:val="both"/>
        <w:rPr>
          <w:rFonts w:ascii="Calibri" w:hAnsi="Calibri"/>
          <w:b/>
        </w:rPr>
      </w:pPr>
    </w:p>
    <w:p w14:paraId="62B1DD31" w14:textId="77777777" w:rsidR="00C65183" w:rsidRPr="00A5391C" w:rsidRDefault="00C65183" w:rsidP="00C65183">
      <w:pPr>
        <w:tabs>
          <w:tab w:val="left" w:pos="284"/>
        </w:tabs>
        <w:spacing w:line="360" w:lineRule="auto"/>
        <w:jc w:val="both"/>
        <w:rPr>
          <w:rFonts w:ascii="Calibri" w:hAnsi="Calibri"/>
          <w:b/>
        </w:rPr>
      </w:pPr>
      <w:r w:rsidRPr="00A5391C">
        <w:rPr>
          <w:rFonts w:ascii="Calibri" w:hAnsi="Calibri"/>
          <w:b/>
        </w:rPr>
        <w:t xml:space="preserve">Incomes, Employment and Welfare Dependence </w:t>
      </w:r>
    </w:p>
    <w:p w14:paraId="5C7F89A0" w14:textId="77777777" w:rsidR="00C65183" w:rsidRDefault="00C65183" w:rsidP="00C65183">
      <w:pPr>
        <w:jc w:val="both"/>
        <w:rPr>
          <w:rFonts w:ascii="Garamond" w:hAnsi="Garamond"/>
          <w:sz w:val="6"/>
          <w:szCs w:val="6"/>
          <w:lang w:val="en-US"/>
        </w:rPr>
      </w:pPr>
    </w:p>
    <w:p w14:paraId="23CF9D63" w14:textId="77777777" w:rsidR="00C65183" w:rsidRPr="00A5391C" w:rsidRDefault="00C65183" w:rsidP="00C65183">
      <w:pPr>
        <w:tabs>
          <w:tab w:val="left" w:pos="284"/>
        </w:tabs>
        <w:spacing w:before="120" w:line="360" w:lineRule="auto"/>
        <w:jc w:val="both"/>
        <w:rPr>
          <w:rFonts w:ascii="Calibri" w:hAnsi="Calibri"/>
          <w:i/>
        </w:rPr>
      </w:pPr>
      <w:r w:rsidRPr="00A5391C">
        <w:rPr>
          <w:rFonts w:ascii="Calibri" w:hAnsi="Calibri"/>
          <w:i/>
        </w:rPr>
        <w:t>Incomes and employment</w:t>
      </w:r>
    </w:p>
    <w:p w14:paraId="6ED5A5C5" w14:textId="77777777" w:rsidR="00C65183" w:rsidRPr="002B445E" w:rsidRDefault="00C65183" w:rsidP="00C65183">
      <w:pPr>
        <w:tabs>
          <w:tab w:val="left" w:pos="284"/>
        </w:tabs>
        <w:spacing w:line="360" w:lineRule="auto"/>
        <w:jc w:val="both"/>
        <w:rPr>
          <w:rFonts w:ascii="Calibri" w:hAnsi="Calibri"/>
        </w:rPr>
      </w:pPr>
      <w:r w:rsidRPr="00A5391C">
        <w:rPr>
          <w:rFonts w:ascii="Calibri" w:hAnsi="Calibri"/>
        </w:rPr>
        <w:t>At $</w:t>
      </w:r>
      <w:r>
        <w:rPr>
          <w:rFonts w:ascii="Calibri" w:hAnsi="Calibri"/>
        </w:rPr>
        <w:t>554</w:t>
      </w:r>
      <w:r w:rsidRPr="00A5391C">
        <w:rPr>
          <w:rFonts w:ascii="Calibri" w:hAnsi="Calibri"/>
        </w:rPr>
        <w:t xml:space="preserve">, the median income among Greater Dandenong residents aged 55-59, </w:t>
      </w:r>
      <w:r>
        <w:rPr>
          <w:rFonts w:ascii="Calibri" w:hAnsi="Calibri"/>
        </w:rPr>
        <w:t>many</w:t>
      </w:r>
      <w:r w:rsidRPr="00A5391C">
        <w:rPr>
          <w:rFonts w:ascii="Calibri" w:hAnsi="Calibri"/>
        </w:rPr>
        <w:t xml:space="preserve"> approaching retirement, was the lowest in Melbourne in 201</w:t>
      </w:r>
      <w:r>
        <w:rPr>
          <w:rFonts w:ascii="Calibri" w:hAnsi="Calibri"/>
        </w:rPr>
        <w:t>6</w:t>
      </w:r>
      <w:r w:rsidRPr="00A5391C">
        <w:rPr>
          <w:rFonts w:ascii="Calibri" w:hAnsi="Calibri"/>
        </w:rPr>
        <w:t>, and substantially less than the corresponding Victorian median of $</w:t>
      </w:r>
      <w:r>
        <w:rPr>
          <w:rFonts w:ascii="Calibri" w:hAnsi="Calibri"/>
        </w:rPr>
        <w:t>819</w:t>
      </w:r>
      <w:r w:rsidRPr="00A5391C">
        <w:rPr>
          <w:rFonts w:ascii="Calibri" w:hAnsi="Calibri"/>
        </w:rPr>
        <w:t xml:space="preserve">. Among people </w:t>
      </w:r>
      <w:r>
        <w:rPr>
          <w:rFonts w:ascii="Calibri" w:hAnsi="Calibri"/>
        </w:rPr>
        <w:t>aged 55 to 59 years</w:t>
      </w:r>
      <w:r w:rsidRPr="00A5391C">
        <w:rPr>
          <w:rFonts w:ascii="Calibri" w:hAnsi="Calibri"/>
        </w:rPr>
        <w:t xml:space="preserve"> in Greater Dandenong, 5</w:t>
      </w:r>
      <w:r>
        <w:rPr>
          <w:rFonts w:ascii="Calibri" w:hAnsi="Calibri"/>
        </w:rPr>
        <w:t>4</w:t>
      </w:r>
      <w:r w:rsidRPr="00A5391C">
        <w:rPr>
          <w:rFonts w:ascii="Calibri" w:hAnsi="Calibri"/>
        </w:rPr>
        <w:t>% were in paid employment</w:t>
      </w:r>
      <w:r>
        <w:rPr>
          <w:rFonts w:ascii="Calibri" w:hAnsi="Calibri"/>
        </w:rPr>
        <w:t xml:space="preserve"> in 2016</w:t>
      </w:r>
      <w:r w:rsidRPr="00A5391C">
        <w:rPr>
          <w:rFonts w:ascii="Calibri" w:hAnsi="Calibri"/>
        </w:rPr>
        <w:t xml:space="preserve">, compared with a metropolitan level of </w:t>
      </w:r>
      <w:r>
        <w:rPr>
          <w:rFonts w:ascii="Calibri" w:hAnsi="Calibri"/>
        </w:rPr>
        <w:t>69</w:t>
      </w:r>
      <w:r w:rsidRPr="00A5391C">
        <w:rPr>
          <w:rFonts w:ascii="Calibri" w:hAnsi="Calibri"/>
        </w:rPr>
        <w:t>%.</w:t>
      </w:r>
      <w:r>
        <w:rPr>
          <w:rFonts w:ascii="Calibri" w:hAnsi="Calibri"/>
        </w:rPr>
        <w:t xml:space="preserve"> </w:t>
      </w:r>
      <w:r w:rsidRPr="002B445E">
        <w:rPr>
          <w:rFonts w:ascii="Calibri" w:hAnsi="Calibri"/>
        </w:rPr>
        <w:t>Consequently</w:t>
      </w:r>
      <w:r>
        <w:rPr>
          <w:rFonts w:ascii="Calibri" w:hAnsi="Calibri"/>
        </w:rPr>
        <w:t>,</w:t>
      </w:r>
      <w:r w:rsidRPr="002B445E">
        <w:rPr>
          <w:rFonts w:ascii="Calibri" w:hAnsi="Calibri"/>
        </w:rPr>
        <w:t xml:space="preserve"> a substantial proportion of residents reach older age with limited savings, exposing them to the risk of financial hardship</w:t>
      </w:r>
      <w:r>
        <w:rPr>
          <w:rFonts w:ascii="Calibri" w:hAnsi="Calibri"/>
        </w:rPr>
        <w:t xml:space="preserve"> in retirement</w:t>
      </w:r>
      <w:r w:rsidRPr="002B445E">
        <w:rPr>
          <w:rFonts w:ascii="Calibri" w:hAnsi="Calibri"/>
        </w:rPr>
        <w:t xml:space="preserve">. </w:t>
      </w:r>
    </w:p>
    <w:p w14:paraId="1545695C" w14:textId="77777777" w:rsidR="00C65183" w:rsidRPr="00A5391C" w:rsidRDefault="00C65183" w:rsidP="00C65183">
      <w:pPr>
        <w:tabs>
          <w:tab w:val="left" w:pos="284"/>
        </w:tabs>
        <w:spacing w:before="120" w:line="360" w:lineRule="auto"/>
        <w:jc w:val="both"/>
        <w:rPr>
          <w:rFonts w:ascii="Calibri" w:hAnsi="Calibri"/>
          <w:i/>
        </w:rPr>
      </w:pPr>
      <w:r w:rsidRPr="00A5391C">
        <w:rPr>
          <w:rFonts w:ascii="Calibri" w:hAnsi="Calibri"/>
          <w:i/>
        </w:rPr>
        <w:t>Pensions</w:t>
      </w:r>
    </w:p>
    <w:p w14:paraId="22E7AC64" w14:textId="77777777" w:rsidR="00C65183" w:rsidRPr="00A5391C" w:rsidRDefault="00C65183" w:rsidP="00C65183">
      <w:pPr>
        <w:tabs>
          <w:tab w:val="left" w:pos="284"/>
        </w:tabs>
        <w:spacing w:line="360" w:lineRule="auto"/>
        <w:jc w:val="both"/>
        <w:rPr>
          <w:rFonts w:ascii="Calibri" w:hAnsi="Calibri"/>
        </w:rPr>
      </w:pPr>
      <w:r w:rsidRPr="00A5391C">
        <w:rPr>
          <w:rFonts w:ascii="Calibri" w:hAnsi="Calibri"/>
        </w:rPr>
        <w:t xml:space="preserve">In </w:t>
      </w:r>
      <w:r>
        <w:rPr>
          <w:rFonts w:ascii="Calibri" w:hAnsi="Calibri"/>
        </w:rPr>
        <w:t>June</w:t>
      </w:r>
      <w:r w:rsidRPr="00A5391C">
        <w:rPr>
          <w:rFonts w:ascii="Calibri" w:hAnsi="Calibri"/>
        </w:rPr>
        <w:t xml:space="preserve"> 20</w:t>
      </w:r>
      <w:r>
        <w:rPr>
          <w:rFonts w:ascii="Calibri" w:hAnsi="Calibri"/>
        </w:rPr>
        <w:t>20</w:t>
      </w:r>
      <w:r w:rsidRPr="00A5391C">
        <w:rPr>
          <w:rFonts w:ascii="Calibri" w:hAnsi="Calibri"/>
        </w:rPr>
        <w:t xml:space="preserve">, the ratio of Aged Pension recipients to persons aged 65 years or more in Greater Dandenong </w:t>
      </w:r>
      <w:r>
        <w:rPr>
          <w:rFonts w:ascii="Calibri" w:hAnsi="Calibri"/>
        </w:rPr>
        <w:t xml:space="preserve">(expressed as a percentage) </w:t>
      </w:r>
      <w:r w:rsidRPr="00A5391C">
        <w:rPr>
          <w:rFonts w:ascii="Calibri" w:hAnsi="Calibri"/>
        </w:rPr>
        <w:t xml:space="preserve">was </w:t>
      </w:r>
      <w:r>
        <w:rPr>
          <w:rFonts w:ascii="Calibri" w:hAnsi="Calibri"/>
        </w:rPr>
        <w:t>69</w:t>
      </w:r>
      <w:r w:rsidRPr="00A5391C">
        <w:rPr>
          <w:rFonts w:ascii="Calibri" w:hAnsi="Calibri"/>
        </w:rPr>
        <w:t xml:space="preserve">% - the </w:t>
      </w:r>
      <w:r>
        <w:rPr>
          <w:rFonts w:ascii="Calibri" w:hAnsi="Calibri"/>
        </w:rPr>
        <w:t>third</w:t>
      </w:r>
      <w:r w:rsidRPr="00A5391C">
        <w:rPr>
          <w:rFonts w:ascii="Calibri" w:hAnsi="Calibri"/>
        </w:rPr>
        <w:t xml:space="preserve"> highest in Melbourne. By contrast the ratio of Aged Pension recipients to older persons in </w:t>
      </w:r>
      <w:r>
        <w:rPr>
          <w:rFonts w:ascii="Calibri" w:hAnsi="Calibri"/>
        </w:rPr>
        <w:t xml:space="preserve">metropolitan Melbourne was 55%, a level which declines to 29% in </w:t>
      </w:r>
      <w:r w:rsidRPr="00A5391C">
        <w:rPr>
          <w:rFonts w:ascii="Calibri" w:hAnsi="Calibri"/>
        </w:rPr>
        <w:t xml:space="preserve">Boroondara, reflecting a lower dependency upon the pension for income support among these residents. </w:t>
      </w:r>
    </w:p>
    <w:p w14:paraId="2CCD341F" w14:textId="77777777" w:rsidR="00C65183" w:rsidRDefault="00C65183" w:rsidP="00C65183">
      <w:pPr>
        <w:rPr>
          <w:rFonts w:ascii="Calibri" w:hAnsi="Calibri"/>
        </w:rPr>
      </w:pPr>
      <w:r>
        <w:rPr>
          <w:rFonts w:ascii="Calibri" w:hAnsi="Calibri"/>
        </w:rPr>
        <w:br w:type="page"/>
      </w:r>
    </w:p>
    <w:p w14:paraId="57556127" w14:textId="77777777" w:rsidR="00C65183" w:rsidRPr="00827F47" w:rsidRDefault="00C65183" w:rsidP="00C65183">
      <w:pPr>
        <w:pBdr>
          <w:top w:val="single" w:sz="4" w:space="0" w:color="244061" w:themeColor="accent1" w:themeShade="80"/>
          <w:bottom w:val="single" w:sz="4" w:space="1" w:color="244061" w:themeColor="accent1" w:themeShade="80"/>
        </w:pBdr>
        <w:tabs>
          <w:tab w:val="center" w:pos="4678"/>
        </w:tabs>
        <w:jc w:val="center"/>
        <w:rPr>
          <w:rFonts w:ascii="Garamond" w:hAnsi="Garamond"/>
          <w:noProof/>
          <w:color w:val="244061" w:themeColor="accent1" w:themeShade="80"/>
          <w:sz w:val="34"/>
          <w:szCs w:val="34"/>
        </w:rPr>
      </w:pPr>
      <w:r>
        <w:rPr>
          <w:rFonts w:ascii="Garamond" w:hAnsi="Garamond"/>
          <w:noProof/>
          <w:color w:val="244061" w:themeColor="accent1" w:themeShade="80"/>
          <w:sz w:val="34"/>
          <w:szCs w:val="34"/>
        </w:rPr>
        <w:lastRenderedPageBreak/>
        <w:t>LGBTI Residents</w:t>
      </w:r>
    </w:p>
    <w:p w14:paraId="017CF17C" w14:textId="77777777" w:rsidR="00C65183" w:rsidRDefault="00C65183" w:rsidP="00C65183">
      <w:pPr>
        <w:spacing w:before="120" w:line="360" w:lineRule="auto"/>
        <w:jc w:val="both"/>
        <w:rPr>
          <w:rFonts w:asciiTheme="minorHAnsi" w:hAnsiTheme="minorHAnsi" w:cstheme="minorHAnsi"/>
          <w:b/>
          <w:bCs/>
        </w:rPr>
      </w:pPr>
      <w:r>
        <w:rPr>
          <w:noProof/>
        </w:rPr>
        <w:drawing>
          <wp:anchor distT="0" distB="0" distL="114300" distR="114300" simplePos="0" relativeHeight="251702272" behindDoc="0" locked="0" layoutInCell="1" allowOverlap="1" wp14:anchorId="22D066E6" wp14:editId="30085102">
            <wp:simplePos x="0" y="0"/>
            <wp:positionH relativeFrom="margin">
              <wp:align>right</wp:align>
            </wp:positionH>
            <wp:positionV relativeFrom="paragraph">
              <wp:posOffset>83185</wp:posOffset>
            </wp:positionV>
            <wp:extent cx="1564640" cy="941070"/>
            <wp:effectExtent l="0" t="0" r="0" b="0"/>
            <wp:wrapSquare wrapText="bothSides"/>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55">
                      <a:extLst>
                        <a:ext uri="{28A0092B-C50C-407E-A947-70E740481C1C}">
                          <a14:useLocalDpi xmlns:a14="http://schemas.microsoft.com/office/drawing/2010/main" val="0"/>
                        </a:ext>
                      </a:extLst>
                    </a:blip>
                    <a:stretch>
                      <a:fillRect/>
                    </a:stretch>
                  </pic:blipFill>
                  <pic:spPr>
                    <a:xfrm>
                      <a:off x="0" y="0"/>
                      <a:ext cx="1564640" cy="941070"/>
                    </a:xfrm>
                    <a:prstGeom prst="rect">
                      <a:avLst/>
                    </a:prstGeom>
                    <a:effectLst>
                      <a:softEdge rad="127000"/>
                    </a:effectLst>
                  </pic:spPr>
                </pic:pic>
              </a:graphicData>
            </a:graphic>
            <wp14:sizeRelH relativeFrom="page">
              <wp14:pctWidth>0</wp14:pctWidth>
            </wp14:sizeRelH>
            <wp14:sizeRelV relativeFrom="page">
              <wp14:pctHeight>0</wp14:pctHeight>
            </wp14:sizeRelV>
          </wp:anchor>
        </w:drawing>
      </w:r>
    </w:p>
    <w:p w14:paraId="3148CD22" w14:textId="77777777" w:rsidR="00C65183" w:rsidRPr="00A2790C" w:rsidRDefault="00C65183" w:rsidP="00C65183">
      <w:pPr>
        <w:spacing w:before="120" w:line="360" w:lineRule="auto"/>
        <w:jc w:val="both"/>
        <w:rPr>
          <w:rFonts w:asciiTheme="minorHAnsi" w:hAnsiTheme="minorHAnsi" w:cstheme="minorHAnsi"/>
          <w:b/>
          <w:bCs/>
        </w:rPr>
      </w:pPr>
      <w:r w:rsidRPr="00A2790C">
        <w:rPr>
          <w:rFonts w:asciiTheme="minorHAnsi" w:hAnsiTheme="minorHAnsi" w:cstheme="minorHAnsi"/>
          <w:b/>
          <w:bCs/>
        </w:rPr>
        <w:t>Population</w:t>
      </w:r>
    </w:p>
    <w:p w14:paraId="50F255D6" w14:textId="77777777" w:rsidR="00C65183" w:rsidRPr="00FF4953" w:rsidRDefault="00C65183" w:rsidP="00C65183">
      <w:pPr>
        <w:tabs>
          <w:tab w:val="left" w:pos="284"/>
        </w:tabs>
        <w:spacing w:line="360" w:lineRule="auto"/>
        <w:jc w:val="both"/>
        <w:rPr>
          <w:rFonts w:asciiTheme="minorHAnsi" w:hAnsiTheme="minorHAnsi" w:cstheme="minorHAnsi"/>
        </w:rPr>
      </w:pPr>
      <w:r w:rsidRPr="00FF4953">
        <w:rPr>
          <w:rFonts w:asciiTheme="minorHAnsi" w:hAnsiTheme="minorHAnsi" w:cstheme="minorHAnsi"/>
        </w:rPr>
        <w:t xml:space="preserve">A widening </w:t>
      </w:r>
      <w:r>
        <w:rPr>
          <w:rFonts w:asciiTheme="minorHAnsi" w:hAnsiTheme="minorHAnsi" w:cstheme="minorHAnsi"/>
        </w:rPr>
        <w:t>respect for</w:t>
      </w:r>
      <w:r w:rsidRPr="00FF4953">
        <w:rPr>
          <w:rFonts w:asciiTheme="minorHAnsi" w:hAnsiTheme="minorHAnsi" w:cstheme="minorHAnsi"/>
        </w:rPr>
        <w:t xml:space="preserve"> differences in sexual orientation and identity has </w:t>
      </w:r>
      <w:r>
        <w:rPr>
          <w:rFonts w:asciiTheme="minorHAnsi" w:hAnsiTheme="minorHAnsi" w:cstheme="minorHAnsi"/>
        </w:rPr>
        <w:t>encouraged more candid responses to inquiries about</w:t>
      </w:r>
      <w:r w:rsidRPr="00FF4953">
        <w:rPr>
          <w:rFonts w:asciiTheme="minorHAnsi" w:hAnsiTheme="minorHAnsi" w:cstheme="minorHAnsi"/>
        </w:rPr>
        <w:t xml:space="preserve"> </w:t>
      </w:r>
      <w:r>
        <w:rPr>
          <w:rFonts w:asciiTheme="minorHAnsi" w:hAnsiTheme="minorHAnsi" w:cstheme="minorHAnsi"/>
        </w:rPr>
        <w:t>such issues</w:t>
      </w:r>
      <w:r w:rsidRPr="00FF4953">
        <w:rPr>
          <w:rFonts w:asciiTheme="minorHAnsi" w:hAnsiTheme="minorHAnsi" w:cstheme="minorHAnsi"/>
        </w:rPr>
        <w:t xml:space="preserve">, making </w:t>
      </w:r>
      <w:r>
        <w:rPr>
          <w:rFonts w:asciiTheme="minorHAnsi" w:hAnsiTheme="minorHAnsi" w:cstheme="minorHAnsi"/>
        </w:rPr>
        <w:t>estimates of the</w:t>
      </w:r>
      <w:r w:rsidRPr="00FF4953">
        <w:rPr>
          <w:rFonts w:asciiTheme="minorHAnsi" w:hAnsiTheme="minorHAnsi" w:cstheme="minorHAnsi"/>
        </w:rPr>
        <w:t xml:space="preserve"> </w:t>
      </w:r>
      <w:r>
        <w:rPr>
          <w:rFonts w:asciiTheme="minorHAnsi" w:hAnsiTheme="minorHAnsi" w:cstheme="minorHAnsi"/>
        </w:rPr>
        <w:t>population of</w:t>
      </w:r>
      <w:r w:rsidRPr="00FF4953">
        <w:rPr>
          <w:rFonts w:asciiTheme="minorHAnsi" w:hAnsiTheme="minorHAnsi" w:cstheme="minorHAnsi"/>
        </w:rPr>
        <w:t xml:space="preserve"> lesbian, gay, bisexual, transsexual or intersex (LGBTI)</w:t>
      </w:r>
      <w:r>
        <w:rPr>
          <w:rFonts w:asciiTheme="minorHAnsi" w:hAnsiTheme="minorHAnsi" w:cstheme="minorHAnsi"/>
        </w:rPr>
        <w:t xml:space="preserve"> people more reliable than in the past</w:t>
      </w:r>
      <w:r w:rsidRPr="00FF4953">
        <w:rPr>
          <w:rFonts w:asciiTheme="minorHAnsi" w:hAnsiTheme="minorHAnsi" w:cstheme="minorHAnsi"/>
        </w:rPr>
        <w:t>.</w:t>
      </w:r>
    </w:p>
    <w:p w14:paraId="7BD3D8D4" w14:textId="77777777" w:rsidR="00C65183" w:rsidRDefault="00C65183" w:rsidP="00C65183">
      <w:pPr>
        <w:tabs>
          <w:tab w:val="left" w:pos="284"/>
        </w:tabs>
        <w:spacing w:line="360" w:lineRule="auto"/>
        <w:jc w:val="both"/>
        <w:rPr>
          <w:rFonts w:asciiTheme="minorHAnsi" w:hAnsiTheme="minorHAnsi" w:cstheme="minorHAnsi"/>
        </w:rPr>
      </w:pPr>
      <w:r>
        <w:rPr>
          <w:rFonts w:asciiTheme="minorHAnsi" w:hAnsiTheme="minorHAnsi" w:cstheme="minorHAnsi"/>
        </w:rPr>
        <w:t>One Australian survey found that</w:t>
      </w:r>
      <w:r w:rsidRPr="00FF4953">
        <w:rPr>
          <w:rFonts w:asciiTheme="minorHAnsi" w:hAnsiTheme="minorHAnsi" w:cstheme="minorHAnsi"/>
        </w:rPr>
        <w:t xml:space="preserve"> 4.6% </w:t>
      </w:r>
      <w:r>
        <w:rPr>
          <w:rFonts w:asciiTheme="minorHAnsi" w:hAnsiTheme="minorHAnsi" w:cstheme="minorHAnsi"/>
        </w:rPr>
        <w:t>of</w:t>
      </w:r>
      <w:r w:rsidRPr="00FF4953">
        <w:rPr>
          <w:rFonts w:asciiTheme="minorHAnsi" w:hAnsiTheme="minorHAnsi" w:cstheme="minorHAnsi"/>
        </w:rPr>
        <w:t xml:space="preserve"> 14-19 </w:t>
      </w:r>
      <w:r>
        <w:rPr>
          <w:rFonts w:asciiTheme="minorHAnsi" w:hAnsiTheme="minorHAnsi" w:cstheme="minorHAnsi"/>
        </w:rPr>
        <w:t>year-olds identified themselves as homosexual, a figure which rose to</w:t>
      </w:r>
      <w:r w:rsidRPr="00FF4953">
        <w:rPr>
          <w:rFonts w:asciiTheme="minorHAnsi" w:hAnsiTheme="minorHAnsi" w:cstheme="minorHAnsi"/>
        </w:rPr>
        <w:t xml:space="preserve"> 6.5% among </w:t>
      </w:r>
      <w:r>
        <w:rPr>
          <w:rFonts w:asciiTheme="minorHAnsi" w:hAnsiTheme="minorHAnsi" w:cstheme="minorHAnsi"/>
        </w:rPr>
        <w:t>participants</w:t>
      </w:r>
      <w:r w:rsidRPr="00FF4953">
        <w:rPr>
          <w:rFonts w:asciiTheme="minorHAnsi" w:hAnsiTheme="minorHAnsi" w:cstheme="minorHAnsi"/>
        </w:rPr>
        <w:t xml:space="preserve"> aged 20-29, </w:t>
      </w:r>
      <w:r>
        <w:rPr>
          <w:rFonts w:asciiTheme="minorHAnsi" w:hAnsiTheme="minorHAnsi" w:cstheme="minorHAnsi"/>
        </w:rPr>
        <w:t>before declining</w:t>
      </w:r>
      <w:r w:rsidRPr="00FF4953">
        <w:rPr>
          <w:rFonts w:asciiTheme="minorHAnsi" w:hAnsiTheme="minorHAnsi" w:cstheme="minorHAnsi"/>
        </w:rPr>
        <w:t xml:space="preserve"> among older respondents</w:t>
      </w:r>
      <w:r>
        <w:rPr>
          <w:rStyle w:val="FootnoteReference"/>
          <w:rFonts w:asciiTheme="minorHAnsi" w:hAnsiTheme="minorHAnsi" w:cstheme="minorHAnsi"/>
        </w:rPr>
        <w:footnoteReference w:id="15"/>
      </w:r>
      <w:r w:rsidRPr="00FF4953">
        <w:rPr>
          <w:rFonts w:asciiTheme="minorHAnsi" w:hAnsiTheme="minorHAnsi" w:cstheme="minorHAnsi"/>
        </w:rPr>
        <w:t>.</w:t>
      </w:r>
      <w:r>
        <w:rPr>
          <w:rFonts w:asciiTheme="minorHAnsi" w:hAnsiTheme="minorHAnsi" w:cstheme="minorHAnsi"/>
        </w:rPr>
        <w:t xml:space="preserve"> </w:t>
      </w:r>
      <w:r w:rsidRPr="00FF4953">
        <w:rPr>
          <w:rFonts w:asciiTheme="minorHAnsi" w:hAnsiTheme="minorHAnsi" w:cstheme="minorHAnsi"/>
        </w:rPr>
        <w:t xml:space="preserve">The figure of 6.5% </w:t>
      </w:r>
      <w:r>
        <w:rPr>
          <w:rFonts w:asciiTheme="minorHAnsi" w:hAnsiTheme="minorHAnsi" w:cstheme="minorHAnsi"/>
        </w:rPr>
        <w:t>appears the</w:t>
      </w:r>
      <w:r w:rsidRPr="00FF4953">
        <w:rPr>
          <w:rFonts w:asciiTheme="minorHAnsi" w:hAnsiTheme="minorHAnsi" w:cstheme="minorHAnsi"/>
        </w:rPr>
        <w:t xml:space="preserve"> more accurate approximation, as many teenagers may still be discovering their sexuality or have yet to ‘come out’, while older Australians may be less candid, owing to concerns about their privacy or other misgivings.</w:t>
      </w:r>
      <w:r>
        <w:rPr>
          <w:rFonts w:asciiTheme="minorHAnsi" w:hAnsiTheme="minorHAnsi" w:cstheme="minorHAnsi"/>
        </w:rPr>
        <w:t xml:space="preserve"> The rising proportions of survey respondents who identify themselves as homosexual in recent decades, suggests that this figure may soon approach 7%.</w:t>
      </w:r>
    </w:p>
    <w:p w14:paraId="09323CB2" w14:textId="77777777" w:rsidR="00C65183" w:rsidRPr="00FF4953" w:rsidRDefault="00C65183" w:rsidP="00C65183">
      <w:pPr>
        <w:tabs>
          <w:tab w:val="left" w:pos="284"/>
        </w:tabs>
        <w:spacing w:line="360" w:lineRule="auto"/>
        <w:jc w:val="both"/>
        <w:rPr>
          <w:rFonts w:asciiTheme="minorHAnsi" w:hAnsiTheme="minorHAnsi" w:cstheme="minorHAnsi"/>
        </w:rPr>
      </w:pPr>
      <w:r>
        <w:rPr>
          <w:rFonts w:asciiTheme="minorHAnsi" w:hAnsiTheme="minorHAnsi" w:cstheme="minorHAnsi"/>
        </w:rPr>
        <w:t>The findings of further studies indicate that the prevalence of bisexuality in Australia may be approximately 5%</w:t>
      </w:r>
      <w:r>
        <w:rPr>
          <w:rStyle w:val="FootnoteReference"/>
          <w:rFonts w:asciiTheme="minorHAnsi" w:hAnsiTheme="minorHAnsi" w:cstheme="minorHAnsi"/>
        </w:rPr>
        <w:footnoteReference w:id="16"/>
      </w:r>
      <w:r>
        <w:rPr>
          <w:rFonts w:asciiTheme="minorHAnsi" w:hAnsiTheme="minorHAnsi" w:cstheme="minorHAnsi"/>
        </w:rPr>
        <w:t>, transsexuality 0.4%</w:t>
      </w:r>
      <w:r>
        <w:rPr>
          <w:rStyle w:val="FootnoteReference"/>
          <w:rFonts w:asciiTheme="minorHAnsi" w:hAnsiTheme="minorHAnsi" w:cstheme="minorHAnsi"/>
        </w:rPr>
        <w:footnoteReference w:id="17"/>
      </w:r>
      <w:r>
        <w:rPr>
          <w:rFonts w:asciiTheme="minorHAnsi" w:hAnsiTheme="minorHAnsi" w:cstheme="minorHAnsi"/>
        </w:rPr>
        <w:t xml:space="preserve"> and </w:t>
      </w:r>
      <w:r w:rsidRPr="00FF4953">
        <w:rPr>
          <w:rFonts w:asciiTheme="minorHAnsi" w:hAnsiTheme="minorHAnsi" w:cstheme="minorHAnsi"/>
        </w:rPr>
        <w:t>intersex</w:t>
      </w:r>
      <w:r>
        <w:rPr>
          <w:rFonts w:asciiTheme="minorHAnsi" w:hAnsiTheme="minorHAnsi" w:cstheme="minorHAnsi"/>
        </w:rPr>
        <w:t>,</w:t>
      </w:r>
      <w:r w:rsidRPr="00FF4953">
        <w:rPr>
          <w:rFonts w:asciiTheme="minorHAnsi" w:hAnsiTheme="minorHAnsi" w:cstheme="minorHAnsi"/>
        </w:rPr>
        <w:t xml:space="preserve"> 0.02%</w:t>
      </w:r>
      <w:r>
        <w:rPr>
          <w:rFonts w:asciiTheme="minorHAnsi" w:hAnsiTheme="minorHAnsi" w:cstheme="minorHAnsi"/>
        </w:rPr>
        <w:t>.</w:t>
      </w:r>
      <w:r>
        <w:rPr>
          <w:rStyle w:val="FootnoteReference"/>
          <w:rFonts w:asciiTheme="minorHAnsi" w:hAnsiTheme="minorHAnsi" w:cstheme="minorHAnsi"/>
        </w:rPr>
        <w:footnoteReference w:id="18"/>
      </w:r>
    </w:p>
    <w:p w14:paraId="674F3FEB" w14:textId="77777777" w:rsidR="00C65183" w:rsidRDefault="00C65183" w:rsidP="00C65183">
      <w:pPr>
        <w:spacing w:line="360" w:lineRule="auto"/>
        <w:jc w:val="both"/>
        <w:rPr>
          <w:rFonts w:asciiTheme="minorHAnsi" w:hAnsiTheme="minorHAnsi" w:cstheme="minorHAnsi"/>
        </w:rPr>
      </w:pPr>
      <w:r>
        <w:rPr>
          <w:rFonts w:asciiTheme="minorHAnsi" w:hAnsiTheme="minorHAnsi" w:cstheme="minorHAnsi"/>
        </w:rPr>
        <w:t>The s</w:t>
      </w:r>
      <w:r w:rsidRPr="00FF4953">
        <w:rPr>
          <w:rFonts w:asciiTheme="minorHAnsi" w:hAnsiTheme="minorHAnsi" w:cstheme="minorHAnsi"/>
        </w:rPr>
        <w:t>um</w:t>
      </w:r>
      <w:r>
        <w:rPr>
          <w:rFonts w:asciiTheme="minorHAnsi" w:hAnsiTheme="minorHAnsi" w:cstheme="minorHAnsi"/>
        </w:rPr>
        <w:t xml:space="preserve"> of</w:t>
      </w:r>
      <w:r w:rsidRPr="00FF4953">
        <w:rPr>
          <w:rFonts w:asciiTheme="minorHAnsi" w:hAnsiTheme="minorHAnsi" w:cstheme="minorHAnsi"/>
        </w:rPr>
        <w:t xml:space="preserve"> these figures</w:t>
      </w:r>
      <w:r>
        <w:rPr>
          <w:rFonts w:asciiTheme="minorHAnsi" w:hAnsiTheme="minorHAnsi" w:cstheme="minorHAnsi"/>
        </w:rPr>
        <w:t xml:space="preserve">, of about 12.5%, or one in eight people, gives an indication of </w:t>
      </w:r>
      <w:r w:rsidRPr="00FF4953">
        <w:rPr>
          <w:rFonts w:asciiTheme="minorHAnsi" w:hAnsiTheme="minorHAnsi" w:cstheme="minorHAnsi"/>
        </w:rPr>
        <w:t xml:space="preserve">the proportion of </w:t>
      </w:r>
      <w:r>
        <w:rPr>
          <w:rFonts w:asciiTheme="minorHAnsi" w:hAnsiTheme="minorHAnsi" w:cstheme="minorHAnsi"/>
        </w:rPr>
        <w:t>Australian adults</w:t>
      </w:r>
      <w:r w:rsidRPr="00FF4953">
        <w:rPr>
          <w:rFonts w:asciiTheme="minorHAnsi" w:hAnsiTheme="minorHAnsi" w:cstheme="minorHAnsi"/>
        </w:rPr>
        <w:t xml:space="preserve"> who are lesbians, gay, bisexual, transsexual or intersex</w:t>
      </w:r>
      <w:r>
        <w:rPr>
          <w:rFonts w:asciiTheme="minorHAnsi" w:hAnsiTheme="minorHAnsi" w:cstheme="minorHAnsi"/>
        </w:rPr>
        <w:t xml:space="preserve"> –</w:t>
      </w:r>
      <w:r w:rsidRPr="00FF4953">
        <w:rPr>
          <w:rFonts w:asciiTheme="minorHAnsi" w:hAnsiTheme="minorHAnsi" w:cstheme="minorHAnsi"/>
        </w:rPr>
        <w:t xml:space="preserve"> </w:t>
      </w:r>
      <w:r>
        <w:rPr>
          <w:rFonts w:asciiTheme="minorHAnsi" w:hAnsiTheme="minorHAnsi" w:cstheme="minorHAnsi"/>
        </w:rPr>
        <w:t>one that is equivalent to</w:t>
      </w:r>
      <w:r w:rsidRPr="00FF4953">
        <w:rPr>
          <w:rFonts w:asciiTheme="minorHAnsi" w:hAnsiTheme="minorHAnsi" w:cstheme="minorHAnsi"/>
        </w:rPr>
        <w:t xml:space="preserve"> </w:t>
      </w:r>
      <w:r>
        <w:rPr>
          <w:rFonts w:asciiTheme="minorHAnsi" w:hAnsiTheme="minorHAnsi" w:cstheme="minorHAnsi"/>
        </w:rPr>
        <w:t>660,000</w:t>
      </w:r>
      <w:r w:rsidRPr="00FF4953">
        <w:rPr>
          <w:rFonts w:asciiTheme="minorHAnsi" w:hAnsiTheme="minorHAnsi" w:cstheme="minorHAnsi"/>
        </w:rPr>
        <w:t xml:space="preserve"> </w:t>
      </w:r>
      <w:r>
        <w:rPr>
          <w:rFonts w:asciiTheme="minorHAnsi" w:hAnsiTheme="minorHAnsi" w:cstheme="minorHAnsi"/>
        </w:rPr>
        <w:t>Victorian adults and 17</w:t>
      </w:r>
      <w:r w:rsidRPr="00FF4953">
        <w:rPr>
          <w:rFonts w:asciiTheme="minorHAnsi" w:hAnsiTheme="minorHAnsi" w:cstheme="minorHAnsi"/>
        </w:rPr>
        <w:t>,000 Greater Dandenong residents</w:t>
      </w:r>
      <w:r>
        <w:rPr>
          <w:rFonts w:asciiTheme="minorHAnsi" w:hAnsiTheme="minorHAnsi" w:cstheme="minorHAnsi"/>
        </w:rPr>
        <w:t xml:space="preserve"> in 2021</w:t>
      </w:r>
      <w:r w:rsidRPr="00FF4953">
        <w:rPr>
          <w:rFonts w:asciiTheme="minorHAnsi" w:hAnsiTheme="minorHAnsi" w:cstheme="minorHAnsi"/>
        </w:rPr>
        <w:t>.</w:t>
      </w:r>
      <w:r>
        <w:rPr>
          <w:rFonts w:asciiTheme="minorHAnsi" w:hAnsiTheme="minorHAnsi" w:cstheme="minorHAnsi"/>
        </w:rPr>
        <w:t xml:space="preserve"> </w:t>
      </w:r>
    </w:p>
    <w:p w14:paraId="6654109B" w14:textId="77777777" w:rsidR="00C65183" w:rsidRPr="00E75BBB" w:rsidRDefault="00C65183" w:rsidP="00C65183">
      <w:pPr>
        <w:spacing w:line="360" w:lineRule="auto"/>
        <w:jc w:val="both"/>
        <w:rPr>
          <w:rFonts w:asciiTheme="minorHAnsi" w:hAnsiTheme="minorHAnsi" w:cstheme="minorHAnsi"/>
        </w:rPr>
      </w:pPr>
      <w:r>
        <w:rPr>
          <w:rFonts w:asciiTheme="minorHAnsi" w:hAnsiTheme="minorHAnsi" w:cstheme="minorHAnsi"/>
        </w:rPr>
        <w:t>Similar findings</w:t>
      </w:r>
      <w:r w:rsidRPr="00A2790C">
        <w:rPr>
          <w:rFonts w:asciiTheme="minorHAnsi" w:hAnsiTheme="minorHAnsi" w:cstheme="minorHAnsi"/>
        </w:rPr>
        <w:t xml:space="preserve"> emerged </w:t>
      </w:r>
      <w:r>
        <w:rPr>
          <w:rFonts w:asciiTheme="minorHAnsi" w:hAnsiTheme="minorHAnsi" w:cstheme="minorHAnsi"/>
        </w:rPr>
        <w:t>from</w:t>
      </w:r>
      <w:r w:rsidRPr="00A2790C">
        <w:rPr>
          <w:rFonts w:asciiTheme="minorHAnsi" w:hAnsiTheme="minorHAnsi" w:cstheme="minorHAnsi"/>
        </w:rPr>
        <w:t xml:space="preserve"> </w:t>
      </w:r>
      <w:r>
        <w:rPr>
          <w:rFonts w:asciiTheme="minorHAnsi" w:hAnsiTheme="minorHAnsi" w:cstheme="minorHAnsi"/>
        </w:rPr>
        <w:t>the</w:t>
      </w:r>
      <w:r w:rsidRPr="00A2790C">
        <w:rPr>
          <w:rFonts w:asciiTheme="minorHAnsi" w:hAnsiTheme="minorHAnsi" w:cstheme="minorHAnsi"/>
        </w:rPr>
        <w:t xml:space="preserve"> 2017 </w:t>
      </w:r>
      <w:r>
        <w:rPr>
          <w:rFonts w:asciiTheme="minorHAnsi" w:hAnsiTheme="minorHAnsi" w:cstheme="minorHAnsi"/>
        </w:rPr>
        <w:t xml:space="preserve">Population Health Survey, </w:t>
      </w:r>
      <w:r w:rsidRPr="00A2790C">
        <w:rPr>
          <w:rFonts w:asciiTheme="minorHAnsi" w:hAnsiTheme="minorHAnsi" w:cstheme="minorHAnsi"/>
        </w:rPr>
        <w:t>where 12% of 18-24 year-old survey participants indicated that they were LGBTI</w:t>
      </w:r>
      <w:r>
        <w:rPr>
          <w:rFonts w:asciiTheme="minorHAnsi" w:hAnsiTheme="minorHAnsi" w:cstheme="minorHAnsi"/>
        </w:rPr>
        <w:t>, and</w:t>
      </w:r>
      <w:r w:rsidRPr="00A2790C">
        <w:rPr>
          <w:rFonts w:asciiTheme="minorHAnsi" w:hAnsiTheme="minorHAnsi" w:cstheme="minorHAnsi"/>
        </w:rPr>
        <w:t xml:space="preserve"> a further 3% of these respondents stated that they ‘did not know’ if they were heterosexual</w:t>
      </w:r>
      <w:r>
        <w:rPr>
          <w:rFonts w:asciiTheme="minorHAnsi" w:hAnsiTheme="minorHAnsi" w:cstheme="minorHAnsi"/>
        </w:rPr>
        <w:t xml:space="preserve"> -</w:t>
      </w:r>
      <w:r w:rsidRPr="00A2790C">
        <w:rPr>
          <w:rFonts w:asciiTheme="minorHAnsi" w:hAnsiTheme="minorHAnsi" w:cstheme="minorHAnsi"/>
        </w:rPr>
        <w:t xml:space="preserve"> suggesting </w:t>
      </w:r>
      <w:r>
        <w:rPr>
          <w:rFonts w:asciiTheme="minorHAnsi" w:hAnsiTheme="minorHAnsi" w:cstheme="minorHAnsi"/>
        </w:rPr>
        <w:t>a slightly higher</w:t>
      </w:r>
      <w:r w:rsidRPr="00A2790C">
        <w:rPr>
          <w:rFonts w:asciiTheme="minorHAnsi" w:hAnsiTheme="minorHAnsi" w:cstheme="minorHAnsi"/>
        </w:rPr>
        <w:t xml:space="preserve"> prevalence </w:t>
      </w:r>
      <w:r>
        <w:rPr>
          <w:rFonts w:asciiTheme="minorHAnsi" w:hAnsiTheme="minorHAnsi" w:cstheme="minorHAnsi"/>
        </w:rPr>
        <w:t>of LGBTI individuals</w:t>
      </w:r>
      <w:r>
        <w:t>.</w:t>
      </w:r>
      <w:r w:rsidRPr="00C65D53">
        <w:rPr>
          <w:rStyle w:val="FootnoteReference"/>
          <w:rFonts w:asciiTheme="minorHAnsi" w:hAnsiTheme="minorHAnsi" w:cstheme="minorHAnsi"/>
        </w:rPr>
        <w:footnoteReference w:id="19"/>
      </w:r>
      <w:bookmarkStart w:id="1" w:name="_Hlk51080663"/>
    </w:p>
    <w:p w14:paraId="420DFC46" w14:textId="77777777" w:rsidR="00C65183" w:rsidRPr="002C1946" w:rsidRDefault="00C65183" w:rsidP="00C65183">
      <w:pPr>
        <w:spacing w:before="120" w:after="60"/>
        <w:jc w:val="both"/>
        <w:rPr>
          <w:rFonts w:asciiTheme="minorHAnsi" w:hAnsiTheme="minorHAnsi" w:cstheme="minorHAnsi"/>
          <w:b/>
          <w:bCs/>
          <w:lang w:val="en-US"/>
        </w:rPr>
      </w:pPr>
      <w:r w:rsidRPr="002C1946">
        <w:rPr>
          <w:rFonts w:asciiTheme="minorHAnsi" w:hAnsiTheme="minorHAnsi" w:cstheme="minorHAnsi"/>
          <w:b/>
          <w:bCs/>
        </w:rPr>
        <w:t xml:space="preserve">Discrimination and abuse </w:t>
      </w:r>
    </w:p>
    <w:p w14:paraId="2D93EDD6" w14:textId="77777777" w:rsidR="00C65183" w:rsidRPr="00B3203F" w:rsidRDefault="00C65183" w:rsidP="00C65183">
      <w:pPr>
        <w:spacing w:line="360" w:lineRule="auto"/>
        <w:jc w:val="both"/>
        <w:rPr>
          <w:rFonts w:asciiTheme="minorHAnsi" w:hAnsiTheme="minorHAnsi" w:cstheme="minorHAnsi"/>
        </w:rPr>
      </w:pPr>
      <w:r w:rsidRPr="00B3203F">
        <w:rPr>
          <w:rFonts w:asciiTheme="minorHAnsi" w:hAnsiTheme="minorHAnsi" w:cstheme="minorHAnsi"/>
        </w:rPr>
        <w:t xml:space="preserve">Many young people </w:t>
      </w:r>
      <w:r>
        <w:rPr>
          <w:rFonts w:asciiTheme="minorHAnsi" w:hAnsiTheme="minorHAnsi" w:cstheme="minorHAnsi"/>
        </w:rPr>
        <w:t>face</w:t>
      </w:r>
      <w:r w:rsidRPr="00B3203F">
        <w:rPr>
          <w:rFonts w:asciiTheme="minorHAnsi" w:hAnsiTheme="minorHAnsi" w:cstheme="minorHAnsi"/>
        </w:rPr>
        <w:t xml:space="preserve"> antagonism and aggression within their families, stemming from their gender identity or sexuality</w:t>
      </w:r>
      <w:r>
        <w:rPr>
          <w:rStyle w:val="FootnoteReference"/>
          <w:rFonts w:asciiTheme="minorHAnsi" w:hAnsiTheme="minorHAnsi" w:cstheme="minorHAnsi"/>
        </w:rPr>
        <w:footnoteReference w:id="20"/>
      </w:r>
      <w:r w:rsidRPr="00B3203F">
        <w:rPr>
          <w:rFonts w:asciiTheme="minorHAnsi" w:hAnsiTheme="minorHAnsi" w:cstheme="minorHAnsi"/>
        </w:rPr>
        <w:t>, an experience often accentuated within particular cultural groups</w:t>
      </w:r>
      <w:r>
        <w:rPr>
          <w:rStyle w:val="FootnoteReference"/>
          <w:rFonts w:asciiTheme="minorHAnsi" w:hAnsiTheme="minorHAnsi" w:cstheme="minorHAnsi"/>
        </w:rPr>
        <w:footnoteReference w:id="21"/>
      </w:r>
      <w:r w:rsidRPr="00B3203F">
        <w:rPr>
          <w:rFonts w:asciiTheme="minorHAnsi" w:hAnsiTheme="minorHAnsi" w:cstheme="minorHAnsi"/>
        </w:rPr>
        <w:t xml:space="preserve">. Victimization of young LGBTI people may persist at school, sport, social and other settings, with social exclusion from peers, harassment, threats, violence and accompanying fears for their personal safety. </w:t>
      </w:r>
      <w:r>
        <w:rPr>
          <w:rFonts w:asciiTheme="minorHAnsi" w:hAnsiTheme="minorHAnsi" w:cstheme="minorHAnsi"/>
        </w:rPr>
        <w:t>One inquiry</w:t>
      </w:r>
      <w:r w:rsidRPr="00B3203F">
        <w:rPr>
          <w:rFonts w:asciiTheme="minorHAnsi" w:hAnsiTheme="minorHAnsi" w:cstheme="minorHAnsi"/>
        </w:rPr>
        <w:t xml:space="preserve"> found that just 12% of same-sex attracted young people in an Australian sample felt safe at school</w:t>
      </w:r>
      <w:r>
        <w:rPr>
          <w:rFonts w:asciiTheme="minorHAnsi" w:hAnsiTheme="minorHAnsi" w:cstheme="minorHAnsi"/>
        </w:rPr>
        <w:t>,</w:t>
      </w:r>
      <w:r w:rsidRPr="00B3203F">
        <w:rPr>
          <w:rFonts w:asciiTheme="minorHAnsi" w:hAnsiTheme="minorHAnsi" w:cstheme="minorHAnsi"/>
        </w:rPr>
        <w:t xml:space="preserve"> and 43% on the street.</w:t>
      </w:r>
      <w:r>
        <w:rPr>
          <w:rStyle w:val="FootnoteReference"/>
          <w:rFonts w:asciiTheme="minorHAnsi" w:hAnsiTheme="minorHAnsi" w:cstheme="minorHAnsi"/>
        </w:rPr>
        <w:footnoteReference w:id="22"/>
      </w:r>
      <w:r w:rsidRPr="00B3203F">
        <w:rPr>
          <w:rFonts w:asciiTheme="minorHAnsi" w:hAnsiTheme="minorHAnsi" w:cstheme="minorHAnsi"/>
        </w:rPr>
        <w:t xml:space="preserve"> </w:t>
      </w:r>
    </w:p>
    <w:p w14:paraId="1F17ED81" w14:textId="77777777" w:rsidR="00C65183" w:rsidRPr="00B3203F" w:rsidRDefault="00C65183" w:rsidP="00C65183">
      <w:pPr>
        <w:spacing w:line="360" w:lineRule="auto"/>
        <w:jc w:val="both"/>
        <w:rPr>
          <w:rFonts w:asciiTheme="minorHAnsi" w:hAnsiTheme="minorHAnsi" w:cstheme="minorHAnsi"/>
        </w:rPr>
      </w:pPr>
      <w:r w:rsidRPr="00B3203F">
        <w:rPr>
          <w:rFonts w:asciiTheme="minorHAnsi" w:hAnsiTheme="minorHAnsi" w:cstheme="minorHAnsi"/>
        </w:rPr>
        <w:t xml:space="preserve">Further research reveals similarly adverse experiences among adult members of LGBTI communities. </w:t>
      </w:r>
      <w:r>
        <w:rPr>
          <w:rFonts w:asciiTheme="minorHAnsi" w:hAnsiTheme="minorHAnsi" w:cstheme="minorHAnsi"/>
        </w:rPr>
        <w:t>An</w:t>
      </w:r>
      <w:r w:rsidRPr="00B3203F">
        <w:rPr>
          <w:rFonts w:asciiTheme="minorHAnsi" w:hAnsiTheme="minorHAnsi" w:cstheme="minorHAnsi"/>
        </w:rPr>
        <w:t xml:space="preserve"> </w:t>
      </w:r>
      <w:r>
        <w:rPr>
          <w:rFonts w:asciiTheme="minorHAnsi" w:hAnsiTheme="minorHAnsi" w:cstheme="minorHAnsi"/>
        </w:rPr>
        <w:t>investigation</w:t>
      </w:r>
      <w:r w:rsidRPr="00B3203F">
        <w:rPr>
          <w:rFonts w:asciiTheme="minorHAnsi" w:hAnsiTheme="minorHAnsi" w:cstheme="minorHAnsi"/>
        </w:rPr>
        <w:t xml:space="preserve"> determined that 44% of a sample of 1,7</w:t>
      </w:r>
      <w:r>
        <w:rPr>
          <w:rFonts w:asciiTheme="minorHAnsi" w:hAnsiTheme="minorHAnsi" w:cstheme="minorHAnsi"/>
        </w:rPr>
        <w:t>50</w:t>
      </w:r>
      <w:r w:rsidRPr="00B3203F">
        <w:rPr>
          <w:rFonts w:asciiTheme="minorHAnsi" w:hAnsiTheme="minorHAnsi" w:cstheme="minorHAnsi"/>
        </w:rPr>
        <w:t xml:space="preserve"> LGBTI Australians had experienced “verbal abuse </w:t>
      </w:r>
      <w:r w:rsidRPr="00B3203F">
        <w:rPr>
          <w:rFonts w:asciiTheme="minorHAnsi" w:hAnsiTheme="minorHAnsi" w:cstheme="minorHAnsi"/>
        </w:rPr>
        <w:lastRenderedPageBreak/>
        <w:t>relating to their sexuality or gender” and 16% had been physically abused.</w:t>
      </w:r>
      <w:r>
        <w:rPr>
          <w:rStyle w:val="FootnoteReference"/>
          <w:rFonts w:asciiTheme="minorHAnsi" w:hAnsiTheme="minorHAnsi" w:cstheme="minorHAnsi"/>
        </w:rPr>
        <w:footnoteReference w:id="23"/>
      </w:r>
      <w:r w:rsidRPr="00B3203F">
        <w:rPr>
          <w:rFonts w:asciiTheme="minorHAnsi" w:hAnsiTheme="minorHAnsi" w:cstheme="minorHAnsi"/>
        </w:rPr>
        <w:t xml:space="preserve"> </w:t>
      </w:r>
      <w:r>
        <w:rPr>
          <w:rFonts w:asciiTheme="minorHAnsi" w:hAnsiTheme="minorHAnsi" w:cstheme="minorHAnsi"/>
        </w:rPr>
        <w:t>Similarly, 34%</w:t>
      </w:r>
      <w:r w:rsidRPr="00B3203F">
        <w:rPr>
          <w:rFonts w:asciiTheme="minorHAnsi" w:hAnsiTheme="minorHAnsi" w:cstheme="minorHAnsi"/>
        </w:rPr>
        <w:t xml:space="preserve"> of LGBTI survey participants in the 2017 Victorian Population Health Survey had experienced discrimination in the previous year, compared with 16% of others. </w:t>
      </w:r>
    </w:p>
    <w:p w14:paraId="73FF41A1" w14:textId="77777777" w:rsidR="00C65183" w:rsidRDefault="00C65183" w:rsidP="00C65183">
      <w:pPr>
        <w:spacing w:line="360" w:lineRule="auto"/>
        <w:jc w:val="both"/>
        <w:rPr>
          <w:rFonts w:asciiTheme="minorHAnsi" w:hAnsiTheme="minorHAnsi" w:cstheme="minorHAnsi"/>
          <w:b/>
          <w:bCs/>
          <w:color w:val="000000" w:themeColor="text1"/>
          <w:sz w:val="8"/>
          <w:szCs w:val="8"/>
        </w:rPr>
      </w:pPr>
    </w:p>
    <w:p w14:paraId="2285C08A" w14:textId="77777777" w:rsidR="00C65183" w:rsidRPr="00E75BBB" w:rsidRDefault="00C65183" w:rsidP="00C65183">
      <w:pPr>
        <w:spacing w:line="360" w:lineRule="auto"/>
        <w:jc w:val="both"/>
        <w:rPr>
          <w:rFonts w:asciiTheme="minorHAnsi" w:hAnsiTheme="minorHAnsi" w:cstheme="minorHAnsi"/>
          <w:b/>
          <w:bCs/>
          <w:color w:val="000000" w:themeColor="text1"/>
          <w:sz w:val="8"/>
          <w:szCs w:val="8"/>
        </w:rPr>
      </w:pPr>
    </w:p>
    <w:p w14:paraId="00383C23" w14:textId="77777777" w:rsidR="00C65183" w:rsidRPr="00977BBD" w:rsidRDefault="00C65183" w:rsidP="00C65183">
      <w:pPr>
        <w:spacing w:line="360" w:lineRule="auto"/>
        <w:jc w:val="both"/>
        <w:rPr>
          <w:rFonts w:asciiTheme="minorHAnsi" w:hAnsiTheme="minorHAnsi" w:cstheme="minorHAnsi"/>
          <w:b/>
          <w:bCs/>
          <w:color w:val="000000" w:themeColor="text1"/>
        </w:rPr>
      </w:pPr>
      <w:r w:rsidRPr="00977BBD">
        <w:rPr>
          <w:rFonts w:asciiTheme="minorHAnsi" w:hAnsiTheme="minorHAnsi" w:cstheme="minorHAnsi"/>
          <w:b/>
          <w:bCs/>
          <w:color w:val="000000" w:themeColor="text1"/>
        </w:rPr>
        <w:t>Mental Health</w:t>
      </w:r>
    </w:p>
    <w:bookmarkEnd w:id="1"/>
    <w:p w14:paraId="0867C191" w14:textId="77777777" w:rsidR="00C65183" w:rsidRPr="00977BBD" w:rsidRDefault="00C65183" w:rsidP="00C65183">
      <w:pPr>
        <w:spacing w:line="360" w:lineRule="auto"/>
        <w:jc w:val="both"/>
        <w:rPr>
          <w:rFonts w:asciiTheme="minorHAnsi" w:hAnsiTheme="minorHAnsi" w:cstheme="minorHAnsi"/>
        </w:rPr>
      </w:pPr>
      <w:r w:rsidRPr="00977BBD">
        <w:rPr>
          <w:rFonts w:asciiTheme="minorHAnsi" w:hAnsiTheme="minorHAnsi" w:cstheme="minorHAnsi"/>
        </w:rPr>
        <w:t xml:space="preserve">Exclusion, harassment, abuse and violence </w:t>
      </w:r>
      <w:r>
        <w:rPr>
          <w:rFonts w:asciiTheme="minorHAnsi" w:hAnsiTheme="minorHAnsi" w:cstheme="minorHAnsi"/>
        </w:rPr>
        <w:t>jeopardizes</w:t>
      </w:r>
      <w:r w:rsidRPr="00977BBD">
        <w:rPr>
          <w:rFonts w:asciiTheme="minorHAnsi" w:hAnsiTheme="minorHAnsi" w:cstheme="minorHAnsi"/>
        </w:rPr>
        <w:t xml:space="preserve"> the mental health of many young people and adults. </w:t>
      </w:r>
    </w:p>
    <w:p w14:paraId="0F7989A8" w14:textId="77777777" w:rsidR="00C65183" w:rsidRPr="00977BBD" w:rsidRDefault="00C65183" w:rsidP="00C65183">
      <w:pPr>
        <w:spacing w:line="360" w:lineRule="auto"/>
        <w:jc w:val="both"/>
        <w:rPr>
          <w:rFonts w:asciiTheme="minorHAnsi" w:hAnsiTheme="minorHAnsi" w:cstheme="minorHAnsi"/>
        </w:rPr>
      </w:pPr>
      <w:r w:rsidRPr="00977BBD">
        <w:rPr>
          <w:rFonts w:asciiTheme="minorHAnsi" w:hAnsiTheme="minorHAnsi" w:cstheme="minorHAnsi"/>
          <w:noProof/>
          <w:color w:val="000000" w:themeColor="text1"/>
        </w:rPr>
        <w:t>An</w:t>
      </w:r>
      <w:r w:rsidRPr="00977BBD">
        <w:rPr>
          <w:rFonts w:asciiTheme="minorHAnsi" w:hAnsiTheme="minorHAnsi" w:cstheme="minorHAnsi"/>
          <w:color w:val="000000" w:themeColor="text1"/>
        </w:rPr>
        <w:t xml:space="preserve"> A</w:t>
      </w:r>
      <w:r w:rsidRPr="00977BBD">
        <w:rPr>
          <w:rFonts w:asciiTheme="minorHAnsi" w:hAnsiTheme="minorHAnsi" w:cstheme="minorHAnsi"/>
        </w:rPr>
        <w:t xml:space="preserve">ustralian study of 15,000 </w:t>
      </w:r>
      <w:r>
        <w:rPr>
          <w:rFonts w:asciiTheme="minorHAnsi" w:hAnsiTheme="minorHAnsi" w:cstheme="minorHAnsi"/>
        </w:rPr>
        <w:t>17-22</w:t>
      </w:r>
      <w:r w:rsidRPr="00977BBD">
        <w:rPr>
          <w:rFonts w:asciiTheme="minorHAnsi" w:hAnsiTheme="minorHAnsi" w:cstheme="minorHAnsi"/>
        </w:rPr>
        <w:t xml:space="preserve"> year-old women found that, compared with heterosexual women, those who were homosexual experienced higher rates of doctor-diagnosed depression (26.2% compared with 10.9) or anxiety disorders (9.3% vs. 4.6%) in the previous four years, while a greater proportion had hurt or tried to kill themselves in the previous six months (17.3% vs. 2.7%).</w:t>
      </w:r>
      <w:r>
        <w:rPr>
          <w:rStyle w:val="FootnoteReference"/>
          <w:rFonts w:asciiTheme="minorHAnsi" w:hAnsiTheme="minorHAnsi" w:cstheme="minorHAnsi"/>
        </w:rPr>
        <w:footnoteReference w:id="24"/>
      </w:r>
      <w:r w:rsidRPr="00977BBD">
        <w:rPr>
          <w:rFonts w:asciiTheme="minorHAnsi" w:hAnsiTheme="minorHAnsi" w:cstheme="minorHAnsi"/>
        </w:rPr>
        <w:t xml:space="preserve"> (Diagram, </w:t>
      </w:r>
      <w:r>
        <w:rPr>
          <w:rFonts w:asciiTheme="minorHAnsi" w:hAnsiTheme="minorHAnsi" w:cstheme="minorHAnsi"/>
        </w:rPr>
        <w:t>below</w:t>
      </w:r>
      <w:r w:rsidRPr="00977BBD">
        <w:rPr>
          <w:rFonts w:asciiTheme="minorHAnsi" w:hAnsiTheme="minorHAnsi" w:cstheme="minorHAnsi"/>
        </w:rPr>
        <w:t>)</w:t>
      </w:r>
    </w:p>
    <w:p w14:paraId="44A2B9CE" w14:textId="77777777" w:rsidR="00C65183" w:rsidRDefault="00C65183" w:rsidP="00C65183">
      <w:pPr>
        <w:rPr>
          <w:rFonts w:asciiTheme="minorHAnsi" w:hAnsiTheme="minorHAnsi" w:cstheme="minorHAnsi"/>
          <w:color w:val="7F7F7F" w:themeColor="text1" w:themeTint="80"/>
          <w:sz w:val="20"/>
          <w:szCs w:val="20"/>
        </w:rPr>
      </w:pPr>
      <w:r w:rsidRPr="00977BBD">
        <w:rPr>
          <w:rFonts w:asciiTheme="minorHAnsi" w:hAnsiTheme="minorHAnsi" w:cstheme="minorHAnsi"/>
          <w:noProof/>
          <w:color w:val="000000" w:themeColor="text1"/>
        </w:rPr>
        <w:drawing>
          <wp:anchor distT="0" distB="0" distL="114300" distR="114300" simplePos="0" relativeHeight="251701248" behindDoc="0" locked="0" layoutInCell="1" allowOverlap="1" wp14:anchorId="4A189032" wp14:editId="2B60992B">
            <wp:simplePos x="0" y="0"/>
            <wp:positionH relativeFrom="margin">
              <wp:posOffset>2886710</wp:posOffset>
            </wp:positionH>
            <wp:positionV relativeFrom="paragraph">
              <wp:posOffset>3810</wp:posOffset>
            </wp:positionV>
            <wp:extent cx="3259455" cy="2209800"/>
            <wp:effectExtent l="0" t="0" r="0" b="0"/>
            <wp:wrapSquare wrapText="bothSides"/>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259455" cy="2209800"/>
                    </a:xfrm>
                    <a:prstGeom prst="rect">
                      <a:avLst/>
                    </a:prstGeom>
                    <a:noFill/>
                  </pic:spPr>
                </pic:pic>
              </a:graphicData>
            </a:graphic>
            <wp14:sizeRelH relativeFrom="page">
              <wp14:pctWidth>0</wp14:pctWidth>
            </wp14:sizeRelH>
            <wp14:sizeRelV relativeFrom="page">
              <wp14:pctHeight>0</wp14:pctHeight>
            </wp14:sizeRelV>
          </wp:anchor>
        </w:drawing>
      </w:r>
      <w:r w:rsidRPr="00977BBD">
        <w:rPr>
          <w:rFonts w:asciiTheme="minorHAnsi" w:hAnsiTheme="minorHAnsi" w:cstheme="minorHAnsi"/>
          <w:color w:val="7F7F7F" w:themeColor="text1" w:themeTint="80"/>
          <w:sz w:val="20"/>
          <w:szCs w:val="20"/>
        </w:rPr>
        <w:t>Mental health concerns: young, LGBTI women</w:t>
      </w:r>
      <w:r>
        <w:rPr>
          <w:rFonts w:asciiTheme="minorHAnsi" w:hAnsiTheme="minorHAnsi" w:cstheme="minorHAnsi"/>
          <w:color w:val="7F7F7F" w:themeColor="text1" w:themeTint="80"/>
          <w:sz w:val="20"/>
          <w:szCs w:val="20"/>
        </w:rPr>
        <w:t>: Australia, 2004</w:t>
      </w:r>
      <w:r w:rsidRPr="00977BBD">
        <w:rPr>
          <w:rFonts w:asciiTheme="minorHAnsi" w:hAnsiTheme="minorHAnsi" w:cstheme="minorHAnsi"/>
          <w:color w:val="7F7F7F" w:themeColor="text1" w:themeTint="80"/>
          <w:sz w:val="20"/>
          <w:szCs w:val="20"/>
        </w:rPr>
        <w:t xml:space="preserve"> </w:t>
      </w:r>
    </w:p>
    <w:p w14:paraId="31BEDEE1" w14:textId="77777777" w:rsidR="00C65183" w:rsidRPr="00977BBD" w:rsidRDefault="00C65183" w:rsidP="00C65183">
      <w:pPr>
        <w:rPr>
          <w:rFonts w:asciiTheme="minorHAnsi" w:hAnsiTheme="minorHAnsi" w:cstheme="minorHAnsi"/>
          <w:color w:val="7F7F7F" w:themeColor="text1" w:themeTint="80"/>
          <w:sz w:val="20"/>
          <w:szCs w:val="20"/>
        </w:rPr>
      </w:pPr>
    </w:p>
    <w:p w14:paraId="02792107" w14:textId="77777777" w:rsidR="00C65183" w:rsidRPr="00977BBD" w:rsidRDefault="00C65183" w:rsidP="00C65183">
      <w:pPr>
        <w:spacing w:line="360" w:lineRule="auto"/>
        <w:jc w:val="both"/>
        <w:rPr>
          <w:rFonts w:asciiTheme="minorHAnsi" w:hAnsiTheme="minorHAnsi" w:cstheme="minorHAnsi"/>
          <w:color w:val="C00000"/>
        </w:rPr>
      </w:pPr>
      <w:r>
        <w:rPr>
          <w:noProof/>
        </w:rPr>
        <w:drawing>
          <wp:anchor distT="0" distB="0" distL="114300" distR="114300" simplePos="0" relativeHeight="251703296" behindDoc="0" locked="0" layoutInCell="1" allowOverlap="1" wp14:anchorId="33E0D9A5" wp14:editId="540A4C4F">
            <wp:simplePos x="0" y="0"/>
            <wp:positionH relativeFrom="margin">
              <wp:align>right</wp:align>
            </wp:positionH>
            <wp:positionV relativeFrom="paragraph">
              <wp:posOffset>211455</wp:posOffset>
            </wp:positionV>
            <wp:extent cx="1054100" cy="701040"/>
            <wp:effectExtent l="0" t="0" r="0" b="3810"/>
            <wp:wrapSquare wrapText="bothSides"/>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57" cstate="print">
                      <a:extLst>
                        <a:ext uri="{28A0092B-C50C-407E-A947-70E740481C1C}">
                          <a14:useLocalDpi xmlns:a14="http://schemas.microsoft.com/office/drawing/2010/main" val="0"/>
                        </a:ext>
                      </a:extLst>
                    </a:blip>
                    <a:stretch>
                      <a:fillRect/>
                    </a:stretch>
                  </pic:blipFill>
                  <pic:spPr>
                    <a:xfrm>
                      <a:off x="0" y="0"/>
                      <a:ext cx="1054100" cy="701040"/>
                    </a:xfrm>
                    <a:prstGeom prst="rect">
                      <a:avLst/>
                    </a:prstGeom>
                    <a:effectLst>
                      <a:softEdge rad="63500"/>
                    </a:effectLst>
                  </pic:spPr>
                </pic:pic>
              </a:graphicData>
            </a:graphic>
            <wp14:sizeRelH relativeFrom="page">
              <wp14:pctWidth>0</wp14:pctWidth>
            </wp14:sizeRelH>
            <wp14:sizeRelV relativeFrom="page">
              <wp14:pctHeight>0</wp14:pctHeight>
            </wp14:sizeRelV>
          </wp:anchor>
        </w:drawing>
      </w:r>
      <w:r w:rsidRPr="00977BBD">
        <w:rPr>
          <w:rFonts w:asciiTheme="minorHAnsi" w:hAnsiTheme="minorHAnsi" w:cstheme="minorHAnsi"/>
          <w:color w:val="000000" w:themeColor="text1"/>
        </w:rPr>
        <w:t>A further Australian study, of over 800 trans young people aged 14-25, found that 75% had been diagnosed during their lifetimes with depression and 72% with anxiety; 80% had self-harmed</w:t>
      </w:r>
      <w:r>
        <w:rPr>
          <w:rFonts w:asciiTheme="minorHAnsi" w:hAnsiTheme="minorHAnsi" w:cstheme="minorHAnsi"/>
          <w:color w:val="000000" w:themeColor="text1"/>
        </w:rPr>
        <w:t xml:space="preserve">; </w:t>
      </w:r>
      <w:r w:rsidRPr="00977BBD">
        <w:rPr>
          <w:rFonts w:asciiTheme="minorHAnsi" w:hAnsiTheme="minorHAnsi" w:cstheme="minorHAnsi"/>
          <w:color w:val="000000" w:themeColor="text1"/>
        </w:rPr>
        <w:t>48% had attempted suicide; and 89% had felt rejected by their peers</w:t>
      </w:r>
      <w:r>
        <w:rPr>
          <w:rStyle w:val="FootnoteReference"/>
          <w:rFonts w:asciiTheme="minorHAnsi" w:hAnsiTheme="minorHAnsi" w:cstheme="minorHAnsi"/>
          <w:color w:val="000000" w:themeColor="text1"/>
        </w:rPr>
        <w:footnoteReference w:id="25"/>
      </w:r>
      <w:r w:rsidRPr="00977BBD">
        <w:rPr>
          <w:rFonts w:asciiTheme="minorHAnsi" w:hAnsiTheme="minorHAnsi" w:cstheme="minorHAnsi"/>
          <w:color w:val="000000" w:themeColor="text1"/>
        </w:rPr>
        <w:t>.</w:t>
      </w:r>
    </w:p>
    <w:p w14:paraId="7BF4C15C" w14:textId="77777777" w:rsidR="00C65183" w:rsidRPr="0065232A" w:rsidRDefault="00C65183" w:rsidP="00C65183">
      <w:pPr>
        <w:spacing w:line="360" w:lineRule="auto"/>
        <w:jc w:val="both"/>
        <w:rPr>
          <w:rFonts w:asciiTheme="minorHAnsi" w:hAnsiTheme="minorHAnsi" w:cstheme="minorHAnsi"/>
          <w:color w:val="000000" w:themeColor="text1"/>
        </w:rPr>
      </w:pPr>
      <w:r w:rsidRPr="00977BBD">
        <w:rPr>
          <w:rFonts w:asciiTheme="minorHAnsi" w:hAnsiTheme="minorHAnsi" w:cstheme="minorHAnsi"/>
          <w:color w:val="000000" w:themeColor="text1"/>
        </w:rPr>
        <w:t>LGBTI participants in the 2017 Victorian Population Health Survey also registered unfavo</w:t>
      </w:r>
      <w:r>
        <w:rPr>
          <w:rFonts w:asciiTheme="minorHAnsi" w:hAnsiTheme="minorHAnsi" w:cstheme="minorHAnsi"/>
          <w:color w:val="000000" w:themeColor="text1"/>
        </w:rPr>
        <w:t>u</w:t>
      </w:r>
      <w:r w:rsidRPr="00977BBD">
        <w:rPr>
          <w:rFonts w:asciiTheme="minorHAnsi" w:hAnsiTheme="minorHAnsi" w:cstheme="minorHAnsi"/>
          <w:color w:val="000000" w:themeColor="text1"/>
        </w:rPr>
        <w:t xml:space="preserve">rable mental health outcomes, including lower levels of satisfaction with life, with 28% assessing their life satisfaction as ‘fair’ or ‘poor’ compared with 20% of others; higher rates of psychological distress (24% compared with 15% of non-LGBTI individuals); and elevated levels of doctor-diagnosed depression or anxiety (45% compared with 26% of non-LGBTI survey participants). </w:t>
      </w:r>
      <w:r w:rsidRPr="00977BBD">
        <w:rPr>
          <w:rFonts w:asciiTheme="minorHAnsi" w:hAnsiTheme="minorHAnsi" w:cstheme="minorHAnsi"/>
        </w:rPr>
        <w:t>Among respondents to the 2019 Australian ‘Private Lives’ survey</w:t>
      </w:r>
      <w:r>
        <w:rPr>
          <w:rStyle w:val="FootnoteReference"/>
          <w:rFonts w:asciiTheme="minorHAnsi" w:hAnsiTheme="minorHAnsi" w:cstheme="minorHAnsi"/>
        </w:rPr>
        <w:footnoteReference w:id="26"/>
      </w:r>
      <w:r w:rsidRPr="00977BBD">
        <w:rPr>
          <w:rFonts w:asciiTheme="minorHAnsi" w:hAnsiTheme="minorHAnsi" w:cstheme="minorHAnsi"/>
        </w:rPr>
        <w:t xml:space="preserve">, depression had been diagnosed among 39% </w:t>
      </w:r>
      <w:r>
        <w:rPr>
          <w:rFonts w:asciiTheme="minorHAnsi" w:hAnsiTheme="minorHAnsi" w:cstheme="minorHAnsi"/>
        </w:rPr>
        <w:t xml:space="preserve">of LGBTI participants </w:t>
      </w:r>
      <w:r w:rsidRPr="00977BBD">
        <w:rPr>
          <w:rFonts w:asciiTheme="minorHAnsi" w:hAnsiTheme="minorHAnsi" w:cstheme="minorHAnsi"/>
        </w:rPr>
        <w:t>- nearly ten times higher than among the general population, of 4.1%</w:t>
      </w:r>
      <w:r>
        <w:rPr>
          <w:rStyle w:val="FootnoteReference"/>
          <w:rFonts w:asciiTheme="minorHAnsi" w:hAnsiTheme="minorHAnsi" w:cstheme="minorHAnsi"/>
        </w:rPr>
        <w:footnoteReference w:id="27"/>
      </w:r>
      <w:r w:rsidRPr="00977BBD">
        <w:rPr>
          <w:rFonts w:asciiTheme="minorHAnsi" w:hAnsiTheme="minorHAnsi" w:cstheme="minorHAnsi"/>
        </w:rPr>
        <w:t xml:space="preserve"> -.</w:t>
      </w:r>
    </w:p>
    <w:p w14:paraId="77AAF2FD" w14:textId="77777777" w:rsidR="00C65183" w:rsidRDefault="00C65183" w:rsidP="00C65183">
      <w:pPr>
        <w:jc w:val="both"/>
        <w:rPr>
          <w:rFonts w:asciiTheme="minorHAnsi" w:hAnsiTheme="minorHAnsi" w:cstheme="minorHAnsi"/>
          <w:color w:val="000000" w:themeColor="text1"/>
          <w:sz w:val="10"/>
          <w:szCs w:val="10"/>
        </w:rPr>
      </w:pPr>
    </w:p>
    <w:p w14:paraId="7438BB88" w14:textId="77777777" w:rsidR="00C65183" w:rsidRDefault="00C65183" w:rsidP="00C65183">
      <w:pPr>
        <w:jc w:val="both"/>
        <w:rPr>
          <w:rFonts w:asciiTheme="minorHAnsi" w:hAnsiTheme="minorHAnsi" w:cstheme="minorHAnsi"/>
          <w:color w:val="000000" w:themeColor="text1"/>
          <w:sz w:val="10"/>
          <w:szCs w:val="10"/>
        </w:rPr>
      </w:pPr>
    </w:p>
    <w:p w14:paraId="3F7F58B4" w14:textId="77777777" w:rsidR="00C65183" w:rsidRPr="002C1946" w:rsidRDefault="00C65183" w:rsidP="00C65183">
      <w:pPr>
        <w:spacing w:line="360" w:lineRule="auto"/>
        <w:jc w:val="both"/>
        <w:rPr>
          <w:rFonts w:asciiTheme="minorHAnsi" w:hAnsiTheme="minorHAnsi" w:cstheme="minorHAnsi"/>
          <w:b/>
          <w:bCs/>
        </w:rPr>
      </w:pPr>
      <w:r w:rsidRPr="002C1946">
        <w:rPr>
          <w:rFonts w:asciiTheme="minorHAnsi" w:hAnsiTheme="minorHAnsi" w:cstheme="minorHAnsi"/>
          <w:b/>
          <w:bCs/>
        </w:rPr>
        <w:t>Social Connection</w:t>
      </w:r>
    </w:p>
    <w:p w14:paraId="137AB474" w14:textId="77777777" w:rsidR="00C65183" w:rsidRPr="002C1946" w:rsidRDefault="00C65183" w:rsidP="00C65183">
      <w:pPr>
        <w:spacing w:line="360" w:lineRule="auto"/>
        <w:jc w:val="both"/>
        <w:rPr>
          <w:rFonts w:asciiTheme="minorHAnsi" w:hAnsiTheme="minorHAnsi" w:cstheme="minorHAnsi"/>
        </w:rPr>
      </w:pPr>
      <w:r w:rsidRPr="002C1946">
        <w:rPr>
          <w:rFonts w:asciiTheme="minorHAnsi" w:hAnsiTheme="minorHAnsi" w:cstheme="minorHAnsi"/>
        </w:rPr>
        <w:t xml:space="preserve">The proportion of LGBTI individuals in the 2017 Victorian Population Health Survey who did not feel valued by society was higher, at 17%, than among others (12%), though other perceptions of connection with the community were similar to the average for all survey </w:t>
      </w:r>
      <w:r>
        <w:rPr>
          <w:rFonts w:asciiTheme="minorHAnsi" w:hAnsiTheme="minorHAnsi" w:cstheme="minorHAnsi"/>
        </w:rPr>
        <w:t>participants</w:t>
      </w:r>
      <w:r w:rsidRPr="002C1946">
        <w:rPr>
          <w:rFonts w:asciiTheme="minorHAnsi" w:hAnsiTheme="minorHAnsi" w:cstheme="minorHAnsi"/>
        </w:rPr>
        <w:t xml:space="preserve">. Fewer LGBTI individuals were members of sports (17% vs 25%) or religious (12% vs. 15%) groups, than others, though no substantial differences were recorded in </w:t>
      </w:r>
      <w:r>
        <w:rPr>
          <w:rFonts w:asciiTheme="minorHAnsi" w:hAnsiTheme="minorHAnsi" w:cstheme="minorHAnsi"/>
        </w:rPr>
        <w:t>involvement</w:t>
      </w:r>
      <w:r w:rsidRPr="002C1946">
        <w:rPr>
          <w:rFonts w:asciiTheme="minorHAnsi" w:hAnsiTheme="minorHAnsi" w:cstheme="minorHAnsi"/>
        </w:rPr>
        <w:t xml:space="preserve"> in professional organizations, community groups or volunteering. </w:t>
      </w:r>
    </w:p>
    <w:p w14:paraId="65698F6B" w14:textId="77777777" w:rsidR="00C65183" w:rsidRPr="002C1946" w:rsidRDefault="00C65183" w:rsidP="00C65183">
      <w:pPr>
        <w:spacing w:line="360" w:lineRule="auto"/>
        <w:jc w:val="both"/>
        <w:rPr>
          <w:rFonts w:asciiTheme="minorHAnsi" w:hAnsiTheme="minorHAnsi" w:cstheme="minorHAnsi"/>
          <w:b/>
          <w:bCs/>
        </w:rPr>
      </w:pPr>
      <w:r w:rsidRPr="002C1946">
        <w:rPr>
          <w:rFonts w:asciiTheme="minorHAnsi" w:hAnsiTheme="minorHAnsi" w:cstheme="minorHAnsi"/>
          <w:b/>
          <w:bCs/>
        </w:rPr>
        <w:lastRenderedPageBreak/>
        <w:t xml:space="preserve">Health </w:t>
      </w:r>
    </w:p>
    <w:p w14:paraId="1DAFEE70" w14:textId="77777777" w:rsidR="00C65183" w:rsidRPr="00E75BBB" w:rsidRDefault="00C65183" w:rsidP="00C65183">
      <w:pPr>
        <w:spacing w:line="360" w:lineRule="auto"/>
        <w:jc w:val="both"/>
        <w:rPr>
          <w:rFonts w:asciiTheme="minorHAnsi" w:hAnsiTheme="minorHAnsi" w:cstheme="minorHAnsi"/>
        </w:rPr>
      </w:pPr>
      <w:r w:rsidRPr="002C1946">
        <w:rPr>
          <w:rFonts w:asciiTheme="minorHAnsi" w:hAnsiTheme="minorHAnsi" w:cstheme="minorHAnsi"/>
        </w:rPr>
        <w:t>Among respondents to the 2017 Victorian Population Health Survey, LGBTI individuals recorded less favorable health, with 36% assessing their health as ‘excellent’ or ‘very good’ compared with 43% of others. Elevated rates of smoking (18% daily smokers, compared with 12% among others), and of chronic health conditions (36% compared with 25%) were also documented, though obesity, diet, alcohol-related problems, and physical activity differed little from the average.</w:t>
      </w:r>
    </w:p>
    <w:p w14:paraId="015B0E1E" w14:textId="77777777" w:rsidR="00C65183" w:rsidRDefault="00C65183" w:rsidP="00C65183">
      <w:pPr>
        <w:spacing w:line="360" w:lineRule="auto"/>
        <w:jc w:val="both"/>
        <w:rPr>
          <w:rFonts w:asciiTheme="minorHAnsi" w:hAnsiTheme="minorHAnsi" w:cstheme="minorHAnsi"/>
          <w:b/>
          <w:bCs/>
          <w:color w:val="000000" w:themeColor="text1"/>
        </w:rPr>
      </w:pPr>
    </w:p>
    <w:p w14:paraId="1D3936B2" w14:textId="77777777" w:rsidR="00C65183" w:rsidRPr="002C1946" w:rsidRDefault="00C65183" w:rsidP="00C65183">
      <w:pPr>
        <w:spacing w:line="360" w:lineRule="auto"/>
        <w:jc w:val="both"/>
        <w:rPr>
          <w:rFonts w:asciiTheme="minorHAnsi" w:hAnsiTheme="minorHAnsi" w:cstheme="minorHAnsi"/>
          <w:b/>
          <w:bCs/>
          <w:color w:val="000000" w:themeColor="text1"/>
        </w:rPr>
      </w:pPr>
      <w:r w:rsidRPr="002C1946">
        <w:rPr>
          <w:rFonts w:asciiTheme="minorHAnsi" w:hAnsiTheme="minorHAnsi" w:cstheme="minorHAnsi"/>
          <w:b/>
          <w:bCs/>
          <w:color w:val="000000" w:themeColor="text1"/>
        </w:rPr>
        <w:t>Family Violence</w:t>
      </w:r>
    </w:p>
    <w:p w14:paraId="36F3FB12" w14:textId="77777777" w:rsidR="00C65183" w:rsidRPr="00E75BBB" w:rsidRDefault="00C65183" w:rsidP="00C65183">
      <w:pPr>
        <w:spacing w:line="360" w:lineRule="auto"/>
        <w:jc w:val="both"/>
        <w:rPr>
          <w:rFonts w:asciiTheme="minorHAnsi" w:hAnsiTheme="minorHAnsi" w:cstheme="minorHAnsi"/>
        </w:rPr>
      </w:pPr>
      <w:r w:rsidRPr="002C1946">
        <w:rPr>
          <w:rFonts w:asciiTheme="minorHAnsi" w:hAnsiTheme="minorHAnsi" w:cstheme="minorHAnsi"/>
        </w:rPr>
        <w:t xml:space="preserve">Many researchers and commentators conclude that the proportion of LGBTI people who have experienced intimate partner violence or abuse is similar – or higher among some segments of the LGBTI community – to </w:t>
      </w:r>
      <w:r>
        <w:rPr>
          <w:rFonts w:asciiTheme="minorHAnsi" w:hAnsiTheme="minorHAnsi" w:cstheme="minorHAnsi"/>
        </w:rPr>
        <w:t>rates</w:t>
      </w:r>
      <w:r w:rsidRPr="002C1946">
        <w:rPr>
          <w:rFonts w:asciiTheme="minorHAnsi" w:hAnsiTheme="minorHAnsi" w:cstheme="minorHAnsi"/>
        </w:rPr>
        <w:t xml:space="preserve"> reported among </w:t>
      </w:r>
      <w:r>
        <w:rPr>
          <w:rFonts w:asciiTheme="minorHAnsi" w:hAnsiTheme="minorHAnsi" w:cstheme="minorHAnsi"/>
        </w:rPr>
        <w:t>the general community</w:t>
      </w:r>
      <w:r w:rsidRPr="002C1946">
        <w:rPr>
          <w:rFonts w:asciiTheme="minorHAnsi" w:hAnsiTheme="minorHAnsi" w:cstheme="minorHAnsi"/>
        </w:rPr>
        <w:t>.</w:t>
      </w:r>
      <w:r>
        <w:rPr>
          <w:rStyle w:val="FootnoteReference"/>
          <w:rFonts w:asciiTheme="minorHAnsi" w:hAnsiTheme="minorHAnsi" w:cstheme="minorHAnsi"/>
        </w:rPr>
        <w:footnoteReference w:id="28"/>
      </w:r>
      <w:r>
        <w:rPr>
          <w:rFonts w:asciiTheme="minorHAnsi" w:hAnsiTheme="minorHAnsi" w:cstheme="minorHAnsi"/>
        </w:rPr>
        <w:t xml:space="preserve"> </w:t>
      </w:r>
      <w:r>
        <w:rPr>
          <w:rFonts w:asciiTheme="minorHAnsi" w:hAnsiTheme="minorHAnsi" w:cstheme="minorHAnsi"/>
          <w:color w:val="000000" w:themeColor="text1"/>
        </w:rPr>
        <w:t>Among</w:t>
      </w:r>
      <w:r w:rsidRPr="002C1946">
        <w:rPr>
          <w:rFonts w:asciiTheme="minorHAnsi" w:hAnsiTheme="minorHAnsi" w:cstheme="minorHAnsi"/>
          <w:color w:val="000000" w:themeColor="text1"/>
        </w:rPr>
        <w:t xml:space="preserve"> the LGBTI </w:t>
      </w:r>
      <w:r>
        <w:rPr>
          <w:rFonts w:asciiTheme="minorHAnsi" w:hAnsiTheme="minorHAnsi" w:cstheme="minorHAnsi"/>
          <w:color w:val="000000" w:themeColor="text1"/>
        </w:rPr>
        <w:t xml:space="preserve">participants in the </w:t>
      </w:r>
      <w:r w:rsidRPr="002C1946">
        <w:rPr>
          <w:rFonts w:asciiTheme="minorHAnsi" w:hAnsiTheme="minorHAnsi" w:cstheme="minorHAnsi"/>
          <w:color w:val="000000" w:themeColor="text1"/>
        </w:rPr>
        <w:t>2017 Victorian Population Health Survey</w:t>
      </w:r>
      <w:r>
        <w:rPr>
          <w:rFonts w:asciiTheme="minorHAnsi" w:hAnsiTheme="minorHAnsi" w:cstheme="minorHAnsi"/>
          <w:color w:val="000000" w:themeColor="text1"/>
        </w:rPr>
        <w:t>, 15% reported that they</w:t>
      </w:r>
      <w:r w:rsidRPr="002C1946">
        <w:rPr>
          <w:rFonts w:asciiTheme="minorHAnsi" w:hAnsiTheme="minorHAnsi" w:cstheme="minorHAnsi"/>
          <w:color w:val="000000" w:themeColor="text1"/>
        </w:rPr>
        <w:t xml:space="preserve"> had experienced family violence in the previous </w:t>
      </w:r>
      <w:r w:rsidRPr="002C1946">
        <w:rPr>
          <w:rFonts w:asciiTheme="minorHAnsi" w:hAnsiTheme="minorHAnsi" w:cstheme="minorHAnsi"/>
          <w:i/>
          <w:iCs/>
          <w:color w:val="000000" w:themeColor="text1"/>
        </w:rPr>
        <w:t>two years</w:t>
      </w:r>
      <w:r w:rsidRPr="002C1946">
        <w:rPr>
          <w:rFonts w:asciiTheme="minorHAnsi" w:hAnsiTheme="minorHAnsi" w:cstheme="minorHAnsi"/>
          <w:color w:val="000000" w:themeColor="text1"/>
        </w:rPr>
        <w:t xml:space="preserve"> – compared with 5% of others. </w:t>
      </w:r>
    </w:p>
    <w:p w14:paraId="48F3AD8E" w14:textId="77777777" w:rsidR="00C65183" w:rsidRDefault="00C65183" w:rsidP="00C65183">
      <w:pPr>
        <w:spacing w:line="360" w:lineRule="auto"/>
        <w:jc w:val="both"/>
        <w:rPr>
          <w:rFonts w:asciiTheme="minorHAnsi" w:hAnsiTheme="minorHAnsi" w:cstheme="minorHAnsi"/>
        </w:rPr>
      </w:pPr>
      <w:r>
        <w:rPr>
          <w:rFonts w:asciiTheme="minorHAnsi" w:hAnsiTheme="minorHAnsi" w:cstheme="minorHAnsi"/>
        </w:rPr>
        <w:t xml:space="preserve">Higher estimates of the prevalence of intimate partner violence among people </w:t>
      </w:r>
      <w:r w:rsidRPr="005F4FBF">
        <w:rPr>
          <w:rFonts w:asciiTheme="minorHAnsi" w:hAnsiTheme="minorHAnsi" w:cstheme="minorHAnsi"/>
          <w:i/>
          <w:iCs/>
        </w:rPr>
        <w:t>during their lifetimes</w:t>
      </w:r>
      <w:r>
        <w:rPr>
          <w:rFonts w:asciiTheme="minorHAnsi" w:hAnsiTheme="minorHAnsi" w:cstheme="minorHAnsi"/>
        </w:rPr>
        <w:t xml:space="preserve"> have also been recorded. One Australian investigation</w:t>
      </w:r>
      <w:r w:rsidRPr="002C1946">
        <w:rPr>
          <w:rFonts w:asciiTheme="minorHAnsi" w:hAnsiTheme="minorHAnsi" w:cstheme="minorHAnsi"/>
        </w:rPr>
        <w:t xml:space="preserve"> found that 41% of LGBTI females and 28% of males had experienced </w:t>
      </w:r>
      <w:r>
        <w:rPr>
          <w:rFonts w:asciiTheme="minorHAnsi" w:hAnsiTheme="minorHAnsi" w:cstheme="minorHAnsi"/>
        </w:rPr>
        <w:t>such</w:t>
      </w:r>
      <w:r w:rsidRPr="002C1946">
        <w:rPr>
          <w:rFonts w:asciiTheme="minorHAnsi" w:hAnsiTheme="minorHAnsi" w:cstheme="minorHAnsi"/>
        </w:rPr>
        <w:t xml:space="preserve"> violence </w:t>
      </w:r>
      <w:r w:rsidRPr="00B16804">
        <w:rPr>
          <w:rFonts w:asciiTheme="minorHAnsi" w:hAnsiTheme="minorHAnsi" w:cstheme="minorHAnsi"/>
        </w:rPr>
        <w:t>in their lifetimes</w:t>
      </w:r>
      <w:r>
        <w:rPr>
          <w:rStyle w:val="FootnoteReference"/>
          <w:rFonts w:asciiTheme="minorHAnsi" w:hAnsiTheme="minorHAnsi" w:cstheme="minorHAnsi"/>
          <w:i/>
          <w:iCs/>
        </w:rPr>
        <w:footnoteReference w:id="29"/>
      </w:r>
      <w:r w:rsidRPr="002C1946">
        <w:rPr>
          <w:rFonts w:asciiTheme="minorHAnsi" w:hAnsiTheme="minorHAnsi" w:cstheme="minorHAnsi"/>
        </w:rPr>
        <w:t xml:space="preserve">. </w:t>
      </w:r>
    </w:p>
    <w:p w14:paraId="4755F1CF" w14:textId="77777777" w:rsidR="00C65183" w:rsidRDefault="00C65183" w:rsidP="00C65183">
      <w:pPr>
        <w:spacing w:line="360" w:lineRule="auto"/>
        <w:jc w:val="both"/>
        <w:rPr>
          <w:rFonts w:asciiTheme="minorHAnsi" w:hAnsiTheme="minorHAnsi" w:cstheme="minorHAnsi"/>
        </w:rPr>
      </w:pPr>
      <w:r>
        <w:rPr>
          <w:rFonts w:asciiTheme="minorHAnsi" w:hAnsiTheme="minorHAnsi" w:cstheme="minorHAnsi"/>
        </w:rPr>
        <w:t>Similarly, the</w:t>
      </w:r>
      <w:r w:rsidRPr="002C1946">
        <w:rPr>
          <w:rFonts w:asciiTheme="minorHAnsi" w:hAnsiTheme="minorHAnsi" w:cstheme="minorHAnsi"/>
        </w:rPr>
        <w:t xml:space="preserve"> 2019 ‘Private Lives’ survey found that 61% of respondents had </w:t>
      </w:r>
      <w:r>
        <w:rPr>
          <w:rFonts w:asciiTheme="minorHAnsi" w:hAnsiTheme="minorHAnsi" w:cstheme="minorHAnsi"/>
        </w:rPr>
        <w:t>been abuse</w:t>
      </w:r>
      <w:r w:rsidRPr="002C1946">
        <w:rPr>
          <w:rFonts w:asciiTheme="minorHAnsi" w:hAnsiTheme="minorHAnsi" w:cstheme="minorHAnsi"/>
        </w:rPr>
        <w:t xml:space="preserve"> by an intimate partner at some time in their lives, including emotional abuse (48%), verbal abuse (42%), social isolation (27%) and physical violence (25%).</w:t>
      </w:r>
      <w:r>
        <w:rPr>
          <w:rStyle w:val="FootnoteReference"/>
          <w:rFonts w:asciiTheme="minorHAnsi" w:hAnsiTheme="minorHAnsi" w:cstheme="minorHAnsi"/>
        </w:rPr>
        <w:footnoteReference w:id="30"/>
      </w:r>
      <w:r w:rsidRPr="002C1946">
        <w:rPr>
          <w:rFonts w:asciiTheme="minorHAnsi" w:hAnsiTheme="minorHAnsi" w:cstheme="minorHAnsi"/>
        </w:rPr>
        <w:t xml:space="preserve"> </w:t>
      </w:r>
    </w:p>
    <w:p w14:paraId="472A6824" w14:textId="77777777" w:rsidR="00C65183" w:rsidRDefault="00C65183" w:rsidP="00C65183">
      <w:pPr>
        <w:jc w:val="both"/>
        <w:rPr>
          <w:rFonts w:asciiTheme="minorHAnsi" w:hAnsiTheme="minorHAnsi" w:cstheme="minorHAnsi"/>
          <w:color w:val="7F7F7F" w:themeColor="text1" w:themeTint="80"/>
          <w:sz w:val="20"/>
          <w:szCs w:val="20"/>
        </w:rPr>
      </w:pPr>
    </w:p>
    <w:p w14:paraId="40EA1408" w14:textId="77777777" w:rsidR="00C65183" w:rsidRDefault="00C65183" w:rsidP="00C65183">
      <w:pPr>
        <w:jc w:val="both"/>
        <w:rPr>
          <w:rFonts w:asciiTheme="minorHAnsi" w:hAnsiTheme="minorHAnsi" w:cstheme="minorHAnsi"/>
          <w:color w:val="7F7F7F" w:themeColor="text1" w:themeTint="80"/>
          <w:sz w:val="20"/>
          <w:szCs w:val="20"/>
        </w:rPr>
      </w:pPr>
      <w:r w:rsidRPr="002C1946">
        <w:rPr>
          <w:rFonts w:asciiTheme="minorHAnsi" w:hAnsiTheme="minorHAnsi" w:cstheme="minorHAnsi"/>
          <w:noProof/>
        </w:rPr>
        <w:drawing>
          <wp:anchor distT="0" distB="0" distL="114300" distR="114300" simplePos="0" relativeHeight="251700224" behindDoc="0" locked="0" layoutInCell="1" allowOverlap="1" wp14:anchorId="2A1E4379" wp14:editId="660F4B73">
            <wp:simplePos x="0" y="0"/>
            <wp:positionH relativeFrom="margin">
              <wp:align>right</wp:align>
            </wp:positionH>
            <wp:positionV relativeFrom="paragraph">
              <wp:posOffset>5715</wp:posOffset>
            </wp:positionV>
            <wp:extent cx="3188970" cy="2261235"/>
            <wp:effectExtent l="0" t="0" r="0" b="5715"/>
            <wp:wrapSquare wrapText="bothSides"/>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58">
                      <a:extLst>
                        <a:ext uri="{28A0092B-C50C-407E-A947-70E740481C1C}">
                          <a14:useLocalDpi xmlns:a14="http://schemas.microsoft.com/office/drawing/2010/main" val="0"/>
                        </a:ext>
                      </a:extLst>
                    </a:blip>
                    <a:srcRect l="2750" t="4092" r="6383"/>
                    <a:stretch/>
                  </pic:blipFill>
                  <pic:spPr bwMode="auto">
                    <a:xfrm>
                      <a:off x="0" y="0"/>
                      <a:ext cx="3188970" cy="22612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F0F4069" w14:textId="77777777" w:rsidR="00C65183" w:rsidRDefault="00C65183" w:rsidP="00C65183">
      <w:pPr>
        <w:spacing w:after="240"/>
        <w:jc w:val="both"/>
        <w:rPr>
          <w:rFonts w:asciiTheme="minorHAnsi" w:hAnsiTheme="minorHAnsi" w:cstheme="minorHAnsi"/>
          <w:color w:val="7F7F7F" w:themeColor="text1" w:themeTint="80"/>
          <w:sz w:val="20"/>
          <w:szCs w:val="20"/>
        </w:rPr>
      </w:pPr>
      <w:r w:rsidRPr="00D71D93">
        <w:rPr>
          <w:rFonts w:asciiTheme="minorHAnsi" w:hAnsiTheme="minorHAnsi" w:cstheme="minorHAnsi"/>
          <w:color w:val="7F7F7F" w:themeColor="text1" w:themeTint="80"/>
          <w:sz w:val="20"/>
          <w:szCs w:val="20"/>
        </w:rPr>
        <w:t xml:space="preserve">Prevalence of lifetime experience of </w:t>
      </w:r>
      <w:r w:rsidRPr="00D71D93">
        <w:rPr>
          <w:rFonts w:asciiTheme="minorHAnsi" w:hAnsiTheme="minorHAnsi" w:cstheme="minorHAnsi"/>
          <w:i/>
          <w:iCs/>
          <w:color w:val="7F7F7F" w:themeColor="text1" w:themeTint="80"/>
          <w:sz w:val="20"/>
          <w:szCs w:val="20"/>
        </w:rPr>
        <w:t>physical</w:t>
      </w:r>
      <w:r w:rsidRPr="00D71D93">
        <w:rPr>
          <w:rFonts w:asciiTheme="minorHAnsi" w:hAnsiTheme="minorHAnsi" w:cstheme="minorHAnsi"/>
          <w:color w:val="7F7F7F" w:themeColor="text1" w:themeTint="80"/>
          <w:sz w:val="20"/>
          <w:szCs w:val="20"/>
        </w:rPr>
        <w:t xml:space="preserve"> intimate partner violence, by sexual orientation</w:t>
      </w:r>
      <w:r>
        <w:rPr>
          <w:rFonts w:asciiTheme="minorHAnsi" w:hAnsiTheme="minorHAnsi" w:cstheme="minorHAnsi"/>
          <w:color w:val="7F7F7F" w:themeColor="text1" w:themeTint="80"/>
          <w:sz w:val="20"/>
          <w:szCs w:val="20"/>
        </w:rPr>
        <w:t>: Australia, 2019</w:t>
      </w:r>
    </w:p>
    <w:p w14:paraId="3726DD41" w14:textId="77777777" w:rsidR="00C65183" w:rsidRDefault="00C65183" w:rsidP="00C65183">
      <w:pPr>
        <w:spacing w:line="360" w:lineRule="auto"/>
        <w:jc w:val="both"/>
        <w:rPr>
          <w:rFonts w:asciiTheme="minorHAnsi" w:hAnsiTheme="minorHAnsi" w:cstheme="minorHAnsi"/>
        </w:rPr>
      </w:pPr>
      <w:r w:rsidRPr="002C1946">
        <w:rPr>
          <w:rFonts w:asciiTheme="minorHAnsi" w:hAnsiTheme="minorHAnsi" w:cstheme="minorHAnsi"/>
        </w:rPr>
        <w:t>The proportion of respondents who had experienced physical violence by an intimate partner differed markedly with sexual orientation (</w:t>
      </w:r>
      <w:r>
        <w:rPr>
          <w:rFonts w:asciiTheme="minorHAnsi" w:hAnsiTheme="minorHAnsi" w:cstheme="minorHAnsi"/>
        </w:rPr>
        <w:t>diagram, right</w:t>
      </w:r>
      <w:r w:rsidRPr="002C1946">
        <w:rPr>
          <w:rFonts w:asciiTheme="minorHAnsi" w:hAnsiTheme="minorHAnsi" w:cstheme="minorHAnsi"/>
        </w:rPr>
        <w:t>), with highest rates recorded among those who reported that they were pansexual, queer or lesbian.</w:t>
      </w:r>
    </w:p>
    <w:p w14:paraId="6902C9AC" w14:textId="77777777" w:rsidR="00C65183" w:rsidRDefault="00C65183" w:rsidP="00C65183">
      <w:pPr>
        <w:rPr>
          <w:rFonts w:asciiTheme="minorHAnsi" w:hAnsiTheme="minorHAnsi" w:cstheme="minorHAnsi"/>
          <w:color w:val="000000" w:themeColor="text1"/>
        </w:rPr>
      </w:pPr>
      <w:r>
        <w:rPr>
          <w:rFonts w:asciiTheme="minorHAnsi" w:hAnsiTheme="minorHAnsi" w:cstheme="minorHAnsi"/>
          <w:color w:val="000000" w:themeColor="text1"/>
        </w:rPr>
        <w:br w:type="page"/>
      </w:r>
    </w:p>
    <w:p w14:paraId="2AFFBB21" w14:textId="77777777" w:rsidR="00C65183" w:rsidRPr="00827F47" w:rsidRDefault="00C65183" w:rsidP="00C65183">
      <w:pPr>
        <w:pBdr>
          <w:top w:val="single" w:sz="4" w:space="0" w:color="244061" w:themeColor="accent1" w:themeShade="80"/>
          <w:bottom w:val="single" w:sz="4" w:space="1" w:color="244061" w:themeColor="accent1" w:themeShade="80"/>
        </w:pBdr>
        <w:tabs>
          <w:tab w:val="center" w:pos="4678"/>
        </w:tabs>
        <w:jc w:val="center"/>
        <w:rPr>
          <w:rFonts w:ascii="Garamond" w:hAnsi="Garamond"/>
          <w:noProof/>
          <w:color w:val="244061" w:themeColor="accent1" w:themeShade="80"/>
          <w:sz w:val="34"/>
          <w:szCs w:val="34"/>
        </w:rPr>
      </w:pPr>
      <w:r w:rsidRPr="00827F47">
        <w:rPr>
          <w:rFonts w:ascii="Garamond" w:hAnsi="Garamond"/>
          <w:noProof/>
          <w:color w:val="244061" w:themeColor="accent1" w:themeShade="80"/>
          <w:sz w:val="34"/>
          <w:szCs w:val="34"/>
        </w:rPr>
        <w:lastRenderedPageBreak/>
        <w:t>Aboriginal Residents</w:t>
      </w:r>
    </w:p>
    <w:p w14:paraId="2FBAAD31" w14:textId="77777777" w:rsidR="00C65183" w:rsidRPr="00D03334" w:rsidRDefault="00C65183" w:rsidP="00C65183">
      <w:pPr>
        <w:jc w:val="both"/>
        <w:rPr>
          <w:b/>
          <w:sz w:val="10"/>
          <w:szCs w:val="10"/>
        </w:rPr>
      </w:pPr>
      <w:r>
        <w:rPr>
          <w:rFonts w:ascii="Calibri" w:hAnsi="Calibri"/>
          <w:b/>
          <w:noProof/>
          <w:lang w:eastAsia="en-AU"/>
        </w:rPr>
        <w:drawing>
          <wp:anchor distT="0" distB="0" distL="114300" distR="114300" simplePos="0" relativeHeight="251710464" behindDoc="1" locked="0" layoutInCell="1" allowOverlap="1" wp14:anchorId="73CE7A74" wp14:editId="533CA1C3">
            <wp:simplePos x="0" y="0"/>
            <wp:positionH relativeFrom="column">
              <wp:posOffset>4654550</wp:posOffset>
            </wp:positionH>
            <wp:positionV relativeFrom="paragraph">
              <wp:posOffset>19050</wp:posOffset>
            </wp:positionV>
            <wp:extent cx="1587500" cy="1009650"/>
            <wp:effectExtent l="0" t="0" r="0" b="0"/>
            <wp:wrapTight wrapText="bothSides">
              <wp:wrapPolygon edited="0">
                <wp:start x="1037" y="0"/>
                <wp:lineTo x="0" y="815"/>
                <wp:lineTo x="0" y="19970"/>
                <wp:lineTo x="778" y="21192"/>
                <wp:lineTo x="1037" y="21192"/>
                <wp:lineTo x="20218" y="21192"/>
                <wp:lineTo x="20477" y="21192"/>
                <wp:lineTo x="21254" y="19970"/>
                <wp:lineTo x="21254" y="815"/>
                <wp:lineTo x="20218" y="0"/>
                <wp:lineTo x="1037" y="0"/>
              </wp:wrapPolygon>
            </wp:wrapTight>
            <wp:docPr id="59" name="Picture 16" descr="Child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 descr="Child 1"/>
                    <pic:cNvPicPr>
                      <a:picLocks noChangeAspect="1" noChangeArrowheads="1"/>
                    </pic:cNvPicPr>
                  </pic:nvPicPr>
                  <pic:blipFill>
                    <a:blip r:embed="rId59" cstate="print"/>
                    <a:srcRect/>
                    <a:stretch>
                      <a:fillRect/>
                    </a:stretch>
                  </pic:blipFill>
                  <pic:spPr bwMode="auto">
                    <a:xfrm>
                      <a:off x="0" y="0"/>
                      <a:ext cx="1587500" cy="10096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2793003A" w14:textId="77777777" w:rsidR="00C65183" w:rsidRPr="000767DC" w:rsidRDefault="00C65183" w:rsidP="00C65183">
      <w:pPr>
        <w:spacing w:line="360" w:lineRule="auto"/>
        <w:jc w:val="both"/>
        <w:rPr>
          <w:rFonts w:ascii="Calibri" w:hAnsi="Calibri"/>
          <w:b/>
        </w:rPr>
      </w:pPr>
      <w:r w:rsidRPr="000767DC">
        <w:rPr>
          <w:rFonts w:ascii="Calibri" w:hAnsi="Calibri"/>
          <w:b/>
        </w:rPr>
        <w:t>Population</w:t>
      </w:r>
    </w:p>
    <w:p w14:paraId="4D7C793A" w14:textId="77777777" w:rsidR="00C65183" w:rsidRDefault="00C65183" w:rsidP="00C65183">
      <w:pPr>
        <w:spacing w:line="360" w:lineRule="auto"/>
        <w:jc w:val="both"/>
        <w:rPr>
          <w:rFonts w:ascii="Calibri" w:hAnsi="Calibri"/>
        </w:rPr>
      </w:pPr>
      <w:r w:rsidRPr="0067755C">
        <w:rPr>
          <w:rFonts w:ascii="Calibri" w:hAnsi="Calibri"/>
        </w:rPr>
        <w:t xml:space="preserve">The number of </w:t>
      </w:r>
      <w:r>
        <w:rPr>
          <w:rFonts w:ascii="Calibri" w:hAnsi="Calibri"/>
        </w:rPr>
        <w:t>Aboriginal and Torres Strait Islanders</w:t>
      </w:r>
      <w:r w:rsidRPr="0067755C">
        <w:rPr>
          <w:rFonts w:ascii="Calibri" w:hAnsi="Calibri"/>
        </w:rPr>
        <w:t xml:space="preserve"> </w:t>
      </w:r>
      <w:r>
        <w:rPr>
          <w:rFonts w:ascii="Calibri" w:hAnsi="Calibri"/>
        </w:rPr>
        <w:t>recorded</w:t>
      </w:r>
      <w:r w:rsidRPr="0067755C">
        <w:rPr>
          <w:rFonts w:ascii="Calibri" w:hAnsi="Calibri"/>
        </w:rPr>
        <w:t xml:space="preserve"> by the Census in Greater Dandenong trebled from 150 in 1981, to </w:t>
      </w:r>
      <w:r>
        <w:rPr>
          <w:rFonts w:ascii="Calibri" w:hAnsi="Calibri"/>
        </w:rPr>
        <w:t xml:space="preserve">516 </w:t>
      </w:r>
      <w:r w:rsidRPr="0067755C">
        <w:rPr>
          <w:rFonts w:ascii="Calibri" w:hAnsi="Calibri"/>
        </w:rPr>
        <w:t>by 201</w:t>
      </w:r>
      <w:r>
        <w:rPr>
          <w:rFonts w:ascii="Calibri" w:hAnsi="Calibri"/>
        </w:rPr>
        <w:t>6</w:t>
      </w:r>
      <w:r w:rsidRPr="0067755C">
        <w:rPr>
          <w:rFonts w:ascii="Calibri" w:hAnsi="Calibri"/>
        </w:rPr>
        <w:t xml:space="preserve">, </w:t>
      </w:r>
      <w:r>
        <w:rPr>
          <w:rFonts w:ascii="Calibri" w:hAnsi="Calibri"/>
        </w:rPr>
        <w:t>representing</w:t>
      </w:r>
      <w:r w:rsidRPr="0067755C">
        <w:rPr>
          <w:rFonts w:ascii="Calibri" w:hAnsi="Calibri"/>
        </w:rPr>
        <w:t xml:space="preserve"> 0.</w:t>
      </w:r>
      <w:r>
        <w:rPr>
          <w:rFonts w:ascii="Calibri" w:hAnsi="Calibri"/>
        </w:rPr>
        <w:t>3% of the population</w:t>
      </w:r>
      <w:r w:rsidRPr="0067755C">
        <w:rPr>
          <w:rFonts w:ascii="Calibri" w:hAnsi="Calibri"/>
        </w:rPr>
        <w:t>. Within this city and its adjoining municipalities</w:t>
      </w:r>
      <w:r>
        <w:rPr>
          <w:rStyle w:val="FootnoteReference"/>
          <w:rFonts w:ascii="Calibri" w:hAnsi="Calibri"/>
        </w:rPr>
        <w:footnoteReference w:id="31"/>
      </w:r>
      <w:r w:rsidRPr="0067755C">
        <w:rPr>
          <w:rFonts w:ascii="Calibri" w:hAnsi="Calibri"/>
        </w:rPr>
        <w:t>, the 20</w:t>
      </w:r>
      <w:r>
        <w:rPr>
          <w:rFonts w:ascii="Calibri" w:hAnsi="Calibri"/>
        </w:rPr>
        <w:t>16</w:t>
      </w:r>
      <w:r w:rsidRPr="0067755C">
        <w:rPr>
          <w:rFonts w:ascii="Calibri" w:hAnsi="Calibri"/>
        </w:rPr>
        <w:t xml:space="preserve"> Census recorded nearly </w:t>
      </w:r>
      <w:r>
        <w:rPr>
          <w:rFonts w:ascii="Calibri" w:hAnsi="Calibri"/>
        </w:rPr>
        <w:t>5,217</w:t>
      </w:r>
      <w:r w:rsidRPr="0067755C">
        <w:rPr>
          <w:rFonts w:ascii="Calibri" w:hAnsi="Calibri"/>
        </w:rPr>
        <w:t xml:space="preserve"> </w:t>
      </w:r>
      <w:r>
        <w:rPr>
          <w:rFonts w:ascii="Calibri" w:hAnsi="Calibri"/>
        </w:rPr>
        <w:t>Aboriginal</w:t>
      </w:r>
      <w:r w:rsidRPr="0067755C">
        <w:rPr>
          <w:rFonts w:ascii="Calibri" w:hAnsi="Calibri"/>
        </w:rPr>
        <w:t xml:space="preserve"> residents.</w:t>
      </w:r>
      <w:r>
        <w:rPr>
          <w:rFonts w:ascii="Calibri" w:hAnsi="Calibri"/>
        </w:rPr>
        <w:t xml:space="preserve"> </w:t>
      </w:r>
    </w:p>
    <w:p w14:paraId="3B437CD6" w14:textId="77777777" w:rsidR="00C65183" w:rsidRPr="0067755C" w:rsidRDefault="00C65183" w:rsidP="00C65183">
      <w:pPr>
        <w:spacing w:line="360" w:lineRule="auto"/>
        <w:jc w:val="both"/>
        <w:rPr>
          <w:rFonts w:ascii="Calibri" w:hAnsi="Calibri"/>
        </w:rPr>
      </w:pPr>
      <w:r>
        <w:rPr>
          <w:rFonts w:ascii="Calibri" w:hAnsi="Calibri"/>
        </w:rPr>
        <w:t>Those</w:t>
      </w:r>
      <w:r w:rsidRPr="0067755C">
        <w:rPr>
          <w:rFonts w:ascii="Calibri" w:hAnsi="Calibri"/>
        </w:rPr>
        <w:t xml:space="preserve"> people living in Greater Dandenong are relatively young, with </w:t>
      </w:r>
      <w:r>
        <w:rPr>
          <w:rFonts w:ascii="Calibri" w:hAnsi="Calibri"/>
        </w:rPr>
        <w:t xml:space="preserve">nearly one-half </w:t>
      </w:r>
      <w:r w:rsidRPr="0067755C">
        <w:rPr>
          <w:rFonts w:ascii="Calibri" w:hAnsi="Calibri"/>
        </w:rPr>
        <w:t>(</w:t>
      </w:r>
      <w:r>
        <w:rPr>
          <w:rFonts w:ascii="Calibri" w:hAnsi="Calibri"/>
        </w:rPr>
        <w:t>48</w:t>
      </w:r>
      <w:r w:rsidRPr="0067755C">
        <w:rPr>
          <w:rFonts w:ascii="Calibri" w:hAnsi="Calibri"/>
        </w:rPr>
        <w:t xml:space="preserve">%) aged less than </w:t>
      </w:r>
      <w:r>
        <w:rPr>
          <w:rFonts w:ascii="Calibri" w:hAnsi="Calibri"/>
        </w:rPr>
        <w:t xml:space="preserve">24 years, compared with 32% </w:t>
      </w:r>
      <w:r w:rsidRPr="0067755C">
        <w:rPr>
          <w:rFonts w:ascii="Calibri" w:hAnsi="Calibri"/>
        </w:rPr>
        <w:t xml:space="preserve">of the general population. Conversely, </w:t>
      </w:r>
      <w:r>
        <w:rPr>
          <w:rFonts w:ascii="Calibri" w:hAnsi="Calibri"/>
        </w:rPr>
        <w:t>8</w:t>
      </w:r>
      <w:r w:rsidRPr="0067755C">
        <w:rPr>
          <w:rFonts w:ascii="Calibri" w:hAnsi="Calibri"/>
        </w:rPr>
        <w:t xml:space="preserve">% are aged 65 years or more, compared with 14% of </w:t>
      </w:r>
      <w:r>
        <w:rPr>
          <w:rFonts w:ascii="Calibri" w:hAnsi="Calibri"/>
        </w:rPr>
        <w:t xml:space="preserve">non-Aboriginal </w:t>
      </w:r>
      <w:r w:rsidRPr="0067755C">
        <w:rPr>
          <w:rFonts w:ascii="Calibri" w:hAnsi="Calibri"/>
        </w:rPr>
        <w:t>residents.</w:t>
      </w:r>
      <w:r>
        <w:rPr>
          <w:rFonts w:ascii="Calibri" w:hAnsi="Calibri"/>
        </w:rPr>
        <w:t xml:space="preserve"> Their median age is 26 years, lower than the corresponding figure of 35 among the general population, reflecting a lower life expectancy and higher birth rates.</w:t>
      </w:r>
    </w:p>
    <w:p w14:paraId="2719049F" w14:textId="77777777" w:rsidR="00C65183" w:rsidRPr="0059548B" w:rsidRDefault="00C65183" w:rsidP="00C65183">
      <w:pPr>
        <w:jc w:val="both"/>
        <w:rPr>
          <w:rFonts w:ascii="Calibri" w:hAnsi="Calibri"/>
          <w:color w:val="808080"/>
          <w:sz w:val="20"/>
          <w:szCs w:val="20"/>
        </w:rPr>
      </w:pPr>
      <w:r w:rsidRPr="0059548B">
        <w:rPr>
          <w:rFonts w:ascii="Calibri" w:hAnsi="Calibri"/>
          <w:color w:val="808080"/>
          <w:sz w:val="20"/>
          <w:szCs w:val="20"/>
        </w:rPr>
        <w:t xml:space="preserve">Per cent of </w:t>
      </w:r>
      <w:r>
        <w:rPr>
          <w:rFonts w:ascii="Calibri" w:hAnsi="Calibri"/>
          <w:color w:val="808080"/>
          <w:sz w:val="20"/>
          <w:szCs w:val="20"/>
        </w:rPr>
        <w:t>p</w:t>
      </w:r>
      <w:r w:rsidRPr="0059548B">
        <w:rPr>
          <w:rFonts w:ascii="Calibri" w:hAnsi="Calibri"/>
          <w:color w:val="808080"/>
          <w:sz w:val="20"/>
          <w:szCs w:val="20"/>
        </w:rPr>
        <w:t xml:space="preserve">opulation by </w:t>
      </w:r>
      <w:r>
        <w:rPr>
          <w:rFonts w:ascii="Calibri" w:hAnsi="Calibri"/>
          <w:color w:val="808080"/>
          <w:sz w:val="20"/>
          <w:szCs w:val="20"/>
        </w:rPr>
        <w:t>a</w:t>
      </w:r>
      <w:r w:rsidRPr="0059548B">
        <w:rPr>
          <w:rFonts w:ascii="Calibri" w:hAnsi="Calibri"/>
          <w:color w:val="808080"/>
          <w:sz w:val="20"/>
          <w:szCs w:val="20"/>
        </w:rPr>
        <w:t xml:space="preserve">ge: </w:t>
      </w:r>
      <w:r>
        <w:rPr>
          <w:rFonts w:ascii="Calibri" w:hAnsi="Calibri"/>
          <w:color w:val="808080"/>
          <w:sz w:val="20"/>
          <w:szCs w:val="20"/>
        </w:rPr>
        <w:t>Aboriginal</w:t>
      </w:r>
      <w:r w:rsidRPr="0059548B">
        <w:rPr>
          <w:rFonts w:ascii="Calibri" w:hAnsi="Calibri"/>
          <w:color w:val="808080"/>
          <w:sz w:val="20"/>
          <w:szCs w:val="20"/>
        </w:rPr>
        <w:t xml:space="preserve"> and </w:t>
      </w:r>
    </w:p>
    <w:p w14:paraId="05D30A4D" w14:textId="77777777" w:rsidR="00C65183" w:rsidRPr="0059548B" w:rsidRDefault="00C65183" w:rsidP="00C65183">
      <w:pPr>
        <w:jc w:val="both"/>
        <w:rPr>
          <w:rFonts w:ascii="Calibri" w:hAnsi="Calibri"/>
          <w:color w:val="808080"/>
          <w:sz w:val="20"/>
          <w:szCs w:val="20"/>
        </w:rPr>
      </w:pPr>
      <w:r>
        <w:rPr>
          <w:rFonts w:ascii="Calibri" w:hAnsi="Calibri"/>
          <w:color w:val="808080"/>
          <w:sz w:val="20"/>
          <w:szCs w:val="20"/>
        </w:rPr>
        <w:t>n</w:t>
      </w:r>
      <w:r w:rsidRPr="0059548B">
        <w:rPr>
          <w:rFonts w:ascii="Calibri" w:hAnsi="Calibri"/>
          <w:color w:val="808080"/>
          <w:sz w:val="20"/>
          <w:szCs w:val="20"/>
        </w:rPr>
        <w:t>on-</w:t>
      </w:r>
      <w:r>
        <w:rPr>
          <w:rFonts w:ascii="Calibri" w:hAnsi="Calibri"/>
          <w:color w:val="808080"/>
          <w:sz w:val="20"/>
          <w:szCs w:val="20"/>
        </w:rPr>
        <w:t>Aboriginal</w:t>
      </w:r>
      <w:r w:rsidRPr="0059548B">
        <w:rPr>
          <w:rFonts w:ascii="Calibri" w:hAnsi="Calibri"/>
          <w:color w:val="808080"/>
          <w:sz w:val="20"/>
          <w:szCs w:val="20"/>
        </w:rPr>
        <w:t xml:space="preserve"> </w:t>
      </w:r>
      <w:r>
        <w:rPr>
          <w:rFonts w:ascii="Calibri" w:hAnsi="Calibri"/>
          <w:color w:val="808080"/>
          <w:sz w:val="20"/>
          <w:szCs w:val="20"/>
        </w:rPr>
        <w:t>r</w:t>
      </w:r>
      <w:r w:rsidRPr="0059548B">
        <w:rPr>
          <w:rFonts w:ascii="Calibri" w:hAnsi="Calibri"/>
          <w:color w:val="808080"/>
          <w:sz w:val="20"/>
          <w:szCs w:val="20"/>
        </w:rPr>
        <w:t>esidents</w:t>
      </w:r>
      <w:r>
        <w:rPr>
          <w:rFonts w:ascii="Calibri" w:hAnsi="Calibri"/>
          <w:color w:val="808080"/>
          <w:sz w:val="20"/>
          <w:szCs w:val="20"/>
        </w:rPr>
        <w:t>:</w:t>
      </w:r>
      <w:r w:rsidRPr="0059548B">
        <w:rPr>
          <w:rFonts w:ascii="Calibri" w:hAnsi="Calibri"/>
          <w:color w:val="808080"/>
          <w:sz w:val="20"/>
          <w:szCs w:val="20"/>
        </w:rPr>
        <w:t xml:space="preserve"> Greater Dandenong, 201</w:t>
      </w:r>
      <w:r>
        <w:rPr>
          <w:rFonts w:ascii="Calibri" w:hAnsi="Calibri"/>
          <w:color w:val="808080"/>
          <w:sz w:val="20"/>
          <w:szCs w:val="20"/>
        </w:rPr>
        <w:t>6</w:t>
      </w:r>
    </w:p>
    <w:p w14:paraId="0C3EEAD7" w14:textId="77777777" w:rsidR="00C65183" w:rsidRPr="0067755C" w:rsidRDefault="00C65183" w:rsidP="00C65183">
      <w:pPr>
        <w:spacing w:after="120"/>
        <w:jc w:val="both"/>
        <w:rPr>
          <w:rFonts w:ascii="Calibri" w:hAnsi="Calibri"/>
          <w:b/>
          <w:color w:val="808080"/>
        </w:rPr>
      </w:pPr>
      <w:r>
        <w:rPr>
          <w:rFonts w:ascii="Calibri" w:hAnsi="Calibri"/>
          <w:b/>
          <w:noProof/>
          <w:lang w:eastAsia="en-AU"/>
        </w:rPr>
        <w:drawing>
          <wp:anchor distT="0" distB="0" distL="114300" distR="114300" simplePos="0" relativeHeight="251938816" behindDoc="0" locked="0" layoutInCell="1" allowOverlap="1" wp14:anchorId="581685CA" wp14:editId="731768F3">
            <wp:simplePos x="0" y="0"/>
            <wp:positionH relativeFrom="column">
              <wp:posOffset>2425112</wp:posOffset>
            </wp:positionH>
            <wp:positionV relativeFrom="line">
              <wp:posOffset>152083</wp:posOffset>
            </wp:positionV>
            <wp:extent cx="1095645" cy="728662"/>
            <wp:effectExtent l="0" t="0" r="0" b="0"/>
            <wp:wrapNone/>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munity Indigenous 2.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1097543" cy="72992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Pr>
          <w:rFonts w:ascii="Calibri" w:hAnsi="Calibri"/>
          <w:b/>
          <w:noProof/>
          <w:lang w:eastAsia="en-AU"/>
        </w:rPr>
        <w:drawing>
          <wp:anchor distT="0" distB="0" distL="114300" distR="114300" simplePos="0" relativeHeight="251706368" behindDoc="1" locked="0" layoutInCell="1" allowOverlap="1" wp14:anchorId="642238EC" wp14:editId="0FEE9F50">
            <wp:simplePos x="0" y="0"/>
            <wp:positionH relativeFrom="column">
              <wp:posOffset>3175</wp:posOffset>
            </wp:positionH>
            <wp:positionV relativeFrom="paragraph">
              <wp:posOffset>6985</wp:posOffset>
            </wp:positionV>
            <wp:extent cx="3707765" cy="2729230"/>
            <wp:effectExtent l="0" t="0" r="6985" b="0"/>
            <wp:wrapTight wrapText="bothSides">
              <wp:wrapPolygon edited="0">
                <wp:start x="0" y="0"/>
                <wp:lineTo x="0" y="21409"/>
                <wp:lineTo x="21530" y="21409"/>
                <wp:lineTo x="21530" y="0"/>
                <wp:lineTo x="0" y="0"/>
              </wp:wrapPolygon>
            </wp:wrapTight>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707765" cy="2729230"/>
                    </a:xfrm>
                    <a:prstGeom prst="rect">
                      <a:avLst/>
                    </a:prstGeom>
                    <a:noFill/>
                  </pic:spPr>
                </pic:pic>
              </a:graphicData>
            </a:graphic>
            <wp14:sizeRelH relativeFrom="page">
              <wp14:pctWidth>0</wp14:pctWidth>
            </wp14:sizeRelH>
            <wp14:sizeRelV relativeFrom="page">
              <wp14:pctHeight>0</wp14:pctHeight>
            </wp14:sizeRelV>
          </wp:anchor>
        </w:drawing>
      </w:r>
      <w:r>
        <w:rPr>
          <w:rFonts w:ascii="Calibri" w:hAnsi="Calibri"/>
          <w:b/>
        </w:rPr>
        <w:t>Housing</w:t>
      </w:r>
    </w:p>
    <w:p w14:paraId="64C3FCCA" w14:textId="77777777" w:rsidR="00C65183" w:rsidRPr="0067755C" w:rsidRDefault="00C65183" w:rsidP="00C65183">
      <w:pPr>
        <w:spacing w:line="360" w:lineRule="auto"/>
        <w:jc w:val="both"/>
        <w:rPr>
          <w:rFonts w:ascii="Calibri" w:hAnsi="Calibri"/>
        </w:rPr>
      </w:pPr>
      <w:r>
        <w:rPr>
          <w:rFonts w:ascii="Calibri" w:hAnsi="Calibri"/>
        </w:rPr>
        <w:t>Aboriginal and Torres Strait Islanders</w:t>
      </w:r>
      <w:r w:rsidRPr="0067755C">
        <w:rPr>
          <w:rFonts w:ascii="Calibri" w:hAnsi="Calibri"/>
        </w:rPr>
        <w:t xml:space="preserve"> </w:t>
      </w:r>
      <w:r>
        <w:rPr>
          <w:rFonts w:ascii="Calibri" w:hAnsi="Calibri"/>
        </w:rPr>
        <w:t xml:space="preserve">in Greater Dandenong </w:t>
      </w:r>
      <w:r w:rsidRPr="0067755C">
        <w:rPr>
          <w:rFonts w:ascii="Calibri" w:hAnsi="Calibri"/>
        </w:rPr>
        <w:t>are</w:t>
      </w:r>
      <w:r>
        <w:rPr>
          <w:rFonts w:ascii="Calibri" w:hAnsi="Calibri"/>
        </w:rPr>
        <w:t xml:space="preserve"> </w:t>
      </w:r>
      <w:r w:rsidRPr="0067755C">
        <w:rPr>
          <w:rFonts w:ascii="Calibri" w:hAnsi="Calibri"/>
        </w:rPr>
        <w:t>half as likely to own or be purchasing their homes (3</w:t>
      </w:r>
      <w:r>
        <w:rPr>
          <w:rFonts w:ascii="Calibri" w:hAnsi="Calibri"/>
        </w:rPr>
        <w:t>3</w:t>
      </w:r>
      <w:r w:rsidRPr="0067755C">
        <w:rPr>
          <w:rFonts w:ascii="Calibri" w:hAnsi="Calibri"/>
        </w:rPr>
        <w:t>%) as the general population (6</w:t>
      </w:r>
      <w:r>
        <w:rPr>
          <w:rFonts w:ascii="Calibri" w:hAnsi="Calibri"/>
        </w:rPr>
        <w:t>1</w:t>
      </w:r>
      <w:r w:rsidRPr="0067755C">
        <w:rPr>
          <w:rFonts w:ascii="Calibri" w:hAnsi="Calibri"/>
        </w:rPr>
        <w:t>%), and more often</w:t>
      </w:r>
      <w:r>
        <w:rPr>
          <w:rFonts w:ascii="Calibri" w:hAnsi="Calibri"/>
        </w:rPr>
        <w:t xml:space="preserve"> rent their accommodation</w:t>
      </w:r>
      <w:r w:rsidRPr="0067755C">
        <w:rPr>
          <w:rFonts w:ascii="Calibri" w:hAnsi="Calibri"/>
        </w:rPr>
        <w:t xml:space="preserve">. </w:t>
      </w:r>
      <w:r>
        <w:rPr>
          <w:rFonts w:ascii="Calibri" w:hAnsi="Calibri"/>
        </w:rPr>
        <w:t>Twenty-seven per cent of Aboriginal</w:t>
      </w:r>
      <w:r w:rsidRPr="0067755C">
        <w:rPr>
          <w:rFonts w:ascii="Calibri" w:hAnsi="Calibri"/>
        </w:rPr>
        <w:t xml:space="preserve"> residents rent from government or </w:t>
      </w:r>
      <w:r>
        <w:rPr>
          <w:rFonts w:ascii="Calibri" w:hAnsi="Calibri"/>
        </w:rPr>
        <w:t>community agencies</w:t>
      </w:r>
      <w:r w:rsidRPr="0067755C">
        <w:rPr>
          <w:rFonts w:ascii="Calibri" w:hAnsi="Calibri"/>
        </w:rPr>
        <w:t xml:space="preserve">, compared </w:t>
      </w:r>
      <w:r>
        <w:rPr>
          <w:rFonts w:ascii="Calibri" w:hAnsi="Calibri"/>
        </w:rPr>
        <w:t>with 4% of</w:t>
      </w:r>
      <w:r w:rsidRPr="0067755C">
        <w:rPr>
          <w:rFonts w:ascii="Calibri" w:hAnsi="Calibri"/>
        </w:rPr>
        <w:t xml:space="preserve"> non-</w:t>
      </w:r>
      <w:r>
        <w:rPr>
          <w:rFonts w:ascii="Calibri" w:hAnsi="Calibri"/>
        </w:rPr>
        <w:t>Aboriginal</w:t>
      </w:r>
      <w:r w:rsidRPr="0067755C">
        <w:rPr>
          <w:rFonts w:ascii="Calibri" w:hAnsi="Calibri"/>
        </w:rPr>
        <w:t xml:space="preserve"> </w:t>
      </w:r>
      <w:r>
        <w:rPr>
          <w:rFonts w:ascii="Calibri" w:hAnsi="Calibri"/>
        </w:rPr>
        <w:t>residents</w:t>
      </w:r>
      <w:r w:rsidRPr="0067755C">
        <w:rPr>
          <w:rFonts w:ascii="Calibri" w:hAnsi="Calibri"/>
        </w:rPr>
        <w:t>.</w:t>
      </w:r>
    </w:p>
    <w:p w14:paraId="4DC5C48C" w14:textId="77777777" w:rsidR="00C65183" w:rsidRDefault="00C65183" w:rsidP="00C65183">
      <w:pPr>
        <w:spacing w:line="360" w:lineRule="auto"/>
        <w:jc w:val="both"/>
        <w:rPr>
          <w:rFonts w:ascii="Calibri" w:hAnsi="Calibri"/>
          <w:color w:val="808080"/>
          <w:sz w:val="20"/>
          <w:szCs w:val="20"/>
        </w:rPr>
      </w:pPr>
    </w:p>
    <w:p w14:paraId="37120FAB" w14:textId="77777777" w:rsidR="00C65183" w:rsidRDefault="00C65183" w:rsidP="00C65183">
      <w:pPr>
        <w:spacing w:line="360" w:lineRule="auto"/>
        <w:jc w:val="both"/>
        <w:rPr>
          <w:rFonts w:ascii="Calibri" w:hAnsi="Calibri"/>
          <w:color w:val="808080"/>
          <w:sz w:val="20"/>
          <w:szCs w:val="20"/>
        </w:rPr>
      </w:pPr>
    </w:p>
    <w:p w14:paraId="4AEFE0AC" w14:textId="77777777" w:rsidR="00C65183" w:rsidRDefault="00C65183" w:rsidP="00C65183">
      <w:pPr>
        <w:tabs>
          <w:tab w:val="left" w:pos="4678"/>
        </w:tabs>
        <w:jc w:val="both"/>
        <w:rPr>
          <w:rFonts w:ascii="Calibri" w:hAnsi="Calibri"/>
          <w:color w:val="808080"/>
          <w:sz w:val="20"/>
          <w:szCs w:val="20"/>
        </w:rPr>
      </w:pPr>
      <w:r w:rsidRPr="00441604">
        <w:rPr>
          <w:rFonts w:ascii="Calibri" w:hAnsi="Calibri"/>
          <w:b/>
          <w:color w:val="000000"/>
        </w:rPr>
        <w:t>Families</w:t>
      </w:r>
      <w:r>
        <w:rPr>
          <w:rFonts w:ascii="Calibri" w:hAnsi="Calibri"/>
          <w:color w:val="808080"/>
          <w:sz w:val="20"/>
          <w:szCs w:val="20"/>
        </w:rPr>
        <w:tab/>
        <w:t>Families</w:t>
      </w:r>
      <w:r w:rsidRPr="00DB7E3A">
        <w:rPr>
          <w:rFonts w:ascii="Calibri" w:hAnsi="Calibri"/>
          <w:color w:val="808080"/>
          <w:sz w:val="20"/>
          <w:szCs w:val="20"/>
        </w:rPr>
        <w:t xml:space="preserve"> with </w:t>
      </w:r>
      <w:r>
        <w:rPr>
          <w:rFonts w:ascii="Calibri" w:hAnsi="Calibri"/>
          <w:color w:val="808080"/>
          <w:sz w:val="20"/>
          <w:szCs w:val="20"/>
        </w:rPr>
        <w:t>c</w:t>
      </w:r>
      <w:r w:rsidRPr="00DB7E3A">
        <w:rPr>
          <w:rFonts w:ascii="Calibri" w:hAnsi="Calibri"/>
          <w:color w:val="808080"/>
          <w:sz w:val="20"/>
          <w:szCs w:val="20"/>
        </w:rPr>
        <w:t>hildren</w:t>
      </w:r>
      <w:r>
        <w:rPr>
          <w:rFonts w:ascii="Calibri" w:hAnsi="Calibri"/>
          <w:color w:val="808080"/>
          <w:sz w:val="20"/>
          <w:szCs w:val="20"/>
        </w:rPr>
        <w:t>,</w:t>
      </w:r>
      <w:r w:rsidRPr="00DB7E3A">
        <w:rPr>
          <w:rFonts w:ascii="Calibri" w:hAnsi="Calibri"/>
          <w:color w:val="808080"/>
          <w:sz w:val="20"/>
          <w:szCs w:val="20"/>
        </w:rPr>
        <w:t xml:space="preserve"> by </w:t>
      </w:r>
      <w:r>
        <w:rPr>
          <w:rFonts w:ascii="Calibri" w:hAnsi="Calibri"/>
          <w:color w:val="808080"/>
          <w:sz w:val="20"/>
          <w:szCs w:val="20"/>
        </w:rPr>
        <w:t>structure</w:t>
      </w:r>
      <w:r w:rsidRPr="00DB7E3A">
        <w:rPr>
          <w:rFonts w:ascii="Calibri" w:hAnsi="Calibri"/>
          <w:color w:val="808080"/>
          <w:sz w:val="20"/>
          <w:szCs w:val="20"/>
        </w:rPr>
        <w:t xml:space="preserve">: </w:t>
      </w:r>
      <w:r>
        <w:rPr>
          <w:rFonts w:ascii="Calibri" w:hAnsi="Calibri"/>
          <w:color w:val="808080"/>
          <w:sz w:val="20"/>
          <w:szCs w:val="20"/>
        </w:rPr>
        <w:t>Aboriginal</w:t>
      </w:r>
      <w:r w:rsidRPr="00DB7E3A">
        <w:rPr>
          <w:rFonts w:ascii="Calibri" w:hAnsi="Calibri"/>
          <w:color w:val="808080"/>
          <w:sz w:val="20"/>
          <w:szCs w:val="20"/>
        </w:rPr>
        <w:t xml:space="preserve"> and</w:t>
      </w:r>
    </w:p>
    <w:p w14:paraId="6F8B003F" w14:textId="77777777" w:rsidR="00C65183" w:rsidRPr="00E9667C" w:rsidRDefault="00C65183" w:rsidP="00C65183">
      <w:pPr>
        <w:tabs>
          <w:tab w:val="left" w:pos="4678"/>
        </w:tabs>
        <w:jc w:val="both"/>
        <w:rPr>
          <w:rFonts w:ascii="Calibri" w:hAnsi="Calibri"/>
        </w:rPr>
      </w:pPr>
      <w:r>
        <w:rPr>
          <w:rFonts w:ascii="Calibri" w:hAnsi="Calibri"/>
          <w:color w:val="808080"/>
          <w:sz w:val="20"/>
          <w:szCs w:val="20"/>
        </w:rPr>
        <w:tab/>
        <w:t>n</w:t>
      </w:r>
      <w:r w:rsidRPr="00DB7E3A">
        <w:rPr>
          <w:rFonts w:ascii="Calibri" w:hAnsi="Calibri"/>
          <w:color w:val="808080"/>
          <w:sz w:val="20"/>
          <w:szCs w:val="20"/>
        </w:rPr>
        <w:t>on-</w:t>
      </w:r>
      <w:r>
        <w:rPr>
          <w:rFonts w:ascii="Calibri" w:hAnsi="Calibri"/>
          <w:color w:val="808080"/>
          <w:sz w:val="20"/>
          <w:szCs w:val="20"/>
        </w:rPr>
        <w:t>Aboriginal</w:t>
      </w:r>
      <w:r w:rsidRPr="00DB7E3A">
        <w:rPr>
          <w:rFonts w:ascii="Calibri" w:hAnsi="Calibri"/>
          <w:color w:val="808080"/>
          <w:sz w:val="20"/>
          <w:szCs w:val="20"/>
        </w:rPr>
        <w:t xml:space="preserve"> Residents</w:t>
      </w:r>
      <w:r>
        <w:rPr>
          <w:rFonts w:ascii="Calibri" w:hAnsi="Calibri"/>
          <w:color w:val="808080"/>
          <w:sz w:val="20"/>
          <w:szCs w:val="20"/>
        </w:rPr>
        <w:t>:</w:t>
      </w:r>
      <w:r w:rsidRPr="00DB7E3A">
        <w:rPr>
          <w:rFonts w:ascii="Calibri" w:hAnsi="Calibri"/>
          <w:color w:val="808080"/>
          <w:sz w:val="20"/>
          <w:szCs w:val="20"/>
        </w:rPr>
        <w:t xml:space="preserve"> Greater Dandenong, 2016</w:t>
      </w:r>
    </w:p>
    <w:p w14:paraId="429561F4" w14:textId="77777777" w:rsidR="00C65183" w:rsidRPr="00DB7E3A" w:rsidRDefault="00C65183" w:rsidP="00C65183">
      <w:pPr>
        <w:spacing w:line="336" w:lineRule="auto"/>
        <w:jc w:val="both"/>
        <w:rPr>
          <w:rFonts w:ascii="Calibri" w:hAnsi="Calibri"/>
          <w:color w:val="808080"/>
          <w:sz w:val="18"/>
          <w:szCs w:val="18"/>
        </w:rPr>
      </w:pPr>
      <w:r>
        <w:rPr>
          <w:rFonts w:ascii="Calibri" w:hAnsi="Calibri"/>
          <w:noProof/>
          <w:color w:val="808080"/>
          <w:sz w:val="18"/>
          <w:szCs w:val="18"/>
          <w:lang w:eastAsia="en-AU"/>
        </w:rPr>
        <w:drawing>
          <wp:anchor distT="0" distB="0" distL="114300" distR="114300" simplePos="0" relativeHeight="251704320" behindDoc="1" locked="0" layoutInCell="1" allowOverlap="1" wp14:anchorId="506270EA" wp14:editId="6B92AB54">
            <wp:simplePos x="0" y="0"/>
            <wp:positionH relativeFrom="column">
              <wp:posOffset>3118485</wp:posOffset>
            </wp:positionH>
            <wp:positionV relativeFrom="paragraph">
              <wp:posOffset>66040</wp:posOffset>
            </wp:positionV>
            <wp:extent cx="3005455" cy="2033270"/>
            <wp:effectExtent l="0" t="0" r="4445" b="5080"/>
            <wp:wrapTight wrapText="bothSides">
              <wp:wrapPolygon edited="0">
                <wp:start x="0" y="0"/>
                <wp:lineTo x="0" y="21452"/>
                <wp:lineTo x="21495" y="21452"/>
                <wp:lineTo x="21495" y="0"/>
                <wp:lineTo x="0" y="0"/>
              </wp:wrapPolygon>
            </wp:wrapTight>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2">
                      <a:extLst>
                        <a:ext uri="{28A0092B-C50C-407E-A947-70E740481C1C}">
                          <a14:useLocalDpi xmlns:a14="http://schemas.microsoft.com/office/drawing/2010/main" val="0"/>
                        </a:ext>
                      </a:extLst>
                    </a:blip>
                    <a:srcRect t="15633" r="9607" b="3218"/>
                    <a:stretch>
                      <a:fillRect/>
                    </a:stretch>
                  </pic:blipFill>
                  <pic:spPr bwMode="auto">
                    <a:xfrm>
                      <a:off x="0" y="0"/>
                      <a:ext cx="3005455" cy="2033270"/>
                    </a:xfrm>
                    <a:prstGeom prst="rect">
                      <a:avLst/>
                    </a:prstGeom>
                    <a:noFill/>
                  </pic:spPr>
                </pic:pic>
              </a:graphicData>
            </a:graphic>
            <wp14:sizeRelH relativeFrom="page">
              <wp14:pctWidth>0</wp14:pctWidth>
            </wp14:sizeRelH>
            <wp14:sizeRelV relativeFrom="page">
              <wp14:pctHeight>0</wp14:pctHeight>
            </wp14:sizeRelV>
          </wp:anchor>
        </w:drawing>
      </w:r>
      <w:r>
        <w:rPr>
          <w:rFonts w:ascii="Calibri" w:hAnsi="Calibri"/>
          <w:noProof/>
        </w:rPr>
        <w:t>In 2016, nearly two-thirds</w:t>
      </w:r>
      <w:r w:rsidRPr="0067755C">
        <w:rPr>
          <w:rFonts w:ascii="Calibri" w:hAnsi="Calibri"/>
        </w:rPr>
        <w:t xml:space="preserve"> (</w:t>
      </w:r>
      <w:r>
        <w:rPr>
          <w:rFonts w:ascii="Calibri" w:hAnsi="Calibri"/>
        </w:rPr>
        <w:t>63</w:t>
      </w:r>
      <w:r w:rsidRPr="0067755C">
        <w:rPr>
          <w:rFonts w:ascii="Calibri" w:hAnsi="Calibri"/>
        </w:rPr>
        <w:t xml:space="preserve">%) of </w:t>
      </w:r>
      <w:r>
        <w:rPr>
          <w:rFonts w:ascii="Calibri" w:hAnsi="Calibri"/>
        </w:rPr>
        <w:t xml:space="preserve">Aboriginal and Torres Strait Islander </w:t>
      </w:r>
      <w:r w:rsidRPr="0067755C">
        <w:rPr>
          <w:rFonts w:ascii="Calibri" w:hAnsi="Calibri"/>
        </w:rPr>
        <w:t xml:space="preserve">families with children </w:t>
      </w:r>
      <w:r>
        <w:rPr>
          <w:rFonts w:ascii="Calibri" w:hAnsi="Calibri"/>
        </w:rPr>
        <w:t>in Greater Dandenong we</w:t>
      </w:r>
      <w:r w:rsidRPr="0067755C">
        <w:rPr>
          <w:rFonts w:ascii="Calibri" w:hAnsi="Calibri"/>
        </w:rPr>
        <w:t>re one-parent families</w:t>
      </w:r>
      <w:r>
        <w:rPr>
          <w:rFonts w:ascii="Calibri" w:hAnsi="Calibri"/>
        </w:rPr>
        <w:t xml:space="preserve"> – the second highest rate among Aboriginal residents in Victoria and more than twice the level of</w:t>
      </w:r>
      <w:r w:rsidRPr="0067755C">
        <w:rPr>
          <w:rFonts w:ascii="Calibri" w:hAnsi="Calibri"/>
        </w:rPr>
        <w:t xml:space="preserve"> 2</w:t>
      </w:r>
      <w:r>
        <w:rPr>
          <w:rFonts w:ascii="Calibri" w:hAnsi="Calibri"/>
        </w:rPr>
        <w:t>7</w:t>
      </w:r>
      <w:r w:rsidRPr="0067755C">
        <w:rPr>
          <w:rFonts w:ascii="Calibri" w:hAnsi="Calibri"/>
        </w:rPr>
        <w:t>% among the general population.</w:t>
      </w:r>
      <w:r>
        <w:rPr>
          <w:rFonts w:ascii="Calibri" w:hAnsi="Calibri"/>
        </w:rPr>
        <w:t xml:space="preserve"> In the same year, 46% of local Aboriginal families with children had no parent in paid employment.</w:t>
      </w:r>
    </w:p>
    <w:p w14:paraId="77DBAB39" w14:textId="77777777" w:rsidR="00C65183" w:rsidRPr="0067755C" w:rsidRDefault="00C65183" w:rsidP="00C65183">
      <w:pPr>
        <w:spacing w:line="336" w:lineRule="auto"/>
        <w:jc w:val="both"/>
        <w:rPr>
          <w:rFonts w:ascii="Calibri" w:hAnsi="Calibri"/>
        </w:rPr>
      </w:pPr>
      <w:r>
        <w:rPr>
          <w:rFonts w:ascii="Calibri" w:hAnsi="Calibri"/>
        </w:rPr>
        <w:t>Birth rates were relatively high among young Aboriginal and Torres Strait Islander women, with 7.7% of 15-24 year-old women in Greater Dandenong having borne a child, compared with 3% of non-Aboriginal women of that age.</w:t>
      </w:r>
    </w:p>
    <w:p w14:paraId="4144A4E4" w14:textId="77777777" w:rsidR="00C65183" w:rsidRPr="00DB7E3A" w:rsidRDefault="00C65183" w:rsidP="00C65183">
      <w:pPr>
        <w:spacing w:before="120" w:after="60"/>
        <w:jc w:val="both"/>
        <w:rPr>
          <w:rFonts w:ascii="Calibri" w:hAnsi="Calibri"/>
          <w:b/>
        </w:rPr>
      </w:pPr>
      <w:r w:rsidRPr="00DB7E3A">
        <w:rPr>
          <w:rFonts w:ascii="Calibri" w:hAnsi="Calibri"/>
          <w:b/>
        </w:rPr>
        <w:lastRenderedPageBreak/>
        <w:t xml:space="preserve">Education </w:t>
      </w:r>
    </w:p>
    <w:p w14:paraId="017689FC" w14:textId="77777777" w:rsidR="00C65183" w:rsidRPr="00E83D59" w:rsidRDefault="00C65183" w:rsidP="00C65183">
      <w:pPr>
        <w:spacing w:line="336" w:lineRule="auto"/>
        <w:jc w:val="both"/>
        <w:rPr>
          <w:rFonts w:ascii="Calibri" w:hAnsi="Calibri"/>
        </w:rPr>
      </w:pPr>
      <w:r w:rsidRPr="00E83D59">
        <w:rPr>
          <w:rFonts w:ascii="Calibri" w:hAnsi="Calibri"/>
        </w:rPr>
        <w:t>The 2018 Australian Early Development Index found that 65% of Victorian prep. pupils of Aboriginal or Torres Strait Islander descent were vulnerable in one or more domains of development</w:t>
      </w:r>
      <w:r w:rsidRPr="00E83D59">
        <w:rPr>
          <w:rStyle w:val="FootnoteReference"/>
          <w:rFonts w:ascii="Calibri" w:hAnsi="Calibri"/>
        </w:rPr>
        <w:footnoteReference w:id="32"/>
      </w:r>
      <w:r w:rsidRPr="00E83D59">
        <w:rPr>
          <w:rFonts w:ascii="Calibri" w:hAnsi="Calibri"/>
        </w:rPr>
        <w:t>, compared with 20% of all prep. pupils across the State.</w:t>
      </w:r>
    </w:p>
    <w:p w14:paraId="3B984324" w14:textId="77777777" w:rsidR="00C65183" w:rsidRPr="00E83D59" w:rsidRDefault="00C65183" w:rsidP="00C65183">
      <w:pPr>
        <w:spacing w:line="336" w:lineRule="auto"/>
        <w:jc w:val="both"/>
        <w:rPr>
          <w:rFonts w:ascii="Calibri" w:hAnsi="Calibri"/>
        </w:rPr>
      </w:pPr>
      <w:r w:rsidRPr="00E83D59">
        <w:rPr>
          <w:rFonts w:ascii="Calibri" w:hAnsi="Calibri"/>
        </w:rPr>
        <w:t xml:space="preserve">In 2016, 43% of young Aboriginal </w:t>
      </w:r>
      <w:r>
        <w:rPr>
          <w:rFonts w:ascii="Calibri" w:hAnsi="Calibri"/>
        </w:rPr>
        <w:t xml:space="preserve">and Torres Strait Islander </w:t>
      </w:r>
      <w:r w:rsidRPr="00E83D59">
        <w:rPr>
          <w:rFonts w:ascii="Calibri" w:hAnsi="Calibri"/>
        </w:rPr>
        <w:t xml:space="preserve">adults aged 20 to 24 years, had left school early – over three times the corresponding level of 13% among non-Aboriginal young adults in Greater Dandenong. Of Aboriginal residents aged 25 to 44 years, 4% held a degree or higher qualification in 2016, compared with 33% of </w:t>
      </w:r>
      <w:r w:rsidRPr="00F61E8F">
        <w:rPr>
          <w:rFonts w:ascii="Calibri" w:hAnsi="Calibri"/>
        </w:rPr>
        <w:t>people that age across Greater Dandenong</w:t>
      </w:r>
      <w:r w:rsidRPr="00E83D59">
        <w:rPr>
          <w:rFonts w:ascii="Calibri" w:hAnsi="Calibri"/>
        </w:rPr>
        <w:t>.</w:t>
      </w:r>
    </w:p>
    <w:p w14:paraId="5B549791" w14:textId="77777777" w:rsidR="00C65183" w:rsidRPr="00DB7E3A" w:rsidRDefault="00C65183" w:rsidP="00C65183">
      <w:pPr>
        <w:spacing w:before="120" w:after="60"/>
        <w:jc w:val="both"/>
        <w:rPr>
          <w:rFonts w:ascii="Calibri" w:hAnsi="Calibri"/>
          <w:b/>
        </w:rPr>
      </w:pPr>
      <w:r w:rsidRPr="00DB7E3A">
        <w:rPr>
          <w:rFonts w:ascii="Calibri" w:hAnsi="Calibri"/>
          <w:b/>
        </w:rPr>
        <w:t>Employment</w:t>
      </w:r>
    </w:p>
    <w:p w14:paraId="574772A9" w14:textId="77777777" w:rsidR="00C65183" w:rsidRDefault="00C65183" w:rsidP="00C65183">
      <w:pPr>
        <w:spacing w:line="336" w:lineRule="auto"/>
        <w:jc w:val="both"/>
        <w:rPr>
          <w:rFonts w:ascii="Calibri" w:hAnsi="Calibri"/>
        </w:rPr>
      </w:pPr>
      <w:r w:rsidRPr="00971D89">
        <w:rPr>
          <w:rFonts w:asciiTheme="minorHAnsi" w:hAnsiTheme="minorHAnsi"/>
          <w:color w:val="000000"/>
        </w:rPr>
        <w:t>The 201</w:t>
      </w:r>
      <w:r>
        <w:rPr>
          <w:rFonts w:asciiTheme="minorHAnsi" w:hAnsiTheme="minorHAnsi"/>
          <w:color w:val="000000"/>
        </w:rPr>
        <w:t>6</w:t>
      </w:r>
      <w:r w:rsidRPr="00971D89">
        <w:rPr>
          <w:rFonts w:asciiTheme="minorHAnsi" w:hAnsiTheme="minorHAnsi"/>
          <w:color w:val="000000"/>
        </w:rPr>
        <w:t xml:space="preserve"> Census </w:t>
      </w:r>
      <w:r>
        <w:rPr>
          <w:rFonts w:asciiTheme="minorHAnsi" w:hAnsiTheme="minorHAnsi"/>
          <w:color w:val="000000"/>
        </w:rPr>
        <w:t>recorded an unemployment rate of 22% among Aboriginal and Torres Strait Islander residents of Greater Dandenong, compared with 10% among the general population</w:t>
      </w:r>
      <w:r w:rsidRPr="00971D89">
        <w:rPr>
          <w:rFonts w:asciiTheme="minorHAnsi" w:hAnsiTheme="minorHAnsi"/>
          <w:color w:val="000000"/>
        </w:rPr>
        <w:t>.</w:t>
      </w:r>
    </w:p>
    <w:p w14:paraId="6B06A731" w14:textId="77777777" w:rsidR="00C65183" w:rsidRPr="001E2820" w:rsidRDefault="00C65183" w:rsidP="00C65183">
      <w:pPr>
        <w:spacing w:before="120" w:after="60"/>
        <w:jc w:val="both"/>
        <w:rPr>
          <w:rFonts w:ascii="Calibri" w:hAnsi="Calibri"/>
          <w:b/>
        </w:rPr>
      </w:pPr>
      <w:r w:rsidRPr="001E2820">
        <w:rPr>
          <w:rFonts w:ascii="Calibri" w:hAnsi="Calibri"/>
          <w:b/>
        </w:rPr>
        <w:t>Disability</w:t>
      </w:r>
    </w:p>
    <w:p w14:paraId="7948EEEB" w14:textId="77777777" w:rsidR="00C65183" w:rsidRPr="003E6C8C" w:rsidRDefault="00C65183" w:rsidP="00C65183">
      <w:pPr>
        <w:spacing w:line="336" w:lineRule="auto"/>
        <w:jc w:val="both"/>
        <w:rPr>
          <w:rFonts w:ascii="Calibri" w:hAnsi="Calibri"/>
        </w:rPr>
      </w:pPr>
      <w:r>
        <w:rPr>
          <w:rFonts w:ascii="Calibri" w:hAnsi="Calibri"/>
        </w:rPr>
        <w:t>The 2016 Census revealed that the prevalence of severe or profound disability requiring daily assistance with self-care, communication or mobility among people aged 20 to 64 years,</w:t>
      </w:r>
      <w:r w:rsidRPr="0067755C">
        <w:rPr>
          <w:rFonts w:ascii="Calibri" w:hAnsi="Calibri"/>
        </w:rPr>
        <w:t xml:space="preserve"> </w:t>
      </w:r>
      <w:r>
        <w:rPr>
          <w:rFonts w:ascii="Calibri" w:hAnsi="Calibri"/>
        </w:rPr>
        <w:t>was 12.1% among Aboriginal residents – more than</w:t>
      </w:r>
      <w:r w:rsidRPr="0067755C">
        <w:rPr>
          <w:rFonts w:ascii="Calibri" w:hAnsi="Calibri"/>
        </w:rPr>
        <w:t xml:space="preserve"> the corresponding rate</w:t>
      </w:r>
      <w:r>
        <w:rPr>
          <w:rFonts w:ascii="Calibri" w:hAnsi="Calibri"/>
        </w:rPr>
        <w:t xml:space="preserve"> of 7.1% </w:t>
      </w:r>
      <w:r w:rsidRPr="0067755C">
        <w:rPr>
          <w:rFonts w:ascii="Calibri" w:hAnsi="Calibri"/>
        </w:rPr>
        <w:t>among the general population</w:t>
      </w:r>
      <w:r>
        <w:rPr>
          <w:rFonts w:ascii="Calibri" w:hAnsi="Calibri"/>
        </w:rPr>
        <w:t>.</w:t>
      </w:r>
      <w:r w:rsidRPr="0067755C">
        <w:rPr>
          <w:rFonts w:ascii="Calibri" w:hAnsi="Calibri"/>
        </w:rPr>
        <w:t xml:space="preserve"> </w:t>
      </w:r>
    </w:p>
    <w:p w14:paraId="7E02B1C4" w14:textId="77777777" w:rsidR="00C65183" w:rsidRPr="00DB7E3A" w:rsidRDefault="00C65183" w:rsidP="00C65183">
      <w:pPr>
        <w:spacing w:before="120" w:after="60"/>
        <w:jc w:val="both"/>
        <w:rPr>
          <w:rFonts w:ascii="Calibri" w:hAnsi="Calibri"/>
          <w:b/>
        </w:rPr>
      </w:pPr>
      <w:r w:rsidRPr="00DB7E3A">
        <w:rPr>
          <w:rFonts w:ascii="Calibri" w:hAnsi="Calibri"/>
          <w:b/>
        </w:rPr>
        <w:t>Trends in Social Conditions</w:t>
      </w:r>
    </w:p>
    <w:p w14:paraId="486AAAE8" w14:textId="77777777" w:rsidR="00C65183" w:rsidRDefault="00C65183" w:rsidP="00C65183">
      <w:pPr>
        <w:spacing w:line="336" w:lineRule="auto"/>
        <w:jc w:val="both"/>
        <w:rPr>
          <w:rFonts w:ascii="Calibri" w:hAnsi="Calibri"/>
        </w:rPr>
      </w:pPr>
      <w:r>
        <w:rPr>
          <w:rFonts w:ascii="Calibri" w:hAnsi="Calibri"/>
        </w:rPr>
        <w:t>An examination of the findings of the 2006 and 2016 Censuses provides a glimpse of changes in social conditions among Aboriginal and Torre Strait Islanders in Greater Dandenong during that decade.</w:t>
      </w:r>
    </w:p>
    <w:p w14:paraId="3F2B661D" w14:textId="77777777" w:rsidR="00C65183" w:rsidRPr="00441604" w:rsidRDefault="00C65183" w:rsidP="00C65183">
      <w:pPr>
        <w:jc w:val="both"/>
        <w:rPr>
          <w:rFonts w:ascii="Calibri" w:hAnsi="Calibri"/>
          <w:color w:val="7F7F7F"/>
          <w:sz w:val="18"/>
          <w:szCs w:val="18"/>
        </w:rPr>
      </w:pPr>
      <w:r>
        <w:rPr>
          <w:rFonts w:ascii="Calibri" w:hAnsi="Calibri"/>
          <w:noProof/>
          <w:lang w:eastAsia="en-AU"/>
        </w:rPr>
        <w:drawing>
          <wp:anchor distT="0" distB="0" distL="114300" distR="114300" simplePos="0" relativeHeight="251705344" behindDoc="0" locked="0" layoutInCell="1" allowOverlap="1" wp14:anchorId="74C3AC0D" wp14:editId="11AC565A">
            <wp:simplePos x="0" y="0"/>
            <wp:positionH relativeFrom="column">
              <wp:posOffset>2849245</wp:posOffset>
            </wp:positionH>
            <wp:positionV relativeFrom="paragraph">
              <wp:posOffset>141605</wp:posOffset>
            </wp:positionV>
            <wp:extent cx="3041015" cy="2057400"/>
            <wp:effectExtent l="0" t="0" r="6985" b="0"/>
            <wp:wrapSquare wrapText="bothSides"/>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041015" cy="2057400"/>
                    </a:xfrm>
                    <a:prstGeom prst="rect">
                      <a:avLst/>
                    </a:prstGeom>
                    <a:noFill/>
                  </pic:spPr>
                </pic:pic>
              </a:graphicData>
            </a:graphic>
            <wp14:sizeRelH relativeFrom="page">
              <wp14:pctWidth>0</wp14:pctWidth>
            </wp14:sizeRelH>
            <wp14:sizeRelV relativeFrom="page">
              <wp14:pctHeight>0</wp14:pctHeight>
            </wp14:sizeRelV>
          </wp:anchor>
        </w:drawing>
      </w:r>
    </w:p>
    <w:p w14:paraId="7EF94C95" w14:textId="77777777" w:rsidR="00C65183" w:rsidRPr="003E6C8C" w:rsidRDefault="00C65183" w:rsidP="00C65183">
      <w:pPr>
        <w:jc w:val="both"/>
        <w:rPr>
          <w:rFonts w:ascii="Calibri" w:hAnsi="Calibri"/>
          <w:color w:val="7F7F7F"/>
          <w:sz w:val="20"/>
          <w:szCs w:val="20"/>
        </w:rPr>
      </w:pPr>
      <w:r w:rsidRPr="003E6C8C">
        <w:rPr>
          <w:rFonts w:ascii="Calibri" w:hAnsi="Calibri"/>
          <w:color w:val="7F7F7F"/>
          <w:sz w:val="20"/>
          <w:szCs w:val="20"/>
        </w:rPr>
        <w:t>Per cent of 20-24 year-olds who had left school before completing year 11: Greater Dandenong, 2006 and 2016</w:t>
      </w:r>
    </w:p>
    <w:p w14:paraId="3CFBFF78" w14:textId="77777777" w:rsidR="00C65183" w:rsidRDefault="00C65183" w:rsidP="00C65183">
      <w:pPr>
        <w:spacing w:line="336" w:lineRule="auto"/>
        <w:jc w:val="both"/>
        <w:rPr>
          <w:rFonts w:ascii="Calibri" w:hAnsi="Calibri"/>
        </w:rPr>
      </w:pPr>
    </w:p>
    <w:p w14:paraId="2A846481" w14:textId="77777777" w:rsidR="00C65183" w:rsidRDefault="00C65183" w:rsidP="00C65183">
      <w:pPr>
        <w:spacing w:line="336" w:lineRule="auto"/>
        <w:jc w:val="both"/>
        <w:rPr>
          <w:rFonts w:ascii="Calibri" w:hAnsi="Calibri"/>
        </w:rPr>
      </w:pPr>
      <w:bookmarkStart w:id="2" w:name="_Hlk23501094"/>
      <w:r>
        <w:rPr>
          <w:rFonts w:ascii="Calibri" w:hAnsi="Calibri"/>
        </w:rPr>
        <w:t>The proportion of young Aboriginal and Torres Strait Islanders who had left school before completing year 11 rose from 34% to 43%, in the decade to 2016.</w:t>
      </w:r>
      <w:bookmarkEnd w:id="2"/>
    </w:p>
    <w:p w14:paraId="34106E66" w14:textId="77777777" w:rsidR="00C65183" w:rsidRDefault="00C65183" w:rsidP="00C65183">
      <w:pPr>
        <w:spacing w:line="336" w:lineRule="auto"/>
        <w:jc w:val="both"/>
        <w:rPr>
          <w:rFonts w:ascii="Calibri" w:hAnsi="Calibri"/>
        </w:rPr>
      </w:pPr>
    </w:p>
    <w:p w14:paraId="7568081B" w14:textId="77777777" w:rsidR="00C65183" w:rsidRPr="003E6C8C" w:rsidRDefault="00C65183" w:rsidP="00C65183">
      <w:pPr>
        <w:spacing w:line="336" w:lineRule="auto"/>
        <w:jc w:val="both"/>
        <w:rPr>
          <w:rFonts w:ascii="Calibri" w:hAnsi="Calibri"/>
        </w:rPr>
      </w:pPr>
      <w:r>
        <w:rPr>
          <w:rFonts w:ascii="Calibri" w:hAnsi="Calibri"/>
          <w:noProof/>
          <w:lang w:eastAsia="en-AU"/>
        </w:rPr>
        <w:drawing>
          <wp:anchor distT="0" distB="0" distL="114300" distR="114300" simplePos="0" relativeHeight="251711488" behindDoc="0" locked="0" layoutInCell="1" allowOverlap="1" wp14:anchorId="1B797644" wp14:editId="1DBAD1B1">
            <wp:simplePos x="0" y="0"/>
            <wp:positionH relativeFrom="column">
              <wp:posOffset>1760855</wp:posOffset>
            </wp:positionH>
            <wp:positionV relativeFrom="paragraph">
              <wp:posOffset>140335</wp:posOffset>
            </wp:positionV>
            <wp:extent cx="1181100" cy="778271"/>
            <wp:effectExtent l="0" t="0" r="0" b="3175"/>
            <wp:wrapNone/>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munity Indigenous 1.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1181100" cy="778271"/>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330BF7D5" w14:textId="77777777" w:rsidR="00C65183" w:rsidRDefault="00C65183" w:rsidP="00C65183">
      <w:pPr>
        <w:jc w:val="both"/>
        <w:rPr>
          <w:rFonts w:ascii="Calibri" w:hAnsi="Calibri"/>
          <w:color w:val="7F7F7F"/>
          <w:sz w:val="20"/>
          <w:szCs w:val="20"/>
        </w:rPr>
      </w:pPr>
      <w:r>
        <w:rPr>
          <w:rFonts w:ascii="Calibri" w:hAnsi="Calibri"/>
          <w:noProof/>
          <w:lang w:eastAsia="en-AU"/>
        </w:rPr>
        <w:drawing>
          <wp:anchor distT="0" distB="0" distL="114300" distR="114300" simplePos="0" relativeHeight="251707392" behindDoc="0" locked="0" layoutInCell="1" allowOverlap="1" wp14:anchorId="230B359D" wp14:editId="0014985D">
            <wp:simplePos x="0" y="0"/>
            <wp:positionH relativeFrom="margin">
              <wp:align>left</wp:align>
            </wp:positionH>
            <wp:positionV relativeFrom="paragraph">
              <wp:posOffset>130674</wp:posOffset>
            </wp:positionV>
            <wp:extent cx="3109595" cy="2075815"/>
            <wp:effectExtent l="0" t="0" r="0" b="635"/>
            <wp:wrapSquare wrapText="bothSides"/>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109595" cy="2075815"/>
                    </a:xfrm>
                    <a:prstGeom prst="rect">
                      <a:avLst/>
                    </a:prstGeom>
                    <a:noFill/>
                  </pic:spPr>
                </pic:pic>
              </a:graphicData>
            </a:graphic>
            <wp14:sizeRelH relativeFrom="page">
              <wp14:pctWidth>0</wp14:pctWidth>
            </wp14:sizeRelH>
            <wp14:sizeRelV relativeFrom="page">
              <wp14:pctHeight>0</wp14:pctHeight>
            </wp14:sizeRelV>
          </wp:anchor>
        </w:drawing>
      </w:r>
    </w:p>
    <w:p w14:paraId="6D2F8250" w14:textId="77777777" w:rsidR="00C65183" w:rsidRDefault="00C65183" w:rsidP="00C65183">
      <w:pPr>
        <w:jc w:val="both"/>
        <w:rPr>
          <w:rFonts w:ascii="Calibri" w:hAnsi="Calibri"/>
          <w:color w:val="7F7F7F"/>
          <w:sz w:val="20"/>
          <w:szCs w:val="20"/>
        </w:rPr>
      </w:pPr>
    </w:p>
    <w:p w14:paraId="52A73265" w14:textId="77777777" w:rsidR="00C65183" w:rsidRPr="003E6C8C" w:rsidRDefault="00C65183" w:rsidP="00C65183">
      <w:pPr>
        <w:jc w:val="both"/>
        <w:rPr>
          <w:rFonts w:ascii="Calibri" w:hAnsi="Calibri"/>
          <w:color w:val="7F7F7F"/>
          <w:sz w:val="20"/>
          <w:szCs w:val="20"/>
        </w:rPr>
      </w:pPr>
      <w:r w:rsidRPr="003E6C8C">
        <w:rPr>
          <w:rFonts w:ascii="Calibri" w:hAnsi="Calibri"/>
          <w:color w:val="7F7F7F"/>
          <w:sz w:val="20"/>
          <w:szCs w:val="20"/>
        </w:rPr>
        <w:t>Per cent of Aboriginal 15-24 year-old women with children: Greater Dandenong, 2006 and 2016</w:t>
      </w:r>
    </w:p>
    <w:p w14:paraId="734525EE" w14:textId="77777777" w:rsidR="00C65183" w:rsidRDefault="00C65183" w:rsidP="00C65183">
      <w:pPr>
        <w:spacing w:line="336" w:lineRule="auto"/>
        <w:jc w:val="both"/>
        <w:rPr>
          <w:rFonts w:ascii="Calibri" w:hAnsi="Calibri"/>
        </w:rPr>
      </w:pPr>
    </w:p>
    <w:p w14:paraId="3ECD021D" w14:textId="77777777" w:rsidR="00C65183" w:rsidRDefault="00C65183" w:rsidP="00C65183">
      <w:pPr>
        <w:spacing w:line="336" w:lineRule="auto"/>
        <w:jc w:val="both"/>
        <w:rPr>
          <w:rFonts w:ascii="Calibri" w:hAnsi="Calibri"/>
        </w:rPr>
      </w:pPr>
      <w:r>
        <w:rPr>
          <w:rFonts w:ascii="Calibri" w:hAnsi="Calibri"/>
        </w:rPr>
        <w:t>During the same period, the proportion of 15 to 24 year-old Aboriginal and Torres Strait Islander women who had one or more children fell from 32% to 7.7%.</w:t>
      </w:r>
    </w:p>
    <w:p w14:paraId="59D6E6AE" w14:textId="77777777" w:rsidR="00C65183" w:rsidRDefault="00C65183" w:rsidP="00C65183">
      <w:pPr>
        <w:spacing w:line="336" w:lineRule="auto"/>
        <w:jc w:val="both"/>
        <w:rPr>
          <w:rFonts w:ascii="Calibri" w:hAnsi="Calibri"/>
        </w:rPr>
      </w:pPr>
    </w:p>
    <w:p w14:paraId="245C7A61" w14:textId="77777777" w:rsidR="00C65183" w:rsidRDefault="00C65183" w:rsidP="00C65183">
      <w:pPr>
        <w:jc w:val="both"/>
        <w:rPr>
          <w:rFonts w:ascii="Calibri" w:hAnsi="Calibri"/>
          <w:color w:val="7F7F7F"/>
          <w:sz w:val="18"/>
          <w:szCs w:val="18"/>
        </w:rPr>
      </w:pPr>
      <w:r>
        <w:rPr>
          <w:rFonts w:ascii="Calibri" w:hAnsi="Calibri"/>
          <w:noProof/>
          <w:lang w:eastAsia="en-AU"/>
        </w:rPr>
        <w:lastRenderedPageBreak/>
        <w:drawing>
          <wp:anchor distT="0" distB="0" distL="114300" distR="114300" simplePos="0" relativeHeight="251708416" behindDoc="0" locked="0" layoutInCell="1" allowOverlap="1" wp14:anchorId="3125D079" wp14:editId="12BB7DA4">
            <wp:simplePos x="0" y="0"/>
            <wp:positionH relativeFrom="margin">
              <wp:align>right</wp:align>
            </wp:positionH>
            <wp:positionV relativeFrom="paragraph">
              <wp:posOffset>131445</wp:posOffset>
            </wp:positionV>
            <wp:extent cx="2700655" cy="1866265"/>
            <wp:effectExtent l="0" t="0" r="4445" b="635"/>
            <wp:wrapSquare wrapText="bothSides"/>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700655" cy="1866265"/>
                    </a:xfrm>
                    <a:prstGeom prst="rect">
                      <a:avLst/>
                    </a:prstGeom>
                    <a:noFill/>
                  </pic:spPr>
                </pic:pic>
              </a:graphicData>
            </a:graphic>
            <wp14:sizeRelH relativeFrom="page">
              <wp14:pctWidth>0</wp14:pctWidth>
            </wp14:sizeRelH>
            <wp14:sizeRelV relativeFrom="page">
              <wp14:pctHeight>0</wp14:pctHeight>
            </wp14:sizeRelV>
          </wp:anchor>
        </w:drawing>
      </w:r>
    </w:p>
    <w:p w14:paraId="0ACF9490" w14:textId="77777777" w:rsidR="00C65183" w:rsidRPr="00A01D9A" w:rsidRDefault="00C65183" w:rsidP="00C65183">
      <w:pPr>
        <w:jc w:val="both"/>
        <w:rPr>
          <w:rFonts w:ascii="Calibri" w:hAnsi="Calibri"/>
          <w:color w:val="7F7F7F"/>
          <w:sz w:val="18"/>
          <w:szCs w:val="18"/>
        </w:rPr>
      </w:pPr>
      <w:r w:rsidRPr="003E6C8C">
        <w:rPr>
          <w:rFonts w:ascii="Calibri" w:hAnsi="Calibri"/>
          <w:color w:val="7F7F7F"/>
          <w:sz w:val="20"/>
          <w:szCs w:val="20"/>
        </w:rPr>
        <w:t>Per cent of Aboriginal families with children that are one-parent families: Greater Dandenong, 2006 and 2016</w:t>
      </w:r>
    </w:p>
    <w:p w14:paraId="58830A10" w14:textId="77777777" w:rsidR="00C65183" w:rsidRDefault="00C65183" w:rsidP="00C65183">
      <w:pPr>
        <w:spacing w:line="336" w:lineRule="auto"/>
        <w:jc w:val="both"/>
        <w:rPr>
          <w:rFonts w:ascii="Calibri" w:hAnsi="Calibri"/>
        </w:rPr>
      </w:pPr>
    </w:p>
    <w:p w14:paraId="3625F908" w14:textId="77777777" w:rsidR="00C65183" w:rsidRDefault="00C65183" w:rsidP="00C65183">
      <w:pPr>
        <w:spacing w:line="336" w:lineRule="auto"/>
        <w:jc w:val="both"/>
        <w:rPr>
          <w:rFonts w:ascii="Calibri" w:hAnsi="Calibri"/>
        </w:rPr>
      </w:pPr>
      <w:r>
        <w:rPr>
          <w:rFonts w:ascii="Calibri" w:hAnsi="Calibri"/>
        </w:rPr>
        <w:t>The proportion of families with children that were headed by one parent rose slightly between 2006 and 2016, from 57% to 63%.</w:t>
      </w:r>
    </w:p>
    <w:p w14:paraId="69CF6CFD" w14:textId="77777777" w:rsidR="00C65183" w:rsidRDefault="00C65183" w:rsidP="00C65183">
      <w:pPr>
        <w:spacing w:line="336" w:lineRule="auto"/>
        <w:jc w:val="both"/>
        <w:rPr>
          <w:rFonts w:ascii="Calibri" w:hAnsi="Calibri"/>
        </w:rPr>
      </w:pPr>
      <w:r>
        <w:rPr>
          <w:rFonts w:ascii="Calibri" w:hAnsi="Calibri"/>
        </w:rPr>
        <w:t>The percentage of homes that were owned or being purchased by their Aboriginal and Torres Strait Islander occupants</w:t>
      </w:r>
      <w:r w:rsidRPr="00B54BAE">
        <w:rPr>
          <w:rFonts w:ascii="Calibri" w:hAnsi="Calibri"/>
        </w:rPr>
        <w:t xml:space="preserve"> </w:t>
      </w:r>
      <w:r>
        <w:rPr>
          <w:rFonts w:ascii="Calibri" w:hAnsi="Calibri"/>
        </w:rPr>
        <w:t>declined from 35% to 33% during the decade to 2016.</w:t>
      </w:r>
    </w:p>
    <w:p w14:paraId="559511E1" w14:textId="77777777" w:rsidR="00C65183" w:rsidRDefault="00C65183" w:rsidP="00C65183">
      <w:pPr>
        <w:jc w:val="both"/>
        <w:rPr>
          <w:rFonts w:ascii="Calibri" w:hAnsi="Calibri"/>
          <w:color w:val="7F7F7F"/>
          <w:sz w:val="18"/>
          <w:szCs w:val="18"/>
        </w:rPr>
      </w:pPr>
      <w:r>
        <w:rPr>
          <w:rFonts w:ascii="Calibri" w:hAnsi="Calibri"/>
          <w:noProof/>
          <w:lang w:eastAsia="en-AU"/>
        </w:rPr>
        <w:drawing>
          <wp:anchor distT="0" distB="0" distL="114300" distR="114300" simplePos="0" relativeHeight="251709440" behindDoc="0" locked="0" layoutInCell="1" allowOverlap="1" wp14:anchorId="3DCFA8DC" wp14:editId="628DE72C">
            <wp:simplePos x="0" y="0"/>
            <wp:positionH relativeFrom="column">
              <wp:posOffset>44450</wp:posOffset>
            </wp:positionH>
            <wp:positionV relativeFrom="paragraph">
              <wp:posOffset>5080</wp:posOffset>
            </wp:positionV>
            <wp:extent cx="2856230" cy="1965325"/>
            <wp:effectExtent l="0" t="0" r="1270" b="0"/>
            <wp:wrapSquare wrapText="bothSides"/>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856230" cy="1965325"/>
                    </a:xfrm>
                    <a:prstGeom prst="rect">
                      <a:avLst/>
                    </a:prstGeom>
                    <a:noFill/>
                  </pic:spPr>
                </pic:pic>
              </a:graphicData>
            </a:graphic>
            <wp14:sizeRelH relativeFrom="page">
              <wp14:pctWidth>0</wp14:pctWidth>
            </wp14:sizeRelH>
            <wp14:sizeRelV relativeFrom="page">
              <wp14:pctHeight>0</wp14:pctHeight>
            </wp14:sizeRelV>
          </wp:anchor>
        </w:drawing>
      </w:r>
    </w:p>
    <w:p w14:paraId="52DBDB20" w14:textId="77777777" w:rsidR="00C65183" w:rsidRDefault="00C65183" w:rsidP="00C65183">
      <w:pPr>
        <w:jc w:val="both"/>
        <w:rPr>
          <w:rFonts w:ascii="Calibri" w:hAnsi="Calibri"/>
          <w:color w:val="7F7F7F"/>
          <w:sz w:val="18"/>
          <w:szCs w:val="18"/>
        </w:rPr>
      </w:pPr>
    </w:p>
    <w:p w14:paraId="5772342A" w14:textId="77777777" w:rsidR="00C65183" w:rsidRDefault="00C65183" w:rsidP="00C65183">
      <w:pPr>
        <w:jc w:val="both"/>
        <w:rPr>
          <w:rFonts w:ascii="Calibri" w:hAnsi="Calibri"/>
          <w:color w:val="7F7F7F"/>
          <w:sz w:val="18"/>
          <w:szCs w:val="18"/>
        </w:rPr>
      </w:pPr>
    </w:p>
    <w:p w14:paraId="53480B6B" w14:textId="77777777" w:rsidR="00C65183" w:rsidRPr="0040564E" w:rsidRDefault="00C65183" w:rsidP="00C65183">
      <w:pPr>
        <w:jc w:val="both"/>
        <w:rPr>
          <w:rFonts w:ascii="Calibri" w:hAnsi="Calibri"/>
          <w:sz w:val="20"/>
          <w:szCs w:val="20"/>
        </w:rPr>
      </w:pPr>
      <w:r w:rsidRPr="0040564E">
        <w:rPr>
          <w:rFonts w:ascii="Calibri" w:hAnsi="Calibri"/>
          <w:color w:val="7F7F7F"/>
          <w:sz w:val="20"/>
          <w:szCs w:val="20"/>
        </w:rPr>
        <w:t>Per cent of 20-64 year-old Aboriginal residents with a severe or profound disability: Greater Dandenong, 2006 and 2016</w:t>
      </w:r>
    </w:p>
    <w:p w14:paraId="0DEAF1C0" w14:textId="77777777" w:rsidR="00C65183" w:rsidRDefault="00C65183" w:rsidP="00C65183">
      <w:pPr>
        <w:spacing w:line="336" w:lineRule="auto"/>
        <w:jc w:val="both"/>
        <w:rPr>
          <w:rFonts w:ascii="Calibri" w:hAnsi="Calibri"/>
        </w:rPr>
      </w:pPr>
    </w:p>
    <w:p w14:paraId="0948F91E" w14:textId="77777777" w:rsidR="00C65183" w:rsidRDefault="00C65183" w:rsidP="00C65183">
      <w:pPr>
        <w:spacing w:line="336" w:lineRule="auto"/>
        <w:jc w:val="both"/>
        <w:rPr>
          <w:rFonts w:ascii="Calibri" w:hAnsi="Calibri"/>
        </w:rPr>
      </w:pPr>
      <w:r>
        <w:rPr>
          <w:rFonts w:ascii="Calibri" w:hAnsi="Calibri"/>
        </w:rPr>
        <w:t>The prevalence of severe or profound disability among Aboriginal and Torres Strait Islanders rose from 7.1% of 20 to 64 year-olds in 2006, to 12.1% by 2016.</w:t>
      </w:r>
    </w:p>
    <w:p w14:paraId="4F89A760" w14:textId="77777777" w:rsidR="00C65183" w:rsidRDefault="00C65183" w:rsidP="00C65183">
      <w:pPr>
        <w:spacing w:line="336" w:lineRule="auto"/>
        <w:jc w:val="both"/>
        <w:rPr>
          <w:rFonts w:ascii="Calibri" w:hAnsi="Calibri"/>
        </w:rPr>
      </w:pPr>
    </w:p>
    <w:p w14:paraId="6EE6DF8B" w14:textId="77777777" w:rsidR="00C65183" w:rsidRDefault="00C65183" w:rsidP="00C65183">
      <w:pPr>
        <w:jc w:val="both"/>
        <w:rPr>
          <w:rFonts w:ascii="Calibri" w:hAnsi="Calibri"/>
          <w:b/>
        </w:rPr>
      </w:pPr>
    </w:p>
    <w:p w14:paraId="2A1AD740" w14:textId="77777777" w:rsidR="00C65183" w:rsidRDefault="00C65183" w:rsidP="00C65183">
      <w:pPr>
        <w:jc w:val="both"/>
        <w:rPr>
          <w:rFonts w:ascii="Calibri" w:hAnsi="Calibri"/>
          <w:b/>
        </w:rPr>
      </w:pPr>
    </w:p>
    <w:p w14:paraId="62C0808C" w14:textId="77777777" w:rsidR="00C65183" w:rsidRPr="00811867" w:rsidRDefault="00C65183" w:rsidP="00C65183">
      <w:pPr>
        <w:spacing w:after="60"/>
        <w:jc w:val="both"/>
        <w:rPr>
          <w:rFonts w:ascii="Calibri" w:hAnsi="Calibri"/>
          <w:b/>
        </w:rPr>
      </w:pPr>
      <w:r>
        <w:rPr>
          <w:rFonts w:ascii="Calibri" w:hAnsi="Calibri"/>
          <w:b/>
        </w:rPr>
        <w:t xml:space="preserve">Victorian and National </w:t>
      </w:r>
      <w:r w:rsidRPr="00811867">
        <w:rPr>
          <w:rFonts w:ascii="Calibri" w:hAnsi="Calibri"/>
          <w:b/>
        </w:rPr>
        <w:t>Health</w:t>
      </w:r>
      <w:r>
        <w:rPr>
          <w:rFonts w:ascii="Calibri" w:hAnsi="Calibri"/>
          <w:b/>
        </w:rPr>
        <w:t xml:space="preserve"> and Social</w:t>
      </w:r>
      <w:r w:rsidRPr="00811867">
        <w:rPr>
          <w:rFonts w:ascii="Calibri" w:hAnsi="Calibri"/>
          <w:b/>
        </w:rPr>
        <w:t xml:space="preserve"> Outcomes</w:t>
      </w:r>
    </w:p>
    <w:p w14:paraId="0E1073F2" w14:textId="77777777" w:rsidR="00C65183" w:rsidRDefault="00C65183" w:rsidP="00C65183">
      <w:pPr>
        <w:spacing w:line="336" w:lineRule="auto"/>
        <w:jc w:val="both"/>
        <w:rPr>
          <w:rFonts w:ascii="Calibri" w:hAnsi="Calibri"/>
        </w:rPr>
      </w:pPr>
      <w:r w:rsidRPr="0067755C">
        <w:rPr>
          <w:rFonts w:ascii="Calibri" w:hAnsi="Calibri"/>
        </w:rPr>
        <w:t xml:space="preserve">According to a range of measures, the general health of </w:t>
      </w:r>
      <w:r>
        <w:rPr>
          <w:rFonts w:ascii="Calibri" w:hAnsi="Calibri"/>
        </w:rPr>
        <w:t>Aboriginal</w:t>
      </w:r>
      <w:r w:rsidRPr="0067755C">
        <w:rPr>
          <w:rFonts w:ascii="Calibri" w:hAnsi="Calibri"/>
        </w:rPr>
        <w:t xml:space="preserve"> people</w:t>
      </w:r>
      <w:r>
        <w:rPr>
          <w:rFonts w:ascii="Calibri" w:hAnsi="Calibri"/>
        </w:rPr>
        <w:t xml:space="preserve"> across Victoria and Australia</w:t>
      </w:r>
      <w:r w:rsidRPr="0067755C">
        <w:rPr>
          <w:rFonts w:ascii="Calibri" w:hAnsi="Calibri"/>
        </w:rPr>
        <w:t xml:space="preserve"> is </w:t>
      </w:r>
      <w:r>
        <w:rPr>
          <w:rFonts w:ascii="Calibri" w:hAnsi="Calibri"/>
        </w:rPr>
        <w:t>less favorable</w:t>
      </w:r>
      <w:r w:rsidRPr="0067755C">
        <w:rPr>
          <w:rFonts w:ascii="Calibri" w:hAnsi="Calibri"/>
        </w:rPr>
        <w:t xml:space="preserve"> than for people of non-</w:t>
      </w:r>
      <w:r>
        <w:rPr>
          <w:rFonts w:ascii="Calibri" w:hAnsi="Calibri"/>
        </w:rPr>
        <w:t>Aboriginal</w:t>
      </w:r>
      <w:r w:rsidRPr="0067755C">
        <w:rPr>
          <w:rFonts w:ascii="Calibri" w:hAnsi="Calibri"/>
        </w:rPr>
        <w:t xml:space="preserve"> backgrounds. </w:t>
      </w:r>
      <w:r>
        <w:rPr>
          <w:rFonts w:ascii="Calibri" w:hAnsi="Calibri"/>
        </w:rPr>
        <w:t>Aboriginal</w:t>
      </w:r>
      <w:r w:rsidRPr="0067755C">
        <w:rPr>
          <w:rFonts w:ascii="Calibri" w:hAnsi="Calibri"/>
        </w:rPr>
        <w:t xml:space="preserve"> people </w:t>
      </w:r>
      <w:r>
        <w:rPr>
          <w:rFonts w:ascii="Calibri" w:hAnsi="Calibri"/>
        </w:rPr>
        <w:t>have higher rates of hospital admission than</w:t>
      </w:r>
      <w:r w:rsidRPr="0067755C">
        <w:rPr>
          <w:rFonts w:ascii="Calibri" w:hAnsi="Calibri"/>
        </w:rPr>
        <w:t xml:space="preserve"> members of the general population</w:t>
      </w:r>
      <w:r>
        <w:rPr>
          <w:rFonts w:ascii="Calibri" w:hAnsi="Calibri"/>
        </w:rPr>
        <w:t xml:space="preserve">, and </w:t>
      </w:r>
      <w:r w:rsidRPr="0067755C">
        <w:rPr>
          <w:rFonts w:ascii="Calibri" w:hAnsi="Calibri"/>
        </w:rPr>
        <w:t>are twice as likely to report their health as 'fair' or 'poor' (32% compared with 16%), according to the findings of the Victorian Population Health Survey</w:t>
      </w:r>
      <w:r>
        <w:rPr>
          <w:rFonts w:ascii="Calibri" w:hAnsi="Calibri"/>
        </w:rPr>
        <w:t>. They have</w:t>
      </w:r>
      <w:r w:rsidRPr="0067755C">
        <w:rPr>
          <w:rFonts w:ascii="Calibri" w:hAnsi="Calibri"/>
        </w:rPr>
        <w:t xml:space="preserve"> a life expectancy of approximately </w:t>
      </w:r>
      <w:r>
        <w:rPr>
          <w:rFonts w:ascii="Calibri" w:hAnsi="Calibri"/>
        </w:rPr>
        <w:t xml:space="preserve">10 to </w:t>
      </w:r>
      <w:r w:rsidRPr="0067755C">
        <w:rPr>
          <w:rFonts w:ascii="Calibri" w:hAnsi="Calibri"/>
        </w:rPr>
        <w:t>1</w:t>
      </w:r>
      <w:r>
        <w:rPr>
          <w:rFonts w:ascii="Calibri" w:hAnsi="Calibri"/>
        </w:rPr>
        <w:t>2</w:t>
      </w:r>
      <w:r w:rsidRPr="0067755C">
        <w:rPr>
          <w:rFonts w:ascii="Calibri" w:hAnsi="Calibri"/>
        </w:rPr>
        <w:t xml:space="preserve"> years less than non-</w:t>
      </w:r>
      <w:r>
        <w:rPr>
          <w:rFonts w:ascii="Calibri" w:hAnsi="Calibri"/>
        </w:rPr>
        <w:t>Aboriginal</w:t>
      </w:r>
      <w:r w:rsidRPr="0067755C">
        <w:rPr>
          <w:rFonts w:ascii="Calibri" w:hAnsi="Calibri"/>
        </w:rPr>
        <w:t xml:space="preserve"> residents</w:t>
      </w:r>
      <w:r>
        <w:rPr>
          <w:rStyle w:val="FootnoteReference"/>
          <w:rFonts w:ascii="Calibri" w:hAnsi="Calibri"/>
        </w:rPr>
        <w:footnoteReference w:id="33"/>
      </w:r>
      <w:r>
        <w:rPr>
          <w:rFonts w:ascii="Calibri" w:hAnsi="Calibri"/>
        </w:rPr>
        <w:t>, mortality rates twice those of</w:t>
      </w:r>
      <w:r w:rsidRPr="0067755C">
        <w:rPr>
          <w:rFonts w:ascii="Calibri" w:hAnsi="Calibri"/>
        </w:rPr>
        <w:t xml:space="preserve"> non-</w:t>
      </w:r>
      <w:r>
        <w:rPr>
          <w:rFonts w:ascii="Calibri" w:hAnsi="Calibri"/>
        </w:rPr>
        <w:t>Aboriginal</w:t>
      </w:r>
      <w:r w:rsidRPr="0067755C">
        <w:rPr>
          <w:rFonts w:ascii="Calibri" w:hAnsi="Calibri"/>
        </w:rPr>
        <w:t xml:space="preserve"> people in</w:t>
      </w:r>
      <w:r>
        <w:rPr>
          <w:rFonts w:ascii="Calibri" w:hAnsi="Calibri"/>
        </w:rPr>
        <w:t xml:space="preserve"> all age groups</w:t>
      </w:r>
      <w:r w:rsidRPr="0067755C">
        <w:rPr>
          <w:rFonts w:ascii="Calibri" w:hAnsi="Calibri"/>
        </w:rPr>
        <w:t xml:space="preserve">, </w:t>
      </w:r>
      <w:r>
        <w:rPr>
          <w:rFonts w:ascii="Calibri" w:hAnsi="Calibri"/>
        </w:rPr>
        <w:t>an infant mortality rate</w:t>
      </w:r>
      <w:r w:rsidRPr="0067755C">
        <w:rPr>
          <w:rFonts w:ascii="Calibri" w:hAnsi="Calibri"/>
        </w:rPr>
        <w:t xml:space="preserve"> nearly three (2.9) times higher than other Australians</w:t>
      </w:r>
      <w:r>
        <w:rPr>
          <w:rFonts w:ascii="Calibri" w:hAnsi="Calibri"/>
        </w:rPr>
        <w:t xml:space="preserve"> </w:t>
      </w:r>
      <w:r>
        <w:rPr>
          <w:rStyle w:val="FootnoteReference"/>
          <w:rFonts w:ascii="Calibri" w:hAnsi="Calibri"/>
        </w:rPr>
        <w:footnoteReference w:id="34"/>
      </w:r>
      <w:r>
        <w:rPr>
          <w:rFonts w:ascii="Calibri" w:hAnsi="Calibri"/>
        </w:rPr>
        <w:t xml:space="preserve"> </w:t>
      </w:r>
      <w:r>
        <w:rPr>
          <w:rStyle w:val="FootnoteReference"/>
          <w:rFonts w:ascii="Calibri" w:hAnsi="Calibri"/>
        </w:rPr>
        <w:footnoteReference w:id="35"/>
      </w:r>
      <w:r>
        <w:rPr>
          <w:rFonts w:ascii="Calibri" w:hAnsi="Calibri"/>
        </w:rPr>
        <w:t>, and a 2019 suicide rate over twice the overall national level</w:t>
      </w:r>
      <w:r>
        <w:rPr>
          <w:rStyle w:val="FootnoteReference"/>
          <w:rFonts w:ascii="Calibri" w:hAnsi="Calibri"/>
        </w:rPr>
        <w:footnoteReference w:id="36"/>
      </w:r>
      <w:r w:rsidRPr="0067755C">
        <w:rPr>
          <w:rFonts w:ascii="Calibri" w:hAnsi="Calibri"/>
        </w:rPr>
        <w:t>.</w:t>
      </w:r>
      <w:r>
        <w:rPr>
          <w:rFonts w:ascii="Calibri" w:hAnsi="Calibri"/>
        </w:rPr>
        <w:t xml:space="preserve"> In ‘Child Protection Australia 2014/15’, the Australian Institute of Health and Welfare reports that Aboriginal children are </w:t>
      </w:r>
      <w:r w:rsidRPr="00F207F1">
        <w:rPr>
          <w:rFonts w:ascii="Calibri" w:hAnsi="Calibri"/>
        </w:rPr>
        <w:t>seven times more likely to be the subject of substantiated reports of child abuse than non-</w:t>
      </w:r>
      <w:r>
        <w:rPr>
          <w:rFonts w:ascii="Calibri" w:hAnsi="Calibri"/>
        </w:rPr>
        <w:t>Aboriginal</w:t>
      </w:r>
      <w:r w:rsidRPr="00F207F1">
        <w:rPr>
          <w:rFonts w:ascii="Calibri" w:hAnsi="Calibri"/>
        </w:rPr>
        <w:t xml:space="preserve"> children (43.6 per 1,000 children compared with 6.4 per 1,000 respectively).</w:t>
      </w:r>
      <w:r>
        <w:rPr>
          <w:rFonts w:ascii="Calibri" w:hAnsi="Calibri"/>
        </w:rPr>
        <w:t xml:space="preserve"> Nationally, it is reported that Aboriginal women are hospitalized for violent assaults at a rate thirty-five times higher than for non-Aboriginal women</w:t>
      </w:r>
      <w:r>
        <w:rPr>
          <w:rStyle w:val="FootnoteReference"/>
          <w:rFonts w:ascii="Calibri" w:hAnsi="Calibri"/>
        </w:rPr>
        <w:footnoteReference w:id="37"/>
      </w:r>
      <w:r>
        <w:rPr>
          <w:rFonts w:ascii="Calibri" w:hAnsi="Calibri"/>
        </w:rPr>
        <w:t xml:space="preserve"> In relation to drug-related problems, the Pennington Institute determined that the rate of unintentional drug overdoses among Aboriginal and Torres Strait Islanders was 19.2 per 100,000 population – over three times the corresponding rate among the general population.</w:t>
      </w:r>
    </w:p>
    <w:p w14:paraId="283CD2C6" w14:textId="77777777" w:rsidR="00C65183" w:rsidRDefault="00C65183" w:rsidP="00C65183">
      <w:pPr>
        <w:rPr>
          <w:b/>
        </w:rPr>
      </w:pPr>
      <w:r>
        <w:rPr>
          <w:b/>
        </w:rPr>
        <w:br w:type="page"/>
      </w:r>
    </w:p>
    <w:p w14:paraId="406EB0D3" w14:textId="77777777" w:rsidR="00C65183" w:rsidRPr="00827F47" w:rsidRDefault="00C65183" w:rsidP="00C65183">
      <w:pPr>
        <w:pBdr>
          <w:top w:val="single" w:sz="4" w:space="0" w:color="244061" w:themeColor="accent1" w:themeShade="80"/>
          <w:bottom w:val="single" w:sz="4" w:space="1" w:color="244061" w:themeColor="accent1" w:themeShade="80"/>
        </w:pBdr>
        <w:tabs>
          <w:tab w:val="center" w:pos="4678"/>
        </w:tabs>
        <w:jc w:val="center"/>
        <w:rPr>
          <w:rFonts w:ascii="Garamond" w:hAnsi="Garamond"/>
          <w:noProof/>
          <w:color w:val="244061" w:themeColor="accent1" w:themeShade="80"/>
          <w:sz w:val="34"/>
          <w:szCs w:val="34"/>
        </w:rPr>
      </w:pPr>
      <w:bookmarkStart w:id="3" w:name="_Hlk180842970"/>
      <w:r w:rsidRPr="00827F47">
        <w:rPr>
          <w:rFonts w:ascii="Garamond" w:hAnsi="Garamond"/>
          <w:noProof/>
          <w:color w:val="244061" w:themeColor="accent1" w:themeShade="80"/>
          <w:sz w:val="34"/>
          <w:szCs w:val="34"/>
        </w:rPr>
        <w:lastRenderedPageBreak/>
        <w:t xml:space="preserve">Cultural Diversity and Settlement </w:t>
      </w:r>
    </w:p>
    <w:bookmarkEnd w:id="3"/>
    <w:p w14:paraId="71825FA6" w14:textId="77777777" w:rsidR="00C65183" w:rsidRDefault="00C65183" w:rsidP="00C65183">
      <w:pPr>
        <w:tabs>
          <w:tab w:val="left" w:pos="284"/>
        </w:tabs>
        <w:spacing w:before="80" w:line="360" w:lineRule="auto"/>
        <w:jc w:val="both"/>
        <w:rPr>
          <w:b/>
          <w:color w:val="000000"/>
          <w:sz w:val="10"/>
          <w:szCs w:val="10"/>
        </w:rPr>
      </w:pPr>
    </w:p>
    <w:p w14:paraId="319C4AB5" w14:textId="77777777" w:rsidR="00C65183" w:rsidRPr="00330EA5" w:rsidRDefault="00C65183" w:rsidP="00C65183">
      <w:pPr>
        <w:tabs>
          <w:tab w:val="left" w:pos="284"/>
        </w:tabs>
        <w:jc w:val="both"/>
        <w:rPr>
          <w:rFonts w:ascii="Calibri" w:hAnsi="Calibri"/>
          <w:b/>
          <w:color w:val="000000"/>
        </w:rPr>
      </w:pPr>
      <w:r w:rsidRPr="00330EA5">
        <w:rPr>
          <w:rFonts w:ascii="Calibri" w:hAnsi="Calibri"/>
          <w:b/>
          <w:color w:val="000000"/>
        </w:rPr>
        <w:t>Cultural Diversity</w:t>
      </w:r>
    </w:p>
    <w:p w14:paraId="53EACEB4" w14:textId="77777777" w:rsidR="00C65183" w:rsidRDefault="00C65183" w:rsidP="00C65183">
      <w:pPr>
        <w:tabs>
          <w:tab w:val="left" w:pos="284"/>
        </w:tabs>
        <w:spacing w:before="60" w:line="360" w:lineRule="auto"/>
        <w:jc w:val="both"/>
        <w:rPr>
          <w:rFonts w:ascii="Calibri" w:hAnsi="Calibri"/>
          <w:color w:val="000000"/>
        </w:rPr>
      </w:pPr>
      <w:r w:rsidRPr="00330EA5">
        <w:rPr>
          <w:rFonts w:ascii="Calibri" w:hAnsi="Calibri"/>
          <w:color w:val="000000"/>
        </w:rPr>
        <w:t xml:space="preserve">Greater Dandenong is the most culturally diverse locality in </w:t>
      </w:r>
      <w:r>
        <w:rPr>
          <w:rFonts w:ascii="Calibri" w:hAnsi="Calibri"/>
          <w:color w:val="000000"/>
        </w:rPr>
        <w:t>Australia</w:t>
      </w:r>
      <w:r>
        <w:rPr>
          <w:rStyle w:val="FootnoteReference"/>
          <w:rFonts w:ascii="Calibri" w:hAnsi="Calibri"/>
          <w:color w:val="000000"/>
        </w:rPr>
        <w:footnoteReference w:id="38"/>
      </w:r>
      <w:r>
        <w:rPr>
          <w:rFonts w:ascii="Calibri" w:hAnsi="Calibri"/>
          <w:color w:val="000000"/>
        </w:rPr>
        <w:t>,</w:t>
      </w:r>
      <w:r w:rsidRPr="00330EA5">
        <w:rPr>
          <w:rFonts w:ascii="Calibri" w:hAnsi="Calibri"/>
          <w:color w:val="000000"/>
        </w:rPr>
        <w:t xml:space="preserve"> with residents from </w:t>
      </w:r>
      <w:r>
        <w:rPr>
          <w:rFonts w:ascii="Calibri" w:hAnsi="Calibri"/>
          <w:color w:val="000000"/>
        </w:rPr>
        <w:t>157</w:t>
      </w:r>
      <w:r w:rsidRPr="00330EA5">
        <w:rPr>
          <w:rFonts w:ascii="Calibri" w:hAnsi="Calibri"/>
          <w:color w:val="000000"/>
        </w:rPr>
        <w:t xml:space="preserve"> different birthplaces</w:t>
      </w:r>
      <w:r>
        <w:rPr>
          <w:rFonts w:ascii="Calibri" w:hAnsi="Calibri"/>
          <w:color w:val="000000"/>
        </w:rPr>
        <w:t xml:space="preserve"> and</w:t>
      </w:r>
      <w:r w:rsidRPr="00330EA5">
        <w:rPr>
          <w:rFonts w:ascii="Calibri" w:hAnsi="Calibri"/>
          <w:color w:val="000000"/>
        </w:rPr>
        <w:t xml:space="preserve"> well over half (6</w:t>
      </w:r>
      <w:r>
        <w:rPr>
          <w:rFonts w:ascii="Calibri" w:hAnsi="Calibri"/>
          <w:color w:val="000000"/>
        </w:rPr>
        <w:t>4</w:t>
      </w:r>
      <w:r w:rsidRPr="00330EA5">
        <w:rPr>
          <w:rFonts w:ascii="Calibri" w:hAnsi="Calibri"/>
          <w:color w:val="000000"/>
        </w:rPr>
        <w:t>%) of its population born overseas</w:t>
      </w:r>
      <w:r>
        <w:rPr>
          <w:rFonts w:ascii="Calibri" w:hAnsi="Calibri"/>
          <w:color w:val="000000"/>
        </w:rPr>
        <w:t>. B</w:t>
      </w:r>
      <w:r w:rsidRPr="00330EA5">
        <w:rPr>
          <w:rFonts w:ascii="Calibri" w:hAnsi="Calibri"/>
          <w:color w:val="000000"/>
        </w:rPr>
        <w:t xml:space="preserve">irthplaces </w:t>
      </w:r>
      <w:r>
        <w:rPr>
          <w:rFonts w:ascii="Calibri" w:hAnsi="Calibri"/>
          <w:color w:val="000000"/>
        </w:rPr>
        <w:t>recorded by the 2016 Census included</w:t>
      </w:r>
      <w:r w:rsidRPr="00330EA5">
        <w:rPr>
          <w:rFonts w:ascii="Calibri" w:hAnsi="Calibri"/>
          <w:color w:val="000000"/>
        </w:rPr>
        <w:t xml:space="preserve"> Vietnam, </w:t>
      </w:r>
      <w:r>
        <w:rPr>
          <w:rFonts w:ascii="Calibri" w:hAnsi="Calibri"/>
          <w:color w:val="000000"/>
        </w:rPr>
        <w:t>Cambodia, China, India, Sri Lanka, Pakistan, Afghanistan, New Zealand and Great Britain</w:t>
      </w:r>
      <w:r w:rsidRPr="00330EA5">
        <w:rPr>
          <w:rFonts w:ascii="Calibri" w:hAnsi="Calibri"/>
          <w:color w:val="000000"/>
        </w:rPr>
        <w:t>.</w:t>
      </w:r>
      <w:r>
        <w:rPr>
          <w:rFonts w:ascii="Calibri" w:hAnsi="Calibri"/>
          <w:color w:val="000000"/>
        </w:rPr>
        <w:t xml:space="preserve"> More than four out of five residents have at least one overseas-born parent.</w:t>
      </w:r>
    </w:p>
    <w:p w14:paraId="7208BE22" w14:textId="77777777" w:rsidR="00C65183" w:rsidRPr="003E6C8C" w:rsidRDefault="00C65183" w:rsidP="00C65183">
      <w:pPr>
        <w:tabs>
          <w:tab w:val="left" w:pos="284"/>
        </w:tabs>
        <w:jc w:val="both"/>
        <w:rPr>
          <w:rFonts w:ascii="Calibri" w:hAnsi="Calibri"/>
          <w:color w:val="7F7F7F"/>
          <w:sz w:val="20"/>
          <w:szCs w:val="20"/>
        </w:rPr>
      </w:pPr>
      <w:r w:rsidRPr="003E6C8C">
        <w:rPr>
          <w:rFonts w:ascii="Calibri" w:hAnsi="Calibri"/>
          <w:color w:val="7F7F7F"/>
          <w:sz w:val="20"/>
          <w:szCs w:val="20"/>
        </w:rPr>
        <w:t xml:space="preserve">Population by </w:t>
      </w:r>
      <w:r>
        <w:rPr>
          <w:rFonts w:ascii="Calibri" w:hAnsi="Calibri"/>
          <w:color w:val="7F7F7F"/>
          <w:sz w:val="20"/>
          <w:szCs w:val="20"/>
        </w:rPr>
        <w:t>s</w:t>
      </w:r>
      <w:r w:rsidRPr="003E6C8C">
        <w:rPr>
          <w:rFonts w:ascii="Calibri" w:hAnsi="Calibri"/>
          <w:color w:val="7F7F7F"/>
          <w:sz w:val="20"/>
          <w:szCs w:val="20"/>
        </w:rPr>
        <w:t xml:space="preserve">elected </w:t>
      </w:r>
      <w:r>
        <w:rPr>
          <w:rFonts w:ascii="Calibri" w:hAnsi="Calibri"/>
          <w:color w:val="7F7F7F"/>
          <w:sz w:val="20"/>
          <w:szCs w:val="20"/>
        </w:rPr>
        <w:t>b</w:t>
      </w:r>
      <w:r w:rsidRPr="003E6C8C">
        <w:rPr>
          <w:rFonts w:ascii="Calibri" w:hAnsi="Calibri"/>
          <w:color w:val="7F7F7F"/>
          <w:sz w:val="20"/>
          <w:szCs w:val="20"/>
        </w:rPr>
        <w:t>irthplaces: Greater Dandenong, 2016</w:t>
      </w:r>
    </w:p>
    <w:p w14:paraId="54730A06" w14:textId="77777777" w:rsidR="00C65183" w:rsidRDefault="00C65183" w:rsidP="00C65183">
      <w:pPr>
        <w:tabs>
          <w:tab w:val="left" w:pos="284"/>
        </w:tabs>
        <w:spacing w:before="60" w:line="360" w:lineRule="auto"/>
        <w:jc w:val="center"/>
        <w:rPr>
          <w:rFonts w:ascii="Calibri" w:hAnsi="Calibri"/>
          <w:color w:val="000000"/>
        </w:rPr>
      </w:pPr>
      <w:r w:rsidRPr="00271DF3">
        <w:rPr>
          <w:rFonts w:ascii="Calibri" w:hAnsi="Calibri"/>
          <w:noProof/>
          <w:color w:val="000000"/>
          <w:sz w:val="16"/>
          <w:szCs w:val="16"/>
          <w:lang w:eastAsia="en-AU"/>
        </w:rPr>
        <w:drawing>
          <wp:anchor distT="0" distB="0" distL="114300" distR="114300" simplePos="0" relativeHeight="251712512" behindDoc="0" locked="0" layoutInCell="1" allowOverlap="1" wp14:anchorId="78EA685C" wp14:editId="53B28868">
            <wp:simplePos x="0" y="0"/>
            <wp:positionH relativeFrom="column">
              <wp:posOffset>3961448</wp:posOffset>
            </wp:positionH>
            <wp:positionV relativeFrom="paragraph">
              <wp:posOffset>5627370</wp:posOffset>
            </wp:positionV>
            <wp:extent cx="1200150" cy="957637"/>
            <wp:effectExtent l="0" t="0" r="0" b="0"/>
            <wp:wrapNone/>
            <wp:docPr id="118" name="Pictur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rrowheads="1"/>
                    </pic:cNvPicPr>
                  </pic:nvPicPr>
                  <pic:blipFill>
                    <a:blip r:embed="rId68" cstate="print"/>
                    <a:srcRect l="3189" b="4692"/>
                    <a:stretch>
                      <a:fillRect/>
                    </a:stretch>
                  </pic:blipFill>
                  <pic:spPr bwMode="auto">
                    <a:xfrm>
                      <a:off x="0" y="0"/>
                      <a:ext cx="1213005" cy="967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rFonts w:ascii="Calibri" w:hAnsi="Calibri"/>
          <w:noProof/>
          <w:color w:val="000000"/>
          <w:lang w:eastAsia="en-AU"/>
        </w:rPr>
        <w:drawing>
          <wp:inline distT="0" distB="0" distL="0" distR="0" wp14:anchorId="0327E8B5" wp14:editId="2D1722F3">
            <wp:extent cx="5394886" cy="6421755"/>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69">
                      <a:extLst>
                        <a:ext uri="{28A0092B-C50C-407E-A947-70E740481C1C}">
                          <a14:useLocalDpi xmlns:a14="http://schemas.microsoft.com/office/drawing/2010/main" val="0"/>
                        </a:ext>
                      </a:extLst>
                    </a:blip>
                    <a:srcRect b="41827"/>
                    <a:stretch>
                      <a:fillRect/>
                    </a:stretch>
                  </pic:blipFill>
                  <pic:spPr bwMode="auto">
                    <a:xfrm>
                      <a:off x="0" y="0"/>
                      <a:ext cx="5405513" cy="6434405"/>
                    </a:xfrm>
                    <a:prstGeom prst="rect">
                      <a:avLst/>
                    </a:prstGeom>
                    <a:noFill/>
                  </pic:spPr>
                </pic:pic>
              </a:graphicData>
            </a:graphic>
          </wp:inline>
        </w:drawing>
      </w:r>
    </w:p>
    <w:p w14:paraId="5C5462C4" w14:textId="77777777" w:rsidR="00C65183" w:rsidRDefault="00C65183" w:rsidP="00C65183">
      <w:pPr>
        <w:tabs>
          <w:tab w:val="left" w:pos="284"/>
        </w:tabs>
        <w:jc w:val="both"/>
        <w:rPr>
          <w:rFonts w:ascii="Calibri" w:hAnsi="Calibri"/>
          <w:b/>
          <w:color w:val="000000"/>
        </w:rPr>
      </w:pPr>
    </w:p>
    <w:p w14:paraId="2C5DEA32" w14:textId="77777777" w:rsidR="00C65183" w:rsidRDefault="00C65183" w:rsidP="00C65183">
      <w:pPr>
        <w:tabs>
          <w:tab w:val="left" w:pos="284"/>
        </w:tabs>
        <w:jc w:val="both"/>
        <w:rPr>
          <w:rFonts w:ascii="Calibri" w:hAnsi="Calibri"/>
          <w:b/>
          <w:color w:val="000000"/>
        </w:rPr>
      </w:pPr>
    </w:p>
    <w:p w14:paraId="29EE56B5" w14:textId="77777777" w:rsidR="00C65183" w:rsidRPr="003E6C8C" w:rsidRDefault="00C65183" w:rsidP="00C65183">
      <w:pPr>
        <w:tabs>
          <w:tab w:val="left" w:pos="5812"/>
        </w:tabs>
        <w:jc w:val="both"/>
        <w:rPr>
          <w:rFonts w:ascii="Calibri" w:hAnsi="Calibri"/>
          <w:b/>
          <w:color w:val="000000"/>
          <w:sz w:val="20"/>
          <w:szCs w:val="20"/>
        </w:rPr>
      </w:pPr>
      <w:r>
        <w:rPr>
          <w:rFonts w:ascii="Calibri" w:hAnsi="Calibri"/>
          <w:b/>
          <w:color w:val="000000"/>
        </w:rPr>
        <w:lastRenderedPageBreak/>
        <w:t>Settlement Trends</w:t>
      </w:r>
    </w:p>
    <w:p w14:paraId="37812FBA" w14:textId="77777777" w:rsidR="00C65183" w:rsidRPr="006C7B9B" w:rsidRDefault="00C65183" w:rsidP="00C65183">
      <w:pPr>
        <w:tabs>
          <w:tab w:val="left" w:pos="284"/>
        </w:tabs>
        <w:spacing w:before="60" w:line="360" w:lineRule="auto"/>
        <w:jc w:val="both"/>
        <w:rPr>
          <w:rFonts w:ascii="Calibri" w:hAnsi="Calibri"/>
          <w:color w:val="000000"/>
        </w:rPr>
      </w:pPr>
      <w:r>
        <w:rPr>
          <w:rFonts w:ascii="Calibri" w:hAnsi="Calibri"/>
          <w:color w:val="000000"/>
        </w:rPr>
        <w:t xml:space="preserve">The 2016 Census recorded that approximately 9,740 residents of Greater Dandenong had arrived in Australia after 2014, representing 6.4% of the population – the third highest proportion in Victoria. Among these new arrivals, 28% were born in India, 7% to 8% were from each of Afghanistan, Cambodia, Sri Lanka and Vietnam, and others were from nations such as China, Malaysia, Pakistan, Philippines and Thailand. </w:t>
      </w:r>
    </w:p>
    <w:p w14:paraId="7210C178" w14:textId="77777777" w:rsidR="00C65183" w:rsidRPr="004023BF" w:rsidRDefault="00C65183" w:rsidP="00C65183">
      <w:pPr>
        <w:tabs>
          <w:tab w:val="left" w:pos="5812"/>
        </w:tabs>
        <w:spacing w:line="360" w:lineRule="auto"/>
        <w:jc w:val="both"/>
        <w:rPr>
          <w:rFonts w:ascii="Calibri" w:hAnsi="Calibri"/>
          <w:color w:val="000000"/>
          <w:sz w:val="12"/>
          <w:szCs w:val="12"/>
        </w:rPr>
      </w:pPr>
    </w:p>
    <w:p w14:paraId="07DAFCB4" w14:textId="77777777" w:rsidR="00C65183" w:rsidRDefault="00C65183" w:rsidP="00C65183">
      <w:pPr>
        <w:tabs>
          <w:tab w:val="left" w:pos="5812"/>
        </w:tabs>
        <w:spacing w:line="360" w:lineRule="auto"/>
        <w:jc w:val="both"/>
        <w:rPr>
          <w:rFonts w:ascii="Calibri" w:hAnsi="Calibri"/>
          <w:color w:val="000000"/>
        </w:rPr>
      </w:pPr>
      <w:r>
        <w:rPr>
          <w:rFonts w:ascii="Calibri" w:hAnsi="Calibri"/>
          <w:color w:val="000000"/>
        </w:rPr>
        <w:t>In 2019/20, 4,092 people who had migrated from overseas settled in Greater Dandenong – the fourth highest level of settlement in Victoria (after Melbourne, Wyndham and Casey). Among them, over half (57%) had arrived under immigration provisions, 37% under family reunion schemes, and 6% as humanitarian arrivals – a decline from 2011/12, when a third of settlers had arrived under humanitarian arrangements.</w:t>
      </w:r>
    </w:p>
    <w:p w14:paraId="771D2C46" w14:textId="77777777" w:rsidR="00C65183" w:rsidRDefault="00C65183" w:rsidP="00C65183">
      <w:pPr>
        <w:spacing w:line="360" w:lineRule="auto"/>
        <w:jc w:val="both"/>
        <w:rPr>
          <w:rFonts w:ascii="Calibri" w:hAnsi="Calibri"/>
        </w:rPr>
      </w:pPr>
      <w:r w:rsidRPr="00CE44E3">
        <w:rPr>
          <w:rFonts w:ascii="Calibri" w:hAnsi="Calibri"/>
        </w:rPr>
        <w:t xml:space="preserve">A </w:t>
      </w:r>
      <w:r>
        <w:rPr>
          <w:rFonts w:ascii="Calibri" w:hAnsi="Calibri"/>
        </w:rPr>
        <w:t>notable</w:t>
      </w:r>
      <w:r w:rsidRPr="00CE44E3">
        <w:rPr>
          <w:rFonts w:ascii="Calibri" w:hAnsi="Calibri"/>
        </w:rPr>
        <w:t xml:space="preserve"> feature of </w:t>
      </w:r>
      <w:r>
        <w:rPr>
          <w:rFonts w:ascii="Calibri" w:hAnsi="Calibri"/>
        </w:rPr>
        <w:t>current, local</w:t>
      </w:r>
      <w:r w:rsidRPr="00CE44E3">
        <w:rPr>
          <w:rFonts w:ascii="Calibri" w:hAnsi="Calibri"/>
        </w:rPr>
        <w:t xml:space="preserve"> settlement patterns is </w:t>
      </w:r>
      <w:r>
        <w:rPr>
          <w:rFonts w:ascii="Calibri" w:hAnsi="Calibri"/>
        </w:rPr>
        <w:t>a 50%</w:t>
      </w:r>
      <w:r w:rsidRPr="00CE44E3">
        <w:rPr>
          <w:rFonts w:ascii="Calibri" w:hAnsi="Calibri"/>
        </w:rPr>
        <w:t xml:space="preserve"> </w:t>
      </w:r>
      <w:r>
        <w:rPr>
          <w:rFonts w:ascii="Calibri" w:hAnsi="Calibri"/>
        </w:rPr>
        <w:t>rise</w:t>
      </w:r>
      <w:r w:rsidRPr="00CE44E3">
        <w:rPr>
          <w:rFonts w:ascii="Calibri" w:hAnsi="Calibri"/>
        </w:rPr>
        <w:t xml:space="preserve"> </w:t>
      </w:r>
      <w:r>
        <w:rPr>
          <w:rFonts w:ascii="Calibri" w:hAnsi="Calibri"/>
        </w:rPr>
        <w:t>in annual settlement in Greater Dandenong</w:t>
      </w:r>
      <w:r w:rsidRPr="00CE44E3">
        <w:rPr>
          <w:rFonts w:ascii="Calibri" w:hAnsi="Calibri"/>
        </w:rPr>
        <w:t xml:space="preserve">, </w:t>
      </w:r>
      <w:r>
        <w:rPr>
          <w:rFonts w:ascii="Calibri" w:hAnsi="Calibri"/>
        </w:rPr>
        <w:t xml:space="preserve">from </w:t>
      </w:r>
      <w:r w:rsidRPr="00CE44E3">
        <w:rPr>
          <w:rFonts w:ascii="Calibri" w:hAnsi="Calibri"/>
        </w:rPr>
        <w:t>2,737</w:t>
      </w:r>
      <w:r>
        <w:rPr>
          <w:rFonts w:ascii="Calibri" w:hAnsi="Calibri"/>
        </w:rPr>
        <w:t xml:space="preserve"> in </w:t>
      </w:r>
      <w:r w:rsidRPr="00CE44E3">
        <w:rPr>
          <w:rFonts w:ascii="Calibri" w:hAnsi="Calibri"/>
        </w:rPr>
        <w:t xml:space="preserve">2011/12 to </w:t>
      </w:r>
      <w:r>
        <w:rPr>
          <w:rFonts w:ascii="Calibri" w:hAnsi="Calibri"/>
        </w:rPr>
        <w:t xml:space="preserve">4,092 in </w:t>
      </w:r>
      <w:r w:rsidRPr="00CE44E3">
        <w:rPr>
          <w:rFonts w:ascii="Calibri" w:hAnsi="Calibri"/>
        </w:rPr>
        <w:t>20</w:t>
      </w:r>
      <w:r>
        <w:rPr>
          <w:rFonts w:ascii="Calibri" w:hAnsi="Calibri"/>
        </w:rPr>
        <w:t>19</w:t>
      </w:r>
      <w:r w:rsidRPr="00CE44E3">
        <w:rPr>
          <w:rFonts w:ascii="Calibri" w:hAnsi="Calibri"/>
        </w:rPr>
        <w:t>/</w:t>
      </w:r>
      <w:r>
        <w:rPr>
          <w:rFonts w:ascii="Calibri" w:hAnsi="Calibri"/>
        </w:rPr>
        <w:t>20.</w:t>
      </w:r>
    </w:p>
    <w:p w14:paraId="3538840C" w14:textId="77777777" w:rsidR="00C65183" w:rsidRDefault="00C65183" w:rsidP="00C65183">
      <w:pPr>
        <w:tabs>
          <w:tab w:val="left" w:pos="5812"/>
        </w:tabs>
        <w:spacing w:line="360" w:lineRule="auto"/>
        <w:jc w:val="both"/>
        <w:rPr>
          <w:rFonts w:ascii="Calibri" w:hAnsi="Calibri"/>
          <w:color w:val="000000"/>
        </w:rPr>
      </w:pPr>
      <w:r>
        <w:rPr>
          <w:rFonts w:ascii="Calibri" w:hAnsi="Calibri"/>
          <w:color w:val="000000"/>
        </w:rPr>
        <w:t>In 2019/20, over four-fifths (84%) of settlers across Victoria were aged less than 35 years, and just over half (54%) were females. Most were from countries such as India, accounting for 25%, as well as China, Vietnam, Philippines, Sri Lanka, Pakistan and Nepal – which together accounted for over half of all settlement during that year</w:t>
      </w:r>
    </w:p>
    <w:p w14:paraId="542E9BB2" w14:textId="77777777" w:rsidR="00C65183" w:rsidRPr="004023BF" w:rsidRDefault="00C65183" w:rsidP="00C65183">
      <w:pPr>
        <w:tabs>
          <w:tab w:val="left" w:pos="5812"/>
        </w:tabs>
        <w:spacing w:line="360" w:lineRule="auto"/>
        <w:jc w:val="both"/>
        <w:rPr>
          <w:rFonts w:ascii="Calibri" w:hAnsi="Calibri"/>
          <w:color w:val="000000"/>
          <w:sz w:val="12"/>
          <w:szCs w:val="12"/>
        </w:rPr>
      </w:pPr>
    </w:p>
    <w:p w14:paraId="1B17E59E" w14:textId="77777777" w:rsidR="00C65183" w:rsidRDefault="00C65183" w:rsidP="00C65183">
      <w:pPr>
        <w:tabs>
          <w:tab w:val="left" w:pos="5812"/>
        </w:tabs>
        <w:spacing w:line="360" w:lineRule="auto"/>
        <w:jc w:val="both"/>
        <w:rPr>
          <w:rFonts w:ascii="Calibri" w:hAnsi="Calibri"/>
          <w:b/>
          <w:color w:val="000000"/>
        </w:rPr>
      </w:pPr>
      <w:r>
        <w:rPr>
          <w:noProof/>
          <w:lang w:eastAsia="en-AU"/>
        </w:rPr>
        <w:drawing>
          <wp:anchor distT="0" distB="0" distL="114300" distR="114300" simplePos="0" relativeHeight="251944960" behindDoc="0" locked="0" layoutInCell="1" allowOverlap="1" wp14:anchorId="6BA48AC9" wp14:editId="226D2EF1">
            <wp:simplePos x="0" y="0"/>
            <wp:positionH relativeFrom="margin">
              <wp:posOffset>3210877</wp:posOffset>
            </wp:positionH>
            <wp:positionV relativeFrom="paragraph">
              <wp:posOffset>114935</wp:posOffset>
            </wp:positionV>
            <wp:extent cx="2868295" cy="1642745"/>
            <wp:effectExtent l="0" t="0" r="8255" b="0"/>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70">
                      <a:extLst>
                        <a:ext uri="{28A0092B-C50C-407E-A947-70E740481C1C}">
                          <a14:useLocalDpi xmlns:a14="http://schemas.microsoft.com/office/drawing/2010/main" val="0"/>
                        </a:ext>
                      </a:extLst>
                    </a:blip>
                    <a:srcRect l="8855" t="5278" r="3386" b="5371"/>
                    <a:stretch>
                      <a:fillRect/>
                    </a:stretch>
                  </pic:blipFill>
                  <pic:spPr bwMode="auto">
                    <a:xfrm>
                      <a:off x="0" y="0"/>
                      <a:ext cx="2868295" cy="164274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libri" w:hAnsi="Calibri"/>
          <w:color w:val="000000"/>
        </w:rPr>
        <w:t>In 2016/17, the latest year for which more detailed, local information is available, a quarter of the settlers in Greater Dandenong were humanitarian migrants, numbering 388 – fewer than half the 750 who settled in 2010/11 – though still the sixth highest number in Victoria.</w:t>
      </w:r>
    </w:p>
    <w:p w14:paraId="7ED08BBA" w14:textId="77777777" w:rsidR="00C65183" w:rsidRPr="00CF4B40" w:rsidRDefault="00C65183" w:rsidP="00C65183">
      <w:pPr>
        <w:tabs>
          <w:tab w:val="left" w:pos="5812"/>
        </w:tabs>
        <w:jc w:val="both"/>
        <w:rPr>
          <w:rFonts w:ascii="Calibri" w:hAnsi="Calibri"/>
          <w:b/>
          <w:color w:val="000000"/>
          <w:sz w:val="12"/>
          <w:szCs w:val="12"/>
        </w:rPr>
      </w:pPr>
    </w:p>
    <w:p w14:paraId="218D5AA7" w14:textId="77777777" w:rsidR="00C65183" w:rsidRPr="0040564E" w:rsidRDefault="00C65183" w:rsidP="00C65183">
      <w:pPr>
        <w:tabs>
          <w:tab w:val="left" w:pos="5812"/>
        </w:tabs>
        <w:jc w:val="both"/>
        <w:rPr>
          <w:rFonts w:ascii="Calibri" w:hAnsi="Calibri"/>
          <w:color w:val="7F7F7F"/>
          <w:sz w:val="20"/>
          <w:szCs w:val="20"/>
        </w:rPr>
      </w:pPr>
      <w:r w:rsidRPr="0040564E">
        <w:rPr>
          <w:rFonts w:ascii="Calibri" w:hAnsi="Calibri"/>
          <w:color w:val="7F7F7F"/>
          <w:sz w:val="20"/>
          <w:szCs w:val="20"/>
        </w:rPr>
        <w:t>Settlement by Migration Stream: Greater Dandenong, 2015/16</w:t>
      </w:r>
    </w:p>
    <w:p w14:paraId="46DB8AB7" w14:textId="77777777" w:rsidR="00C65183" w:rsidRDefault="00C65183" w:rsidP="00C65183">
      <w:pPr>
        <w:jc w:val="both"/>
        <w:rPr>
          <w:rFonts w:ascii="Calibri" w:hAnsi="Calibri"/>
          <w:color w:val="7F7F7F"/>
        </w:rPr>
      </w:pPr>
      <w:r>
        <w:rPr>
          <w:noProof/>
          <w:lang w:eastAsia="en-AU"/>
        </w:rPr>
        <w:drawing>
          <wp:anchor distT="0" distB="0" distL="114300" distR="114300" simplePos="0" relativeHeight="251943936" behindDoc="0" locked="0" layoutInCell="1" allowOverlap="1" wp14:anchorId="51AE9902" wp14:editId="3230CA2E">
            <wp:simplePos x="0" y="0"/>
            <wp:positionH relativeFrom="margin">
              <wp:posOffset>13335</wp:posOffset>
            </wp:positionH>
            <wp:positionV relativeFrom="paragraph">
              <wp:posOffset>36830</wp:posOffset>
            </wp:positionV>
            <wp:extent cx="2733675" cy="3046095"/>
            <wp:effectExtent l="0" t="0" r="9525" b="1905"/>
            <wp:wrapSquare wrapText="bothSides"/>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733675" cy="30460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F656459" w14:textId="77777777" w:rsidR="00C65183" w:rsidRDefault="00C65183" w:rsidP="00C65183">
      <w:pPr>
        <w:jc w:val="both"/>
        <w:rPr>
          <w:rFonts w:ascii="Calibri" w:hAnsi="Calibri"/>
          <w:color w:val="7F7F7F"/>
        </w:rPr>
      </w:pPr>
    </w:p>
    <w:p w14:paraId="1FC78A51" w14:textId="77777777" w:rsidR="00C65183" w:rsidRPr="00CF4B40" w:rsidRDefault="00C65183" w:rsidP="00C65183">
      <w:pPr>
        <w:tabs>
          <w:tab w:val="left" w:pos="5812"/>
        </w:tabs>
        <w:spacing w:line="360" w:lineRule="auto"/>
        <w:jc w:val="both"/>
        <w:rPr>
          <w:rFonts w:ascii="Calibri" w:hAnsi="Calibri"/>
          <w:color w:val="000000"/>
        </w:rPr>
      </w:pPr>
      <w:r w:rsidRPr="00CF4B40">
        <w:rPr>
          <w:rFonts w:ascii="Calibri" w:hAnsi="Calibri"/>
          <w:color w:val="000000"/>
        </w:rPr>
        <w:t>Settlement during that year was largely from countries such as India, Afghanistan, Cambodia, Vietnam and China, reflecting current humanitarian settlement trends, and family reunion with residents</w:t>
      </w:r>
      <w:r>
        <w:rPr>
          <w:rFonts w:ascii="Calibri" w:hAnsi="Calibri"/>
          <w:color w:val="000000"/>
        </w:rPr>
        <w:t xml:space="preserve"> from these nations.</w:t>
      </w:r>
    </w:p>
    <w:p w14:paraId="45121320" w14:textId="77777777" w:rsidR="00C65183" w:rsidRDefault="00C65183" w:rsidP="00C65183">
      <w:pPr>
        <w:jc w:val="both"/>
        <w:rPr>
          <w:rFonts w:ascii="Calibri" w:hAnsi="Calibri"/>
          <w:color w:val="7F7F7F"/>
        </w:rPr>
      </w:pPr>
    </w:p>
    <w:p w14:paraId="61749A53" w14:textId="77777777" w:rsidR="00C65183" w:rsidRPr="0040564E" w:rsidRDefault="00C65183" w:rsidP="00C65183">
      <w:pPr>
        <w:jc w:val="both"/>
        <w:rPr>
          <w:rFonts w:ascii="Calibri" w:hAnsi="Calibri"/>
          <w:sz w:val="20"/>
          <w:szCs w:val="20"/>
        </w:rPr>
      </w:pPr>
      <w:r w:rsidRPr="0040564E">
        <w:rPr>
          <w:rFonts w:ascii="Calibri" w:hAnsi="Calibri"/>
          <w:color w:val="7F7F7F"/>
          <w:sz w:val="20"/>
          <w:szCs w:val="20"/>
        </w:rPr>
        <w:t>Settlement by selected birthplaces: Greater Dandenong, 2016/17</w:t>
      </w:r>
    </w:p>
    <w:p w14:paraId="51514AFA" w14:textId="77777777" w:rsidR="00C65183" w:rsidRPr="00D4444C" w:rsidRDefault="00C65183" w:rsidP="00C65183">
      <w:pPr>
        <w:tabs>
          <w:tab w:val="left" w:pos="284"/>
        </w:tabs>
        <w:jc w:val="both"/>
        <w:rPr>
          <w:rFonts w:ascii="Calibri" w:hAnsi="Calibri"/>
          <w:color w:val="000000"/>
          <w:sz w:val="12"/>
          <w:szCs w:val="12"/>
        </w:rPr>
      </w:pPr>
      <w:r>
        <w:rPr>
          <w:rFonts w:ascii="Calibri" w:hAnsi="Calibri"/>
          <w:noProof/>
          <w:lang w:eastAsia="en-AU"/>
        </w:rPr>
        <w:drawing>
          <wp:anchor distT="0" distB="0" distL="114300" distR="114300" simplePos="0" relativeHeight="251945984" behindDoc="0" locked="0" layoutInCell="1" allowOverlap="1" wp14:anchorId="14C90222" wp14:editId="7E638766">
            <wp:simplePos x="0" y="0"/>
            <wp:positionH relativeFrom="margin">
              <wp:posOffset>1149033</wp:posOffset>
            </wp:positionH>
            <wp:positionV relativeFrom="paragraph">
              <wp:posOffset>8890</wp:posOffset>
            </wp:positionV>
            <wp:extent cx="1781117" cy="1172123"/>
            <wp:effectExtent l="0" t="0" r="0" b="9525"/>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munity Ethnic 10.JP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1781117" cy="1172123"/>
                    </a:xfrm>
                    <a:prstGeom prst="rect">
                      <a:avLst/>
                    </a:prstGeom>
                    <a:ln>
                      <a:noFill/>
                    </a:ln>
                    <a:effectLst>
                      <a:softEdge rad="317500"/>
                    </a:effectLst>
                  </pic:spPr>
                </pic:pic>
              </a:graphicData>
            </a:graphic>
            <wp14:sizeRelH relativeFrom="page">
              <wp14:pctWidth>0</wp14:pctWidth>
            </wp14:sizeRelH>
            <wp14:sizeRelV relativeFrom="page">
              <wp14:pctHeight>0</wp14:pctHeight>
            </wp14:sizeRelV>
          </wp:anchor>
        </w:drawing>
      </w:r>
    </w:p>
    <w:p w14:paraId="36B63715" w14:textId="77777777" w:rsidR="00C65183" w:rsidRDefault="00C65183" w:rsidP="00C65183">
      <w:pPr>
        <w:tabs>
          <w:tab w:val="left" w:pos="284"/>
        </w:tabs>
        <w:spacing w:before="120" w:line="360" w:lineRule="auto"/>
        <w:jc w:val="both"/>
        <w:rPr>
          <w:rFonts w:ascii="Calibri" w:hAnsi="Calibri"/>
          <w:color w:val="000000"/>
        </w:rPr>
      </w:pPr>
    </w:p>
    <w:p w14:paraId="076BE771" w14:textId="77777777" w:rsidR="00C65183" w:rsidRDefault="00C65183" w:rsidP="00C65183">
      <w:pPr>
        <w:tabs>
          <w:tab w:val="left" w:pos="284"/>
        </w:tabs>
        <w:spacing w:before="120" w:line="360" w:lineRule="auto"/>
        <w:jc w:val="both"/>
        <w:rPr>
          <w:rFonts w:ascii="Calibri" w:hAnsi="Calibri"/>
          <w:color w:val="000000"/>
        </w:rPr>
      </w:pPr>
      <w:r>
        <w:rPr>
          <w:rFonts w:ascii="Calibri" w:hAnsi="Calibri"/>
          <w:noProof/>
          <w:color w:val="000000"/>
          <w:lang w:eastAsia="en-AU"/>
        </w:rPr>
        <w:drawing>
          <wp:anchor distT="0" distB="0" distL="114300" distR="114300" simplePos="0" relativeHeight="251947008" behindDoc="0" locked="0" layoutInCell="1" allowOverlap="1" wp14:anchorId="4B4E44F9" wp14:editId="14B8D41C">
            <wp:simplePos x="0" y="0"/>
            <wp:positionH relativeFrom="margin">
              <wp:posOffset>4999673</wp:posOffset>
            </wp:positionH>
            <wp:positionV relativeFrom="paragraph">
              <wp:posOffset>4091</wp:posOffset>
            </wp:positionV>
            <wp:extent cx="1118614" cy="780134"/>
            <wp:effectExtent l="0" t="0" r="5715" b="1270"/>
            <wp:wrapNone/>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munity Ethnic 27.jp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1118614" cy="780134"/>
                    </a:xfrm>
                    <a:prstGeom prst="rect">
                      <a:avLst/>
                    </a:prstGeom>
                    <a:ln>
                      <a:noFill/>
                    </a:ln>
                    <a:effectLst>
                      <a:softEdge rad="127000"/>
                    </a:effectLst>
                  </pic:spPr>
                </pic:pic>
              </a:graphicData>
            </a:graphic>
            <wp14:sizeRelH relativeFrom="page">
              <wp14:pctWidth>0</wp14:pctWidth>
            </wp14:sizeRelH>
            <wp14:sizeRelV relativeFrom="page">
              <wp14:pctHeight>0</wp14:pctHeight>
            </wp14:sizeRelV>
          </wp:anchor>
        </w:drawing>
      </w:r>
    </w:p>
    <w:p w14:paraId="519A801D" w14:textId="77777777" w:rsidR="00C65183" w:rsidRDefault="00C65183" w:rsidP="00C65183">
      <w:pPr>
        <w:tabs>
          <w:tab w:val="left" w:pos="284"/>
        </w:tabs>
        <w:spacing w:before="120" w:line="360" w:lineRule="auto"/>
        <w:jc w:val="both"/>
        <w:rPr>
          <w:rFonts w:ascii="Calibri" w:hAnsi="Calibri"/>
        </w:rPr>
      </w:pPr>
    </w:p>
    <w:p w14:paraId="2F31BCDE" w14:textId="77777777" w:rsidR="00C65183" w:rsidRDefault="00C65183" w:rsidP="00C65183">
      <w:pPr>
        <w:rPr>
          <w:rFonts w:asciiTheme="minorHAnsi" w:hAnsiTheme="minorHAnsi" w:cstheme="minorHAnsi"/>
        </w:rPr>
      </w:pPr>
      <w:r>
        <w:rPr>
          <w:rFonts w:asciiTheme="minorHAnsi" w:hAnsiTheme="minorHAnsi" w:cstheme="minorHAnsi"/>
        </w:rPr>
        <w:br w:type="page"/>
      </w:r>
    </w:p>
    <w:p w14:paraId="22274C72" w14:textId="77777777" w:rsidR="00C65183" w:rsidRPr="00827F47" w:rsidRDefault="00C65183" w:rsidP="00C65183">
      <w:pPr>
        <w:pBdr>
          <w:top w:val="single" w:sz="4" w:space="0" w:color="244061" w:themeColor="accent1" w:themeShade="80"/>
          <w:bottom w:val="single" w:sz="4" w:space="1" w:color="244061" w:themeColor="accent1" w:themeShade="80"/>
        </w:pBdr>
        <w:tabs>
          <w:tab w:val="center" w:pos="4678"/>
        </w:tabs>
        <w:jc w:val="center"/>
        <w:rPr>
          <w:rFonts w:ascii="Garamond" w:hAnsi="Garamond"/>
          <w:noProof/>
          <w:color w:val="244061" w:themeColor="accent1" w:themeShade="80"/>
          <w:sz w:val="34"/>
          <w:szCs w:val="34"/>
        </w:rPr>
      </w:pPr>
      <w:r w:rsidRPr="00827F47">
        <w:rPr>
          <w:rFonts w:ascii="Garamond" w:hAnsi="Garamond"/>
          <w:noProof/>
          <w:color w:val="244061" w:themeColor="accent1" w:themeShade="80"/>
          <w:sz w:val="34"/>
          <w:szCs w:val="34"/>
        </w:rPr>
        <w:lastRenderedPageBreak/>
        <w:t>Asylum-seekers</w:t>
      </w:r>
    </w:p>
    <w:p w14:paraId="58AC62F1" w14:textId="77777777" w:rsidR="00C65183" w:rsidRDefault="00C65183" w:rsidP="00C65183">
      <w:pPr>
        <w:rPr>
          <w:rFonts w:asciiTheme="minorHAnsi" w:hAnsiTheme="minorHAnsi"/>
        </w:rPr>
      </w:pPr>
    </w:p>
    <w:p w14:paraId="685C93DC" w14:textId="77777777" w:rsidR="00C65183" w:rsidRDefault="00C65183" w:rsidP="00C65183">
      <w:pPr>
        <w:rPr>
          <w:rFonts w:asciiTheme="minorHAnsi" w:hAnsiTheme="minorHAnsi"/>
        </w:rPr>
      </w:pPr>
    </w:p>
    <w:p w14:paraId="42A156BB" w14:textId="77777777" w:rsidR="00C65183" w:rsidRDefault="00C65183" w:rsidP="00C65183">
      <w:pPr>
        <w:rPr>
          <w:rFonts w:asciiTheme="minorHAnsi" w:hAnsiTheme="minorHAnsi"/>
        </w:rPr>
      </w:pPr>
    </w:p>
    <w:p w14:paraId="42892EC8" w14:textId="77777777" w:rsidR="00C65183" w:rsidRDefault="00C65183" w:rsidP="00C65183">
      <w:pPr>
        <w:spacing w:line="360" w:lineRule="auto"/>
        <w:jc w:val="both"/>
        <w:rPr>
          <w:rFonts w:ascii="Calibri" w:hAnsi="Calibri"/>
          <w:b/>
          <w:noProof/>
          <w:sz w:val="12"/>
          <w:szCs w:val="12"/>
          <w:lang w:eastAsia="en-AU"/>
        </w:rPr>
      </w:pPr>
      <w:r w:rsidRPr="009A517A">
        <w:rPr>
          <w:rFonts w:asciiTheme="minorHAnsi" w:hAnsiTheme="minorHAnsi"/>
        </w:rPr>
        <w:t>The following remarks summarise information published by the Commonwealth Department of Immigration and Border Protection concerning the number, geographic distribution and characteristics of asylum-seekers</w:t>
      </w:r>
      <w:r>
        <w:rPr>
          <w:rFonts w:asciiTheme="minorHAnsi" w:hAnsiTheme="minorHAnsi"/>
        </w:rPr>
        <w:t xml:space="preserve"> who had arrived in Australia by boat, who were living in Victoria</w:t>
      </w:r>
      <w:r w:rsidRPr="009A517A">
        <w:rPr>
          <w:rFonts w:asciiTheme="minorHAnsi" w:hAnsiTheme="minorHAnsi"/>
        </w:rPr>
        <w:t xml:space="preserve"> in </w:t>
      </w:r>
      <w:r>
        <w:rPr>
          <w:rFonts w:asciiTheme="minorHAnsi" w:hAnsiTheme="minorHAnsi"/>
        </w:rPr>
        <w:t>September 2020</w:t>
      </w:r>
      <w:r w:rsidRPr="009A517A">
        <w:rPr>
          <w:rFonts w:asciiTheme="minorHAnsi" w:hAnsiTheme="minorHAnsi"/>
        </w:rPr>
        <w:t>.</w:t>
      </w:r>
      <w:r w:rsidRPr="00096454">
        <w:rPr>
          <w:rFonts w:ascii="Calibri" w:hAnsi="Calibri"/>
          <w:b/>
          <w:noProof/>
          <w:sz w:val="12"/>
          <w:szCs w:val="12"/>
          <w:lang w:eastAsia="en-AU"/>
        </w:rPr>
        <w:t xml:space="preserve"> </w:t>
      </w:r>
    </w:p>
    <w:p w14:paraId="23D4893F" w14:textId="77777777" w:rsidR="00C65183" w:rsidRPr="009A517A" w:rsidRDefault="00C65183" w:rsidP="00C65183">
      <w:pPr>
        <w:spacing w:line="360" w:lineRule="auto"/>
        <w:jc w:val="both"/>
        <w:rPr>
          <w:rFonts w:asciiTheme="minorHAnsi" w:hAnsiTheme="minorHAnsi"/>
        </w:rPr>
      </w:pPr>
    </w:p>
    <w:p w14:paraId="2BA20084" w14:textId="77777777" w:rsidR="00C65183" w:rsidRPr="0082495C" w:rsidRDefault="00C65183" w:rsidP="00C65183">
      <w:pPr>
        <w:jc w:val="both"/>
        <w:rPr>
          <w:rFonts w:asciiTheme="minorHAnsi" w:hAnsiTheme="minorHAnsi"/>
          <w:b/>
          <w:i/>
          <w:color w:val="17365D" w:themeColor="text2" w:themeShade="BF"/>
        </w:rPr>
      </w:pPr>
      <w:r w:rsidRPr="00621205">
        <w:rPr>
          <w:rFonts w:ascii="Calibri" w:eastAsia="Calibri" w:hAnsi="Calibri"/>
          <w:b/>
        </w:rPr>
        <w:t>Municipality of Residence</w:t>
      </w:r>
    </w:p>
    <w:p w14:paraId="00FA9E80" w14:textId="77777777" w:rsidR="00C65183" w:rsidRPr="009A517A" w:rsidRDefault="00C65183" w:rsidP="00C65183">
      <w:pPr>
        <w:spacing w:line="360" w:lineRule="auto"/>
        <w:jc w:val="both"/>
        <w:rPr>
          <w:rFonts w:asciiTheme="minorHAnsi" w:hAnsiTheme="minorHAnsi"/>
        </w:rPr>
      </w:pPr>
      <w:r w:rsidRPr="009A517A">
        <w:rPr>
          <w:rFonts w:asciiTheme="minorHAnsi" w:hAnsiTheme="minorHAnsi"/>
        </w:rPr>
        <w:t xml:space="preserve">In </w:t>
      </w:r>
      <w:r>
        <w:rPr>
          <w:rFonts w:asciiTheme="minorHAnsi" w:hAnsiTheme="minorHAnsi"/>
        </w:rPr>
        <w:t>September 2020</w:t>
      </w:r>
      <w:r w:rsidRPr="009A517A">
        <w:rPr>
          <w:rFonts w:asciiTheme="minorHAnsi" w:hAnsiTheme="minorHAnsi"/>
        </w:rPr>
        <w:t xml:space="preserve">, </w:t>
      </w:r>
      <w:r>
        <w:rPr>
          <w:rFonts w:asciiTheme="minorHAnsi" w:hAnsiTheme="minorHAnsi"/>
        </w:rPr>
        <w:t xml:space="preserve">5,655 asylum-seekers who had arrived in Australia by boat, </w:t>
      </w:r>
      <w:r w:rsidRPr="009A517A">
        <w:rPr>
          <w:rFonts w:asciiTheme="minorHAnsi" w:hAnsiTheme="minorHAnsi"/>
        </w:rPr>
        <w:t xml:space="preserve">were living in Victoria. </w:t>
      </w:r>
    </w:p>
    <w:p w14:paraId="299F401C" w14:textId="77777777" w:rsidR="00C65183" w:rsidRDefault="00C65183" w:rsidP="00C65183">
      <w:pPr>
        <w:spacing w:line="360" w:lineRule="auto"/>
        <w:jc w:val="both"/>
        <w:rPr>
          <w:rFonts w:asciiTheme="minorHAnsi" w:hAnsiTheme="minorHAnsi"/>
        </w:rPr>
      </w:pPr>
      <w:r w:rsidRPr="0082495C">
        <w:rPr>
          <w:rFonts w:asciiTheme="minorHAnsi" w:hAnsiTheme="minorHAnsi"/>
        </w:rPr>
        <w:t>Approximately three-quarters</w:t>
      </w:r>
      <w:r w:rsidRPr="00732DE0">
        <w:rPr>
          <w:rFonts w:asciiTheme="minorHAnsi" w:hAnsiTheme="minorHAnsi"/>
        </w:rPr>
        <w:t xml:space="preserve"> (</w:t>
      </w:r>
      <w:r w:rsidRPr="009A517A">
        <w:rPr>
          <w:rFonts w:asciiTheme="minorHAnsi" w:hAnsiTheme="minorHAnsi"/>
        </w:rPr>
        <w:t>7</w:t>
      </w:r>
      <w:r>
        <w:rPr>
          <w:rFonts w:asciiTheme="minorHAnsi" w:hAnsiTheme="minorHAnsi"/>
        </w:rPr>
        <w:t>7</w:t>
      </w:r>
      <w:r w:rsidRPr="009A517A">
        <w:rPr>
          <w:rFonts w:asciiTheme="minorHAnsi" w:hAnsiTheme="minorHAnsi"/>
        </w:rPr>
        <w:t xml:space="preserve">%) were male and </w:t>
      </w:r>
      <w:r>
        <w:rPr>
          <w:rFonts w:asciiTheme="minorHAnsi" w:hAnsiTheme="minorHAnsi"/>
        </w:rPr>
        <w:t xml:space="preserve">about a quarter (23%) </w:t>
      </w:r>
      <w:r w:rsidRPr="009A517A">
        <w:rPr>
          <w:rFonts w:asciiTheme="minorHAnsi" w:hAnsiTheme="minorHAnsi"/>
        </w:rPr>
        <w:t xml:space="preserve">female. </w:t>
      </w:r>
    </w:p>
    <w:p w14:paraId="5D6B4112" w14:textId="77777777" w:rsidR="00C65183" w:rsidRDefault="00C65183" w:rsidP="00C65183">
      <w:pPr>
        <w:spacing w:line="360" w:lineRule="auto"/>
        <w:jc w:val="both"/>
        <w:rPr>
          <w:rFonts w:asciiTheme="minorHAnsi" w:hAnsiTheme="minorHAnsi"/>
        </w:rPr>
      </w:pPr>
      <w:r>
        <w:rPr>
          <w:rFonts w:asciiTheme="minorHAnsi" w:hAnsiTheme="minorHAnsi"/>
          <w:noProof/>
        </w:rPr>
        <w:drawing>
          <wp:anchor distT="0" distB="0" distL="114300" distR="114300" simplePos="0" relativeHeight="251713536" behindDoc="0" locked="0" layoutInCell="1" allowOverlap="1" wp14:anchorId="11ADECDF" wp14:editId="5864F16A">
            <wp:simplePos x="0" y="0"/>
            <wp:positionH relativeFrom="margin">
              <wp:posOffset>1753235</wp:posOffset>
            </wp:positionH>
            <wp:positionV relativeFrom="paragraph">
              <wp:posOffset>145415</wp:posOffset>
            </wp:positionV>
            <wp:extent cx="4460240" cy="5076190"/>
            <wp:effectExtent l="0" t="0" r="0" b="0"/>
            <wp:wrapSquare wrapText="bothSides"/>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460240" cy="5076190"/>
                    </a:xfrm>
                    <a:prstGeom prst="rect">
                      <a:avLst/>
                    </a:prstGeom>
                    <a:noFill/>
                  </pic:spPr>
                </pic:pic>
              </a:graphicData>
            </a:graphic>
            <wp14:sizeRelH relativeFrom="page">
              <wp14:pctWidth>0</wp14:pctWidth>
            </wp14:sizeRelH>
            <wp14:sizeRelV relativeFrom="page">
              <wp14:pctHeight>0</wp14:pctHeight>
            </wp14:sizeRelV>
          </wp:anchor>
        </w:drawing>
      </w:r>
    </w:p>
    <w:p w14:paraId="76AC3F24" w14:textId="77777777" w:rsidR="00C65183" w:rsidRDefault="00C65183" w:rsidP="00C65183">
      <w:pPr>
        <w:spacing w:line="360" w:lineRule="auto"/>
        <w:jc w:val="both"/>
        <w:rPr>
          <w:rFonts w:asciiTheme="minorHAnsi" w:hAnsiTheme="minorHAnsi"/>
        </w:rPr>
      </w:pPr>
    </w:p>
    <w:p w14:paraId="48FF4A4E" w14:textId="77777777" w:rsidR="00C65183" w:rsidRDefault="00C65183" w:rsidP="00C65183">
      <w:pPr>
        <w:spacing w:line="360" w:lineRule="auto"/>
        <w:jc w:val="both"/>
        <w:rPr>
          <w:rFonts w:asciiTheme="minorHAnsi" w:hAnsiTheme="minorHAnsi"/>
        </w:rPr>
      </w:pPr>
    </w:p>
    <w:p w14:paraId="04D2607D" w14:textId="77777777" w:rsidR="00C65183" w:rsidRPr="0040564E" w:rsidRDefault="00C65183" w:rsidP="00C65183">
      <w:pPr>
        <w:jc w:val="both"/>
        <w:rPr>
          <w:rFonts w:asciiTheme="minorHAnsi" w:hAnsiTheme="minorHAnsi"/>
          <w:b/>
          <w:color w:val="17365D" w:themeColor="text2" w:themeShade="BF"/>
        </w:rPr>
      </w:pPr>
      <w:r w:rsidRPr="00732DE0">
        <w:rPr>
          <w:rFonts w:ascii="Calibri" w:hAnsi="Calibri"/>
          <w:noProof/>
          <w:lang w:eastAsia="en-AU"/>
        </w:rPr>
        <w:drawing>
          <wp:anchor distT="0" distB="0" distL="114300" distR="114300" simplePos="0" relativeHeight="251714560" behindDoc="0" locked="0" layoutInCell="1" allowOverlap="1" wp14:anchorId="338E5782" wp14:editId="76BFF48F">
            <wp:simplePos x="0" y="0"/>
            <wp:positionH relativeFrom="column">
              <wp:posOffset>4869498</wp:posOffset>
            </wp:positionH>
            <wp:positionV relativeFrom="paragraph">
              <wp:posOffset>327978</wp:posOffset>
            </wp:positionV>
            <wp:extent cx="1076135" cy="1790382"/>
            <wp:effectExtent l="0" t="0" r="0" b="635"/>
            <wp:wrapNone/>
            <wp:docPr id="184" name="Picture 11" descr="Family 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descr="Family 7.jpg"/>
                    <pic:cNvPicPr>
                      <a:picLocks noChangeArrowheads="1"/>
                    </pic:cNvPicPr>
                  </pic:nvPicPr>
                  <pic:blipFill>
                    <a:blip r:embed="rId75" cstate="print"/>
                    <a:srcRect l="6290" t="3407" r="15759" b="5804"/>
                    <a:stretch>
                      <a:fillRect/>
                    </a:stretch>
                  </pic:blipFill>
                  <pic:spPr bwMode="auto">
                    <a:xfrm>
                      <a:off x="0" y="0"/>
                      <a:ext cx="1076135" cy="1790382"/>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40564E">
        <w:rPr>
          <w:rFonts w:asciiTheme="minorHAnsi" w:hAnsiTheme="minorHAnsi"/>
          <w:color w:val="404040" w:themeColor="text1" w:themeTint="BF"/>
          <w:sz w:val="20"/>
          <w:szCs w:val="20"/>
        </w:rPr>
        <w:t xml:space="preserve">Asylum-seekers by </w:t>
      </w:r>
      <w:r>
        <w:rPr>
          <w:rFonts w:asciiTheme="minorHAnsi" w:hAnsiTheme="minorHAnsi"/>
          <w:color w:val="404040" w:themeColor="text1" w:themeTint="BF"/>
          <w:sz w:val="20"/>
          <w:szCs w:val="20"/>
        </w:rPr>
        <w:t>m</w:t>
      </w:r>
      <w:r w:rsidRPr="0040564E">
        <w:rPr>
          <w:rFonts w:asciiTheme="minorHAnsi" w:hAnsiTheme="minorHAnsi"/>
          <w:color w:val="404040" w:themeColor="text1" w:themeTint="BF"/>
          <w:sz w:val="20"/>
          <w:szCs w:val="20"/>
        </w:rPr>
        <w:t xml:space="preserve">unicipality of </w:t>
      </w:r>
      <w:r>
        <w:rPr>
          <w:rFonts w:asciiTheme="minorHAnsi" w:hAnsiTheme="minorHAnsi"/>
          <w:color w:val="404040" w:themeColor="text1" w:themeTint="BF"/>
          <w:sz w:val="20"/>
          <w:szCs w:val="20"/>
        </w:rPr>
        <w:t>r</w:t>
      </w:r>
      <w:r w:rsidRPr="0040564E">
        <w:rPr>
          <w:rFonts w:asciiTheme="minorHAnsi" w:hAnsiTheme="minorHAnsi"/>
          <w:color w:val="404040" w:themeColor="text1" w:themeTint="BF"/>
          <w:sz w:val="20"/>
          <w:szCs w:val="20"/>
        </w:rPr>
        <w:t xml:space="preserve">esidence: </w:t>
      </w:r>
      <w:r>
        <w:rPr>
          <w:rFonts w:asciiTheme="minorHAnsi" w:hAnsiTheme="minorHAnsi"/>
          <w:color w:val="404040" w:themeColor="text1" w:themeTint="BF"/>
          <w:sz w:val="20"/>
          <w:szCs w:val="20"/>
        </w:rPr>
        <w:t xml:space="preserve">Victoria, </w:t>
      </w:r>
      <w:r w:rsidRPr="0040564E">
        <w:rPr>
          <w:rFonts w:asciiTheme="minorHAnsi" w:hAnsiTheme="minorHAnsi"/>
          <w:color w:val="404040" w:themeColor="text1" w:themeTint="BF"/>
          <w:sz w:val="20"/>
          <w:szCs w:val="20"/>
        </w:rPr>
        <w:t>Sept. 2020</w:t>
      </w:r>
    </w:p>
    <w:p w14:paraId="15CC6032" w14:textId="77777777" w:rsidR="00C65183" w:rsidRDefault="00C65183" w:rsidP="00C65183">
      <w:pPr>
        <w:spacing w:line="360" w:lineRule="auto"/>
        <w:jc w:val="both"/>
        <w:rPr>
          <w:rFonts w:asciiTheme="minorHAnsi" w:hAnsiTheme="minorHAnsi"/>
        </w:rPr>
      </w:pPr>
    </w:p>
    <w:p w14:paraId="5C932E43" w14:textId="77777777" w:rsidR="00C65183" w:rsidRDefault="00C65183" w:rsidP="00C65183">
      <w:pPr>
        <w:spacing w:line="360" w:lineRule="auto"/>
        <w:jc w:val="both"/>
        <w:rPr>
          <w:rFonts w:asciiTheme="minorHAnsi" w:hAnsiTheme="minorHAnsi"/>
        </w:rPr>
      </w:pPr>
    </w:p>
    <w:p w14:paraId="1562A0DA" w14:textId="77777777" w:rsidR="00C65183" w:rsidRPr="009A517A" w:rsidRDefault="00C65183" w:rsidP="00C65183">
      <w:pPr>
        <w:spacing w:line="360" w:lineRule="auto"/>
        <w:jc w:val="both"/>
        <w:rPr>
          <w:rFonts w:asciiTheme="minorHAnsi" w:hAnsiTheme="minorHAnsi"/>
        </w:rPr>
      </w:pPr>
    </w:p>
    <w:p w14:paraId="03C17CE0" w14:textId="77777777" w:rsidR="00C65183" w:rsidRDefault="00C65183" w:rsidP="00C65183">
      <w:pPr>
        <w:spacing w:line="360" w:lineRule="auto"/>
        <w:jc w:val="both"/>
        <w:rPr>
          <w:rFonts w:asciiTheme="minorHAnsi" w:hAnsiTheme="minorHAnsi"/>
        </w:rPr>
      </w:pPr>
      <w:r>
        <w:rPr>
          <w:rFonts w:asciiTheme="minorHAnsi" w:hAnsiTheme="minorHAnsi"/>
        </w:rPr>
        <w:t>Twenty-one per cent</w:t>
      </w:r>
      <w:r w:rsidRPr="009A517A">
        <w:rPr>
          <w:rFonts w:asciiTheme="minorHAnsi" w:hAnsiTheme="minorHAnsi"/>
        </w:rPr>
        <w:t xml:space="preserve"> of </w:t>
      </w:r>
      <w:r>
        <w:rPr>
          <w:rFonts w:asciiTheme="minorHAnsi" w:hAnsiTheme="minorHAnsi"/>
        </w:rPr>
        <w:t>those</w:t>
      </w:r>
      <w:r w:rsidRPr="009A517A">
        <w:rPr>
          <w:rFonts w:asciiTheme="minorHAnsi" w:hAnsiTheme="minorHAnsi"/>
        </w:rPr>
        <w:t xml:space="preserve"> asylum-seekers</w:t>
      </w:r>
      <w:r>
        <w:rPr>
          <w:rFonts w:asciiTheme="minorHAnsi" w:hAnsiTheme="minorHAnsi"/>
        </w:rPr>
        <w:t xml:space="preserve"> whose municipality could be determined</w:t>
      </w:r>
      <w:r w:rsidRPr="009A517A">
        <w:rPr>
          <w:rStyle w:val="FootnoteReference"/>
          <w:rFonts w:asciiTheme="minorHAnsi" w:hAnsiTheme="minorHAnsi"/>
        </w:rPr>
        <w:footnoteReference w:id="39"/>
      </w:r>
      <w:r w:rsidRPr="009A517A">
        <w:rPr>
          <w:rFonts w:asciiTheme="minorHAnsi" w:hAnsiTheme="minorHAnsi"/>
        </w:rPr>
        <w:t xml:space="preserve"> - numbering </w:t>
      </w:r>
      <w:r>
        <w:rPr>
          <w:rFonts w:asciiTheme="minorHAnsi" w:hAnsiTheme="minorHAnsi"/>
        </w:rPr>
        <w:t>1,087</w:t>
      </w:r>
      <w:r w:rsidRPr="009A517A">
        <w:rPr>
          <w:rFonts w:asciiTheme="minorHAnsi" w:hAnsiTheme="minorHAnsi"/>
        </w:rPr>
        <w:t xml:space="preserve"> - resided in Greater Dandenong</w:t>
      </w:r>
      <w:r>
        <w:rPr>
          <w:rFonts w:asciiTheme="minorHAnsi" w:hAnsiTheme="minorHAnsi"/>
        </w:rPr>
        <w:t>,</w:t>
      </w:r>
      <w:r w:rsidRPr="009A517A">
        <w:rPr>
          <w:rFonts w:asciiTheme="minorHAnsi" w:hAnsiTheme="minorHAnsi"/>
        </w:rPr>
        <w:t xml:space="preserve"> the largest number in any Victorian municipality</w:t>
      </w:r>
      <w:r>
        <w:rPr>
          <w:rFonts w:asciiTheme="minorHAnsi" w:hAnsiTheme="minorHAnsi"/>
        </w:rPr>
        <w:t>.</w:t>
      </w:r>
    </w:p>
    <w:p w14:paraId="30E06143" w14:textId="77777777" w:rsidR="00C65183" w:rsidRDefault="00C65183" w:rsidP="00C65183">
      <w:pPr>
        <w:spacing w:line="360" w:lineRule="auto"/>
        <w:jc w:val="both"/>
        <w:rPr>
          <w:rFonts w:asciiTheme="minorHAnsi" w:hAnsiTheme="minorHAnsi"/>
        </w:rPr>
      </w:pPr>
    </w:p>
    <w:p w14:paraId="2B00108C" w14:textId="77777777" w:rsidR="00C65183" w:rsidRPr="009A517A" w:rsidRDefault="00C65183" w:rsidP="00C65183">
      <w:pPr>
        <w:spacing w:line="360" w:lineRule="auto"/>
        <w:jc w:val="both"/>
        <w:rPr>
          <w:rFonts w:asciiTheme="minorHAnsi" w:hAnsiTheme="minorHAnsi"/>
        </w:rPr>
      </w:pPr>
      <w:r>
        <w:rPr>
          <w:rFonts w:asciiTheme="minorHAnsi" w:hAnsiTheme="minorHAnsi"/>
        </w:rPr>
        <w:t>Two-thirds</w:t>
      </w:r>
      <w:r w:rsidRPr="002A262E">
        <w:rPr>
          <w:rFonts w:ascii="Calibri" w:hAnsi="Calibri"/>
        </w:rPr>
        <w:t xml:space="preserve"> of them</w:t>
      </w:r>
      <w:r>
        <w:rPr>
          <w:rFonts w:ascii="Calibri" w:hAnsi="Calibri"/>
        </w:rPr>
        <w:t xml:space="preserve"> </w:t>
      </w:r>
      <w:r w:rsidRPr="002A262E">
        <w:rPr>
          <w:rFonts w:ascii="Calibri" w:hAnsi="Calibri"/>
        </w:rPr>
        <w:t>(</w:t>
      </w:r>
      <w:r>
        <w:rPr>
          <w:rFonts w:ascii="Calibri" w:hAnsi="Calibri"/>
        </w:rPr>
        <w:t>730 or 67%</w:t>
      </w:r>
      <w:r w:rsidRPr="002A262E">
        <w:rPr>
          <w:rFonts w:ascii="Calibri" w:hAnsi="Calibri"/>
        </w:rPr>
        <w:t>)</w:t>
      </w:r>
      <w:r>
        <w:rPr>
          <w:rFonts w:ascii="Calibri" w:hAnsi="Calibri"/>
        </w:rPr>
        <w:t xml:space="preserve"> lived</w:t>
      </w:r>
      <w:r w:rsidRPr="002A262E">
        <w:rPr>
          <w:rFonts w:ascii="Calibri" w:hAnsi="Calibri"/>
        </w:rPr>
        <w:t xml:space="preserve"> in</w:t>
      </w:r>
      <w:r>
        <w:rPr>
          <w:rFonts w:ascii="Calibri" w:hAnsi="Calibri"/>
        </w:rPr>
        <w:t xml:space="preserve"> </w:t>
      </w:r>
      <w:r w:rsidRPr="002A262E">
        <w:rPr>
          <w:rFonts w:ascii="Calibri" w:hAnsi="Calibri"/>
        </w:rPr>
        <w:t>Dandenong</w:t>
      </w:r>
      <w:r>
        <w:rPr>
          <w:rFonts w:ascii="Calibri" w:hAnsi="Calibri"/>
        </w:rPr>
        <w:t xml:space="preserve"> or Dandenong North</w:t>
      </w:r>
      <w:r w:rsidRPr="002A262E">
        <w:rPr>
          <w:rFonts w:ascii="Calibri" w:hAnsi="Calibri"/>
        </w:rPr>
        <w:t>.</w:t>
      </w:r>
      <w:r w:rsidRPr="00586026">
        <w:rPr>
          <w:rFonts w:asciiTheme="minorHAnsi" w:hAnsiTheme="minorHAnsi"/>
          <w:noProof/>
          <w:lang w:eastAsia="en-AU"/>
        </w:rPr>
        <w:t xml:space="preserve"> </w:t>
      </w:r>
    </w:p>
    <w:p w14:paraId="3C879018" w14:textId="77777777" w:rsidR="00C65183" w:rsidRDefault="00C65183" w:rsidP="00C65183">
      <w:pPr>
        <w:rPr>
          <w:rFonts w:asciiTheme="minorHAnsi" w:hAnsiTheme="minorHAnsi"/>
        </w:rPr>
      </w:pPr>
      <w:r>
        <w:rPr>
          <w:rFonts w:asciiTheme="minorHAnsi" w:hAnsiTheme="minorHAnsi"/>
        </w:rPr>
        <w:br w:type="page"/>
      </w:r>
    </w:p>
    <w:p w14:paraId="37AFBC44" w14:textId="77777777" w:rsidR="00C65183" w:rsidRPr="00D10F06" w:rsidRDefault="00C65183" w:rsidP="00C65183">
      <w:pPr>
        <w:spacing w:line="360" w:lineRule="auto"/>
        <w:jc w:val="both"/>
        <w:rPr>
          <w:rFonts w:asciiTheme="minorHAnsi" w:hAnsiTheme="minorHAnsi"/>
          <w:b/>
        </w:rPr>
      </w:pPr>
      <w:r w:rsidRPr="00D10F06">
        <w:rPr>
          <w:rFonts w:asciiTheme="minorHAnsi" w:hAnsiTheme="minorHAnsi"/>
          <w:b/>
        </w:rPr>
        <w:lastRenderedPageBreak/>
        <w:t>Changes in Number of Asylum-seekers</w:t>
      </w:r>
    </w:p>
    <w:p w14:paraId="6BD6447B" w14:textId="77777777" w:rsidR="00C65183" w:rsidRDefault="00C65183" w:rsidP="00C65183">
      <w:pPr>
        <w:spacing w:line="360" w:lineRule="auto"/>
        <w:jc w:val="both"/>
        <w:rPr>
          <w:rFonts w:asciiTheme="minorHAnsi" w:hAnsiTheme="minorHAnsi"/>
        </w:rPr>
      </w:pPr>
      <w:r w:rsidRPr="009A517A">
        <w:rPr>
          <w:rFonts w:asciiTheme="minorHAnsi" w:hAnsiTheme="minorHAnsi"/>
        </w:rPr>
        <w:t xml:space="preserve">In the </w:t>
      </w:r>
      <w:r>
        <w:rPr>
          <w:rFonts w:asciiTheme="minorHAnsi" w:hAnsiTheme="minorHAnsi"/>
        </w:rPr>
        <w:t>period from September 2014</w:t>
      </w:r>
      <w:r w:rsidRPr="009A517A">
        <w:rPr>
          <w:rFonts w:asciiTheme="minorHAnsi" w:hAnsiTheme="minorHAnsi"/>
        </w:rPr>
        <w:t xml:space="preserve"> to </w:t>
      </w:r>
      <w:r>
        <w:rPr>
          <w:rFonts w:asciiTheme="minorHAnsi" w:hAnsiTheme="minorHAnsi"/>
        </w:rPr>
        <w:t>September 2020</w:t>
      </w:r>
      <w:r w:rsidRPr="009A517A">
        <w:rPr>
          <w:rFonts w:asciiTheme="minorHAnsi" w:hAnsiTheme="minorHAnsi"/>
        </w:rPr>
        <w:t xml:space="preserve">, the number of asylum-seekers residing in Victoria </w:t>
      </w:r>
      <w:r>
        <w:rPr>
          <w:rFonts w:asciiTheme="minorHAnsi" w:hAnsiTheme="minorHAnsi"/>
        </w:rPr>
        <w:t>declined</w:t>
      </w:r>
      <w:r w:rsidRPr="009A517A">
        <w:rPr>
          <w:rFonts w:asciiTheme="minorHAnsi" w:hAnsiTheme="minorHAnsi"/>
        </w:rPr>
        <w:t xml:space="preserve"> by </w:t>
      </w:r>
      <w:r>
        <w:rPr>
          <w:rFonts w:asciiTheme="minorHAnsi" w:hAnsiTheme="minorHAnsi"/>
        </w:rPr>
        <w:t>nearly two-thirds, or 3,554.</w:t>
      </w:r>
    </w:p>
    <w:p w14:paraId="160E2357" w14:textId="77777777" w:rsidR="00C65183" w:rsidRPr="000613B7" w:rsidRDefault="00C65183" w:rsidP="00C65183">
      <w:pPr>
        <w:spacing w:line="360" w:lineRule="auto"/>
        <w:jc w:val="both"/>
        <w:rPr>
          <w:rFonts w:asciiTheme="minorHAnsi" w:hAnsiTheme="minorHAnsi"/>
        </w:rPr>
      </w:pPr>
      <w:r>
        <w:rPr>
          <w:rFonts w:asciiTheme="minorHAnsi" w:hAnsiTheme="minorHAnsi"/>
        </w:rPr>
        <w:t>In this time, a decline of 1,730 (or 61%) was recorded within Greater Dandenong, 416 in Brimbank and 248 in Casey</w:t>
      </w:r>
      <w:r w:rsidRPr="009A517A">
        <w:rPr>
          <w:rFonts w:asciiTheme="minorHAnsi" w:hAnsiTheme="minorHAnsi"/>
        </w:rPr>
        <w:t xml:space="preserve">. (diagram </w:t>
      </w:r>
      <w:r>
        <w:rPr>
          <w:rFonts w:asciiTheme="minorHAnsi" w:hAnsiTheme="minorHAnsi"/>
        </w:rPr>
        <w:t>below</w:t>
      </w:r>
      <w:r w:rsidRPr="009A517A">
        <w:rPr>
          <w:rFonts w:asciiTheme="minorHAnsi" w:hAnsiTheme="minorHAnsi"/>
        </w:rPr>
        <w:t>)</w:t>
      </w:r>
    </w:p>
    <w:p w14:paraId="376E6F70" w14:textId="77777777" w:rsidR="00C65183" w:rsidRDefault="00C65183" w:rsidP="00C65183">
      <w:pPr>
        <w:spacing w:line="360" w:lineRule="auto"/>
        <w:jc w:val="both"/>
        <w:rPr>
          <w:rFonts w:asciiTheme="minorHAnsi" w:hAnsiTheme="minorHAnsi"/>
        </w:rPr>
      </w:pPr>
    </w:p>
    <w:p w14:paraId="22B5E352" w14:textId="77777777" w:rsidR="00C65183" w:rsidRDefault="00C65183" w:rsidP="00C65183">
      <w:pPr>
        <w:spacing w:line="360" w:lineRule="auto"/>
        <w:jc w:val="both"/>
        <w:rPr>
          <w:rFonts w:asciiTheme="minorHAnsi" w:hAnsiTheme="minorHAnsi"/>
        </w:rPr>
      </w:pPr>
    </w:p>
    <w:p w14:paraId="36DE8D24" w14:textId="77777777" w:rsidR="00C65183" w:rsidRPr="00586026" w:rsidRDefault="00C65183" w:rsidP="00C65183">
      <w:pPr>
        <w:jc w:val="both"/>
        <w:rPr>
          <w:rFonts w:asciiTheme="minorHAnsi" w:hAnsiTheme="minorHAnsi"/>
          <w:color w:val="404040" w:themeColor="text1" w:themeTint="BF"/>
          <w:sz w:val="20"/>
          <w:szCs w:val="20"/>
        </w:rPr>
      </w:pPr>
      <w:r w:rsidRPr="00584355">
        <w:rPr>
          <w:rFonts w:asciiTheme="minorHAnsi" w:hAnsiTheme="minorHAnsi"/>
          <w:color w:val="404040" w:themeColor="text1" w:themeTint="BF"/>
          <w:sz w:val="20"/>
          <w:szCs w:val="20"/>
        </w:rPr>
        <w:t xml:space="preserve">Change in </w:t>
      </w:r>
      <w:r>
        <w:rPr>
          <w:rFonts w:asciiTheme="minorHAnsi" w:hAnsiTheme="minorHAnsi"/>
          <w:color w:val="404040" w:themeColor="text1" w:themeTint="BF"/>
          <w:sz w:val="20"/>
          <w:szCs w:val="20"/>
        </w:rPr>
        <w:t>n</w:t>
      </w:r>
      <w:r w:rsidRPr="00584355">
        <w:rPr>
          <w:rFonts w:asciiTheme="minorHAnsi" w:hAnsiTheme="minorHAnsi"/>
          <w:color w:val="404040" w:themeColor="text1" w:themeTint="BF"/>
          <w:sz w:val="20"/>
          <w:szCs w:val="20"/>
        </w:rPr>
        <w:t xml:space="preserve">umber of </w:t>
      </w:r>
      <w:r>
        <w:rPr>
          <w:rFonts w:asciiTheme="minorHAnsi" w:hAnsiTheme="minorHAnsi"/>
          <w:color w:val="404040" w:themeColor="text1" w:themeTint="BF"/>
          <w:sz w:val="20"/>
          <w:szCs w:val="20"/>
        </w:rPr>
        <w:t>a</w:t>
      </w:r>
      <w:r w:rsidRPr="00584355">
        <w:rPr>
          <w:rFonts w:asciiTheme="minorHAnsi" w:hAnsiTheme="minorHAnsi"/>
          <w:color w:val="404040" w:themeColor="text1" w:themeTint="BF"/>
          <w:sz w:val="20"/>
          <w:szCs w:val="20"/>
        </w:rPr>
        <w:t xml:space="preserve">sylum-seekers, by </w:t>
      </w:r>
      <w:r>
        <w:rPr>
          <w:rFonts w:asciiTheme="minorHAnsi" w:hAnsiTheme="minorHAnsi"/>
          <w:color w:val="404040" w:themeColor="text1" w:themeTint="BF"/>
          <w:sz w:val="20"/>
          <w:szCs w:val="20"/>
        </w:rPr>
        <w:t>m</w:t>
      </w:r>
      <w:r w:rsidRPr="00584355">
        <w:rPr>
          <w:rFonts w:asciiTheme="minorHAnsi" w:hAnsiTheme="minorHAnsi"/>
          <w:color w:val="404040" w:themeColor="text1" w:themeTint="BF"/>
          <w:sz w:val="20"/>
          <w:szCs w:val="20"/>
        </w:rPr>
        <w:t>unicipality: September 201</w:t>
      </w:r>
      <w:r>
        <w:rPr>
          <w:rFonts w:asciiTheme="minorHAnsi" w:hAnsiTheme="minorHAnsi"/>
          <w:color w:val="404040" w:themeColor="text1" w:themeTint="BF"/>
          <w:sz w:val="20"/>
          <w:szCs w:val="20"/>
        </w:rPr>
        <w:t>4</w:t>
      </w:r>
      <w:r w:rsidRPr="00584355">
        <w:rPr>
          <w:rFonts w:asciiTheme="minorHAnsi" w:hAnsiTheme="minorHAnsi"/>
          <w:color w:val="404040" w:themeColor="text1" w:themeTint="BF"/>
          <w:sz w:val="20"/>
          <w:szCs w:val="20"/>
        </w:rPr>
        <w:t xml:space="preserve"> to </w:t>
      </w:r>
      <w:r>
        <w:rPr>
          <w:rFonts w:asciiTheme="minorHAnsi" w:hAnsiTheme="minorHAnsi"/>
          <w:color w:val="404040" w:themeColor="text1" w:themeTint="BF"/>
          <w:sz w:val="20"/>
          <w:szCs w:val="20"/>
        </w:rPr>
        <w:t xml:space="preserve">September 2020 </w:t>
      </w:r>
      <w:r>
        <w:rPr>
          <w:rStyle w:val="FootnoteReference"/>
          <w:rFonts w:asciiTheme="minorHAnsi" w:hAnsiTheme="minorHAnsi"/>
        </w:rPr>
        <w:footnoteReference w:id="40"/>
      </w:r>
    </w:p>
    <w:p w14:paraId="12D97B71" w14:textId="77777777" w:rsidR="00C65183" w:rsidRDefault="00C65183" w:rsidP="00C65183">
      <w:pPr>
        <w:spacing w:line="360" w:lineRule="auto"/>
        <w:jc w:val="both"/>
        <w:rPr>
          <w:rFonts w:asciiTheme="minorHAnsi" w:hAnsiTheme="minorHAnsi"/>
        </w:rPr>
      </w:pPr>
      <w:r>
        <w:rPr>
          <w:rFonts w:asciiTheme="minorHAnsi" w:hAnsiTheme="minorHAnsi"/>
          <w:noProof/>
        </w:rPr>
        <w:drawing>
          <wp:anchor distT="0" distB="0" distL="114300" distR="114300" simplePos="0" relativeHeight="251715584" behindDoc="0" locked="0" layoutInCell="1" allowOverlap="1" wp14:anchorId="3D160617" wp14:editId="10F468D0">
            <wp:simplePos x="0" y="0"/>
            <wp:positionH relativeFrom="column">
              <wp:posOffset>675005</wp:posOffset>
            </wp:positionH>
            <wp:positionV relativeFrom="paragraph">
              <wp:posOffset>105092</wp:posOffset>
            </wp:positionV>
            <wp:extent cx="4914265" cy="5976620"/>
            <wp:effectExtent l="0" t="0" r="635" b="5080"/>
            <wp:wrapSquare wrapText="bothSides"/>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914265" cy="5976620"/>
                    </a:xfrm>
                    <a:prstGeom prst="rect">
                      <a:avLst/>
                    </a:prstGeom>
                    <a:noFill/>
                  </pic:spPr>
                </pic:pic>
              </a:graphicData>
            </a:graphic>
            <wp14:sizeRelH relativeFrom="page">
              <wp14:pctWidth>0</wp14:pctWidth>
            </wp14:sizeRelH>
            <wp14:sizeRelV relativeFrom="page">
              <wp14:pctHeight>0</wp14:pctHeight>
            </wp14:sizeRelV>
          </wp:anchor>
        </w:drawing>
      </w:r>
    </w:p>
    <w:p w14:paraId="3C615DF7" w14:textId="77777777" w:rsidR="00C65183" w:rsidRDefault="00C65183" w:rsidP="00C65183">
      <w:pPr>
        <w:spacing w:line="360" w:lineRule="auto"/>
        <w:jc w:val="both"/>
        <w:rPr>
          <w:rFonts w:asciiTheme="minorHAnsi" w:hAnsiTheme="minorHAnsi"/>
        </w:rPr>
      </w:pPr>
    </w:p>
    <w:p w14:paraId="7E5EA43E" w14:textId="77777777" w:rsidR="00C65183" w:rsidRDefault="00C65183" w:rsidP="00C65183">
      <w:pPr>
        <w:spacing w:line="360" w:lineRule="auto"/>
        <w:jc w:val="both"/>
        <w:rPr>
          <w:rFonts w:asciiTheme="minorHAnsi" w:hAnsiTheme="minorHAnsi"/>
        </w:rPr>
      </w:pPr>
    </w:p>
    <w:p w14:paraId="0FCFE4B9" w14:textId="77777777" w:rsidR="00C65183" w:rsidRDefault="00C65183" w:rsidP="00C65183">
      <w:pPr>
        <w:spacing w:line="360" w:lineRule="auto"/>
        <w:jc w:val="both"/>
        <w:rPr>
          <w:rFonts w:asciiTheme="minorHAnsi" w:hAnsiTheme="minorHAnsi"/>
        </w:rPr>
      </w:pPr>
    </w:p>
    <w:p w14:paraId="35864CF9" w14:textId="77777777" w:rsidR="00C65183" w:rsidRDefault="00C65183" w:rsidP="00C65183">
      <w:pPr>
        <w:spacing w:line="360" w:lineRule="auto"/>
        <w:jc w:val="both"/>
        <w:rPr>
          <w:rFonts w:asciiTheme="minorHAnsi" w:hAnsiTheme="minorHAnsi"/>
        </w:rPr>
      </w:pPr>
    </w:p>
    <w:p w14:paraId="7C43B609" w14:textId="77777777" w:rsidR="00C65183" w:rsidRDefault="00C65183" w:rsidP="00C65183">
      <w:pPr>
        <w:spacing w:line="360" w:lineRule="auto"/>
        <w:jc w:val="both"/>
        <w:rPr>
          <w:rFonts w:asciiTheme="minorHAnsi" w:hAnsiTheme="minorHAnsi"/>
        </w:rPr>
      </w:pPr>
    </w:p>
    <w:p w14:paraId="4CAB5F58" w14:textId="77777777" w:rsidR="00C65183" w:rsidRDefault="00C65183" w:rsidP="00C65183">
      <w:pPr>
        <w:spacing w:line="360" w:lineRule="auto"/>
        <w:jc w:val="both"/>
        <w:rPr>
          <w:rFonts w:asciiTheme="minorHAnsi" w:hAnsiTheme="minorHAnsi"/>
        </w:rPr>
      </w:pPr>
    </w:p>
    <w:p w14:paraId="65759858" w14:textId="77777777" w:rsidR="00C65183" w:rsidRDefault="00C65183" w:rsidP="00C65183">
      <w:pPr>
        <w:spacing w:line="360" w:lineRule="auto"/>
        <w:jc w:val="both"/>
        <w:rPr>
          <w:rFonts w:asciiTheme="minorHAnsi" w:hAnsiTheme="minorHAnsi"/>
        </w:rPr>
      </w:pPr>
    </w:p>
    <w:p w14:paraId="6B625EF4" w14:textId="77777777" w:rsidR="00C65183" w:rsidRDefault="00C65183" w:rsidP="00C65183">
      <w:pPr>
        <w:spacing w:line="360" w:lineRule="auto"/>
        <w:jc w:val="both"/>
        <w:rPr>
          <w:rFonts w:asciiTheme="minorHAnsi" w:hAnsiTheme="minorHAnsi"/>
        </w:rPr>
      </w:pPr>
    </w:p>
    <w:p w14:paraId="37E1A190" w14:textId="77777777" w:rsidR="00C65183" w:rsidRDefault="00C65183" w:rsidP="00C65183">
      <w:pPr>
        <w:spacing w:line="360" w:lineRule="auto"/>
        <w:jc w:val="both"/>
        <w:rPr>
          <w:rFonts w:asciiTheme="minorHAnsi" w:hAnsiTheme="minorHAnsi"/>
        </w:rPr>
      </w:pPr>
    </w:p>
    <w:p w14:paraId="65FFF2F1" w14:textId="77777777" w:rsidR="00C65183" w:rsidRDefault="00C65183" w:rsidP="00C65183">
      <w:pPr>
        <w:spacing w:line="360" w:lineRule="auto"/>
        <w:jc w:val="both"/>
        <w:rPr>
          <w:rFonts w:asciiTheme="minorHAnsi" w:hAnsiTheme="minorHAnsi"/>
        </w:rPr>
      </w:pPr>
    </w:p>
    <w:p w14:paraId="2717FB64" w14:textId="77777777" w:rsidR="00C65183" w:rsidRDefault="00C65183" w:rsidP="00C65183">
      <w:pPr>
        <w:spacing w:line="360" w:lineRule="auto"/>
        <w:jc w:val="both"/>
        <w:rPr>
          <w:rFonts w:asciiTheme="minorHAnsi" w:hAnsiTheme="minorHAnsi"/>
        </w:rPr>
      </w:pPr>
    </w:p>
    <w:p w14:paraId="5E13FE1F" w14:textId="77777777" w:rsidR="00C65183" w:rsidRDefault="00C65183" w:rsidP="00C65183">
      <w:pPr>
        <w:spacing w:line="360" w:lineRule="auto"/>
        <w:jc w:val="both"/>
        <w:rPr>
          <w:rFonts w:asciiTheme="minorHAnsi" w:hAnsiTheme="minorHAnsi"/>
        </w:rPr>
      </w:pPr>
    </w:p>
    <w:p w14:paraId="4008E073" w14:textId="77777777" w:rsidR="00C65183" w:rsidRDefault="00C65183" w:rsidP="00C65183">
      <w:pPr>
        <w:spacing w:line="360" w:lineRule="auto"/>
        <w:jc w:val="both"/>
        <w:rPr>
          <w:rFonts w:asciiTheme="minorHAnsi" w:hAnsiTheme="minorHAnsi"/>
        </w:rPr>
      </w:pPr>
    </w:p>
    <w:p w14:paraId="2F9778EA" w14:textId="77777777" w:rsidR="00C65183" w:rsidRDefault="00C65183" w:rsidP="00C65183">
      <w:pPr>
        <w:spacing w:line="360" w:lineRule="auto"/>
        <w:jc w:val="both"/>
        <w:rPr>
          <w:rFonts w:asciiTheme="minorHAnsi" w:hAnsiTheme="minorHAnsi"/>
        </w:rPr>
      </w:pPr>
    </w:p>
    <w:p w14:paraId="61067A61" w14:textId="77777777" w:rsidR="00C65183" w:rsidRDefault="00C65183" w:rsidP="00C65183">
      <w:pPr>
        <w:spacing w:line="360" w:lineRule="auto"/>
        <w:jc w:val="both"/>
        <w:rPr>
          <w:rFonts w:asciiTheme="minorHAnsi" w:hAnsiTheme="minorHAnsi"/>
        </w:rPr>
      </w:pPr>
    </w:p>
    <w:p w14:paraId="5091BF1E" w14:textId="77777777" w:rsidR="00C65183" w:rsidRDefault="00C65183" w:rsidP="00C65183">
      <w:pPr>
        <w:spacing w:line="360" w:lineRule="auto"/>
        <w:jc w:val="both"/>
        <w:rPr>
          <w:rFonts w:asciiTheme="minorHAnsi" w:hAnsiTheme="minorHAnsi"/>
        </w:rPr>
      </w:pPr>
    </w:p>
    <w:p w14:paraId="025DC09D" w14:textId="77777777" w:rsidR="00C65183" w:rsidRDefault="00C65183" w:rsidP="00C65183">
      <w:pPr>
        <w:spacing w:line="360" w:lineRule="auto"/>
        <w:jc w:val="both"/>
        <w:rPr>
          <w:rFonts w:asciiTheme="minorHAnsi" w:hAnsiTheme="minorHAnsi"/>
        </w:rPr>
      </w:pPr>
    </w:p>
    <w:p w14:paraId="61B2EAED" w14:textId="77777777" w:rsidR="00C65183" w:rsidRDefault="00C65183" w:rsidP="00C65183">
      <w:pPr>
        <w:spacing w:line="360" w:lineRule="auto"/>
        <w:jc w:val="both"/>
        <w:rPr>
          <w:rFonts w:asciiTheme="minorHAnsi" w:hAnsiTheme="minorHAnsi"/>
        </w:rPr>
      </w:pPr>
    </w:p>
    <w:p w14:paraId="27EB602A" w14:textId="77777777" w:rsidR="00C65183" w:rsidRDefault="00C65183" w:rsidP="00C65183">
      <w:pPr>
        <w:spacing w:line="360" w:lineRule="auto"/>
        <w:jc w:val="both"/>
        <w:rPr>
          <w:rFonts w:asciiTheme="minorHAnsi" w:hAnsiTheme="minorHAnsi"/>
        </w:rPr>
      </w:pPr>
    </w:p>
    <w:p w14:paraId="0BD5027A" w14:textId="77777777" w:rsidR="00C65183" w:rsidRDefault="00C65183" w:rsidP="00C65183">
      <w:pPr>
        <w:spacing w:line="360" w:lineRule="auto"/>
        <w:jc w:val="both"/>
        <w:rPr>
          <w:rFonts w:asciiTheme="minorHAnsi" w:hAnsiTheme="minorHAnsi"/>
        </w:rPr>
      </w:pPr>
    </w:p>
    <w:p w14:paraId="05CCC649" w14:textId="77777777" w:rsidR="00C65183" w:rsidRDefault="00C65183" w:rsidP="00C65183">
      <w:pPr>
        <w:spacing w:line="360" w:lineRule="auto"/>
        <w:jc w:val="both"/>
        <w:rPr>
          <w:rFonts w:asciiTheme="minorHAnsi" w:hAnsiTheme="minorHAnsi"/>
        </w:rPr>
      </w:pPr>
    </w:p>
    <w:p w14:paraId="1BDF8855" w14:textId="77777777" w:rsidR="00C65183" w:rsidRDefault="00C65183" w:rsidP="00C65183">
      <w:pPr>
        <w:spacing w:line="360" w:lineRule="auto"/>
        <w:jc w:val="both"/>
        <w:rPr>
          <w:rFonts w:asciiTheme="minorHAnsi" w:hAnsiTheme="minorHAnsi"/>
        </w:rPr>
      </w:pPr>
    </w:p>
    <w:p w14:paraId="697DE5FD" w14:textId="77777777" w:rsidR="00C65183" w:rsidRDefault="00C65183" w:rsidP="00C65183">
      <w:pPr>
        <w:spacing w:line="360" w:lineRule="auto"/>
        <w:jc w:val="both"/>
        <w:rPr>
          <w:rFonts w:asciiTheme="minorHAnsi" w:hAnsiTheme="minorHAnsi"/>
        </w:rPr>
      </w:pPr>
    </w:p>
    <w:p w14:paraId="1DED1532" w14:textId="77777777" w:rsidR="00C65183" w:rsidRDefault="00C65183" w:rsidP="00C65183">
      <w:pPr>
        <w:spacing w:line="360" w:lineRule="auto"/>
        <w:jc w:val="both"/>
        <w:rPr>
          <w:rFonts w:asciiTheme="minorHAnsi" w:hAnsiTheme="minorHAnsi"/>
        </w:rPr>
      </w:pPr>
    </w:p>
    <w:p w14:paraId="2B52E36D" w14:textId="77777777" w:rsidR="00C65183" w:rsidRDefault="00C65183" w:rsidP="00C65183">
      <w:pPr>
        <w:rPr>
          <w:rFonts w:asciiTheme="minorHAnsi" w:hAnsiTheme="minorHAnsi"/>
        </w:rPr>
      </w:pPr>
      <w:r>
        <w:rPr>
          <w:rFonts w:asciiTheme="minorHAnsi" w:hAnsiTheme="minorHAnsi"/>
        </w:rPr>
        <w:br w:type="page"/>
      </w:r>
    </w:p>
    <w:p w14:paraId="25EB9248" w14:textId="77777777" w:rsidR="00C65183" w:rsidRPr="00776058" w:rsidRDefault="00C65183" w:rsidP="00C65183">
      <w:pPr>
        <w:spacing w:line="360" w:lineRule="auto"/>
        <w:jc w:val="both"/>
        <w:rPr>
          <w:rFonts w:asciiTheme="minorHAnsi" w:hAnsiTheme="minorHAnsi"/>
          <w:b/>
          <w:i/>
          <w:color w:val="17365D" w:themeColor="text2" w:themeShade="BF"/>
        </w:rPr>
      </w:pPr>
      <w:r w:rsidRPr="00621205">
        <w:rPr>
          <w:rFonts w:ascii="Calibri" w:eastAsia="Calibri" w:hAnsi="Calibri"/>
          <w:b/>
        </w:rPr>
        <w:lastRenderedPageBreak/>
        <w:t xml:space="preserve">Age </w:t>
      </w:r>
    </w:p>
    <w:p w14:paraId="5957AB26" w14:textId="77777777" w:rsidR="00C65183" w:rsidRDefault="00C65183" w:rsidP="00C65183">
      <w:pPr>
        <w:spacing w:line="360" w:lineRule="auto"/>
        <w:jc w:val="both"/>
        <w:rPr>
          <w:rFonts w:asciiTheme="minorHAnsi" w:hAnsiTheme="minorHAnsi"/>
        </w:rPr>
      </w:pPr>
      <w:r>
        <w:rPr>
          <w:rFonts w:asciiTheme="minorHAnsi" w:hAnsiTheme="minorHAnsi"/>
          <w:noProof/>
        </w:rPr>
        <w:drawing>
          <wp:anchor distT="0" distB="0" distL="114300" distR="114300" simplePos="0" relativeHeight="251716608" behindDoc="0" locked="0" layoutInCell="1" allowOverlap="1" wp14:anchorId="0B65BFD8" wp14:editId="597D717F">
            <wp:simplePos x="0" y="0"/>
            <wp:positionH relativeFrom="column">
              <wp:posOffset>2256155</wp:posOffset>
            </wp:positionH>
            <wp:positionV relativeFrom="paragraph">
              <wp:posOffset>347345</wp:posOffset>
            </wp:positionV>
            <wp:extent cx="3903345" cy="2499995"/>
            <wp:effectExtent l="0" t="0" r="1905" b="0"/>
            <wp:wrapSquare wrapText="bothSides"/>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903345" cy="2499995"/>
                    </a:xfrm>
                    <a:prstGeom prst="rect">
                      <a:avLst/>
                    </a:prstGeom>
                    <a:noFill/>
                  </pic:spPr>
                </pic:pic>
              </a:graphicData>
            </a:graphic>
            <wp14:sizeRelH relativeFrom="page">
              <wp14:pctWidth>0</wp14:pctWidth>
            </wp14:sizeRelH>
            <wp14:sizeRelV relativeFrom="page">
              <wp14:pctHeight>0</wp14:pctHeight>
            </wp14:sizeRelV>
          </wp:anchor>
        </w:drawing>
      </w:r>
      <w:r w:rsidRPr="009A517A">
        <w:rPr>
          <w:rFonts w:asciiTheme="minorHAnsi" w:hAnsiTheme="minorHAnsi"/>
        </w:rPr>
        <w:t xml:space="preserve">Information concerning age, birthplace and other social characteristics of asylum-seekers, is only available at a State-wide level. </w:t>
      </w:r>
    </w:p>
    <w:p w14:paraId="134DA63A" w14:textId="77777777" w:rsidR="00C65183" w:rsidRPr="003A465B" w:rsidRDefault="00C65183" w:rsidP="00C65183">
      <w:pPr>
        <w:spacing w:line="360" w:lineRule="auto"/>
        <w:jc w:val="both"/>
        <w:rPr>
          <w:rFonts w:asciiTheme="minorHAnsi" w:hAnsiTheme="minorHAnsi"/>
        </w:rPr>
      </w:pPr>
    </w:p>
    <w:p w14:paraId="24EEB53F" w14:textId="77777777" w:rsidR="00C65183" w:rsidRPr="00584355" w:rsidRDefault="00C65183" w:rsidP="00C65183">
      <w:pPr>
        <w:rPr>
          <w:rFonts w:asciiTheme="minorHAnsi" w:hAnsiTheme="minorHAnsi"/>
          <w:color w:val="404040" w:themeColor="text1" w:themeTint="BF"/>
          <w:sz w:val="20"/>
          <w:szCs w:val="20"/>
        </w:rPr>
      </w:pPr>
      <w:r w:rsidRPr="00584355">
        <w:rPr>
          <w:rFonts w:asciiTheme="minorHAnsi" w:hAnsiTheme="minorHAnsi"/>
          <w:color w:val="404040" w:themeColor="text1" w:themeTint="BF"/>
          <w:sz w:val="20"/>
          <w:szCs w:val="20"/>
        </w:rPr>
        <w:t xml:space="preserve">Asylum-seekers across Victoria, by </w:t>
      </w:r>
      <w:r>
        <w:rPr>
          <w:rFonts w:asciiTheme="minorHAnsi" w:hAnsiTheme="minorHAnsi"/>
          <w:color w:val="404040" w:themeColor="text1" w:themeTint="BF"/>
          <w:sz w:val="20"/>
          <w:szCs w:val="20"/>
        </w:rPr>
        <w:t>a</w:t>
      </w:r>
      <w:r w:rsidRPr="00584355">
        <w:rPr>
          <w:rFonts w:asciiTheme="minorHAnsi" w:hAnsiTheme="minorHAnsi"/>
          <w:color w:val="404040" w:themeColor="text1" w:themeTint="BF"/>
          <w:sz w:val="20"/>
          <w:szCs w:val="20"/>
        </w:rPr>
        <w:t xml:space="preserve">ge: </w:t>
      </w:r>
      <w:r>
        <w:rPr>
          <w:rFonts w:asciiTheme="minorHAnsi" w:hAnsiTheme="minorHAnsi"/>
          <w:color w:val="404040" w:themeColor="text1" w:themeTint="BF"/>
          <w:sz w:val="20"/>
          <w:szCs w:val="20"/>
        </w:rPr>
        <w:t>September 2020</w:t>
      </w:r>
    </w:p>
    <w:p w14:paraId="74ABF1DF" w14:textId="77777777" w:rsidR="00C65183" w:rsidRDefault="00C65183" w:rsidP="00C65183">
      <w:pPr>
        <w:spacing w:line="360" w:lineRule="auto"/>
        <w:jc w:val="both"/>
        <w:rPr>
          <w:rFonts w:asciiTheme="minorHAnsi" w:hAnsiTheme="minorHAnsi"/>
        </w:rPr>
      </w:pPr>
    </w:p>
    <w:p w14:paraId="036AFCDD" w14:textId="77777777" w:rsidR="00C65183" w:rsidRPr="009A517A" w:rsidRDefault="00C65183" w:rsidP="00C65183">
      <w:pPr>
        <w:spacing w:line="360" w:lineRule="auto"/>
        <w:jc w:val="both"/>
        <w:rPr>
          <w:rFonts w:asciiTheme="minorHAnsi" w:hAnsiTheme="minorHAnsi"/>
        </w:rPr>
      </w:pPr>
      <w:r w:rsidRPr="009A517A">
        <w:rPr>
          <w:rFonts w:asciiTheme="minorHAnsi" w:hAnsiTheme="minorHAnsi"/>
        </w:rPr>
        <w:t xml:space="preserve">Among the </w:t>
      </w:r>
      <w:r>
        <w:rPr>
          <w:rFonts w:asciiTheme="minorHAnsi" w:hAnsiTheme="minorHAnsi"/>
        </w:rPr>
        <w:t>5,655</w:t>
      </w:r>
      <w:r w:rsidRPr="009A517A">
        <w:rPr>
          <w:rFonts w:asciiTheme="minorHAnsi" w:hAnsiTheme="minorHAnsi"/>
        </w:rPr>
        <w:t xml:space="preserve"> asylum seekers in Victoria</w:t>
      </w:r>
      <w:r>
        <w:rPr>
          <w:rFonts w:asciiTheme="minorHAnsi" w:hAnsiTheme="minorHAnsi"/>
        </w:rPr>
        <w:t xml:space="preserve"> in September 2020</w:t>
      </w:r>
      <w:r w:rsidRPr="009A517A">
        <w:rPr>
          <w:rFonts w:asciiTheme="minorHAnsi" w:hAnsiTheme="minorHAnsi"/>
        </w:rPr>
        <w:t xml:space="preserve">, </w:t>
      </w:r>
      <w:r>
        <w:rPr>
          <w:rFonts w:asciiTheme="minorHAnsi" w:hAnsiTheme="minorHAnsi"/>
        </w:rPr>
        <w:t xml:space="preserve">nearly a third (29%) </w:t>
      </w:r>
      <w:r w:rsidRPr="009A517A">
        <w:rPr>
          <w:rFonts w:asciiTheme="minorHAnsi" w:hAnsiTheme="minorHAnsi"/>
        </w:rPr>
        <w:t xml:space="preserve">were </w:t>
      </w:r>
      <w:r>
        <w:rPr>
          <w:rFonts w:asciiTheme="minorHAnsi" w:hAnsiTheme="minorHAnsi"/>
        </w:rPr>
        <w:t>aged up to 25</w:t>
      </w:r>
      <w:r w:rsidRPr="009A517A">
        <w:rPr>
          <w:rFonts w:asciiTheme="minorHAnsi" w:hAnsiTheme="minorHAnsi"/>
        </w:rPr>
        <w:t xml:space="preserve"> years, </w:t>
      </w:r>
      <w:r>
        <w:rPr>
          <w:rFonts w:asciiTheme="minorHAnsi" w:hAnsiTheme="minorHAnsi"/>
        </w:rPr>
        <w:t>nearly two-thirds (61%) were</w:t>
      </w:r>
      <w:r w:rsidRPr="009A517A">
        <w:rPr>
          <w:rFonts w:asciiTheme="minorHAnsi" w:hAnsiTheme="minorHAnsi"/>
        </w:rPr>
        <w:t xml:space="preserve"> </w:t>
      </w:r>
      <w:r>
        <w:rPr>
          <w:rFonts w:asciiTheme="minorHAnsi" w:hAnsiTheme="minorHAnsi"/>
        </w:rPr>
        <w:t>26</w:t>
      </w:r>
      <w:r w:rsidRPr="009A517A">
        <w:rPr>
          <w:rFonts w:asciiTheme="minorHAnsi" w:hAnsiTheme="minorHAnsi"/>
        </w:rPr>
        <w:t xml:space="preserve"> to </w:t>
      </w:r>
      <w:r>
        <w:rPr>
          <w:rFonts w:asciiTheme="minorHAnsi" w:hAnsiTheme="minorHAnsi"/>
        </w:rPr>
        <w:t>45</w:t>
      </w:r>
      <w:r w:rsidRPr="009A517A">
        <w:rPr>
          <w:rFonts w:asciiTheme="minorHAnsi" w:hAnsiTheme="minorHAnsi"/>
        </w:rPr>
        <w:t xml:space="preserve"> years old, and </w:t>
      </w:r>
      <w:r>
        <w:rPr>
          <w:rFonts w:asciiTheme="minorHAnsi" w:hAnsiTheme="minorHAnsi"/>
        </w:rPr>
        <w:t>10%</w:t>
      </w:r>
      <w:r w:rsidRPr="009A517A">
        <w:rPr>
          <w:rFonts w:asciiTheme="minorHAnsi" w:hAnsiTheme="minorHAnsi"/>
        </w:rPr>
        <w:t xml:space="preserve"> over 45.</w:t>
      </w:r>
    </w:p>
    <w:p w14:paraId="3A735FB6" w14:textId="77777777" w:rsidR="00C65183" w:rsidRDefault="00C65183" w:rsidP="00C65183">
      <w:pPr>
        <w:jc w:val="both"/>
        <w:rPr>
          <w:rFonts w:asciiTheme="minorHAnsi" w:hAnsiTheme="minorHAnsi"/>
          <w:color w:val="7F7F7F" w:themeColor="text1" w:themeTint="80"/>
        </w:rPr>
      </w:pPr>
    </w:p>
    <w:p w14:paraId="772B9025" w14:textId="77777777" w:rsidR="00C65183" w:rsidRDefault="00C65183" w:rsidP="00C65183">
      <w:pPr>
        <w:jc w:val="both"/>
        <w:rPr>
          <w:rFonts w:asciiTheme="minorHAnsi" w:hAnsiTheme="minorHAnsi"/>
        </w:rPr>
      </w:pPr>
    </w:p>
    <w:p w14:paraId="5D45E323" w14:textId="77777777" w:rsidR="00C65183" w:rsidRPr="003E723D" w:rsidRDefault="00C65183" w:rsidP="00C65183">
      <w:pPr>
        <w:spacing w:line="360" w:lineRule="auto"/>
        <w:jc w:val="both"/>
        <w:rPr>
          <w:rFonts w:ascii="Calibri" w:eastAsia="Calibri" w:hAnsi="Calibri"/>
          <w:b/>
        </w:rPr>
      </w:pPr>
      <w:r w:rsidRPr="00621205">
        <w:rPr>
          <w:rFonts w:ascii="Calibri" w:eastAsia="Calibri" w:hAnsi="Calibri"/>
          <w:b/>
        </w:rPr>
        <w:t>Birthplace</w:t>
      </w:r>
      <w:r>
        <w:rPr>
          <w:rFonts w:ascii="Calibri" w:eastAsia="Calibri" w:hAnsi="Calibri"/>
          <w:b/>
        </w:rPr>
        <w:t>s</w:t>
      </w:r>
    </w:p>
    <w:p w14:paraId="5D278DC1" w14:textId="77777777" w:rsidR="00C65183" w:rsidRDefault="00C65183" w:rsidP="00C65183">
      <w:pPr>
        <w:spacing w:line="360" w:lineRule="auto"/>
        <w:jc w:val="both"/>
        <w:rPr>
          <w:rFonts w:asciiTheme="minorHAnsi" w:hAnsiTheme="minorHAnsi"/>
        </w:rPr>
      </w:pPr>
      <w:r w:rsidRPr="009A517A">
        <w:rPr>
          <w:rFonts w:asciiTheme="minorHAnsi" w:hAnsiTheme="minorHAnsi"/>
        </w:rPr>
        <w:t xml:space="preserve">Asylum-seekers throughout Victoria </w:t>
      </w:r>
      <w:r>
        <w:rPr>
          <w:rFonts w:asciiTheme="minorHAnsi" w:hAnsiTheme="minorHAnsi"/>
        </w:rPr>
        <w:t>are</w:t>
      </w:r>
      <w:r w:rsidRPr="009A517A">
        <w:rPr>
          <w:rFonts w:asciiTheme="minorHAnsi" w:hAnsiTheme="minorHAnsi"/>
        </w:rPr>
        <w:t xml:space="preserve"> largely from Iran </w:t>
      </w:r>
      <w:r>
        <w:rPr>
          <w:rFonts w:asciiTheme="minorHAnsi" w:hAnsiTheme="minorHAnsi"/>
        </w:rPr>
        <w:t>(</w:t>
      </w:r>
      <w:r w:rsidRPr="009A517A">
        <w:rPr>
          <w:rFonts w:asciiTheme="minorHAnsi" w:hAnsiTheme="minorHAnsi"/>
        </w:rPr>
        <w:t xml:space="preserve">accounting for </w:t>
      </w:r>
      <w:r>
        <w:rPr>
          <w:rFonts w:asciiTheme="minorHAnsi" w:hAnsiTheme="minorHAnsi"/>
        </w:rPr>
        <w:t>1,847</w:t>
      </w:r>
      <w:r w:rsidRPr="009A517A">
        <w:rPr>
          <w:rFonts w:asciiTheme="minorHAnsi" w:hAnsiTheme="minorHAnsi"/>
        </w:rPr>
        <w:t xml:space="preserve"> or </w:t>
      </w:r>
      <w:r>
        <w:rPr>
          <w:rFonts w:asciiTheme="minorHAnsi" w:hAnsiTheme="minorHAnsi"/>
        </w:rPr>
        <w:t xml:space="preserve">33%) </w:t>
      </w:r>
      <w:r w:rsidRPr="009A517A">
        <w:rPr>
          <w:rFonts w:asciiTheme="minorHAnsi" w:hAnsiTheme="minorHAnsi"/>
        </w:rPr>
        <w:t>Sri Lanka, Afghanistan</w:t>
      </w:r>
      <w:r>
        <w:rPr>
          <w:rFonts w:asciiTheme="minorHAnsi" w:hAnsiTheme="minorHAnsi"/>
        </w:rPr>
        <w:t xml:space="preserve">, </w:t>
      </w:r>
      <w:r w:rsidRPr="009A517A">
        <w:rPr>
          <w:rFonts w:asciiTheme="minorHAnsi" w:hAnsiTheme="minorHAnsi"/>
        </w:rPr>
        <w:t>Pakistan</w:t>
      </w:r>
      <w:r>
        <w:rPr>
          <w:rFonts w:asciiTheme="minorHAnsi" w:hAnsiTheme="minorHAnsi"/>
        </w:rPr>
        <w:t xml:space="preserve"> and Iraq.</w:t>
      </w:r>
    </w:p>
    <w:p w14:paraId="51760F5C" w14:textId="77777777" w:rsidR="00C65183" w:rsidRDefault="00C65183" w:rsidP="00C65183">
      <w:pPr>
        <w:spacing w:line="360" w:lineRule="auto"/>
        <w:jc w:val="both"/>
        <w:rPr>
          <w:rFonts w:asciiTheme="minorHAnsi" w:hAnsiTheme="minorHAnsi"/>
          <w:noProof/>
        </w:rPr>
      </w:pPr>
      <w:r w:rsidRPr="009A517A">
        <w:rPr>
          <w:rFonts w:asciiTheme="minorHAnsi" w:hAnsiTheme="minorHAnsi"/>
        </w:rPr>
        <w:t xml:space="preserve">Together, these </w:t>
      </w:r>
      <w:r>
        <w:rPr>
          <w:rFonts w:asciiTheme="minorHAnsi" w:hAnsiTheme="minorHAnsi"/>
        </w:rPr>
        <w:t>birthplaces</w:t>
      </w:r>
      <w:r w:rsidRPr="009A517A">
        <w:rPr>
          <w:rFonts w:asciiTheme="minorHAnsi" w:hAnsiTheme="minorHAnsi"/>
        </w:rPr>
        <w:t xml:space="preserve"> account for </w:t>
      </w:r>
      <w:r>
        <w:rPr>
          <w:rFonts w:asciiTheme="minorHAnsi" w:hAnsiTheme="minorHAnsi"/>
        </w:rPr>
        <w:t>over four-fifths (81%) of asylum-seekers in Victoria</w:t>
      </w:r>
      <w:r w:rsidRPr="009A517A">
        <w:rPr>
          <w:rFonts w:asciiTheme="minorHAnsi" w:hAnsiTheme="minorHAnsi"/>
        </w:rPr>
        <w:t xml:space="preserve"> (accompanying diagram)</w:t>
      </w:r>
      <w:r>
        <w:rPr>
          <w:rFonts w:asciiTheme="minorHAnsi" w:hAnsiTheme="minorHAnsi"/>
        </w:rPr>
        <w:t>.</w:t>
      </w:r>
    </w:p>
    <w:p w14:paraId="39382BFE" w14:textId="77777777" w:rsidR="00C65183" w:rsidRDefault="00C65183" w:rsidP="00C65183">
      <w:pPr>
        <w:spacing w:line="360" w:lineRule="auto"/>
        <w:jc w:val="both"/>
        <w:rPr>
          <w:rFonts w:asciiTheme="minorHAnsi" w:hAnsiTheme="minorHAnsi"/>
          <w:noProof/>
        </w:rPr>
      </w:pPr>
      <w:r>
        <w:rPr>
          <w:rFonts w:asciiTheme="minorHAnsi" w:hAnsiTheme="minorHAnsi"/>
          <w:noProof/>
        </w:rPr>
        <w:drawing>
          <wp:anchor distT="0" distB="0" distL="114300" distR="114300" simplePos="0" relativeHeight="251717632" behindDoc="0" locked="0" layoutInCell="1" allowOverlap="1" wp14:anchorId="3C77FF89" wp14:editId="629301E9">
            <wp:simplePos x="0" y="0"/>
            <wp:positionH relativeFrom="column">
              <wp:posOffset>45085</wp:posOffset>
            </wp:positionH>
            <wp:positionV relativeFrom="paragraph">
              <wp:posOffset>5398</wp:posOffset>
            </wp:positionV>
            <wp:extent cx="3682365" cy="4591050"/>
            <wp:effectExtent l="0" t="0" r="0" b="0"/>
            <wp:wrapSquare wrapText="bothSides"/>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682365" cy="4591050"/>
                    </a:xfrm>
                    <a:prstGeom prst="rect">
                      <a:avLst/>
                    </a:prstGeom>
                    <a:noFill/>
                  </pic:spPr>
                </pic:pic>
              </a:graphicData>
            </a:graphic>
            <wp14:sizeRelH relativeFrom="page">
              <wp14:pctWidth>0</wp14:pctWidth>
            </wp14:sizeRelH>
            <wp14:sizeRelV relativeFrom="page">
              <wp14:pctHeight>0</wp14:pctHeight>
            </wp14:sizeRelV>
          </wp:anchor>
        </w:drawing>
      </w:r>
    </w:p>
    <w:p w14:paraId="3AFC7482" w14:textId="77777777" w:rsidR="00C65183" w:rsidRDefault="00C65183" w:rsidP="00C65183">
      <w:pPr>
        <w:spacing w:line="360" w:lineRule="auto"/>
        <w:jc w:val="both"/>
        <w:rPr>
          <w:rFonts w:asciiTheme="minorHAnsi" w:hAnsiTheme="minorHAnsi"/>
          <w:noProof/>
        </w:rPr>
      </w:pPr>
    </w:p>
    <w:p w14:paraId="020E72C7" w14:textId="77777777" w:rsidR="00C65183" w:rsidRPr="0040564E" w:rsidRDefault="00C65183" w:rsidP="00C65183">
      <w:pPr>
        <w:jc w:val="both"/>
        <w:rPr>
          <w:rFonts w:asciiTheme="minorHAnsi" w:hAnsiTheme="minorHAnsi"/>
          <w:color w:val="7F7F7F" w:themeColor="text1" w:themeTint="80"/>
          <w:sz w:val="20"/>
          <w:szCs w:val="20"/>
        </w:rPr>
      </w:pPr>
      <w:r>
        <w:rPr>
          <w:rFonts w:asciiTheme="minorHAnsi" w:hAnsiTheme="minorHAnsi"/>
          <w:color w:val="7F7F7F" w:themeColor="text1" w:themeTint="80"/>
          <w:sz w:val="20"/>
          <w:szCs w:val="20"/>
        </w:rPr>
        <w:t>Per cent of a</w:t>
      </w:r>
      <w:r w:rsidRPr="0040564E">
        <w:rPr>
          <w:rFonts w:asciiTheme="minorHAnsi" w:hAnsiTheme="minorHAnsi"/>
          <w:color w:val="7F7F7F" w:themeColor="text1" w:themeTint="80"/>
          <w:sz w:val="20"/>
          <w:szCs w:val="20"/>
        </w:rPr>
        <w:t xml:space="preserve">sylum-seekers across Victoria by </w:t>
      </w:r>
      <w:r>
        <w:rPr>
          <w:rFonts w:asciiTheme="minorHAnsi" w:hAnsiTheme="minorHAnsi"/>
          <w:color w:val="7F7F7F" w:themeColor="text1" w:themeTint="80"/>
          <w:sz w:val="20"/>
          <w:szCs w:val="20"/>
        </w:rPr>
        <w:t>b</w:t>
      </w:r>
      <w:r w:rsidRPr="0040564E">
        <w:rPr>
          <w:rFonts w:asciiTheme="minorHAnsi" w:hAnsiTheme="minorHAnsi"/>
          <w:color w:val="7F7F7F" w:themeColor="text1" w:themeTint="80"/>
          <w:sz w:val="20"/>
          <w:szCs w:val="20"/>
        </w:rPr>
        <w:t>irthplace: September 2020</w:t>
      </w:r>
    </w:p>
    <w:p w14:paraId="7F55DDB5" w14:textId="77777777" w:rsidR="00C65183" w:rsidRDefault="00C65183" w:rsidP="00C65183">
      <w:pPr>
        <w:spacing w:line="360" w:lineRule="auto"/>
        <w:jc w:val="center"/>
        <w:rPr>
          <w:rFonts w:asciiTheme="minorHAnsi" w:hAnsiTheme="minorHAnsi"/>
          <w:noProof/>
        </w:rPr>
      </w:pPr>
    </w:p>
    <w:p w14:paraId="1C276969" w14:textId="77777777" w:rsidR="00C65183" w:rsidRPr="003E6C8C" w:rsidRDefault="00C65183" w:rsidP="00C65183">
      <w:pPr>
        <w:spacing w:line="360" w:lineRule="auto"/>
        <w:jc w:val="both"/>
        <w:rPr>
          <w:rFonts w:asciiTheme="minorHAnsi" w:hAnsiTheme="minorHAnsi" w:cstheme="minorHAnsi"/>
        </w:rPr>
      </w:pPr>
    </w:p>
    <w:p w14:paraId="2F03A6E7" w14:textId="77777777" w:rsidR="00C65183" w:rsidRPr="003E6C8C" w:rsidRDefault="00C65183" w:rsidP="00C65183">
      <w:pPr>
        <w:spacing w:line="360" w:lineRule="auto"/>
        <w:jc w:val="both"/>
        <w:rPr>
          <w:rFonts w:asciiTheme="minorHAnsi" w:hAnsiTheme="minorHAnsi" w:cstheme="minorHAnsi"/>
        </w:rPr>
      </w:pPr>
    </w:p>
    <w:p w14:paraId="3A26C9E1" w14:textId="77777777" w:rsidR="00C65183" w:rsidRPr="003E6C8C" w:rsidRDefault="00C65183" w:rsidP="00C65183">
      <w:pPr>
        <w:spacing w:line="360" w:lineRule="auto"/>
        <w:jc w:val="both"/>
        <w:rPr>
          <w:rFonts w:asciiTheme="minorHAnsi" w:hAnsiTheme="minorHAnsi" w:cstheme="minorHAnsi"/>
        </w:rPr>
      </w:pPr>
    </w:p>
    <w:p w14:paraId="7D1B8E08" w14:textId="77777777" w:rsidR="00C65183" w:rsidRPr="003E6C8C" w:rsidRDefault="00C65183" w:rsidP="00C65183">
      <w:pPr>
        <w:spacing w:line="360" w:lineRule="auto"/>
        <w:jc w:val="both"/>
        <w:rPr>
          <w:rFonts w:asciiTheme="minorHAnsi" w:hAnsiTheme="minorHAnsi" w:cstheme="minorHAnsi"/>
        </w:rPr>
      </w:pPr>
    </w:p>
    <w:p w14:paraId="2524CC2F" w14:textId="77777777" w:rsidR="00C65183" w:rsidRDefault="00C65183" w:rsidP="00C65183">
      <w:pPr>
        <w:spacing w:line="360" w:lineRule="auto"/>
        <w:jc w:val="both"/>
        <w:rPr>
          <w:rFonts w:asciiTheme="minorHAnsi" w:hAnsiTheme="minorHAnsi" w:cstheme="minorHAnsi"/>
        </w:rPr>
      </w:pPr>
    </w:p>
    <w:p w14:paraId="0FB9E38B" w14:textId="77777777" w:rsidR="00C65183" w:rsidRDefault="00C65183" w:rsidP="00C65183">
      <w:pPr>
        <w:spacing w:line="360" w:lineRule="auto"/>
        <w:jc w:val="both"/>
        <w:rPr>
          <w:rFonts w:asciiTheme="minorHAnsi" w:hAnsiTheme="minorHAnsi" w:cstheme="minorHAnsi"/>
        </w:rPr>
      </w:pPr>
    </w:p>
    <w:p w14:paraId="695B1560" w14:textId="77777777" w:rsidR="00C65183" w:rsidRDefault="00C65183" w:rsidP="00C65183">
      <w:pPr>
        <w:spacing w:line="360" w:lineRule="auto"/>
        <w:jc w:val="both"/>
        <w:rPr>
          <w:rFonts w:asciiTheme="minorHAnsi" w:hAnsiTheme="minorHAnsi" w:cstheme="minorHAnsi"/>
        </w:rPr>
      </w:pPr>
    </w:p>
    <w:p w14:paraId="664FE175" w14:textId="77777777" w:rsidR="00C65183" w:rsidRDefault="00C65183" w:rsidP="00C65183">
      <w:pPr>
        <w:spacing w:line="360" w:lineRule="auto"/>
        <w:jc w:val="both"/>
        <w:rPr>
          <w:rFonts w:asciiTheme="minorHAnsi" w:hAnsiTheme="minorHAnsi" w:cstheme="minorHAnsi"/>
        </w:rPr>
      </w:pPr>
    </w:p>
    <w:p w14:paraId="218940B0" w14:textId="77777777" w:rsidR="00C65183" w:rsidRDefault="00C65183" w:rsidP="00C65183">
      <w:pPr>
        <w:spacing w:line="360" w:lineRule="auto"/>
        <w:jc w:val="both"/>
        <w:rPr>
          <w:rFonts w:asciiTheme="minorHAnsi" w:hAnsiTheme="minorHAnsi" w:cstheme="minorHAnsi"/>
        </w:rPr>
      </w:pPr>
    </w:p>
    <w:p w14:paraId="29836B18" w14:textId="77777777" w:rsidR="00C65183" w:rsidRDefault="00C65183" w:rsidP="00C65183">
      <w:pPr>
        <w:spacing w:line="360" w:lineRule="auto"/>
        <w:jc w:val="both"/>
        <w:rPr>
          <w:rFonts w:asciiTheme="minorHAnsi" w:hAnsiTheme="minorHAnsi" w:cstheme="minorHAnsi"/>
        </w:rPr>
      </w:pPr>
    </w:p>
    <w:p w14:paraId="31B03250" w14:textId="77777777" w:rsidR="00C65183" w:rsidRDefault="00C65183" w:rsidP="00C65183">
      <w:pPr>
        <w:spacing w:line="360" w:lineRule="auto"/>
        <w:jc w:val="both"/>
        <w:rPr>
          <w:rFonts w:asciiTheme="minorHAnsi" w:hAnsiTheme="minorHAnsi" w:cstheme="minorHAnsi"/>
        </w:rPr>
      </w:pPr>
    </w:p>
    <w:p w14:paraId="4F87028D" w14:textId="77777777" w:rsidR="00C65183" w:rsidRDefault="00C65183" w:rsidP="00C65183">
      <w:pPr>
        <w:rPr>
          <w:rFonts w:asciiTheme="minorHAnsi" w:hAnsiTheme="minorHAnsi" w:cstheme="minorHAnsi"/>
        </w:rPr>
      </w:pPr>
      <w:r>
        <w:rPr>
          <w:rFonts w:asciiTheme="minorHAnsi" w:hAnsiTheme="minorHAnsi" w:cstheme="minorHAnsi"/>
        </w:rPr>
        <w:br w:type="page"/>
      </w:r>
    </w:p>
    <w:p w14:paraId="0979ACC0" w14:textId="77777777" w:rsidR="00C65183" w:rsidRPr="00827F47" w:rsidRDefault="00C65183" w:rsidP="00C65183">
      <w:pPr>
        <w:pBdr>
          <w:top w:val="single" w:sz="4" w:space="0" w:color="244061" w:themeColor="accent1" w:themeShade="80"/>
          <w:bottom w:val="single" w:sz="4" w:space="1" w:color="244061" w:themeColor="accent1" w:themeShade="80"/>
        </w:pBdr>
        <w:tabs>
          <w:tab w:val="center" w:pos="4678"/>
        </w:tabs>
        <w:jc w:val="center"/>
        <w:rPr>
          <w:rFonts w:ascii="Garamond" w:hAnsi="Garamond"/>
          <w:noProof/>
          <w:color w:val="244061" w:themeColor="accent1" w:themeShade="80"/>
          <w:sz w:val="34"/>
          <w:szCs w:val="34"/>
        </w:rPr>
      </w:pPr>
      <w:r w:rsidRPr="00827F47">
        <w:rPr>
          <w:rFonts w:ascii="Garamond" w:hAnsi="Garamond"/>
          <w:noProof/>
          <w:color w:val="244061" w:themeColor="accent1" w:themeShade="80"/>
          <w:sz w:val="34"/>
          <w:szCs w:val="34"/>
        </w:rPr>
        <w:lastRenderedPageBreak/>
        <w:t xml:space="preserve">Spoken Languages </w:t>
      </w:r>
    </w:p>
    <w:p w14:paraId="1BE4E6D8" w14:textId="77777777" w:rsidR="00C65183" w:rsidRDefault="00C65183" w:rsidP="00C65183">
      <w:pPr>
        <w:tabs>
          <w:tab w:val="left" w:pos="284"/>
          <w:tab w:val="left" w:pos="5245"/>
        </w:tabs>
        <w:spacing w:before="120" w:line="360" w:lineRule="auto"/>
        <w:jc w:val="both"/>
        <w:rPr>
          <w:rFonts w:ascii="Calibri" w:hAnsi="Calibri"/>
          <w:color w:val="000000"/>
        </w:rPr>
      </w:pPr>
      <w:r w:rsidRPr="00F569C6">
        <w:rPr>
          <w:rFonts w:ascii="Calibri" w:hAnsi="Calibri"/>
          <w:color w:val="000000"/>
        </w:rPr>
        <w:t>Nearly two-thirds of the residents of Greater Dandenong speak languages other than English in their homes,</w:t>
      </w:r>
      <w:r>
        <w:rPr>
          <w:rFonts w:ascii="Calibri" w:hAnsi="Calibri"/>
          <w:color w:val="000000"/>
        </w:rPr>
        <w:t xml:space="preserve"> while</w:t>
      </w:r>
      <w:r w:rsidRPr="00F569C6">
        <w:rPr>
          <w:rFonts w:ascii="Calibri" w:hAnsi="Calibri"/>
          <w:color w:val="000000"/>
        </w:rPr>
        <w:t xml:space="preserve"> one in seven has limited fluency in the use of spoken English.</w:t>
      </w:r>
    </w:p>
    <w:p w14:paraId="37789C93" w14:textId="77777777" w:rsidR="00C65183" w:rsidRPr="0040564E" w:rsidRDefault="00C65183" w:rsidP="00C65183">
      <w:pPr>
        <w:tabs>
          <w:tab w:val="left" w:pos="5245"/>
        </w:tabs>
        <w:spacing w:before="120" w:line="360" w:lineRule="auto"/>
        <w:jc w:val="both"/>
        <w:rPr>
          <w:rFonts w:ascii="Calibri" w:hAnsi="Calibri"/>
          <w:color w:val="000000"/>
          <w:sz w:val="20"/>
          <w:szCs w:val="20"/>
        </w:rPr>
      </w:pPr>
      <w:r>
        <w:rPr>
          <w:rFonts w:ascii="Calibri" w:hAnsi="Calibri"/>
          <w:noProof/>
          <w:color w:val="000000"/>
          <w:lang w:eastAsia="en-AU"/>
        </w:rPr>
        <w:drawing>
          <wp:anchor distT="0" distB="0" distL="114300" distR="114300" simplePos="0" relativeHeight="251718656" behindDoc="1" locked="0" layoutInCell="1" allowOverlap="1" wp14:anchorId="3CBD2B00" wp14:editId="4027734B">
            <wp:simplePos x="0" y="0"/>
            <wp:positionH relativeFrom="column">
              <wp:posOffset>2404745</wp:posOffset>
            </wp:positionH>
            <wp:positionV relativeFrom="paragraph">
              <wp:posOffset>267335</wp:posOffset>
            </wp:positionV>
            <wp:extent cx="3658870" cy="3012440"/>
            <wp:effectExtent l="0" t="0" r="0" b="0"/>
            <wp:wrapTight wrapText="bothSides">
              <wp:wrapPolygon edited="0">
                <wp:start x="0" y="0"/>
                <wp:lineTo x="0" y="21445"/>
                <wp:lineTo x="21480" y="21445"/>
                <wp:lineTo x="21480" y="0"/>
                <wp:lineTo x="0" y="0"/>
              </wp:wrapPolygon>
            </wp:wrapTight>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658870" cy="3012440"/>
                    </a:xfrm>
                    <a:prstGeom prst="rect">
                      <a:avLst/>
                    </a:prstGeom>
                    <a:noFill/>
                  </pic:spPr>
                </pic:pic>
              </a:graphicData>
            </a:graphic>
            <wp14:sizeRelH relativeFrom="page">
              <wp14:pctWidth>0</wp14:pctWidth>
            </wp14:sizeRelH>
            <wp14:sizeRelV relativeFrom="page">
              <wp14:pctHeight>0</wp14:pctHeight>
            </wp14:sizeRelV>
          </wp:anchor>
        </w:drawing>
      </w:r>
      <w:r>
        <w:rPr>
          <w:rFonts w:ascii="Calibri" w:hAnsi="Calibri"/>
          <w:color w:val="000000"/>
        </w:rPr>
        <w:t xml:space="preserve"> </w:t>
      </w:r>
      <w:r>
        <w:rPr>
          <w:rFonts w:ascii="Calibri" w:hAnsi="Calibri"/>
          <w:b/>
          <w:color w:val="000000"/>
        </w:rPr>
        <w:tab/>
      </w:r>
      <w:r w:rsidRPr="0040564E">
        <w:rPr>
          <w:rFonts w:ascii="Calibri" w:hAnsi="Calibri"/>
          <w:color w:val="7F7F7F"/>
          <w:sz w:val="20"/>
          <w:szCs w:val="20"/>
        </w:rPr>
        <w:t xml:space="preserve">Spoken </w:t>
      </w:r>
      <w:r>
        <w:rPr>
          <w:rFonts w:ascii="Calibri" w:hAnsi="Calibri"/>
          <w:color w:val="7F7F7F"/>
          <w:sz w:val="20"/>
          <w:szCs w:val="20"/>
        </w:rPr>
        <w:t>l</w:t>
      </w:r>
      <w:r w:rsidRPr="0040564E">
        <w:rPr>
          <w:rFonts w:ascii="Calibri" w:hAnsi="Calibri"/>
          <w:color w:val="7F7F7F"/>
          <w:sz w:val="20"/>
          <w:szCs w:val="20"/>
        </w:rPr>
        <w:t>anguages: Greater Dandenong, 2016</w:t>
      </w:r>
    </w:p>
    <w:p w14:paraId="291B7E68" w14:textId="77777777" w:rsidR="00C65183" w:rsidRPr="00330EA5" w:rsidRDefault="00C65183" w:rsidP="00C65183">
      <w:pPr>
        <w:tabs>
          <w:tab w:val="left" w:pos="284"/>
          <w:tab w:val="left" w:pos="4820"/>
        </w:tabs>
        <w:rPr>
          <w:rFonts w:ascii="Calibri" w:hAnsi="Calibri"/>
          <w:b/>
          <w:color w:val="000000"/>
        </w:rPr>
      </w:pPr>
      <w:r w:rsidRPr="00330EA5">
        <w:rPr>
          <w:rFonts w:ascii="Calibri" w:hAnsi="Calibri"/>
          <w:b/>
          <w:color w:val="000000"/>
        </w:rPr>
        <w:t>Spoken Languages</w:t>
      </w:r>
      <w:r>
        <w:rPr>
          <w:rFonts w:ascii="Calibri" w:hAnsi="Calibri"/>
          <w:b/>
          <w:color w:val="000000"/>
        </w:rPr>
        <w:t xml:space="preserve"> </w:t>
      </w:r>
    </w:p>
    <w:p w14:paraId="1ECD2ECE" w14:textId="77777777" w:rsidR="00C65183" w:rsidRPr="00330EA5" w:rsidRDefault="00C65183" w:rsidP="00C65183">
      <w:pPr>
        <w:tabs>
          <w:tab w:val="left" w:pos="284"/>
        </w:tabs>
        <w:spacing w:before="60" w:line="360" w:lineRule="auto"/>
        <w:jc w:val="both"/>
        <w:rPr>
          <w:rFonts w:ascii="Calibri" w:hAnsi="Calibri"/>
          <w:color w:val="000000"/>
        </w:rPr>
      </w:pPr>
      <w:r>
        <w:rPr>
          <w:rFonts w:ascii="Calibri" w:hAnsi="Calibri"/>
          <w:noProof/>
          <w:color w:val="000000"/>
          <w:lang w:eastAsia="en-AU"/>
        </w:rPr>
        <w:drawing>
          <wp:anchor distT="0" distB="0" distL="114300" distR="114300" simplePos="0" relativeHeight="251722752" behindDoc="0" locked="0" layoutInCell="1" allowOverlap="1" wp14:anchorId="447EEB59" wp14:editId="54178CC6">
            <wp:simplePos x="0" y="0"/>
            <wp:positionH relativeFrom="column">
              <wp:posOffset>4460464</wp:posOffset>
            </wp:positionH>
            <wp:positionV relativeFrom="paragraph">
              <wp:posOffset>1453544</wp:posOffset>
            </wp:positionV>
            <wp:extent cx="1649616" cy="1097280"/>
            <wp:effectExtent l="0" t="0" r="8255" b="7620"/>
            <wp:wrapNone/>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mily 3.jp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1653322" cy="109974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Pr>
          <w:rFonts w:ascii="Calibri" w:hAnsi="Calibri"/>
          <w:color w:val="000000"/>
        </w:rPr>
        <w:t>In 2016, over 70%</w:t>
      </w:r>
      <w:r w:rsidRPr="00330EA5">
        <w:rPr>
          <w:rFonts w:ascii="Calibri" w:hAnsi="Calibri"/>
          <w:color w:val="000000"/>
        </w:rPr>
        <w:t xml:space="preserve"> </w:t>
      </w:r>
      <w:r>
        <w:rPr>
          <w:rFonts w:ascii="Calibri" w:hAnsi="Calibri"/>
          <w:color w:val="000000"/>
        </w:rPr>
        <w:t xml:space="preserve">of </w:t>
      </w:r>
      <w:r w:rsidRPr="00330EA5">
        <w:rPr>
          <w:rFonts w:ascii="Calibri" w:hAnsi="Calibri"/>
          <w:color w:val="000000"/>
        </w:rPr>
        <w:t xml:space="preserve">residents </w:t>
      </w:r>
      <w:r>
        <w:rPr>
          <w:rFonts w:ascii="Calibri" w:hAnsi="Calibri"/>
          <w:color w:val="000000"/>
        </w:rPr>
        <w:t>spoke</w:t>
      </w:r>
      <w:r w:rsidRPr="00330EA5">
        <w:rPr>
          <w:rFonts w:ascii="Calibri" w:hAnsi="Calibri"/>
          <w:color w:val="000000"/>
        </w:rPr>
        <w:t xml:space="preserve"> languages other than English</w:t>
      </w:r>
      <w:r>
        <w:rPr>
          <w:rFonts w:ascii="Calibri" w:hAnsi="Calibri"/>
          <w:color w:val="000000"/>
        </w:rPr>
        <w:t xml:space="preserve"> in their homes</w:t>
      </w:r>
      <w:r w:rsidRPr="00330EA5">
        <w:rPr>
          <w:rFonts w:ascii="Calibri" w:hAnsi="Calibri"/>
          <w:color w:val="000000"/>
        </w:rPr>
        <w:t xml:space="preserve"> – the largest proportion in Victori</w:t>
      </w:r>
      <w:r>
        <w:rPr>
          <w:rFonts w:ascii="Calibri" w:hAnsi="Calibri"/>
          <w:color w:val="000000"/>
        </w:rPr>
        <w:t xml:space="preserve">a and more than twice the metropolitan level of 31%. Among the more than 130 different languages spoken are </w:t>
      </w:r>
      <w:r w:rsidRPr="00330EA5">
        <w:rPr>
          <w:rFonts w:ascii="Calibri" w:hAnsi="Calibri"/>
          <w:color w:val="000000"/>
        </w:rPr>
        <w:t xml:space="preserve">Vietnamese, Khmer, Chinese, Greek, Punjabi </w:t>
      </w:r>
      <w:r>
        <w:rPr>
          <w:rFonts w:ascii="Calibri" w:hAnsi="Calibri"/>
          <w:color w:val="000000"/>
        </w:rPr>
        <w:t>and</w:t>
      </w:r>
      <w:r w:rsidRPr="00330EA5">
        <w:rPr>
          <w:rFonts w:ascii="Calibri" w:hAnsi="Calibri"/>
          <w:color w:val="000000"/>
        </w:rPr>
        <w:t xml:space="preserve"> Sinhalese.</w:t>
      </w:r>
    </w:p>
    <w:p w14:paraId="40895234" w14:textId="77777777" w:rsidR="00C65183" w:rsidRPr="00330EA5" w:rsidRDefault="00C65183" w:rsidP="00C65183">
      <w:pPr>
        <w:tabs>
          <w:tab w:val="left" w:pos="284"/>
        </w:tabs>
        <w:spacing w:before="60" w:line="360" w:lineRule="auto"/>
        <w:jc w:val="both"/>
        <w:rPr>
          <w:rFonts w:ascii="Calibri" w:hAnsi="Calibri"/>
          <w:color w:val="000000"/>
        </w:rPr>
      </w:pPr>
      <w:r>
        <w:rPr>
          <w:rFonts w:ascii="Calibri" w:hAnsi="Calibri"/>
          <w:color w:val="000000"/>
        </w:rPr>
        <w:t>Greater Dandenong has the greatest diversity of languages in Victoria and the second highest in Australia.</w:t>
      </w:r>
    </w:p>
    <w:p w14:paraId="6F2365A9" w14:textId="77777777" w:rsidR="00C65183" w:rsidRPr="003B3462" w:rsidRDefault="00C65183" w:rsidP="00C65183">
      <w:pPr>
        <w:tabs>
          <w:tab w:val="left" w:pos="284"/>
        </w:tabs>
        <w:spacing w:after="120"/>
        <w:jc w:val="both"/>
        <w:rPr>
          <w:rFonts w:ascii="Calibri" w:hAnsi="Calibri"/>
          <w:color w:val="000000"/>
          <w:sz w:val="16"/>
          <w:szCs w:val="16"/>
        </w:rPr>
      </w:pPr>
    </w:p>
    <w:p w14:paraId="3BFFFD41" w14:textId="77777777" w:rsidR="00C65183" w:rsidRDefault="00C65183" w:rsidP="00C65183">
      <w:pPr>
        <w:tabs>
          <w:tab w:val="left" w:pos="284"/>
        </w:tabs>
        <w:spacing w:line="360" w:lineRule="auto"/>
        <w:jc w:val="both"/>
        <w:rPr>
          <w:rFonts w:ascii="Calibri" w:hAnsi="Calibri"/>
          <w:color w:val="000000"/>
        </w:rPr>
      </w:pPr>
      <w:r>
        <w:rPr>
          <w:rFonts w:ascii="Calibri" w:hAnsi="Calibri"/>
          <w:color w:val="000000"/>
        </w:rPr>
        <w:t>The diagrams below present the major languages spoken by residents among key age groups.</w:t>
      </w:r>
    </w:p>
    <w:p w14:paraId="66A38000" w14:textId="77777777" w:rsidR="00C65183" w:rsidRPr="00AB05D2" w:rsidRDefault="00C65183" w:rsidP="00C65183">
      <w:pPr>
        <w:tabs>
          <w:tab w:val="left" w:pos="284"/>
        </w:tabs>
        <w:jc w:val="both"/>
        <w:rPr>
          <w:rFonts w:ascii="Calibri" w:hAnsi="Calibri"/>
          <w:color w:val="7F7F7F"/>
          <w:sz w:val="20"/>
          <w:szCs w:val="20"/>
        </w:rPr>
      </w:pPr>
      <w:r w:rsidRPr="00AB05D2">
        <w:rPr>
          <w:rFonts w:ascii="Calibri" w:hAnsi="Calibri"/>
          <w:color w:val="7F7F7F"/>
          <w:sz w:val="20"/>
          <w:szCs w:val="20"/>
        </w:rPr>
        <w:t xml:space="preserve">Persons aged </w:t>
      </w:r>
      <w:r w:rsidRPr="00AB05D2">
        <w:rPr>
          <w:rFonts w:ascii="Calibri" w:hAnsi="Calibri"/>
          <w:b/>
          <w:color w:val="7F7F7F"/>
          <w:sz w:val="20"/>
          <w:szCs w:val="20"/>
        </w:rPr>
        <w:t>0 to 14</w:t>
      </w:r>
      <w:r w:rsidRPr="00AB05D2">
        <w:rPr>
          <w:rFonts w:ascii="Calibri" w:hAnsi="Calibri"/>
          <w:color w:val="7F7F7F"/>
          <w:sz w:val="20"/>
          <w:szCs w:val="20"/>
        </w:rPr>
        <w:t xml:space="preserve"> years: number by selected spoken language</w:t>
      </w:r>
      <w:r>
        <w:rPr>
          <w:rFonts w:ascii="Calibri" w:hAnsi="Calibri"/>
          <w:color w:val="7F7F7F"/>
          <w:sz w:val="20"/>
          <w:szCs w:val="20"/>
        </w:rPr>
        <w:t>: Greater Dandenong,</w:t>
      </w:r>
      <w:r w:rsidRPr="00AB05D2">
        <w:rPr>
          <w:rFonts w:ascii="Calibri" w:hAnsi="Calibri"/>
          <w:color w:val="7F7F7F"/>
          <w:sz w:val="20"/>
          <w:szCs w:val="20"/>
        </w:rPr>
        <w:t xml:space="preserve"> 2016</w:t>
      </w:r>
    </w:p>
    <w:p w14:paraId="29727497" w14:textId="77777777" w:rsidR="00C65183" w:rsidRPr="00A61890" w:rsidRDefault="00C65183" w:rsidP="00C65183">
      <w:pPr>
        <w:tabs>
          <w:tab w:val="left" w:pos="284"/>
        </w:tabs>
        <w:spacing w:before="60" w:line="360" w:lineRule="auto"/>
        <w:jc w:val="both"/>
        <w:rPr>
          <w:rFonts w:ascii="Calibri" w:hAnsi="Calibri"/>
          <w:color w:val="000000"/>
        </w:rPr>
      </w:pPr>
      <w:r>
        <w:rPr>
          <w:rFonts w:ascii="Calibri" w:hAnsi="Calibri"/>
          <w:noProof/>
          <w:color w:val="000000"/>
          <w:lang w:eastAsia="en-AU"/>
        </w:rPr>
        <w:drawing>
          <wp:anchor distT="0" distB="0" distL="114300" distR="114300" simplePos="0" relativeHeight="251723776" behindDoc="0" locked="0" layoutInCell="1" allowOverlap="1" wp14:anchorId="268060CC" wp14:editId="260E35EC">
            <wp:simplePos x="0" y="0"/>
            <wp:positionH relativeFrom="column">
              <wp:posOffset>4290059</wp:posOffset>
            </wp:positionH>
            <wp:positionV relativeFrom="paragraph">
              <wp:posOffset>967079</wp:posOffset>
            </wp:positionV>
            <wp:extent cx="1215295" cy="796634"/>
            <wp:effectExtent l="0" t="0" r="4445" b="3810"/>
            <wp:wrapNone/>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munity 3.JP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1222510" cy="801364"/>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Pr>
          <w:rFonts w:ascii="Calibri" w:hAnsi="Calibri"/>
          <w:noProof/>
          <w:color w:val="000000"/>
          <w:lang w:eastAsia="en-AU"/>
        </w:rPr>
        <w:drawing>
          <wp:inline distT="0" distB="0" distL="0" distR="0" wp14:anchorId="0A3760F9" wp14:editId="098FF9D1">
            <wp:extent cx="3780155" cy="2021840"/>
            <wp:effectExtent l="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2">
                      <a:extLst>
                        <a:ext uri="{28A0092B-C50C-407E-A947-70E740481C1C}">
                          <a14:useLocalDpi xmlns:a14="http://schemas.microsoft.com/office/drawing/2010/main" val="0"/>
                        </a:ext>
                      </a:extLst>
                    </a:blip>
                    <a:srcRect b="4033"/>
                    <a:stretch>
                      <a:fillRect/>
                    </a:stretch>
                  </pic:blipFill>
                  <pic:spPr bwMode="auto">
                    <a:xfrm>
                      <a:off x="0" y="0"/>
                      <a:ext cx="3780155" cy="2021840"/>
                    </a:xfrm>
                    <a:prstGeom prst="rect">
                      <a:avLst/>
                    </a:prstGeom>
                    <a:noFill/>
                  </pic:spPr>
                </pic:pic>
              </a:graphicData>
            </a:graphic>
          </wp:inline>
        </w:drawing>
      </w:r>
    </w:p>
    <w:p w14:paraId="26EF909C" w14:textId="77777777" w:rsidR="00C65183" w:rsidRDefault="00C65183" w:rsidP="00C65183">
      <w:pPr>
        <w:tabs>
          <w:tab w:val="left" w:pos="284"/>
        </w:tabs>
        <w:jc w:val="both"/>
        <w:rPr>
          <w:rFonts w:ascii="Calibri" w:hAnsi="Calibri"/>
          <w:color w:val="7F7F7F"/>
          <w:sz w:val="18"/>
          <w:szCs w:val="18"/>
        </w:rPr>
      </w:pPr>
    </w:p>
    <w:p w14:paraId="4F8B7CA6" w14:textId="77777777" w:rsidR="00C65183" w:rsidRPr="00AB05D2" w:rsidRDefault="00C65183" w:rsidP="00C65183">
      <w:pPr>
        <w:tabs>
          <w:tab w:val="left" w:pos="284"/>
        </w:tabs>
        <w:jc w:val="both"/>
        <w:rPr>
          <w:rFonts w:ascii="Calibri" w:hAnsi="Calibri"/>
          <w:color w:val="7F7F7F"/>
          <w:sz w:val="20"/>
          <w:szCs w:val="20"/>
        </w:rPr>
      </w:pPr>
      <w:r w:rsidRPr="00AB05D2">
        <w:rPr>
          <w:rFonts w:ascii="Calibri" w:hAnsi="Calibri"/>
          <w:color w:val="7F7F7F"/>
          <w:sz w:val="20"/>
          <w:szCs w:val="20"/>
        </w:rPr>
        <w:t xml:space="preserve">Persons aged </w:t>
      </w:r>
      <w:r w:rsidRPr="00AB05D2">
        <w:rPr>
          <w:rFonts w:ascii="Calibri" w:hAnsi="Calibri"/>
          <w:b/>
          <w:color w:val="7F7F7F"/>
          <w:sz w:val="20"/>
          <w:szCs w:val="20"/>
        </w:rPr>
        <w:t>15 to 24 years</w:t>
      </w:r>
      <w:r w:rsidRPr="00AB05D2">
        <w:rPr>
          <w:rFonts w:ascii="Calibri" w:hAnsi="Calibri"/>
          <w:color w:val="7F7F7F"/>
          <w:sz w:val="20"/>
          <w:szCs w:val="20"/>
        </w:rPr>
        <w:t>: by selected spoken language</w:t>
      </w:r>
      <w:r>
        <w:rPr>
          <w:rFonts w:ascii="Calibri" w:hAnsi="Calibri"/>
          <w:color w:val="7F7F7F"/>
          <w:sz w:val="20"/>
          <w:szCs w:val="20"/>
        </w:rPr>
        <w:t>: Greater Dandenong,</w:t>
      </w:r>
      <w:r w:rsidRPr="00AB05D2">
        <w:rPr>
          <w:rFonts w:ascii="Calibri" w:hAnsi="Calibri"/>
          <w:color w:val="7F7F7F"/>
          <w:sz w:val="20"/>
          <w:szCs w:val="20"/>
        </w:rPr>
        <w:t xml:space="preserve"> 2016</w:t>
      </w:r>
    </w:p>
    <w:p w14:paraId="3539CD30" w14:textId="77777777" w:rsidR="00C65183" w:rsidRDefault="00C65183" w:rsidP="00C65183">
      <w:pPr>
        <w:tabs>
          <w:tab w:val="left" w:pos="284"/>
        </w:tabs>
        <w:jc w:val="both"/>
        <w:rPr>
          <w:rFonts w:ascii="Calibri" w:hAnsi="Calibri"/>
          <w:color w:val="943634"/>
        </w:rPr>
      </w:pPr>
      <w:r>
        <w:rPr>
          <w:rFonts w:ascii="Calibri" w:hAnsi="Calibri"/>
          <w:noProof/>
          <w:lang w:eastAsia="en-AU"/>
        </w:rPr>
        <w:drawing>
          <wp:inline distT="0" distB="0" distL="0" distR="0" wp14:anchorId="736F73BB" wp14:editId="15B7BE9A">
            <wp:extent cx="3732530" cy="1851660"/>
            <wp:effectExtent l="0" t="0" r="1270" b="0"/>
            <wp:docPr id="91" name="Picture 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rrowheads="1"/>
                    </pic:cNvPicPr>
                  </pic:nvPicPr>
                  <pic:blipFill>
                    <a:blip r:embed="rId83">
                      <a:extLst>
                        <a:ext uri="{28A0092B-C50C-407E-A947-70E740481C1C}">
                          <a14:useLocalDpi xmlns:a14="http://schemas.microsoft.com/office/drawing/2010/main" val="0"/>
                        </a:ext>
                      </a:extLst>
                    </a:blip>
                    <a:srcRect b="3412"/>
                    <a:stretch>
                      <a:fillRect/>
                    </a:stretch>
                  </pic:blipFill>
                  <pic:spPr bwMode="auto">
                    <a:xfrm>
                      <a:off x="0" y="0"/>
                      <a:ext cx="3732530" cy="1851660"/>
                    </a:xfrm>
                    <a:prstGeom prst="rect">
                      <a:avLst/>
                    </a:prstGeom>
                    <a:noFill/>
                  </pic:spPr>
                </pic:pic>
              </a:graphicData>
            </a:graphic>
          </wp:inline>
        </w:drawing>
      </w:r>
    </w:p>
    <w:p w14:paraId="05817EF6" w14:textId="77777777" w:rsidR="00C65183" w:rsidRPr="00AB05D2" w:rsidRDefault="00C65183" w:rsidP="00C65183">
      <w:pPr>
        <w:tabs>
          <w:tab w:val="left" w:pos="284"/>
        </w:tabs>
        <w:jc w:val="both"/>
        <w:rPr>
          <w:rFonts w:ascii="Calibri" w:hAnsi="Calibri"/>
          <w:color w:val="7F7F7F"/>
          <w:sz w:val="20"/>
          <w:szCs w:val="20"/>
        </w:rPr>
      </w:pPr>
      <w:r w:rsidRPr="00AB05D2">
        <w:rPr>
          <w:rFonts w:ascii="Calibri" w:hAnsi="Calibri"/>
          <w:color w:val="7F7F7F"/>
          <w:sz w:val="20"/>
          <w:szCs w:val="20"/>
        </w:rPr>
        <w:lastRenderedPageBreak/>
        <w:t xml:space="preserve">Persons aged </w:t>
      </w:r>
      <w:r w:rsidRPr="00AB05D2">
        <w:rPr>
          <w:rFonts w:ascii="Calibri" w:hAnsi="Calibri"/>
          <w:b/>
          <w:color w:val="7F7F7F"/>
          <w:sz w:val="20"/>
          <w:szCs w:val="20"/>
        </w:rPr>
        <w:t>25 to 64 years</w:t>
      </w:r>
      <w:r w:rsidRPr="00AB05D2">
        <w:rPr>
          <w:rFonts w:ascii="Calibri" w:hAnsi="Calibri"/>
          <w:color w:val="7F7F7F"/>
          <w:sz w:val="20"/>
          <w:szCs w:val="20"/>
        </w:rPr>
        <w:t>: number by selected spoken language</w:t>
      </w:r>
      <w:r>
        <w:rPr>
          <w:rFonts w:ascii="Calibri" w:hAnsi="Calibri"/>
          <w:color w:val="7F7F7F"/>
          <w:sz w:val="20"/>
          <w:szCs w:val="20"/>
        </w:rPr>
        <w:t>: Greater Dandenong,</w:t>
      </w:r>
      <w:r w:rsidRPr="00AB05D2">
        <w:rPr>
          <w:rFonts w:ascii="Calibri" w:hAnsi="Calibri"/>
          <w:color w:val="7F7F7F"/>
          <w:sz w:val="20"/>
          <w:szCs w:val="20"/>
        </w:rPr>
        <w:t xml:space="preserve"> 2016</w:t>
      </w:r>
    </w:p>
    <w:p w14:paraId="53F052A5" w14:textId="77777777" w:rsidR="00C65183" w:rsidRDefault="00C65183" w:rsidP="00C65183">
      <w:pPr>
        <w:rPr>
          <w:rFonts w:ascii="Calibri" w:hAnsi="Calibri"/>
        </w:rPr>
      </w:pPr>
      <w:r>
        <w:rPr>
          <w:rFonts w:ascii="Calibri" w:hAnsi="Calibri"/>
          <w:noProof/>
          <w:lang w:eastAsia="en-AU"/>
        </w:rPr>
        <w:drawing>
          <wp:inline distT="0" distB="0" distL="0" distR="0" wp14:anchorId="4517E28D" wp14:editId="405B1570">
            <wp:extent cx="3780155" cy="1913890"/>
            <wp:effectExtent l="0" t="0" r="0" b="0"/>
            <wp:docPr id="92" name="Picture 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rrowheads="1"/>
                    </pic:cNvPicPr>
                  </pic:nvPicPr>
                  <pic:blipFill>
                    <a:blip r:embed="rId84">
                      <a:extLst>
                        <a:ext uri="{28A0092B-C50C-407E-A947-70E740481C1C}">
                          <a14:useLocalDpi xmlns:a14="http://schemas.microsoft.com/office/drawing/2010/main" val="0"/>
                        </a:ext>
                      </a:extLst>
                    </a:blip>
                    <a:srcRect b="3706"/>
                    <a:stretch>
                      <a:fillRect/>
                    </a:stretch>
                  </pic:blipFill>
                  <pic:spPr bwMode="auto">
                    <a:xfrm>
                      <a:off x="0" y="0"/>
                      <a:ext cx="3780155" cy="1913890"/>
                    </a:xfrm>
                    <a:prstGeom prst="rect">
                      <a:avLst/>
                    </a:prstGeom>
                    <a:noFill/>
                  </pic:spPr>
                </pic:pic>
              </a:graphicData>
            </a:graphic>
          </wp:inline>
        </w:drawing>
      </w:r>
    </w:p>
    <w:p w14:paraId="459F7562" w14:textId="77777777" w:rsidR="00C65183" w:rsidRDefault="00C65183" w:rsidP="00C65183">
      <w:pPr>
        <w:rPr>
          <w:rFonts w:ascii="Calibri" w:hAnsi="Calibri"/>
        </w:rPr>
      </w:pPr>
    </w:p>
    <w:p w14:paraId="11670A98" w14:textId="77777777" w:rsidR="00C65183" w:rsidRPr="00AB05D2" w:rsidRDefault="00C65183" w:rsidP="00C65183">
      <w:pPr>
        <w:tabs>
          <w:tab w:val="left" w:pos="284"/>
        </w:tabs>
        <w:jc w:val="both"/>
        <w:rPr>
          <w:rFonts w:ascii="Calibri" w:hAnsi="Calibri"/>
          <w:color w:val="7F7F7F"/>
          <w:sz w:val="20"/>
          <w:szCs w:val="20"/>
        </w:rPr>
      </w:pPr>
      <w:r w:rsidRPr="00AB05D2">
        <w:rPr>
          <w:rFonts w:ascii="Calibri" w:hAnsi="Calibri"/>
          <w:color w:val="7F7F7F"/>
          <w:sz w:val="20"/>
          <w:szCs w:val="20"/>
        </w:rPr>
        <w:t xml:space="preserve">Persons aged </w:t>
      </w:r>
      <w:r w:rsidRPr="00AB05D2">
        <w:rPr>
          <w:rFonts w:ascii="Calibri" w:hAnsi="Calibri"/>
          <w:b/>
          <w:color w:val="7F7F7F"/>
          <w:sz w:val="20"/>
          <w:szCs w:val="20"/>
        </w:rPr>
        <w:t>65 years or more</w:t>
      </w:r>
      <w:r w:rsidRPr="00AB05D2">
        <w:rPr>
          <w:rFonts w:ascii="Calibri" w:hAnsi="Calibri"/>
          <w:color w:val="7F7F7F"/>
          <w:sz w:val="20"/>
          <w:szCs w:val="20"/>
        </w:rPr>
        <w:t>: by selected spoken language</w:t>
      </w:r>
      <w:r>
        <w:rPr>
          <w:rFonts w:ascii="Calibri" w:hAnsi="Calibri"/>
          <w:color w:val="7F7F7F"/>
          <w:sz w:val="20"/>
          <w:szCs w:val="20"/>
        </w:rPr>
        <w:t>: Greater Dandenong,</w:t>
      </w:r>
      <w:r w:rsidRPr="00AB05D2">
        <w:rPr>
          <w:rFonts w:ascii="Calibri" w:hAnsi="Calibri"/>
          <w:color w:val="7F7F7F"/>
          <w:sz w:val="20"/>
          <w:szCs w:val="20"/>
        </w:rPr>
        <w:t xml:space="preserve"> 2016</w:t>
      </w:r>
    </w:p>
    <w:p w14:paraId="390E2277" w14:textId="77777777" w:rsidR="00C65183" w:rsidRDefault="00C65183" w:rsidP="00C65183">
      <w:pPr>
        <w:tabs>
          <w:tab w:val="left" w:pos="284"/>
        </w:tabs>
        <w:jc w:val="both"/>
        <w:rPr>
          <w:rFonts w:ascii="Calibri" w:hAnsi="Calibri"/>
          <w:color w:val="943634"/>
        </w:rPr>
      </w:pPr>
      <w:r>
        <w:rPr>
          <w:rFonts w:ascii="Calibri" w:hAnsi="Calibri"/>
          <w:noProof/>
          <w:lang w:eastAsia="en-AU"/>
        </w:rPr>
        <w:drawing>
          <wp:anchor distT="0" distB="0" distL="114300" distR="114300" simplePos="0" relativeHeight="251726848" behindDoc="1" locked="0" layoutInCell="1" allowOverlap="1" wp14:anchorId="015237D8" wp14:editId="4A34F7E4">
            <wp:simplePos x="0" y="0"/>
            <wp:positionH relativeFrom="column">
              <wp:posOffset>2540</wp:posOffset>
            </wp:positionH>
            <wp:positionV relativeFrom="paragraph">
              <wp:posOffset>17145</wp:posOffset>
            </wp:positionV>
            <wp:extent cx="3931285" cy="2143125"/>
            <wp:effectExtent l="0" t="0" r="0" b="9525"/>
            <wp:wrapSquare wrapText="bothSides"/>
            <wp:docPr id="95" name="Picture 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931285" cy="2143125"/>
                    </a:xfrm>
                    <a:prstGeom prst="rect">
                      <a:avLst/>
                    </a:prstGeom>
                    <a:noFill/>
                  </pic:spPr>
                </pic:pic>
              </a:graphicData>
            </a:graphic>
            <wp14:sizeRelH relativeFrom="page">
              <wp14:pctWidth>0</wp14:pctWidth>
            </wp14:sizeRelH>
            <wp14:sizeRelV relativeFrom="page">
              <wp14:pctHeight>0</wp14:pctHeight>
            </wp14:sizeRelV>
          </wp:anchor>
        </w:drawing>
      </w:r>
    </w:p>
    <w:p w14:paraId="6E4D0060" w14:textId="77777777" w:rsidR="00C65183" w:rsidRDefault="00C65183" w:rsidP="00C65183">
      <w:pPr>
        <w:tabs>
          <w:tab w:val="left" w:pos="284"/>
        </w:tabs>
        <w:jc w:val="both"/>
        <w:rPr>
          <w:rFonts w:ascii="Calibri" w:hAnsi="Calibri"/>
          <w:color w:val="943634"/>
        </w:rPr>
      </w:pPr>
    </w:p>
    <w:p w14:paraId="1B145837" w14:textId="77777777" w:rsidR="00C65183" w:rsidRDefault="00C65183" w:rsidP="00C65183">
      <w:pPr>
        <w:tabs>
          <w:tab w:val="left" w:pos="284"/>
        </w:tabs>
        <w:jc w:val="both"/>
        <w:rPr>
          <w:rFonts w:ascii="Calibri" w:hAnsi="Calibri"/>
          <w:color w:val="943634"/>
        </w:rPr>
      </w:pPr>
    </w:p>
    <w:p w14:paraId="7688FAD6" w14:textId="77777777" w:rsidR="00C65183" w:rsidRDefault="00C65183" w:rsidP="00C65183">
      <w:pPr>
        <w:tabs>
          <w:tab w:val="left" w:pos="284"/>
        </w:tabs>
        <w:jc w:val="both"/>
        <w:rPr>
          <w:rFonts w:ascii="Calibri" w:hAnsi="Calibri"/>
          <w:color w:val="943634"/>
        </w:rPr>
      </w:pPr>
    </w:p>
    <w:p w14:paraId="000BE12D" w14:textId="77777777" w:rsidR="00C65183" w:rsidRDefault="00C65183" w:rsidP="00C65183">
      <w:pPr>
        <w:tabs>
          <w:tab w:val="left" w:pos="284"/>
        </w:tabs>
        <w:jc w:val="both"/>
        <w:rPr>
          <w:rFonts w:ascii="Calibri" w:hAnsi="Calibri"/>
          <w:color w:val="943634"/>
        </w:rPr>
      </w:pPr>
    </w:p>
    <w:p w14:paraId="62CA3185" w14:textId="77777777" w:rsidR="00C65183" w:rsidRDefault="00C65183" w:rsidP="00C65183">
      <w:pPr>
        <w:tabs>
          <w:tab w:val="left" w:pos="284"/>
        </w:tabs>
        <w:jc w:val="both"/>
        <w:rPr>
          <w:rFonts w:ascii="Calibri" w:hAnsi="Calibri"/>
          <w:color w:val="943634"/>
        </w:rPr>
      </w:pPr>
    </w:p>
    <w:p w14:paraId="01DAA1AD" w14:textId="77777777" w:rsidR="00C65183" w:rsidRDefault="00C65183" w:rsidP="00C65183">
      <w:pPr>
        <w:tabs>
          <w:tab w:val="left" w:pos="284"/>
        </w:tabs>
        <w:jc w:val="both"/>
        <w:rPr>
          <w:rFonts w:ascii="Calibri" w:hAnsi="Calibri"/>
          <w:color w:val="943634"/>
        </w:rPr>
      </w:pPr>
    </w:p>
    <w:p w14:paraId="3B79093E" w14:textId="77777777" w:rsidR="00C65183" w:rsidRDefault="00C65183" w:rsidP="00C65183">
      <w:pPr>
        <w:tabs>
          <w:tab w:val="left" w:pos="284"/>
        </w:tabs>
        <w:jc w:val="both"/>
        <w:rPr>
          <w:rFonts w:ascii="Calibri" w:hAnsi="Calibri"/>
          <w:color w:val="943634"/>
        </w:rPr>
      </w:pPr>
    </w:p>
    <w:p w14:paraId="2D646D7D" w14:textId="77777777" w:rsidR="00C65183" w:rsidRDefault="00C65183" w:rsidP="00C65183">
      <w:pPr>
        <w:tabs>
          <w:tab w:val="left" w:pos="284"/>
        </w:tabs>
        <w:jc w:val="both"/>
        <w:rPr>
          <w:rFonts w:ascii="Calibri" w:hAnsi="Calibri"/>
          <w:color w:val="943634"/>
        </w:rPr>
      </w:pPr>
    </w:p>
    <w:p w14:paraId="00C9165A" w14:textId="77777777" w:rsidR="00C65183" w:rsidRDefault="00C65183" w:rsidP="00C65183">
      <w:pPr>
        <w:tabs>
          <w:tab w:val="left" w:pos="284"/>
        </w:tabs>
        <w:jc w:val="both"/>
        <w:rPr>
          <w:rFonts w:ascii="Calibri" w:hAnsi="Calibri"/>
          <w:color w:val="943634"/>
        </w:rPr>
      </w:pPr>
    </w:p>
    <w:p w14:paraId="3D6B282D" w14:textId="77777777" w:rsidR="00C65183" w:rsidRDefault="00C65183" w:rsidP="00C65183">
      <w:pPr>
        <w:tabs>
          <w:tab w:val="left" w:pos="284"/>
        </w:tabs>
        <w:spacing w:before="60" w:line="360" w:lineRule="auto"/>
        <w:jc w:val="both"/>
        <w:rPr>
          <w:rFonts w:ascii="Calibri" w:hAnsi="Calibri"/>
          <w:color w:val="000000"/>
        </w:rPr>
      </w:pPr>
    </w:p>
    <w:p w14:paraId="52F12A01" w14:textId="77777777" w:rsidR="00C65183" w:rsidRDefault="00C65183" w:rsidP="00C65183">
      <w:pPr>
        <w:tabs>
          <w:tab w:val="left" w:pos="284"/>
        </w:tabs>
        <w:spacing w:before="60" w:line="360" w:lineRule="auto"/>
        <w:jc w:val="both"/>
        <w:rPr>
          <w:rFonts w:ascii="Calibri" w:hAnsi="Calibri"/>
          <w:color w:val="000000"/>
        </w:rPr>
      </w:pPr>
      <w:r>
        <w:rPr>
          <w:rFonts w:ascii="Calibri" w:hAnsi="Calibri"/>
          <w:b/>
          <w:noProof/>
          <w:color w:val="7F7F7F"/>
          <w:sz w:val="18"/>
          <w:szCs w:val="18"/>
          <w:lang w:eastAsia="en-AU"/>
        </w:rPr>
        <w:drawing>
          <wp:anchor distT="0" distB="0" distL="114300" distR="114300" simplePos="0" relativeHeight="251720704" behindDoc="1" locked="0" layoutInCell="1" allowOverlap="1" wp14:anchorId="6D16B5ED" wp14:editId="1B4E3112">
            <wp:simplePos x="0" y="0"/>
            <wp:positionH relativeFrom="margin">
              <wp:posOffset>2510473</wp:posOffset>
            </wp:positionH>
            <wp:positionV relativeFrom="paragraph">
              <wp:posOffset>-2540</wp:posOffset>
            </wp:positionV>
            <wp:extent cx="3566795" cy="4849495"/>
            <wp:effectExtent l="0" t="0" r="0" b="8255"/>
            <wp:wrapTight wrapText="bothSides">
              <wp:wrapPolygon edited="0">
                <wp:start x="0" y="0"/>
                <wp:lineTo x="0" y="21552"/>
                <wp:lineTo x="21458" y="21552"/>
                <wp:lineTo x="21458" y="0"/>
                <wp:lineTo x="0" y="0"/>
              </wp:wrapPolygon>
            </wp:wrapTight>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86">
                      <a:extLst>
                        <a:ext uri="{28A0092B-C50C-407E-A947-70E740481C1C}">
                          <a14:useLocalDpi xmlns:a14="http://schemas.microsoft.com/office/drawing/2010/main" val="0"/>
                        </a:ext>
                      </a:extLst>
                    </a:blip>
                    <a:srcRect l="2744" r="5971" b="1952"/>
                    <a:stretch>
                      <a:fillRect/>
                    </a:stretch>
                  </pic:blipFill>
                  <pic:spPr bwMode="auto">
                    <a:xfrm>
                      <a:off x="0" y="0"/>
                      <a:ext cx="3566795" cy="4849495"/>
                    </a:xfrm>
                    <a:prstGeom prst="rect">
                      <a:avLst/>
                    </a:prstGeom>
                    <a:noFill/>
                  </pic:spPr>
                </pic:pic>
              </a:graphicData>
            </a:graphic>
            <wp14:sizeRelH relativeFrom="page">
              <wp14:pctWidth>0</wp14:pctWidth>
            </wp14:sizeRelH>
            <wp14:sizeRelV relativeFrom="page">
              <wp14:pctHeight>0</wp14:pctHeight>
            </wp14:sizeRelV>
          </wp:anchor>
        </w:drawing>
      </w:r>
    </w:p>
    <w:p w14:paraId="08E53DA3" w14:textId="77777777" w:rsidR="00C65183" w:rsidRDefault="00C65183" w:rsidP="00C65183">
      <w:pPr>
        <w:tabs>
          <w:tab w:val="left" w:pos="284"/>
        </w:tabs>
        <w:spacing w:before="60" w:line="360" w:lineRule="auto"/>
        <w:jc w:val="both"/>
        <w:rPr>
          <w:rFonts w:ascii="Calibri" w:hAnsi="Calibri"/>
          <w:color w:val="000000"/>
        </w:rPr>
      </w:pPr>
    </w:p>
    <w:p w14:paraId="5D7A3E73" w14:textId="77777777" w:rsidR="00C65183" w:rsidRDefault="00C65183" w:rsidP="00C65183">
      <w:pPr>
        <w:tabs>
          <w:tab w:val="left" w:pos="284"/>
        </w:tabs>
        <w:spacing w:before="60" w:line="360" w:lineRule="auto"/>
        <w:jc w:val="both"/>
        <w:rPr>
          <w:rFonts w:ascii="Calibri" w:hAnsi="Calibri"/>
          <w:color w:val="000000"/>
        </w:rPr>
      </w:pPr>
      <w:r w:rsidRPr="005123C0">
        <w:rPr>
          <w:rFonts w:ascii="Calibri" w:hAnsi="Calibri"/>
          <w:color w:val="000000"/>
        </w:rPr>
        <w:t>Spoken languages a</w:t>
      </w:r>
      <w:r>
        <w:rPr>
          <w:rFonts w:ascii="Calibri" w:hAnsi="Calibri"/>
          <w:color w:val="000000"/>
        </w:rPr>
        <w:t>mong recently-arrived residents</w:t>
      </w:r>
      <w:r w:rsidRPr="005123C0">
        <w:rPr>
          <w:rFonts w:ascii="Calibri" w:hAnsi="Calibri"/>
          <w:color w:val="000000"/>
        </w:rPr>
        <w:t xml:space="preserve"> reflect current patterns of birthplace among recent settlers. </w:t>
      </w:r>
      <w:r>
        <w:rPr>
          <w:rFonts w:ascii="Calibri" w:hAnsi="Calibri"/>
          <w:color w:val="000000"/>
        </w:rPr>
        <w:t>Major spoken languages a</w:t>
      </w:r>
      <w:r w:rsidRPr="009D2FFD">
        <w:rPr>
          <w:rFonts w:ascii="Calibri" w:hAnsi="Calibri"/>
          <w:b/>
          <w:color w:val="000000"/>
        </w:rPr>
        <w:t>m</w:t>
      </w:r>
      <w:r>
        <w:rPr>
          <w:rFonts w:ascii="Calibri" w:hAnsi="Calibri"/>
          <w:color w:val="000000"/>
        </w:rPr>
        <w:t>ong residents who had arrived in Australia during the previous 18 months included Punjabi, Vietnamese, Khmer, Mandarin, Sinhalese and Hazaraghi. (diagram at right)</w:t>
      </w:r>
    </w:p>
    <w:p w14:paraId="35BAB05F" w14:textId="77777777" w:rsidR="00C65183" w:rsidRDefault="00C65183" w:rsidP="00C65183">
      <w:pPr>
        <w:tabs>
          <w:tab w:val="left" w:pos="284"/>
        </w:tabs>
        <w:spacing w:before="60" w:line="360" w:lineRule="auto"/>
        <w:jc w:val="both"/>
        <w:rPr>
          <w:rFonts w:ascii="Calibri" w:hAnsi="Calibri"/>
          <w:color w:val="000000"/>
        </w:rPr>
      </w:pPr>
    </w:p>
    <w:p w14:paraId="560D0A3F" w14:textId="77777777" w:rsidR="00C65183" w:rsidRPr="00753660" w:rsidRDefault="00C65183" w:rsidP="00C65183">
      <w:pPr>
        <w:tabs>
          <w:tab w:val="left" w:pos="284"/>
        </w:tabs>
        <w:jc w:val="both"/>
        <w:rPr>
          <w:rFonts w:ascii="Calibri" w:hAnsi="Calibri"/>
          <w:color w:val="7F7F7F"/>
          <w:sz w:val="18"/>
          <w:szCs w:val="18"/>
        </w:rPr>
      </w:pPr>
    </w:p>
    <w:p w14:paraId="4D4EF5A4" w14:textId="77777777" w:rsidR="00C65183" w:rsidRPr="00753660" w:rsidRDefault="00C65183" w:rsidP="00C65183">
      <w:pPr>
        <w:tabs>
          <w:tab w:val="left" w:pos="284"/>
        </w:tabs>
        <w:jc w:val="both"/>
        <w:rPr>
          <w:rFonts w:ascii="Calibri" w:hAnsi="Calibri"/>
          <w:color w:val="7F7F7F"/>
          <w:sz w:val="18"/>
          <w:szCs w:val="18"/>
        </w:rPr>
      </w:pPr>
    </w:p>
    <w:p w14:paraId="69327DDA" w14:textId="77777777" w:rsidR="00C65183" w:rsidRPr="00753660" w:rsidRDefault="00C65183" w:rsidP="00C65183">
      <w:pPr>
        <w:tabs>
          <w:tab w:val="left" w:pos="284"/>
        </w:tabs>
        <w:jc w:val="both"/>
        <w:rPr>
          <w:rFonts w:ascii="Calibri" w:hAnsi="Calibri"/>
          <w:color w:val="7F7F7F"/>
          <w:sz w:val="18"/>
          <w:szCs w:val="18"/>
        </w:rPr>
      </w:pPr>
    </w:p>
    <w:p w14:paraId="5112F5E7" w14:textId="77777777" w:rsidR="00C65183" w:rsidRPr="00AB05D2" w:rsidRDefault="00C65183" w:rsidP="00C65183">
      <w:pPr>
        <w:tabs>
          <w:tab w:val="left" w:pos="284"/>
        </w:tabs>
        <w:jc w:val="both"/>
        <w:rPr>
          <w:rFonts w:ascii="Calibri" w:hAnsi="Calibri"/>
          <w:color w:val="7F7F7F"/>
          <w:sz w:val="20"/>
          <w:szCs w:val="20"/>
        </w:rPr>
      </w:pPr>
      <w:r w:rsidRPr="00AB05D2">
        <w:rPr>
          <w:rFonts w:ascii="Calibri" w:hAnsi="Calibri"/>
          <w:noProof/>
          <w:color w:val="000000"/>
          <w:sz w:val="20"/>
          <w:szCs w:val="20"/>
          <w:lang w:eastAsia="en-AU"/>
        </w:rPr>
        <w:drawing>
          <wp:anchor distT="0" distB="0" distL="114300" distR="114300" simplePos="0" relativeHeight="251725824" behindDoc="0" locked="0" layoutInCell="1" allowOverlap="1" wp14:anchorId="21BD4FA4" wp14:editId="76A500B8">
            <wp:simplePos x="0" y="0"/>
            <wp:positionH relativeFrom="margin">
              <wp:posOffset>5252085</wp:posOffset>
            </wp:positionH>
            <wp:positionV relativeFrom="paragraph">
              <wp:posOffset>400337</wp:posOffset>
            </wp:positionV>
            <wp:extent cx="861060" cy="855376"/>
            <wp:effectExtent l="0" t="0" r="0" b="1905"/>
            <wp:wrapNone/>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munity Ethnic 22.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864286" cy="858581"/>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AB05D2">
        <w:rPr>
          <w:rFonts w:ascii="Calibri" w:hAnsi="Calibri"/>
          <w:color w:val="7F7F7F"/>
          <w:sz w:val="20"/>
          <w:szCs w:val="20"/>
        </w:rPr>
        <w:t xml:space="preserve">Spoken </w:t>
      </w:r>
      <w:r>
        <w:rPr>
          <w:rFonts w:ascii="Calibri" w:hAnsi="Calibri"/>
          <w:color w:val="7F7F7F"/>
          <w:sz w:val="20"/>
          <w:szCs w:val="20"/>
        </w:rPr>
        <w:t>l</w:t>
      </w:r>
      <w:r w:rsidRPr="00AB05D2">
        <w:rPr>
          <w:rFonts w:ascii="Calibri" w:hAnsi="Calibri"/>
          <w:color w:val="7F7F7F"/>
          <w:sz w:val="20"/>
          <w:szCs w:val="20"/>
        </w:rPr>
        <w:t xml:space="preserve">anguages among </w:t>
      </w:r>
      <w:r>
        <w:rPr>
          <w:rFonts w:ascii="Calibri" w:hAnsi="Calibri"/>
          <w:color w:val="7F7F7F"/>
          <w:sz w:val="20"/>
          <w:szCs w:val="20"/>
        </w:rPr>
        <w:t>r</w:t>
      </w:r>
      <w:r w:rsidRPr="00AB05D2">
        <w:rPr>
          <w:rFonts w:ascii="Calibri" w:hAnsi="Calibri"/>
          <w:color w:val="7F7F7F"/>
          <w:sz w:val="20"/>
          <w:szCs w:val="20"/>
        </w:rPr>
        <w:t>esidents who had arrived in Australia during the previous 18 months: Greater Dandenong, 2016</w:t>
      </w:r>
    </w:p>
    <w:p w14:paraId="5F70735C" w14:textId="77777777" w:rsidR="00C65183" w:rsidRPr="005123C0" w:rsidRDefault="00C65183" w:rsidP="00C65183">
      <w:pPr>
        <w:tabs>
          <w:tab w:val="left" w:pos="284"/>
        </w:tabs>
        <w:spacing w:before="60" w:line="360" w:lineRule="auto"/>
        <w:jc w:val="both"/>
        <w:rPr>
          <w:rFonts w:ascii="Calibri" w:hAnsi="Calibri"/>
          <w:color w:val="000000"/>
        </w:rPr>
      </w:pPr>
    </w:p>
    <w:p w14:paraId="78068575" w14:textId="77777777" w:rsidR="00C65183" w:rsidRPr="005123C0" w:rsidRDefault="00C65183" w:rsidP="00C65183">
      <w:pPr>
        <w:tabs>
          <w:tab w:val="left" w:pos="284"/>
        </w:tabs>
        <w:spacing w:before="60" w:line="360" w:lineRule="auto"/>
        <w:jc w:val="both"/>
        <w:rPr>
          <w:rFonts w:ascii="Calibri" w:hAnsi="Calibri"/>
          <w:color w:val="000000"/>
        </w:rPr>
      </w:pPr>
    </w:p>
    <w:p w14:paraId="2D3ACF11" w14:textId="77777777" w:rsidR="00C65183" w:rsidRDefault="00C65183" w:rsidP="00C65183">
      <w:pPr>
        <w:tabs>
          <w:tab w:val="left" w:pos="3686"/>
        </w:tabs>
        <w:spacing w:before="240" w:line="360" w:lineRule="auto"/>
        <w:jc w:val="both"/>
        <w:rPr>
          <w:rFonts w:ascii="Calibri" w:hAnsi="Calibri"/>
          <w:color w:val="7F7F7F"/>
        </w:rPr>
      </w:pPr>
      <w:r>
        <w:rPr>
          <w:rFonts w:ascii="Calibri" w:hAnsi="Calibri"/>
          <w:b/>
          <w:noProof/>
          <w:lang w:eastAsia="en-AU"/>
        </w:rPr>
        <w:lastRenderedPageBreak/>
        <w:drawing>
          <wp:anchor distT="0" distB="0" distL="114300" distR="114300" simplePos="0" relativeHeight="251719680" behindDoc="1" locked="0" layoutInCell="1" allowOverlap="1" wp14:anchorId="33199140" wp14:editId="76E60835">
            <wp:simplePos x="0" y="0"/>
            <wp:positionH relativeFrom="column">
              <wp:posOffset>1981835</wp:posOffset>
            </wp:positionH>
            <wp:positionV relativeFrom="paragraph">
              <wp:posOffset>210185</wp:posOffset>
            </wp:positionV>
            <wp:extent cx="4103370" cy="3760470"/>
            <wp:effectExtent l="0" t="0" r="0" b="0"/>
            <wp:wrapTight wrapText="bothSides">
              <wp:wrapPolygon edited="0">
                <wp:start x="0" y="0"/>
                <wp:lineTo x="0" y="21447"/>
                <wp:lineTo x="21460" y="21447"/>
                <wp:lineTo x="21460" y="0"/>
                <wp:lineTo x="0" y="0"/>
              </wp:wrapPolygon>
            </wp:wrapTight>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103370" cy="3760470"/>
                    </a:xfrm>
                    <a:prstGeom prst="rect">
                      <a:avLst/>
                    </a:prstGeom>
                    <a:noFill/>
                  </pic:spPr>
                </pic:pic>
              </a:graphicData>
            </a:graphic>
            <wp14:sizeRelH relativeFrom="page">
              <wp14:pctWidth>0</wp14:pctWidth>
            </wp14:sizeRelH>
            <wp14:sizeRelV relativeFrom="page">
              <wp14:pctHeight>0</wp14:pctHeight>
            </wp14:sizeRelV>
          </wp:anchor>
        </w:drawing>
      </w:r>
      <w:r w:rsidRPr="00330EA5">
        <w:rPr>
          <w:rFonts w:ascii="Calibri" w:hAnsi="Calibri"/>
          <w:b/>
          <w:noProof/>
        </w:rPr>
        <w:t>English Fluency</w:t>
      </w:r>
      <w:r>
        <w:rPr>
          <w:rFonts w:ascii="Calibri" w:hAnsi="Calibri"/>
          <w:b/>
          <w:noProof/>
        </w:rPr>
        <w:tab/>
      </w:r>
      <w:r w:rsidRPr="00AB05D2">
        <w:rPr>
          <w:rFonts w:ascii="Calibri" w:hAnsi="Calibri"/>
          <w:color w:val="7F7F7F"/>
          <w:sz w:val="20"/>
          <w:szCs w:val="20"/>
        </w:rPr>
        <w:t xml:space="preserve">Limited English fluency by </w:t>
      </w:r>
      <w:r>
        <w:rPr>
          <w:rFonts w:ascii="Calibri" w:hAnsi="Calibri"/>
          <w:color w:val="7F7F7F"/>
          <w:sz w:val="20"/>
          <w:szCs w:val="20"/>
        </w:rPr>
        <w:t>s</w:t>
      </w:r>
      <w:r w:rsidRPr="00AB05D2">
        <w:rPr>
          <w:rFonts w:ascii="Calibri" w:hAnsi="Calibri"/>
          <w:color w:val="7F7F7F"/>
          <w:sz w:val="20"/>
          <w:szCs w:val="20"/>
        </w:rPr>
        <w:t xml:space="preserve">poken </w:t>
      </w:r>
      <w:r>
        <w:rPr>
          <w:rFonts w:ascii="Calibri" w:hAnsi="Calibri"/>
          <w:color w:val="7F7F7F"/>
          <w:sz w:val="20"/>
          <w:szCs w:val="20"/>
        </w:rPr>
        <w:t>l</w:t>
      </w:r>
      <w:r w:rsidRPr="00AB05D2">
        <w:rPr>
          <w:rFonts w:ascii="Calibri" w:hAnsi="Calibri"/>
          <w:color w:val="7F7F7F"/>
          <w:sz w:val="20"/>
          <w:szCs w:val="20"/>
        </w:rPr>
        <w:t>anguage: Greater Dandenong, 2016</w:t>
      </w:r>
    </w:p>
    <w:p w14:paraId="442698DD" w14:textId="77777777" w:rsidR="00C65183" w:rsidRDefault="00C65183" w:rsidP="00C65183">
      <w:pPr>
        <w:tabs>
          <w:tab w:val="left" w:pos="284"/>
        </w:tabs>
        <w:spacing w:before="60" w:line="360" w:lineRule="auto"/>
        <w:jc w:val="both"/>
        <w:rPr>
          <w:rFonts w:ascii="Calibri" w:hAnsi="Calibri"/>
          <w:color w:val="000000"/>
        </w:rPr>
      </w:pPr>
      <w:r>
        <w:rPr>
          <w:rFonts w:ascii="Calibri" w:hAnsi="Calibri"/>
          <w:noProof/>
          <w:color w:val="000000"/>
          <w:lang w:eastAsia="en-AU"/>
        </w:rPr>
        <w:drawing>
          <wp:anchor distT="0" distB="0" distL="114300" distR="114300" simplePos="0" relativeHeight="251724800" behindDoc="0" locked="0" layoutInCell="1" allowOverlap="1" wp14:anchorId="71D5CFCA" wp14:editId="32916003">
            <wp:simplePos x="0" y="0"/>
            <wp:positionH relativeFrom="column">
              <wp:posOffset>5199698</wp:posOffset>
            </wp:positionH>
            <wp:positionV relativeFrom="paragraph">
              <wp:posOffset>1436822</wp:posOffset>
            </wp:positionV>
            <wp:extent cx="886460" cy="830127"/>
            <wp:effectExtent l="0" t="0" r="8890" b="8255"/>
            <wp:wrapNone/>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merce 14.jp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900870" cy="843621"/>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Pr>
          <w:rFonts w:ascii="Calibri" w:hAnsi="Calibri"/>
          <w:color w:val="000000"/>
        </w:rPr>
        <w:t xml:space="preserve">About one </w:t>
      </w:r>
      <w:r w:rsidRPr="00330EA5">
        <w:rPr>
          <w:rFonts w:ascii="Calibri" w:hAnsi="Calibri"/>
          <w:color w:val="000000"/>
        </w:rPr>
        <w:t xml:space="preserve">in </w:t>
      </w:r>
      <w:r>
        <w:rPr>
          <w:rFonts w:ascii="Calibri" w:hAnsi="Calibri"/>
          <w:color w:val="000000"/>
        </w:rPr>
        <w:t>five</w:t>
      </w:r>
      <w:r w:rsidRPr="00330EA5">
        <w:rPr>
          <w:rFonts w:ascii="Calibri" w:hAnsi="Calibri"/>
          <w:color w:val="000000"/>
        </w:rPr>
        <w:t xml:space="preserve"> residents - accounting for </w:t>
      </w:r>
      <w:r>
        <w:rPr>
          <w:rFonts w:ascii="Calibri" w:hAnsi="Calibri"/>
          <w:color w:val="000000"/>
        </w:rPr>
        <w:t>25,5</w:t>
      </w:r>
      <w:r w:rsidRPr="00330EA5">
        <w:rPr>
          <w:rFonts w:ascii="Calibri" w:hAnsi="Calibri"/>
          <w:color w:val="000000"/>
        </w:rPr>
        <w:t>00 people</w:t>
      </w:r>
      <w:r>
        <w:rPr>
          <w:rFonts w:ascii="Calibri" w:hAnsi="Calibri"/>
          <w:color w:val="000000"/>
        </w:rPr>
        <w:t xml:space="preserve"> </w:t>
      </w:r>
      <w:r w:rsidRPr="00330EA5">
        <w:rPr>
          <w:rFonts w:ascii="Calibri" w:hAnsi="Calibri"/>
          <w:color w:val="000000"/>
        </w:rPr>
        <w:t>or 1</w:t>
      </w:r>
      <w:r>
        <w:rPr>
          <w:rFonts w:ascii="Calibri" w:hAnsi="Calibri"/>
          <w:color w:val="000000"/>
        </w:rPr>
        <w:t>8</w:t>
      </w:r>
      <w:r w:rsidRPr="00330EA5">
        <w:rPr>
          <w:rFonts w:ascii="Calibri" w:hAnsi="Calibri"/>
          <w:color w:val="000000"/>
        </w:rPr>
        <w:t>% of the population</w:t>
      </w:r>
      <w:r>
        <w:rPr>
          <w:rFonts w:ascii="Calibri" w:hAnsi="Calibri"/>
          <w:color w:val="000000"/>
        </w:rPr>
        <w:t xml:space="preserve"> at the time of the 2016 Census</w:t>
      </w:r>
      <w:r w:rsidRPr="00330EA5">
        <w:rPr>
          <w:rFonts w:ascii="Calibri" w:hAnsi="Calibri"/>
          <w:color w:val="000000"/>
        </w:rPr>
        <w:t xml:space="preserve"> - has limited fluency in</w:t>
      </w:r>
      <w:r>
        <w:rPr>
          <w:rFonts w:ascii="Calibri" w:hAnsi="Calibri"/>
          <w:color w:val="000000"/>
        </w:rPr>
        <w:t xml:space="preserve"> the use of </w:t>
      </w:r>
      <w:r w:rsidRPr="00330EA5">
        <w:rPr>
          <w:rFonts w:ascii="Calibri" w:hAnsi="Calibri"/>
          <w:color w:val="000000"/>
        </w:rPr>
        <w:t xml:space="preserve"> spoken English – four times the metropolitan level of 4%. </w:t>
      </w:r>
      <w:r>
        <w:rPr>
          <w:rFonts w:ascii="Calibri" w:hAnsi="Calibri"/>
          <w:color w:val="000000"/>
        </w:rPr>
        <w:t xml:space="preserve"> </w:t>
      </w:r>
    </w:p>
    <w:p w14:paraId="17C34063" w14:textId="77777777" w:rsidR="00C65183" w:rsidRDefault="00C65183" w:rsidP="00C65183">
      <w:pPr>
        <w:tabs>
          <w:tab w:val="left" w:pos="284"/>
        </w:tabs>
        <w:spacing w:before="60" w:line="360" w:lineRule="auto"/>
        <w:jc w:val="both"/>
        <w:rPr>
          <w:rFonts w:ascii="Calibri" w:hAnsi="Calibri"/>
          <w:color w:val="000000"/>
        </w:rPr>
      </w:pPr>
      <w:r w:rsidRPr="00330EA5">
        <w:rPr>
          <w:rFonts w:ascii="Calibri" w:hAnsi="Calibri"/>
          <w:color w:val="000000"/>
        </w:rPr>
        <w:t>Substantial numbers of reside</w:t>
      </w:r>
      <w:r>
        <w:rPr>
          <w:rFonts w:ascii="Calibri" w:hAnsi="Calibri"/>
          <w:color w:val="000000"/>
        </w:rPr>
        <w:t xml:space="preserve">nts who speak Vietnamese, Khmer, </w:t>
      </w:r>
      <w:r w:rsidRPr="00330EA5">
        <w:rPr>
          <w:rFonts w:ascii="Calibri" w:hAnsi="Calibri"/>
          <w:color w:val="000000"/>
        </w:rPr>
        <w:t>Chinese languag</w:t>
      </w:r>
      <w:r>
        <w:rPr>
          <w:rFonts w:ascii="Calibri" w:hAnsi="Calibri"/>
          <w:color w:val="000000"/>
        </w:rPr>
        <w:t>es, Afghani languages and Greek have limited English fluency</w:t>
      </w:r>
      <w:r w:rsidRPr="00330EA5">
        <w:rPr>
          <w:rFonts w:ascii="Calibri" w:hAnsi="Calibri"/>
          <w:color w:val="000000"/>
        </w:rPr>
        <w:t xml:space="preserve"> </w:t>
      </w:r>
      <w:r>
        <w:rPr>
          <w:rFonts w:ascii="Calibri" w:hAnsi="Calibri"/>
          <w:color w:val="000000"/>
        </w:rPr>
        <w:t>(above right).</w:t>
      </w:r>
    </w:p>
    <w:p w14:paraId="3889D13C" w14:textId="77777777" w:rsidR="00C65183" w:rsidRDefault="00C65183" w:rsidP="00C65183">
      <w:pPr>
        <w:tabs>
          <w:tab w:val="left" w:pos="284"/>
        </w:tabs>
        <w:spacing w:before="60" w:line="360" w:lineRule="auto"/>
        <w:jc w:val="both"/>
        <w:rPr>
          <w:rFonts w:ascii="Calibri" w:hAnsi="Calibri"/>
          <w:color w:val="000000"/>
        </w:rPr>
      </w:pPr>
    </w:p>
    <w:p w14:paraId="1A2CB846" w14:textId="77777777" w:rsidR="00C65183" w:rsidRDefault="00C65183" w:rsidP="00C65183">
      <w:pPr>
        <w:tabs>
          <w:tab w:val="left" w:pos="284"/>
        </w:tabs>
        <w:spacing w:before="60" w:line="360" w:lineRule="auto"/>
        <w:jc w:val="both"/>
        <w:rPr>
          <w:rFonts w:ascii="Calibri" w:hAnsi="Calibri"/>
          <w:color w:val="000000"/>
        </w:rPr>
      </w:pPr>
      <w:r>
        <w:rPr>
          <w:rFonts w:ascii="Calibri" w:hAnsi="Calibri"/>
          <w:noProof/>
          <w:color w:val="000000"/>
          <w:lang w:eastAsia="en-AU"/>
        </w:rPr>
        <w:drawing>
          <wp:anchor distT="0" distB="0" distL="114300" distR="114300" simplePos="0" relativeHeight="251721728" behindDoc="0" locked="0" layoutInCell="1" allowOverlap="1" wp14:anchorId="0E1D0EA9" wp14:editId="0BC82C62">
            <wp:simplePos x="0" y="0"/>
            <wp:positionH relativeFrom="margin">
              <wp:align>left</wp:align>
            </wp:positionH>
            <wp:positionV relativeFrom="paragraph">
              <wp:posOffset>13970</wp:posOffset>
            </wp:positionV>
            <wp:extent cx="4469130" cy="5210175"/>
            <wp:effectExtent l="0" t="0" r="7620" b="0"/>
            <wp:wrapSquare wrapText="bothSides"/>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90">
                      <a:extLst>
                        <a:ext uri="{28A0092B-C50C-407E-A947-70E740481C1C}">
                          <a14:useLocalDpi xmlns:a14="http://schemas.microsoft.com/office/drawing/2010/main" val="0"/>
                        </a:ext>
                      </a:extLst>
                    </a:blip>
                    <a:srcRect l="8369" r="5345" b="40578"/>
                    <a:stretch>
                      <a:fillRect/>
                    </a:stretch>
                  </pic:blipFill>
                  <pic:spPr bwMode="auto">
                    <a:xfrm>
                      <a:off x="0" y="0"/>
                      <a:ext cx="4472162" cy="5213346"/>
                    </a:xfrm>
                    <a:prstGeom prst="rect">
                      <a:avLst/>
                    </a:prstGeom>
                    <a:noFill/>
                  </pic:spPr>
                </pic:pic>
              </a:graphicData>
            </a:graphic>
            <wp14:sizeRelH relativeFrom="page">
              <wp14:pctWidth>0</wp14:pctWidth>
            </wp14:sizeRelH>
            <wp14:sizeRelV relativeFrom="page">
              <wp14:pctHeight>0</wp14:pctHeight>
            </wp14:sizeRelV>
          </wp:anchor>
        </w:drawing>
      </w:r>
    </w:p>
    <w:p w14:paraId="40A6283A" w14:textId="77777777" w:rsidR="00C65183" w:rsidRDefault="00C65183" w:rsidP="00C65183">
      <w:pPr>
        <w:tabs>
          <w:tab w:val="left" w:pos="284"/>
        </w:tabs>
        <w:spacing w:before="60" w:line="360" w:lineRule="auto"/>
        <w:jc w:val="both"/>
        <w:rPr>
          <w:rFonts w:ascii="Calibri" w:hAnsi="Calibri"/>
          <w:color w:val="000000"/>
        </w:rPr>
      </w:pPr>
    </w:p>
    <w:p w14:paraId="416207E5" w14:textId="77777777" w:rsidR="00C65183" w:rsidRPr="00AB05D2" w:rsidRDefault="00C65183" w:rsidP="00C65183">
      <w:pPr>
        <w:tabs>
          <w:tab w:val="left" w:pos="284"/>
        </w:tabs>
        <w:jc w:val="both"/>
        <w:rPr>
          <w:rFonts w:ascii="Calibri" w:hAnsi="Calibri"/>
          <w:color w:val="000000"/>
          <w:sz w:val="20"/>
          <w:szCs w:val="20"/>
        </w:rPr>
      </w:pPr>
      <w:r w:rsidRPr="00AB05D2">
        <w:rPr>
          <w:rFonts w:ascii="Calibri" w:hAnsi="Calibri"/>
          <w:color w:val="7F7F7F"/>
          <w:sz w:val="20"/>
          <w:szCs w:val="20"/>
        </w:rPr>
        <w:t xml:space="preserve">Limited English fluency: </w:t>
      </w:r>
      <w:r>
        <w:rPr>
          <w:rFonts w:ascii="Calibri" w:hAnsi="Calibri"/>
          <w:color w:val="7F7F7F"/>
          <w:sz w:val="20"/>
          <w:szCs w:val="20"/>
        </w:rPr>
        <w:t>s</w:t>
      </w:r>
      <w:r w:rsidRPr="00AB05D2">
        <w:rPr>
          <w:rFonts w:ascii="Calibri" w:hAnsi="Calibri"/>
          <w:color w:val="7F7F7F"/>
          <w:sz w:val="20"/>
          <w:szCs w:val="20"/>
        </w:rPr>
        <w:t>elected Victorian municipalities, 2016</w:t>
      </w:r>
    </w:p>
    <w:p w14:paraId="68D5B953" w14:textId="77777777" w:rsidR="00C65183" w:rsidRDefault="00C65183" w:rsidP="00C65183">
      <w:pPr>
        <w:tabs>
          <w:tab w:val="left" w:pos="284"/>
        </w:tabs>
        <w:jc w:val="both"/>
        <w:rPr>
          <w:rFonts w:ascii="Calibri" w:hAnsi="Calibri"/>
          <w:color w:val="000000"/>
          <w:sz w:val="18"/>
          <w:szCs w:val="18"/>
        </w:rPr>
      </w:pPr>
    </w:p>
    <w:p w14:paraId="6A339CE3" w14:textId="77777777" w:rsidR="00C65183" w:rsidRDefault="00C65183" w:rsidP="00C65183">
      <w:pPr>
        <w:tabs>
          <w:tab w:val="left" w:pos="284"/>
        </w:tabs>
        <w:jc w:val="both"/>
        <w:rPr>
          <w:rFonts w:ascii="Calibri" w:hAnsi="Calibri"/>
          <w:color w:val="000000"/>
          <w:sz w:val="18"/>
          <w:szCs w:val="18"/>
        </w:rPr>
      </w:pPr>
    </w:p>
    <w:p w14:paraId="59169458" w14:textId="77777777" w:rsidR="00C65183" w:rsidRPr="00C36842" w:rsidRDefault="00C65183" w:rsidP="00C65183">
      <w:pPr>
        <w:tabs>
          <w:tab w:val="left" w:pos="284"/>
        </w:tabs>
        <w:jc w:val="both"/>
        <w:rPr>
          <w:rFonts w:ascii="Calibri" w:hAnsi="Calibri"/>
          <w:color w:val="000000"/>
          <w:sz w:val="18"/>
          <w:szCs w:val="18"/>
        </w:rPr>
      </w:pPr>
    </w:p>
    <w:p w14:paraId="5245D2AD" w14:textId="77777777" w:rsidR="00C65183" w:rsidRDefault="00C65183" w:rsidP="00C65183">
      <w:pPr>
        <w:tabs>
          <w:tab w:val="left" w:pos="284"/>
        </w:tabs>
        <w:spacing w:line="360" w:lineRule="auto"/>
        <w:jc w:val="both"/>
        <w:rPr>
          <w:rFonts w:ascii="Calibri" w:hAnsi="Calibri"/>
          <w:color w:val="000000"/>
        </w:rPr>
      </w:pPr>
      <w:r>
        <w:rPr>
          <w:rFonts w:ascii="Calibri" w:hAnsi="Calibri"/>
          <w:color w:val="000000"/>
        </w:rPr>
        <w:t>The prevalence of limited fluency in the use of spoken English, varies widely among the municipalities of Victoria and is highest in Greater Dandenong.</w:t>
      </w:r>
      <w:r w:rsidRPr="002D5711">
        <w:rPr>
          <w:rFonts w:ascii="Calibri" w:hAnsi="Calibri"/>
          <w:color w:val="000000"/>
        </w:rPr>
        <w:t xml:space="preserve"> </w:t>
      </w:r>
    </w:p>
    <w:p w14:paraId="5BB02777" w14:textId="77777777" w:rsidR="00C65183" w:rsidRDefault="00C65183" w:rsidP="00C65183">
      <w:pPr>
        <w:tabs>
          <w:tab w:val="left" w:pos="284"/>
        </w:tabs>
        <w:jc w:val="both"/>
        <w:rPr>
          <w:rFonts w:ascii="Calibri" w:hAnsi="Calibri"/>
          <w:color w:val="000000"/>
          <w:sz w:val="18"/>
          <w:szCs w:val="18"/>
        </w:rPr>
      </w:pPr>
    </w:p>
    <w:p w14:paraId="0FE6DA4C" w14:textId="77777777" w:rsidR="00C65183" w:rsidRDefault="00C65183" w:rsidP="00C65183">
      <w:pPr>
        <w:tabs>
          <w:tab w:val="left" w:pos="284"/>
        </w:tabs>
        <w:jc w:val="both"/>
        <w:rPr>
          <w:rFonts w:ascii="Calibri" w:hAnsi="Calibri"/>
          <w:color w:val="000000"/>
          <w:sz w:val="18"/>
          <w:szCs w:val="18"/>
        </w:rPr>
      </w:pPr>
    </w:p>
    <w:p w14:paraId="265155D3" w14:textId="77777777" w:rsidR="00C65183" w:rsidRPr="00C36842" w:rsidRDefault="00C65183" w:rsidP="00C65183">
      <w:pPr>
        <w:tabs>
          <w:tab w:val="left" w:pos="284"/>
        </w:tabs>
        <w:jc w:val="both"/>
        <w:rPr>
          <w:rFonts w:ascii="Calibri" w:hAnsi="Calibri"/>
          <w:color w:val="000000"/>
          <w:sz w:val="18"/>
          <w:szCs w:val="18"/>
        </w:rPr>
      </w:pPr>
    </w:p>
    <w:p w14:paraId="19564CAE" w14:textId="77777777" w:rsidR="00C65183" w:rsidRPr="002D5711" w:rsidRDefault="00C65183" w:rsidP="00C65183">
      <w:pPr>
        <w:tabs>
          <w:tab w:val="left" w:pos="284"/>
        </w:tabs>
        <w:jc w:val="both"/>
        <w:rPr>
          <w:rFonts w:ascii="Calibri" w:hAnsi="Calibri"/>
          <w:color w:val="000000"/>
          <w:sz w:val="18"/>
          <w:szCs w:val="18"/>
        </w:rPr>
      </w:pPr>
      <w:r w:rsidRPr="002D5711">
        <w:rPr>
          <w:rFonts w:ascii="Calibri" w:hAnsi="Calibri"/>
          <w:color w:val="000000"/>
          <w:sz w:val="18"/>
          <w:szCs w:val="18"/>
        </w:rPr>
        <w:t>(Municipalities where the prevalence of limited English fluency was less than 0.5% are omitted from the accompanying diagram)</w:t>
      </w:r>
    </w:p>
    <w:p w14:paraId="1EC87E90" w14:textId="77777777" w:rsidR="00C65183" w:rsidRDefault="00C65183" w:rsidP="00C65183">
      <w:pPr>
        <w:tabs>
          <w:tab w:val="left" w:pos="284"/>
        </w:tabs>
        <w:jc w:val="both"/>
        <w:rPr>
          <w:rFonts w:ascii="Calibri" w:hAnsi="Calibri"/>
          <w:color w:val="000000"/>
          <w:sz w:val="18"/>
          <w:szCs w:val="18"/>
        </w:rPr>
      </w:pPr>
    </w:p>
    <w:p w14:paraId="0CAC1B81" w14:textId="77777777" w:rsidR="00C65183" w:rsidRDefault="00C65183" w:rsidP="00C65183">
      <w:pPr>
        <w:tabs>
          <w:tab w:val="left" w:pos="284"/>
        </w:tabs>
        <w:jc w:val="both"/>
        <w:rPr>
          <w:rFonts w:ascii="Calibri" w:hAnsi="Calibri"/>
          <w:color w:val="000000"/>
          <w:sz w:val="18"/>
          <w:szCs w:val="18"/>
        </w:rPr>
      </w:pPr>
    </w:p>
    <w:p w14:paraId="41A7D863" w14:textId="77777777" w:rsidR="00C65183" w:rsidRDefault="00C65183" w:rsidP="00C65183">
      <w:pPr>
        <w:tabs>
          <w:tab w:val="left" w:pos="284"/>
        </w:tabs>
        <w:jc w:val="both"/>
        <w:rPr>
          <w:rFonts w:ascii="Calibri" w:hAnsi="Calibri"/>
          <w:color w:val="000000"/>
          <w:sz w:val="18"/>
          <w:szCs w:val="18"/>
        </w:rPr>
      </w:pPr>
    </w:p>
    <w:p w14:paraId="5F253477" w14:textId="77777777" w:rsidR="00C65183" w:rsidRDefault="00C65183" w:rsidP="00C65183">
      <w:pPr>
        <w:tabs>
          <w:tab w:val="left" w:pos="284"/>
        </w:tabs>
        <w:jc w:val="both"/>
        <w:rPr>
          <w:rFonts w:ascii="Calibri" w:hAnsi="Calibri"/>
          <w:color w:val="000000"/>
          <w:sz w:val="18"/>
          <w:szCs w:val="18"/>
        </w:rPr>
      </w:pPr>
    </w:p>
    <w:p w14:paraId="315AA5A7" w14:textId="77777777" w:rsidR="00C65183" w:rsidRDefault="00C65183" w:rsidP="00C65183">
      <w:pPr>
        <w:rPr>
          <w:rFonts w:asciiTheme="minorHAnsi" w:hAnsiTheme="minorHAnsi" w:cstheme="minorHAnsi"/>
        </w:rPr>
      </w:pPr>
      <w:r>
        <w:rPr>
          <w:rFonts w:asciiTheme="minorHAnsi" w:hAnsiTheme="minorHAnsi" w:cstheme="minorHAnsi"/>
        </w:rPr>
        <w:br w:type="page"/>
      </w:r>
    </w:p>
    <w:p w14:paraId="7D91CB22" w14:textId="77777777" w:rsidR="00C65183" w:rsidRPr="00827F47" w:rsidRDefault="00C65183" w:rsidP="00C65183">
      <w:pPr>
        <w:pBdr>
          <w:top w:val="single" w:sz="4" w:space="0" w:color="244061" w:themeColor="accent1" w:themeShade="80"/>
          <w:bottom w:val="single" w:sz="4" w:space="1" w:color="244061" w:themeColor="accent1" w:themeShade="80"/>
        </w:pBdr>
        <w:tabs>
          <w:tab w:val="center" w:pos="4678"/>
        </w:tabs>
        <w:jc w:val="center"/>
        <w:rPr>
          <w:rFonts w:ascii="Garamond" w:hAnsi="Garamond"/>
          <w:noProof/>
          <w:color w:val="244061" w:themeColor="accent1" w:themeShade="80"/>
          <w:sz w:val="34"/>
          <w:szCs w:val="34"/>
        </w:rPr>
      </w:pPr>
      <w:r w:rsidRPr="00827F47">
        <w:rPr>
          <w:rFonts w:ascii="Garamond" w:hAnsi="Garamond"/>
          <w:noProof/>
          <w:color w:val="244061" w:themeColor="accent1" w:themeShade="80"/>
          <w:sz w:val="34"/>
          <w:szCs w:val="34"/>
        </w:rPr>
        <w:lastRenderedPageBreak/>
        <w:t>Educational Outcomes</w:t>
      </w:r>
    </w:p>
    <w:p w14:paraId="5D2AE4E4" w14:textId="77777777" w:rsidR="00C65183" w:rsidRDefault="00C65183" w:rsidP="00C65183">
      <w:pPr>
        <w:tabs>
          <w:tab w:val="left" w:pos="284"/>
        </w:tabs>
        <w:jc w:val="both"/>
        <w:rPr>
          <w:sz w:val="10"/>
          <w:szCs w:val="10"/>
        </w:rPr>
      </w:pPr>
    </w:p>
    <w:p w14:paraId="519BDD50" w14:textId="77777777" w:rsidR="00C65183" w:rsidRDefault="00C65183" w:rsidP="00C65183">
      <w:pPr>
        <w:tabs>
          <w:tab w:val="left" w:pos="284"/>
        </w:tabs>
        <w:jc w:val="both"/>
        <w:rPr>
          <w:sz w:val="10"/>
          <w:szCs w:val="10"/>
        </w:rPr>
      </w:pPr>
    </w:p>
    <w:p w14:paraId="638621C6" w14:textId="77777777" w:rsidR="00C65183" w:rsidRDefault="00C65183" w:rsidP="00C65183">
      <w:pPr>
        <w:tabs>
          <w:tab w:val="left" w:pos="284"/>
        </w:tabs>
        <w:spacing w:line="360" w:lineRule="auto"/>
        <w:jc w:val="both"/>
        <w:rPr>
          <w:rFonts w:ascii="Calibri" w:hAnsi="Calibri"/>
          <w:b/>
          <w:color w:val="000000"/>
        </w:rPr>
      </w:pPr>
      <w:r>
        <w:rPr>
          <w:noProof/>
          <w:lang w:eastAsia="en-AU"/>
        </w:rPr>
        <w:drawing>
          <wp:anchor distT="140208" distB="336296" distL="242316" distR="464566" simplePos="0" relativeHeight="251729920" behindDoc="1" locked="0" layoutInCell="1" allowOverlap="1" wp14:anchorId="195B6DEA" wp14:editId="63947A54">
            <wp:simplePos x="0" y="0"/>
            <wp:positionH relativeFrom="margin">
              <wp:align>right</wp:align>
            </wp:positionH>
            <wp:positionV relativeFrom="paragraph">
              <wp:posOffset>8890</wp:posOffset>
            </wp:positionV>
            <wp:extent cx="1365250" cy="1033145"/>
            <wp:effectExtent l="0" t="0" r="6350" b="0"/>
            <wp:wrapTight wrapText="bothSides">
              <wp:wrapPolygon edited="0">
                <wp:start x="1206" y="0"/>
                <wp:lineTo x="0" y="797"/>
                <wp:lineTo x="0" y="19914"/>
                <wp:lineTo x="603" y="21109"/>
                <wp:lineTo x="1206" y="21109"/>
                <wp:lineTo x="20193" y="21109"/>
                <wp:lineTo x="20796" y="21109"/>
                <wp:lineTo x="21399" y="19914"/>
                <wp:lineTo x="21399" y="797"/>
                <wp:lineTo x="20193" y="0"/>
                <wp:lineTo x="1206" y="0"/>
              </wp:wrapPolygon>
            </wp:wrapTight>
            <wp:docPr id="126" name="Picture 21" descr="Picture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2" name="Picture 21" descr="Picture22"/>
                    <pic:cNvPicPr>
                      <a:picLocks noChangeAspect="1" noChangeArrowheads="1"/>
                    </pic:cNvPicPr>
                  </pic:nvPicPr>
                  <pic:blipFill>
                    <a:blip r:embed="rId91" cstate="print"/>
                    <a:srcRect/>
                    <a:stretch>
                      <a:fillRect/>
                    </a:stretch>
                  </pic:blipFill>
                  <pic:spPr bwMode="auto">
                    <a:xfrm>
                      <a:off x="0" y="0"/>
                      <a:ext cx="1365250" cy="103314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E2314F">
        <w:rPr>
          <w:rFonts w:ascii="Calibri" w:hAnsi="Calibri"/>
          <w:color w:val="000000"/>
        </w:rPr>
        <w:t>Young people in Greater Dandenong experience less favorable early school development, leave school earlier, less often attend university, are more often disengaged from employment and education, and are more likely to be unemployed later in life, than those throughout Melbourne.</w:t>
      </w:r>
      <w:r w:rsidRPr="00E2314F">
        <w:rPr>
          <w:rFonts w:ascii="Calibri" w:hAnsi="Calibri"/>
          <w:b/>
          <w:color w:val="000000"/>
        </w:rPr>
        <w:t xml:space="preserve"> </w:t>
      </w:r>
    </w:p>
    <w:p w14:paraId="2BCA8F5C" w14:textId="77777777" w:rsidR="00C65183" w:rsidRDefault="00C65183" w:rsidP="00C65183">
      <w:pPr>
        <w:tabs>
          <w:tab w:val="left" w:pos="284"/>
        </w:tabs>
        <w:spacing w:line="360" w:lineRule="auto"/>
        <w:jc w:val="both"/>
        <w:rPr>
          <w:rFonts w:ascii="Calibri" w:hAnsi="Calibri"/>
          <w:b/>
          <w:color w:val="000000"/>
        </w:rPr>
      </w:pPr>
    </w:p>
    <w:p w14:paraId="14EA7B84" w14:textId="77777777" w:rsidR="00C65183" w:rsidRPr="00E2314F" w:rsidRDefault="00C65183" w:rsidP="00C65183">
      <w:pPr>
        <w:tabs>
          <w:tab w:val="left" w:pos="284"/>
        </w:tabs>
        <w:spacing w:line="360" w:lineRule="auto"/>
        <w:jc w:val="both"/>
        <w:rPr>
          <w:rFonts w:ascii="Calibri" w:hAnsi="Calibri"/>
          <w:b/>
          <w:color w:val="000000"/>
        </w:rPr>
      </w:pPr>
      <w:r w:rsidRPr="00E2314F">
        <w:rPr>
          <w:rFonts w:ascii="Calibri" w:hAnsi="Calibri"/>
          <w:b/>
          <w:color w:val="000000"/>
        </w:rPr>
        <w:t>Early Childhood Progress</w:t>
      </w:r>
    </w:p>
    <w:p w14:paraId="0291282F" w14:textId="77777777" w:rsidR="00C65183" w:rsidRPr="00E2314F" w:rsidRDefault="00C65183" w:rsidP="00C65183">
      <w:pPr>
        <w:spacing w:line="360" w:lineRule="auto"/>
        <w:jc w:val="both"/>
        <w:rPr>
          <w:rFonts w:ascii="Calibri" w:hAnsi="Calibri"/>
        </w:rPr>
      </w:pPr>
      <w:r w:rsidRPr="00E2314F">
        <w:rPr>
          <w:rFonts w:ascii="Calibri" w:hAnsi="Calibri"/>
        </w:rPr>
        <w:t xml:space="preserve">The Australian Early Development </w:t>
      </w:r>
      <w:r>
        <w:rPr>
          <w:rFonts w:ascii="Calibri" w:hAnsi="Calibri"/>
        </w:rPr>
        <w:t>Census</w:t>
      </w:r>
      <w:r w:rsidRPr="00E2314F">
        <w:rPr>
          <w:rFonts w:ascii="Calibri" w:hAnsi="Calibri"/>
        </w:rPr>
        <w:t xml:space="preserve"> (AED</w:t>
      </w:r>
      <w:r>
        <w:rPr>
          <w:rFonts w:ascii="Calibri" w:hAnsi="Calibri"/>
        </w:rPr>
        <w:t>C)</w:t>
      </w:r>
      <w:r w:rsidRPr="00E2314F">
        <w:rPr>
          <w:rFonts w:ascii="Calibri" w:hAnsi="Calibri"/>
        </w:rPr>
        <w:t xml:space="preserve"> </w:t>
      </w:r>
      <w:r>
        <w:rPr>
          <w:rFonts w:ascii="Calibri" w:hAnsi="Calibri"/>
        </w:rPr>
        <w:t>measures</w:t>
      </w:r>
      <w:r w:rsidRPr="00E2314F">
        <w:rPr>
          <w:rFonts w:ascii="Calibri" w:hAnsi="Calibri"/>
        </w:rPr>
        <w:t xml:space="preserve"> </w:t>
      </w:r>
      <w:r>
        <w:rPr>
          <w:rFonts w:ascii="Calibri" w:hAnsi="Calibri"/>
        </w:rPr>
        <w:t xml:space="preserve">the </w:t>
      </w:r>
      <w:r w:rsidRPr="00E2314F">
        <w:rPr>
          <w:rFonts w:ascii="Calibri" w:hAnsi="Calibri"/>
        </w:rPr>
        <w:t xml:space="preserve">progress of all </w:t>
      </w:r>
      <w:r>
        <w:rPr>
          <w:rFonts w:ascii="Calibri" w:hAnsi="Calibri"/>
        </w:rPr>
        <w:t>pupils in their first year of school</w:t>
      </w:r>
      <w:r w:rsidRPr="00E2314F">
        <w:rPr>
          <w:rFonts w:ascii="Calibri" w:hAnsi="Calibri"/>
        </w:rPr>
        <w:t xml:space="preserve"> </w:t>
      </w:r>
      <w:r>
        <w:rPr>
          <w:rFonts w:ascii="Calibri" w:hAnsi="Calibri"/>
        </w:rPr>
        <w:t>across</w:t>
      </w:r>
      <w:r w:rsidRPr="00E2314F">
        <w:rPr>
          <w:rFonts w:ascii="Calibri" w:hAnsi="Calibri"/>
        </w:rPr>
        <w:t xml:space="preserve"> Australia, in five </w:t>
      </w:r>
      <w:r>
        <w:rPr>
          <w:rFonts w:ascii="Calibri" w:hAnsi="Calibri"/>
        </w:rPr>
        <w:t>domains</w:t>
      </w:r>
      <w:r w:rsidRPr="00E2314F">
        <w:rPr>
          <w:rFonts w:ascii="Calibri" w:hAnsi="Calibri"/>
        </w:rPr>
        <w:t xml:space="preserve"> of development: physical, social, emotional, </w:t>
      </w:r>
      <w:r>
        <w:rPr>
          <w:rFonts w:ascii="Calibri" w:hAnsi="Calibri"/>
        </w:rPr>
        <w:t>l</w:t>
      </w:r>
      <w:r w:rsidRPr="00E2314F">
        <w:rPr>
          <w:rFonts w:ascii="Calibri" w:hAnsi="Calibri"/>
        </w:rPr>
        <w:t>anguage and cognitive</w:t>
      </w:r>
      <w:r>
        <w:rPr>
          <w:rFonts w:ascii="Calibri" w:hAnsi="Calibri"/>
        </w:rPr>
        <w:t>,</w:t>
      </w:r>
      <w:r w:rsidRPr="00E2314F">
        <w:rPr>
          <w:rFonts w:ascii="Calibri" w:hAnsi="Calibri"/>
        </w:rPr>
        <w:t xml:space="preserve"> and communication and general knowledge. </w:t>
      </w:r>
    </w:p>
    <w:p w14:paraId="15BF5384" w14:textId="77777777" w:rsidR="00C65183" w:rsidRDefault="00C65183" w:rsidP="00C65183">
      <w:pPr>
        <w:spacing w:line="360" w:lineRule="auto"/>
        <w:jc w:val="both"/>
        <w:rPr>
          <w:rFonts w:ascii="Calibri" w:hAnsi="Calibri"/>
        </w:rPr>
      </w:pPr>
      <w:r w:rsidRPr="00E2314F">
        <w:rPr>
          <w:rFonts w:ascii="Calibri" w:hAnsi="Calibri"/>
        </w:rPr>
        <w:t>The</w:t>
      </w:r>
      <w:r>
        <w:rPr>
          <w:rFonts w:ascii="Calibri" w:hAnsi="Calibri"/>
        </w:rPr>
        <w:t xml:space="preserve"> 2018</w:t>
      </w:r>
      <w:r w:rsidRPr="00E2314F">
        <w:rPr>
          <w:rFonts w:ascii="Calibri" w:hAnsi="Calibri"/>
        </w:rPr>
        <w:t xml:space="preserve"> </w:t>
      </w:r>
      <w:r>
        <w:rPr>
          <w:rFonts w:ascii="Calibri" w:hAnsi="Calibri"/>
        </w:rPr>
        <w:t xml:space="preserve">AEDC </w:t>
      </w:r>
      <w:r w:rsidRPr="00E2314F">
        <w:rPr>
          <w:rFonts w:ascii="Calibri" w:hAnsi="Calibri"/>
        </w:rPr>
        <w:t xml:space="preserve">findings </w:t>
      </w:r>
      <w:r>
        <w:rPr>
          <w:rFonts w:ascii="Calibri" w:hAnsi="Calibri"/>
        </w:rPr>
        <w:t>revealed</w:t>
      </w:r>
      <w:r w:rsidRPr="00E2314F">
        <w:rPr>
          <w:rFonts w:ascii="Calibri" w:hAnsi="Calibri"/>
        </w:rPr>
        <w:t xml:space="preserve"> that </w:t>
      </w:r>
      <w:r>
        <w:rPr>
          <w:rFonts w:ascii="Calibri" w:hAnsi="Calibri"/>
        </w:rPr>
        <w:t>28% of prep</w:t>
      </w:r>
      <w:r w:rsidRPr="00E2314F">
        <w:rPr>
          <w:rFonts w:ascii="Calibri" w:hAnsi="Calibri"/>
        </w:rPr>
        <w:t xml:space="preserve"> pupils in Greater Dandenong </w:t>
      </w:r>
      <w:r>
        <w:rPr>
          <w:rFonts w:ascii="Calibri" w:hAnsi="Calibri"/>
        </w:rPr>
        <w:t>were</w:t>
      </w:r>
      <w:r w:rsidRPr="00E2314F">
        <w:rPr>
          <w:rFonts w:ascii="Calibri" w:hAnsi="Calibri"/>
        </w:rPr>
        <w:t xml:space="preserve"> </w:t>
      </w:r>
      <w:r>
        <w:rPr>
          <w:rFonts w:ascii="Calibri" w:hAnsi="Calibri"/>
        </w:rPr>
        <w:t>‘</w:t>
      </w:r>
      <w:r w:rsidRPr="00E2314F">
        <w:rPr>
          <w:rFonts w:ascii="Calibri" w:hAnsi="Calibri"/>
        </w:rPr>
        <w:t>developmentally vulnerable</w:t>
      </w:r>
      <w:r>
        <w:rPr>
          <w:rFonts w:ascii="Calibri" w:hAnsi="Calibri"/>
        </w:rPr>
        <w:t xml:space="preserve">’ </w:t>
      </w:r>
      <w:r w:rsidRPr="00E2314F">
        <w:rPr>
          <w:rFonts w:ascii="Calibri" w:hAnsi="Calibri"/>
        </w:rPr>
        <w:t xml:space="preserve">in </w:t>
      </w:r>
      <w:r w:rsidRPr="006B5E0B">
        <w:rPr>
          <w:rFonts w:ascii="Calibri" w:hAnsi="Calibri"/>
          <w:i/>
        </w:rPr>
        <w:t>one or more</w:t>
      </w:r>
      <w:r w:rsidRPr="00E2314F">
        <w:rPr>
          <w:rFonts w:ascii="Calibri" w:hAnsi="Calibri"/>
        </w:rPr>
        <w:t xml:space="preserve"> of these fields of development –</w:t>
      </w:r>
      <w:r>
        <w:rPr>
          <w:rFonts w:ascii="Calibri" w:hAnsi="Calibri"/>
        </w:rPr>
        <w:t xml:space="preserve"> exceeding</w:t>
      </w:r>
      <w:r w:rsidRPr="00E2314F">
        <w:rPr>
          <w:rFonts w:ascii="Calibri" w:hAnsi="Calibri"/>
        </w:rPr>
        <w:t xml:space="preserve"> the Victorian level of </w:t>
      </w:r>
      <w:r>
        <w:rPr>
          <w:rFonts w:ascii="Calibri" w:hAnsi="Calibri"/>
        </w:rPr>
        <w:t>20%,</w:t>
      </w:r>
      <w:r w:rsidRPr="00E2314F">
        <w:rPr>
          <w:rFonts w:ascii="Calibri" w:hAnsi="Calibri"/>
        </w:rPr>
        <w:t xml:space="preserve"> and the </w:t>
      </w:r>
      <w:r>
        <w:rPr>
          <w:rFonts w:ascii="Calibri" w:hAnsi="Calibri"/>
        </w:rPr>
        <w:t xml:space="preserve">second </w:t>
      </w:r>
      <w:r w:rsidRPr="00E2314F">
        <w:rPr>
          <w:rFonts w:ascii="Calibri" w:hAnsi="Calibri"/>
        </w:rPr>
        <w:t xml:space="preserve">highest rate in </w:t>
      </w:r>
      <w:r>
        <w:rPr>
          <w:rFonts w:ascii="Calibri" w:hAnsi="Calibri"/>
        </w:rPr>
        <w:t>Melbourne</w:t>
      </w:r>
      <w:r w:rsidRPr="00E2314F">
        <w:rPr>
          <w:rFonts w:ascii="Calibri" w:hAnsi="Calibri"/>
        </w:rPr>
        <w:t xml:space="preserve">. </w:t>
      </w:r>
    </w:p>
    <w:p w14:paraId="67F3AA85" w14:textId="77777777" w:rsidR="00C65183" w:rsidRDefault="00C65183" w:rsidP="00C65183">
      <w:pPr>
        <w:spacing w:line="360" w:lineRule="auto"/>
        <w:jc w:val="both"/>
        <w:rPr>
          <w:rFonts w:ascii="Calibri" w:hAnsi="Calibri"/>
        </w:rPr>
      </w:pPr>
      <w:r>
        <w:rPr>
          <w:rFonts w:ascii="Calibri" w:hAnsi="Calibri"/>
        </w:rPr>
        <w:t>For each metropolitan municipality, the percentage of prep pupils who are considered ‘developmentally vulnerable’ in one or more domains, is illustrated in the diagram below.</w:t>
      </w:r>
    </w:p>
    <w:p w14:paraId="09E1B0AC" w14:textId="77777777" w:rsidR="00C65183" w:rsidRDefault="00C65183" w:rsidP="00C65183">
      <w:pPr>
        <w:spacing w:line="360" w:lineRule="auto"/>
        <w:jc w:val="both"/>
        <w:rPr>
          <w:rFonts w:ascii="Calibri" w:hAnsi="Calibri"/>
        </w:rPr>
      </w:pPr>
    </w:p>
    <w:p w14:paraId="32436FBB" w14:textId="77777777" w:rsidR="00C65183" w:rsidRPr="00197312" w:rsidRDefault="00C65183" w:rsidP="00C65183">
      <w:pPr>
        <w:ind w:left="142"/>
        <w:rPr>
          <w:rFonts w:ascii="Calibri" w:hAnsi="Calibri"/>
          <w:color w:val="7F7F7F"/>
          <w:sz w:val="20"/>
          <w:szCs w:val="20"/>
        </w:rPr>
      </w:pPr>
      <w:r w:rsidRPr="00197312">
        <w:rPr>
          <w:rFonts w:ascii="Calibri" w:hAnsi="Calibri"/>
          <w:noProof/>
          <w:color w:val="7F7F7F"/>
          <w:sz w:val="20"/>
          <w:szCs w:val="20"/>
        </w:rPr>
        <w:t>Per</w:t>
      </w:r>
      <w:r>
        <w:rPr>
          <w:rFonts w:ascii="Calibri" w:hAnsi="Calibri"/>
          <w:noProof/>
          <w:color w:val="7F7F7F"/>
          <w:sz w:val="20"/>
          <w:szCs w:val="20"/>
        </w:rPr>
        <w:t xml:space="preserve"> </w:t>
      </w:r>
      <w:r w:rsidRPr="00197312">
        <w:rPr>
          <w:rFonts w:ascii="Calibri" w:hAnsi="Calibri"/>
          <w:noProof/>
          <w:color w:val="7F7F7F"/>
          <w:sz w:val="20"/>
          <w:szCs w:val="20"/>
        </w:rPr>
        <w:t xml:space="preserve">cent </w:t>
      </w:r>
      <w:r>
        <w:rPr>
          <w:rFonts w:ascii="Calibri" w:hAnsi="Calibri"/>
          <w:noProof/>
          <w:color w:val="7F7F7F"/>
          <w:sz w:val="20"/>
          <w:szCs w:val="20"/>
        </w:rPr>
        <w:t>p</w:t>
      </w:r>
      <w:r w:rsidRPr="00197312">
        <w:rPr>
          <w:rFonts w:ascii="Calibri" w:hAnsi="Calibri"/>
          <w:noProof/>
          <w:color w:val="7F7F7F"/>
          <w:sz w:val="20"/>
          <w:szCs w:val="20"/>
        </w:rPr>
        <w:t xml:space="preserve">rep. </w:t>
      </w:r>
      <w:r>
        <w:rPr>
          <w:rFonts w:ascii="Calibri" w:hAnsi="Calibri"/>
          <w:noProof/>
          <w:color w:val="7F7F7F"/>
          <w:sz w:val="20"/>
          <w:szCs w:val="20"/>
        </w:rPr>
        <w:t>p</w:t>
      </w:r>
      <w:r w:rsidRPr="00197312">
        <w:rPr>
          <w:rFonts w:ascii="Calibri" w:hAnsi="Calibri"/>
          <w:noProof/>
          <w:color w:val="7F7F7F"/>
          <w:sz w:val="20"/>
          <w:szCs w:val="20"/>
        </w:rPr>
        <w:t xml:space="preserve">upils </w:t>
      </w:r>
      <w:r>
        <w:rPr>
          <w:rFonts w:ascii="Calibri" w:hAnsi="Calibri"/>
          <w:noProof/>
          <w:color w:val="7F7F7F"/>
          <w:sz w:val="20"/>
          <w:szCs w:val="20"/>
        </w:rPr>
        <w:t>d</w:t>
      </w:r>
      <w:r w:rsidRPr="00197312">
        <w:rPr>
          <w:rFonts w:ascii="Calibri" w:hAnsi="Calibri"/>
          <w:noProof/>
          <w:color w:val="7F7F7F"/>
          <w:sz w:val="20"/>
          <w:szCs w:val="20"/>
        </w:rPr>
        <w:t xml:space="preserve">evelopmentally </w:t>
      </w:r>
      <w:r>
        <w:rPr>
          <w:rFonts w:ascii="Calibri" w:hAnsi="Calibri"/>
          <w:noProof/>
          <w:color w:val="7F7F7F"/>
          <w:sz w:val="20"/>
          <w:szCs w:val="20"/>
        </w:rPr>
        <w:t>v</w:t>
      </w:r>
      <w:r w:rsidRPr="00197312">
        <w:rPr>
          <w:rFonts w:ascii="Calibri" w:hAnsi="Calibri"/>
          <w:noProof/>
          <w:color w:val="7F7F7F"/>
          <w:sz w:val="20"/>
          <w:szCs w:val="20"/>
        </w:rPr>
        <w:t xml:space="preserve">ulnerable in one or more </w:t>
      </w:r>
      <w:r>
        <w:rPr>
          <w:rFonts w:ascii="Calibri" w:hAnsi="Calibri"/>
          <w:noProof/>
          <w:color w:val="7F7F7F"/>
          <w:sz w:val="20"/>
          <w:szCs w:val="20"/>
        </w:rPr>
        <w:t>d</w:t>
      </w:r>
      <w:r w:rsidRPr="00197312">
        <w:rPr>
          <w:rFonts w:ascii="Calibri" w:hAnsi="Calibri"/>
          <w:noProof/>
          <w:color w:val="7F7F7F"/>
          <w:sz w:val="20"/>
          <w:szCs w:val="20"/>
        </w:rPr>
        <w:t>omains</w:t>
      </w:r>
      <w:r w:rsidRPr="00197312">
        <w:rPr>
          <w:rFonts w:ascii="Calibri" w:hAnsi="Calibri"/>
          <w:color w:val="7F7F7F"/>
          <w:sz w:val="20"/>
          <w:szCs w:val="20"/>
        </w:rPr>
        <w:t xml:space="preserve"> by metropolitan </w:t>
      </w:r>
      <w:r>
        <w:rPr>
          <w:rFonts w:ascii="Calibri" w:hAnsi="Calibri"/>
          <w:color w:val="7F7F7F"/>
          <w:sz w:val="20"/>
          <w:szCs w:val="20"/>
        </w:rPr>
        <w:t>m</w:t>
      </w:r>
      <w:r w:rsidRPr="00197312">
        <w:rPr>
          <w:rFonts w:ascii="Calibri" w:hAnsi="Calibri"/>
          <w:color w:val="7F7F7F"/>
          <w:sz w:val="20"/>
          <w:szCs w:val="20"/>
        </w:rPr>
        <w:t>unicipality</w:t>
      </w:r>
      <w:r>
        <w:rPr>
          <w:rFonts w:ascii="Calibri" w:hAnsi="Calibri"/>
          <w:color w:val="7F7F7F"/>
          <w:sz w:val="20"/>
          <w:szCs w:val="20"/>
        </w:rPr>
        <w:t>:</w:t>
      </w:r>
      <w:r w:rsidRPr="00197312">
        <w:rPr>
          <w:rFonts w:ascii="Calibri" w:hAnsi="Calibri"/>
          <w:color w:val="7F7F7F"/>
          <w:sz w:val="20"/>
          <w:szCs w:val="20"/>
        </w:rPr>
        <w:t xml:space="preserve"> 2018</w:t>
      </w:r>
    </w:p>
    <w:p w14:paraId="60222A14" w14:textId="77777777" w:rsidR="00C65183" w:rsidRDefault="00C65183" w:rsidP="00C65183">
      <w:pPr>
        <w:spacing w:line="360" w:lineRule="auto"/>
        <w:jc w:val="center"/>
        <w:rPr>
          <w:rFonts w:ascii="Calibri" w:hAnsi="Calibri"/>
        </w:rPr>
      </w:pPr>
      <w:r>
        <w:rPr>
          <w:rFonts w:ascii="Calibri" w:hAnsi="Calibri"/>
          <w:b/>
          <w:noProof/>
          <w:lang w:eastAsia="en-AU"/>
        </w:rPr>
        <w:drawing>
          <wp:anchor distT="0" distB="0" distL="114300" distR="114300" simplePos="0" relativeHeight="251739136" behindDoc="0" locked="0" layoutInCell="1" allowOverlap="1" wp14:anchorId="5225DDED" wp14:editId="11BFBF24">
            <wp:simplePos x="0" y="0"/>
            <wp:positionH relativeFrom="column">
              <wp:posOffset>1103948</wp:posOffset>
            </wp:positionH>
            <wp:positionV relativeFrom="paragraph">
              <wp:posOffset>88583</wp:posOffset>
            </wp:positionV>
            <wp:extent cx="1232649" cy="557212"/>
            <wp:effectExtent l="0" t="0" r="5715" b="0"/>
            <wp:wrapNone/>
            <wp:docPr id="178" name="Picture 177" descr="kindergart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indergarten.jpg"/>
                    <pic:cNvPicPr/>
                  </pic:nvPicPr>
                  <pic:blipFill>
                    <a:blip r:embed="rId92" cstate="print"/>
                    <a:stretch>
                      <a:fillRect/>
                    </a:stretch>
                  </pic:blipFill>
                  <pic:spPr>
                    <a:xfrm>
                      <a:off x="0" y="0"/>
                      <a:ext cx="1246282" cy="56337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rFonts w:ascii="Calibri" w:hAnsi="Calibri"/>
          <w:noProof/>
          <w:lang w:eastAsia="en-AU"/>
        </w:rPr>
        <w:drawing>
          <wp:inline distT="0" distB="0" distL="0" distR="0" wp14:anchorId="04148D17" wp14:editId="237569FF">
            <wp:extent cx="5104737" cy="3434963"/>
            <wp:effectExtent l="0" t="0" r="127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107940" cy="3437118"/>
                    </a:xfrm>
                    <a:prstGeom prst="rect">
                      <a:avLst/>
                    </a:prstGeom>
                    <a:noFill/>
                  </pic:spPr>
                </pic:pic>
              </a:graphicData>
            </a:graphic>
          </wp:inline>
        </w:drawing>
      </w:r>
    </w:p>
    <w:p w14:paraId="19B5369B" w14:textId="77777777" w:rsidR="00C65183" w:rsidRDefault="00C65183" w:rsidP="00C65183">
      <w:pPr>
        <w:spacing w:line="360" w:lineRule="auto"/>
        <w:jc w:val="center"/>
        <w:rPr>
          <w:rFonts w:ascii="Calibri" w:hAnsi="Calibri"/>
        </w:rPr>
      </w:pPr>
    </w:p>
    <w:p w14:paraId="57FC9D04" w14:textId="77777777" w:rsidR="00C65183" w:rsidRDefault="00C65183" w:rsidP="00C65183">
      <w:pPr>
        <w:spacing w:line="360" w:lineRule="auto"/>
        <w:jc w:val="both"/>
        <w:rPr>
          <w:rFonts w:ascii="Calibri" w:hAnsi="Calibri"/>
        </w:rPr>
      </w:pPr>
      <w:r>
        <w:rPr>
          <w:rFonts w:ascii="Calibri" w:hAnsi="Calibri"/>
        </w:rPr>
        <w:t>Locally, the proportion of prep</w:t>
      </w:r>
      <w:r w:rsidRPr="00E2314F">
        <w:rPr>
          <w:rFonts w:ascii="Calibri" w:hAnsi="Calibri"/>
        </w:rPr>
        <w:t xml:space="preserve"> pupils </w:t>
      </w:r>
      <w:r>
        <w:rPr>
          <w:rFonts w:ascii="Calibri" w:hAnsi="Calibri"/>
        </w:rPr>
        <w:t>who are</w:t>
      </w:r>
      <w:r w:rsidRPr="00E2314F">
        <w:rPr>
          <w:rFonts w:ascii="Calibri" w:hAnsi="Calibri"/>
        </w:rPr>
        <w:t xml:space="preserve"> </w:t>
      </w:r>
      <w:r>
        <w:rPr>
          <w:rFonts w:ascii="Calibri" w:hAnsi="Calibri"/>
        </w:rPr>
        <w:t>‘</w:t>
      </w:r>
      <w:r w:rsidRPr="00E2314F">
        <w:rPr>
          <w:rFonts w:ascii="Calibri" w:hAnsi="Calibri"/>
        </w:rPr>
        <w:t>developmentally vulnerable</w:t>
      </w:r>
      <w:r>
        <w:rPr>
          <w:rFonts w:ascii="Calibri" w:hAnsi="Calibri"/>
        </w:rPr>
        <w:t>’</w:t>
      </w:r>
      <w:r w:rsidRPr="00E2314F">
        <w:rPr>
          <w:rFonts w:ascii="Calibri" w:hAnsi="Calibri"/>
        </w:rPr>
        <w:t xml:space="preserve"> </w:t>
      </w:r>
      <w:r>
        <w:rPr>
          <w:rFonts w:ascii="Calibri" w:hAnsi="Calibri"/>
        </w:rPr>
        <w:t>ranged</w:t>
      </w:r>
      <w:r w:rsidRPr="00E2314F">
        <w:rPr>
          <w:rFonts w:ascii="Calibri" w:hAnsi="Calibri"/>
        </w:rPr>
        <w:t xml:space="preserve"> from </w:t>
      </w:r>
      <w:r>
        <w:rPr>
          <w:rFonts w:ascii="Calibri" w:hAnsi="Calibri"/>
        </w:rPr>
        <w:t>34% in Springvale, to 30% in Dandenong and Springvale South, 27% in Noble Park and Dandenong North, 22% in Keysborough and 20% in Noble Park North.</w:t>
      </w:r>
    </w:p>
    <w:p w14:paraId="112091F3" w14:textId="77777777" w:rsidR="00C65183" w:rsidRDefault="00C65183" w:rsidP="00C65183">
      <w:pPr>
        <w:tabs>
          <w:tab w:val="left" w:pos="284"/>
        </w:tabs>
        <w:spacing w:line="360" w:lineRule="auto"/>
        <w:jc w:val="both"/>
        <w:rPr>
          <w:rFonts w:ascii="Calibri" w:hAnsi="Calibri"/>
          <w:noProof/>
          <w:color w:val="7F7F7F"/>
          <w:sz w:val="20"/>
          <w:szCs w:val="20"/>
        </w:rPr>
      </w:pPr>
    </w:p>
    <w:p w14:paraId="298BD58B" w14:textId="77777777" w:rsidR="00C65183" w:rsidRDefault="00C65183" w:rsidP="00C65183">
      <w:pPr>
        <w:tabs>
          <w:tab w:val="left" w:pos="284"/>
        </w:tabs>
        <w:spacing w:line="360" w:lineRule="auto"/>
        <w:jc w:val="both"/>
        <w:rPr>
          <w:rFonts w:ascii="Calibri" w:hAnsi="Calibri"/>
          <w:b/>
          <w:color w:val="000000"/>
        </w:rPr>
      </w:pPr>
      <w:r>
        <w:rPr>
          <w:rFonts w:ascii="Calibri" w:hAnsi="Calibri"/>
          <w:b/>
          <w:color w:val="000000"/>
        </w:rPr>
        <w:lastRenderedPageBreak/>
        <w:t>Literacy and Numeracy in Primary and Secondary School</w:t>
      </w:r>
    </w:p>
    <w:p w14:paraId="748C0D29" w14:textId="77777777" w:rsidR="00C65183" w:rsidRDefault="00C65183" w:rsidP="00C65183">
      <w:pPr>
        <w:tabs>
          <w:tab w:val="left" w:pos="284"/>
        </w:tabs>
        <w:spacing w:line="360" w:lineRule="auto"/>
        <w:jc w:val="both"/>
        <w:rPr>
          <w:rFonts w:ascii="Calibri" w:hAnsi="Calibri"/>
          <w:color w:val="000000"/>
        </w:rPr>
      </w:pPr>
      <w:r>
        <w:rPr>
          <w:rFonts w:ascii="Calibri" w:hAnsi="Calibri"/>
          <w:color w:val="000000"/>
        </w:rPr>
        <w:t>Each year, primary and secondary students throughout Victoria in years 3, 5, 7 and 9, are tested for literacy and numeracy by the State Government. Results for 2017 show differences between results for pupils in Greater Dandenong and the Victorian average.</w:t>
      </w:r>
    </w:p>
    <w:p w14:paraId="3BE1CBAA" w14:textId="77777777" w:rsidR="00C65183" w:rsidRDefault="00C65183" w:rsidP="00C65183">
      <w:pPr>
        <w:tabs>
          <w:tab w:val="left" w:pos="284"/>
        </w:tabs>
        <w:spacing w:line="360" w:lineRule="auto"/>
        <w:jc w:val="both"/>
        <w:rPr>
          <w:rFonts w:ascii="Calibri" w:hAnsi="Calibri"/>
          <w:color w:val="000000"/>
        </w:rPr>
      </w:pPr>
    </w:p>
    <w:p w14:paraId="604F16A4" w14:textId="77777777" w:rsidR="00C65183" w:rsidRPr="0061615D" w:rsidRDefault="00C65183" w:rsidP="00C65183">
      <w:pPr>
        <w:tabs>
          <w:tab w:val="left" w:pos="284"/>
        </w:tabs>
        <w:spacing w:line="360" w:lineRule="auto"/>
        <w:jc w:val="both"/>
        <w:rPr>
          <w:rFonts w:ascii="Calibri" w:hAnsi="Calibri"/>
          <w:i/>
          <w:color w:val="000000"/>
        </w:rPr>
      </w:pPr>
      <w:r w:rsidRPr="0061615D">
        <w:rPr>
          <w:rFonts w:ascii="Calibri" w:hAnsi="Calibri"/>
          <w:i/>
          <w:color w:val="000000"/>
        </w:rPr>
        <w:t>Literacy</w:t>
      </w:r>
    </w:p>
    <w:p w14:paraId="55248245" w14:textId="77777777" w:rsidR="00C65183" w:rsidRPr="004A0926" w:rsidRDefault="00C65183" w:rsidP="00C65183">
      <w:pPr>
        <w:tabs>
          <w:tab w:val="left" w:pos="284"/>
        </w:tabs>
        <w:spacing w:line="360" w:lineRule="auto"/>
        <w:jc w:val="both"/>
        <w:rPr>
          <w:rFonts w:ascii="Calibri" w:hAnsi="Calibri"/>
          <w:color w:val="000000"/>
        </w:rPr>
      </w:pPr>
      <w:r>
        <w:rPr>
          <w:rFonts w:ascii="Calibri" w:hAnsi="Calibri"/>
          <w:color w:val="000000"/>
        </w:rPr>
        <w:t xml:space="preserve">The proportion of Greater Dandenong pupils in years 3, 5, 7 and 9 who </w:t>
      </w:r>
      <w:r w:rsidRPr="00020024">
        <w:rPr>
          <w:rFonts w:ascii="Calibri" w:hAnsi="Calibri"/>
          <w:i/>
          <w:color w:val="000000"/>
        </w:rPr>
        <w:t xml:space="preserve">did not </w:t>
      </w:r>
      <w:r>
        <w:rPr>
          <w:rFonts w:ascii="Calibri" w:hAnsi="Calibri"/>
          <w:color w:val="000000"/>
        </w:rPr>
        <w:t>meet the national literacy benchmarks in 2017, were approximately twice the Victorian average in these year levels.  Among local pupils in year 9, the proportion whose test results were below the national benchmark was the third highest in the state.</w:t>
      </w:r>
    </w:p>
    <w:p w14:paraId="74A67218" w14:textId="77777777" w:rsidR="00C65183" w:rsidRDefault="00C65183" w:rsidP="00C65183">
      <w:pPr>
        <w:tabs>
          <w:tab w:val="left" w:pos="284"/>
        </w:tabs>
        <w:spacing w:line="360" w:lineRule="auto"/>
        <w:jc w:val="both"/>
        <w:rPr>
          <w:rFonts w:ascii="Calibri" w:hAnsi="Calibri"/>
          <w:color w:val="000000"/>
        </w:rPr>
      </w:pPr>
      <w:r>
        <w:rPr>
          <w:rFonts w:ascii="Calibri" w:hAnsi="Calibri"/>
          <w:noProof/>
          <w:color w:val="000000"/>
          <w:lang w:eastAsia="en-AU"/>
        </w:rPr>
        <w:drawing>
          <wp:anchor distT="0" distB="0" distL="114300" distR="114300" simplePos="0" relativeHeight="251737088" behindDoc="0" locked="0" layoutInCell="1" allowOverlap="1" wp14:anchorId="6A702FC7" wp14:editId="6CE5E4D2">
            <wp:simplePos x="0" y="0"/>
            <wp:positionH relativeFrom="column">
              <wp:posOffset>11430</wp:posOffset>
            </wp:positionH>
            <wp:positionV relativeFrom="paragraph">
              <wp:posOffset>29845</wp:posOffset>
            </wp:positionV>
            <wp:extent cx="3744595" cy="2482215"/>
            <wp:effectExtent l="0" t="0" r="8255" b="0"/>
            <wp:wrapSquare wrapText="bothSides"/>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3744595" cy="2482215"/>
                    </a:xfrm>
                    <a:prstGeom prst="rect">
                      <a:avLst/>
                    </a:prstGeom>
                    <a:noFill/>
                  </pic:spPr>
                </pic:pic>
              </a:graphicData>
            </a:graphic>
            <wp14:sizeRelH relativeFrom="page">
              <wp14:pctWidth>0</wp14:pctWidth>
            </wp14:sizeRelH>
            <wp14:sizeRelV relativeFrom="page">
              <wp14:pctHeight>0</wp14:pctHeight>
            </wp14:sizeRelV>
          </wp:anchor>
        </w:drawing>
      </w:r>
    </w:p>
    <w:p w14:paraId="30740B8A" w14:textId="77777777" w:rsidR="00C65183" w:rsidRPr="00197312" w:rsidRDefault="00C65183" w:rsidP="00C65183">
      <w:pPr>
        <w:ind w:left="142"/>
        <w:rPr>
          <w:rFonts w:ascii="Calibri" w:hAnsi="Calibri"/>
          <w:noProof/>
          <w:color w:val="7F7F7F"/>
          <w:sz w:val="20"/>
          <w:szCs w:val="20"/>
        </w:rPr>
      </w:pPr>
      <w:r w:rsidRPr="00197312">
        <w:rPr>
          <w:rFonts w:ascii="Calibri" w:hAnsi="Calibri"/>
          <w:noProof/>
          <w:color w:val="7F7F7F"/>
          <w:sz w:val="20"/>
          <w:szCs w:val="20"/>
        </w:rPr>
        <w:t>Per cent of pupils below the national literacy benchmark by year level: Greater Dandenong and Victoria, 2017</w:t>
      </w:r>
    </w:p>
    <w:p w14:paraId="6EEB7AAE" w14:textId="77777777" w:rsidR="00C65183" w:rsidRPr="004A0926" w:rsidRDefault="00C65183" w:rsidP="00C65183">
      <w:pPr>
        <w:tabs>
          <w:tab w:val="left" w:pos="284"/>
        </w:tabs>
        <w:spacing w:line="360" w:lineRule="auto"/>
        <w:jc w:val="both"/>
        <w:rPr>
          <w:rFonts w:ascii="Calibri" w:hAnsi="Calibri"/>
          <w:color w:val="000000"/>
        </w:rPr>
      </w:pPr>
      <w:r>
        <w:rPr>
          <w:rFonts w:ascii="Calibri" w:hAnsi="Calibri"/>
          <w:i/>
          <w:noProof/>
          <w:color w:val="000000"/>
          <w:lang w:eastAsia="en-AU"/>
        </w:rPr>
        <w:drawing>
          <wp:anchor distT="0" distB="0" distL="114300" distR="114300" simplePos="0" relativeHeight="251730944" behindDoc="0" locked="0" layoutInCell="1" allowOverlap="1" wp14:anchorId="4A882BF9" wp14:editId="650BC7A5">
            <wp:simplePos x="0" y="0"/>
            <wp:positionH relativeFrom="column">
              <wp:posOffset>1094188</wp:posOffset>
            </wp:positionH>
            <wp:positionV relativeFrom="paragraph">
              <wp:posOffset>114300</wp:posOffset>
            </wp:positionV>
            <wp:extent cx="1168842" cy="1095483"/>
            <wp:effectExtent l="0" t="0" r="0" b="0"/>
            <wp:wrapNone/>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ducation 9.jp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1168842" cy="1095483"/>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5ACE6556" w14:textId="77777777" w:rsidR="00C65183" w:rsidRPr="004A0926" w:rsidRDefault="00C65183" w:rsidP="00C65183">
      <w:pPr>
        <w:tabs>
          <w:tab w:val="left" w:pos="284"/>
        </w:tabs>
        <w:spacing w:line="360" w:lineRule="auto"/>
        <w:jc w:val="both"/>
        <w:rPr>
          <w:rFonts w:ascii="Calibri" w:hAnsi="Calibri"/>
          <w:color w:val="000000"/>
        </w:rPr>
      </w:pPr>
    </w:p>
    <w:p w14:paraId="3B128576" w14:textId="77777777" w:rsidR="00C65183" w:rsidRDefault="00C65183" w:rsidP="00C65183">
      <w:pPr>
        <w:tabs>
          <w:tab w:val="left" w:pos="284"/>
        </w:tabs>
        <w:spacing w:line="360" w:lineRule="auto"/>
        <w:jc w:val="both"/>
        <w:rPr>
          <w:rFonts w:ascii="Calibri" w:hAnsi="Calibri"/>
          <w:color w:val="000000"/>
        </w:rPr>
      </w:pPr>
    </w:p>
    <w:p w14:paraId="5096C4F3" w14:textId="77777777" w:rsidR="00C65183" w:rsidRDefault="00C65183" w:rsidP="00C65183">
      <w:pPr>
        <w:tabs>
          <w:tab w:val="left" w:pos="284"/>
        </w:tabs>
        <w:spacing w:line="360" w:lineRule="auto"/>
        <w:jc w:val="both"/>
        <w:rPr>
          <w:rFonts w:ascii="Calibri" w:hAnsi="Calibri"/>
          <w:color w:val="000000"/>
        </w:rPr>
      </w:pPr>
    </w:p>
    <w:p w14:paraId="430E8A40" w14:textId="77777777" w:rsidR="00C65183" w:rsidRDefault="00C65183" w:rsidP="00C65183">
      <w:pPr>
        <w:tabs>
          <w:tab w:val="left" w:pos="284"/>
        </w:tabs>
        <w:spacing w:line="360" w:lineRule="auto"/>
        <w:jc w:val="both"/>
        <w:rPr>
          <w:rFonts w:ascii="Calibri" w:hAnsi="Calibri"/>
          <w:color w:val="000000"/>
        </w:rPr>
      </w:pPr>
    </w:p>
    <w:p w14:paraId="1FDA8947" w14:textId="77777777" w:rsidR="00C65183" w:rsidRDefault="00C65183" w:rsidP="00C65183">
      <w:pPr>
        <w:tabs>
          <w:tab w:val="left" w:pos="284"/>
        </w:tabs>
        <w:spacing w:line="360" w:lineRule="auto"/>
        <w:jc w:val="both"/>
        <w:rPr>
          <w:rFonts w:ascii="Calibri" w:hAnsi="Calibri"/>
          <w:color w:val="000000"/>
        </w:rPr>
      </w:pPr>
    </w:p>
    <w:p w14:paraId="1DD11BF9" w14:textId="77777777" w:rsidR="00C65183" w:rsidRDefault="00C65183" w:rsidP="00C65183">
      <w:pPr>
        <w:tabs>
          <w:tab w:val="left" w:pos="284"/>
        </w:tabs>
        <w:spacing w:line="360" w:lineRule="auto"/>
        <w:jc w:val="both"/>
        <w:rPr>
          <w:rFonts w:ascii="Calibri" w:hAnsi="Calibri"/>
          <w:i/>
          <w:color w:val="000000"/>
        </w:rPr>
      </w:pPr>
    </w:p>
    <w:p w14:paraId="7A2AD541" w14:textId="77777777" w:rsidR="00C65183" w:rsidRDefault="00C65183" w:rsidP="00C65183">
      <w:pPr>
        <w:tabs>
          <w:tab w:val="left" w:pos="284"/>
        </w:tabs>
        <w:spacing w:line="360" w:lineRule="auto"/>
        <w:jc w:val="both"/>
        <w:rPr>
          <w:rFonts w:ascii="Calibri" w:hAnsi="Calibri"/>
          <w:i/>
          <w:color w:val="000000"/>
        </w:rPr>
      </w:pPr>
    </w:p>
    <w:p w14:paraId="5844087C" w14:textId="77777777" w:rsidR="00C65183" w:rsidRDefault="00C65183" w:rsidP="00C65183">
      <w:pPr>
        <w:tabs>
          <w:tab w:val="left" w:pos="284"/>
        </w:tabs>
        <w:spacing w:line="360" w:lineRule="auto"/>
        <w:jc w:val="both"/>
        <w:rPr>
          <w:rFonts w:ascii="Calibri" w:hAnsi="Calibri"/>
          <w:i/>
          <w:color w:val="000000"/>
        </w:rPr>
      </w:pPr>
    </w:p>
    <w:p w14:paraId="45067036" w14:textId="77777777" w:rsidR="00C65183" w:rsidRPr="0061615D" w:rsidRDefault="00C65183" w:rsidP="00C65183">
      <w:pPr>
        <w:tabs>
          <w:tab w:val="left" w:pos="284"/>
        </w:tabs>
        <w:spacing w:line="360" w:lineRule="auto"/>
        <w:jc w:val="both"/>
        <w:rPr>
          <w:rFonts w:ascii="Calibri" w:hAnsi="Calibri"/>
          <w:i/>
          <w:color w:val="000000"/>
        </w:rPr>
      </w:pPr>
      <w:r w:rsidRPr="0061615D">
        <w:rPr>
          <w:rFonts w:ascii="Calibri" w:hAnsi="Calibri"/>
          <w:i/>
          <w:color w:val="000000"/>
        </w:rPr>
        <w:t>Numeracy</w:t>
      </w:r>
    </w:p>
    <w:p w14:paraId="230BA86D" w14:textId="77777777" w:rsidR="00C65183" w:rsidRDefault="00C65183" w:rsidP="00C65183">
      <w:pPr>
        <w:tabs>
          <w:tab w:val="left" w:pos="284"/>
        </w:tabs>
        <w:spacing w:line="360" w:lineRule="auto"/>
        <w:jc w:val="both"/>
        <w:rPr>
          <w:rFonts w:ascii="Calibri" w:hAnsi="Calibri"/>
          <w:color w:val="000000"/>
        </w:rPr>
      </w:pPr>
      <w:r>
        <w:rPr>
          <w:rFonts w:ascii="Calibri" w:hAnsi="Calibri"/>
          <w:color w:val="000000"/>
        </w:rPr>
        <w:t xml:space="preserve">The proportion of Greater Dandenong pupils who </w:t>
      </w:r>
      <w:r w:rsidRPr="007B7FFB">
        <w:rPr>
          <w:rFonts w:ascii="Calibri" w:hAnsi="Calibri"/>
          <w:iCs/>
          <w:color w:val="000000"/>
        </w:rPr>
        <w:t>did not meet numeracy benchmarks was also approximately twice the Victorian level. Among year 9 pupils, the proportion from Greater Dandenong who did not meet the benchmark</w:t>
      </w:r>
      <w:r>
        <w:rPr>
          <w:rFonts w:ascii="Calibri" w:hAnsi="Calibri"/>
          <w:color w:val="000000"/>
        </w:rPr>
        <w:t xml:space="preserve"> was the highest in the state. </w:t>
      </w:r>
    </w:p>
    <w:p w14:paraId="11492B27" w14:textId="77777777" w:rsidR="00C65183" w:rsidRDefault="00C65183" w:rsidP="00C65183">
      <w:pPr>
        <w:tabs>
          <w:tab w:val="left" w:pos="284"/>
        </w:tabs>
        <w:spacing w:line="360" w:lineRule="auto"/>
        <w:jc w:val="both"/>
        <w:rPr>
          <w:rFonts w:ascii="Calibri" w:hAnsi="Calibri"/>
          <w:color w:val="000000"/>
        </w:rPr>
      </w:pPr>
      <w:r>
        <w:rPr>
          <w:rFonts w:ascii="Calibri" w:hAnsi="Calibri"/>
          <w:noProof/>
          <w:color w:val="000000"/>
          <w:lang w:eastAsia="en-AU"/>
        </w:rPr>
        <w:drawing>
          <wp:anchor distT="0" distB="0" distL="114300" distR="114300" simplePos="0" relativeHeight="251738112" behindDoc="0" locked="0" layoutInCell="1" allowOverlap="1" wp14:anchorId="0FF6FD21" wp14:editId="11599BF4">
            <wp:simplePos x="0" y="0"/>
            <wp:positionH relativeFrom="column">
              <wp:posOffset>2197100</wp:posOffset>
            </wp:positionH>
            <wp:positionV relativeFrom="paragraph">
              <wp:posOffset>51435</wp:posOffset>
            </wp:positionV>
            <wp:extent cx="3959225" cy="2540635"/>
            <wp:effectExtent l="0" t="0" r="3175" b="0"/>
            <wp:wrapSquare wrapText="bothSides"/>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3959225" cy="2540635"/>
                    </a:xfrm>
                    <a:prstGeom prst="rect">
                      <a:avLst/>
                    </a:prstGeom>
                    <a:noFill/>
                  </pic:spPr>
                </pic:pic>
              </a:graphicData>
            </a:graphic>
            <wp14:sizeRelH relativeFrom="page">
              <wp14:pctWidth>0</wp14:pctWidth>
            </wp14:sizeRelH>
            <wp14:sizeRelV relativeFrom="page">
              <wp14:pctHeight>0</wp14:pctHeight>
            </wp14:sizeRelV>
          </wp:anchor>
        </w:drawing>
      </w:r>
    </w:p>
    <w:p w14:paraId="3F092A92" w14:textId="77777777" w:rsidR="00C65183" w:rsidRPr="004A0926" w:rsidRDefault="00C65183" w:rsidP="00C65183">
      <w:pPr>
        <w:tabs>
          <w:tab w:val="left" w:pos="284"/>
        </w:tabs>
        <w:spacing w:line="360" w:lineRule="auto"/>
        <w:jc w:val="both"/>
        <w:rPr>
          <w:rFonts w:ascii="Calibri" w:hAnsi="Calibri"/>
          <w:color w:val="000000"/>
        </w:rPr>
      </w:pPr>
    </w:p>
    <w:p w14:paraId="5DB2EDBE" w14:textId="77777777" w:rsidR="00C65183" w:rsidRPr="00197312" w:rsidRDefault="00C65183" w:rsidP="00C65183">
      <w:pPr>
        <w:ind w:left="142"/>
        <w:jc w:val="both"/>
        <w:rPr>
          <w:rFonts w:ascii="Calibri" w:hAnsi="Calibri"/>
          <w:noProof/>
          <w:color w:val="7F7F7F"/>
          <w:sz w:val="20"/>
          <w:szCs w:val="20"/>
        </w:rPr>
      </w:pPr>
      <w:r w:rsidRPr="00197312">
        <w:rPr>
          <w:rFonts w:ascii="Calibri" w:hAnsi="Calibri"/>
          <w:noProof/>
          <w:color w:val="7F7F7F"/>
          <w:sz w:val="20"/>
          <w:szCs w:val="20"/>
        </w:rPr>
        <w:t>Per cent of pupils below the national numeracy benchmark by year level: Greater Dandenong and Victoria, 2017</w:t>
      </w:r>
    </w:p>
    <w:p w14:paraId="34576F89" w14:textId="77777777" w:rsidR="00C65183" w:rsidRPr="004A0926" w:rsidRDefault="00C65183" w:rsidP="00C65183">
      <w:pPr>
        <w:tabs>
          <w:tab w:val="left" w:pos="284"/>
        </w:tabs>
        <w:spacing w:line="360" w:lineRule="auto"/>
        <w:jc w:val="both"/>
        <w:rPr>
          <w:rFonts w:ascii="Calibri" w:hAnsi="Calibri"/>
          <w:color w:val="000000"/>
        </w:rPr>
      </w:pPr>
      <w:r>
        <w:rPr>
          <w:rFonts w:ascii="Calibri" w:hAnsi="Calibri"/>
          <w:i/>
          <w:noProof/>
          <w:color w:val="000000"/>
          <w:lang w:eastAsia="en-AU"/>
        </w:rPr>
        <w:drawing>
          <wp:anchor distT="0" distB="0" distL="114300" distR="114300" simplePos="0" relativeHeight="251731968" behindDoc="0" locked="0" layoutInCell="1" allowOverlap="1" wp14:anchorId="35C0A5A0" wp14:editId="3A9EB7A1">
            <wp:simplePos x="0" y="0"/>
            <wp:positionH relativeFrom="column">
              <wp:posOffset>122873</wp:posOffset>
            </wp:positionH>
            <wp:positionV relativeFrom="paragraph">
              <wp:posOffset>109855</wp:posOffset>
            </wp:positionV>
            <wp:extent cx="914400" cy="886222"/>
            <wp:effectExtent l="0" t="0" r="0" b="9525"/>
            <wp:wrapNone/>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ducation Numeracy.jp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923578" cy="895117"/>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195EA89F" w14:textId="77777777" w:rsidR="00C65183" w:rsidRDefault="00C65183" w:rsidP="00C65183">
      <w:pPr>
        <w:tabs>
          <w:tab w:val="left" w:pos="284"/>
        </w:tabs>
        <w:spacing w:line="360" w:lineRule="auto"/>
        <w:jc w:val="both"/>
        <w:rPr>
          <w:rFonts w:ascii="Calibri" w:hAnsi="Calibri"/>
          <w:color w:val="000000"/>
        </w:rPr>
      </w:pPr>
    </w:p>
    <w:p w14:paraId="5F77AB09" w14:textId="77777777" w:rsidR="00C65183" w:rsidRDefault="00C65183" w:rsidP="00C65183">
      <w:pPr>
        <w:tabs>
          <w:tab w:val="left" w:pos="284"/>
        </w:tabs>
        <w:spacing w:line="360" w:lineRule="auto"/>
        <w:jc w:val="both"/>
        <w:rPr>
          <w:rFonts w:ascii="Calibri" w:hAnsi="Calibri"/>
          <w:color w:val="000000"/>
        </w:rPr>
      </w:pPr>
    </w:p>
    <w:p w14:paraId="0CE958DB" w14:textId="77777777" w:rsidR="00C65183" w:rsidRDefault="00C65183" w:rsidP="00C65183">
      <w:pPr>
        <w:tabs>
          <w:tab w:val="left" w:pos="284"/>
        </w:tabs>
        <w:spacing w:line="360" w:lineRule="auto"/>
        <w:jc w:val="both"/>
        <w:rPr>
          <w:rFonts w:ascii="Calibri" w:hAnsi="Calibri"/>
          <w:color w:val="000000"/>
        </w:rPr>
      </w:pPr>
    </w:p>
    <w:p w14:paraId="6F028234" w14:textId="77777777" w:rsidR="00C65183" w:rsidRDefault="00C65183" w:rsidP="00C65183">
      <w:pPr>
        <w:tabs>
          <w:tab w:val="left" w:pos="284"/>
        </w:tabs>
        <w:spacing w:line="360" w:lineRule="auto"/>
        <w:jc w:val="both"/>
        <w:rPr>
          <w:rFonts w:ascii="Calibri" w:hAnsi="Calibri"/>
          <w:color w:val="000000"/>
        </w:rPr>
      </w:pPr>
    </w:p>
    <w:p w14:paraId="4E49EB04" w14:textId="77777777" w:rsidR="00C65183" w:rsidRDefault="00C65183" w:rsidP="00C65183">
      <w:pPr>
        <w:tabs>
          <w:tab w:val="left" w:pos="284"/>
        </w:tabs>
        <w:spacing w:line="360" w:lineRule="auto"/>
        <w:jc w:val="both"/>
        <w:rPr>
          <w:rFonts w:ascii="Calibri" w:hAnsi="Calibri"/>
          <w:color w:val="000000"/>
        </w:rPr>
      </w:pPr>
    </w:p>
    <w:p w14:paraId="04C9E87A" w14:textId="77777777" w:rsidR="00C65183" w:rsidRPr="00E2314F" w:rsidRDefault="00C65183" w:rsidP="00C65183">
      <w:pPr>
        <w:tabs>
          <w:tab w:val="left" w:pos="284"/>
        </w:tabs>
        <w:spacing w:line="360" w:lineRule="auto"/>
        <w:jc w:val="both"/>
        <w:rPr>
          <w:rFonts w:ascii="Calibri" w:hAnsi="Calibri"/>
          <w:b/>
          <w:color w:val="000000"/>
        </w:rPr>
      </w:pPr>
      <w:r w:rsidRPr="00E2314F">
        <w:rPr>
          <w:rFonts w:ascii="Calibri" w:hAnsi="Calibri"/>
          <w:b/>
          <w:color w:val="000000"/>
        </w:rPr>
        <w:lastRenderedPageBreak/>
        <w:t>Early School Leaving</w:t>
      </w:r>
    </w:p>
    <w:p w14:paraId="50E832A3" w14:textId="77777777" w:rsidR="00C65183" w:rsidRPr="000638A1" w:rsidRDefault="00C65183" w:rsidP="00C65183">
      <w:pPr>
        <w:tabs>
          <w:tab w:val="left" w:pos="284"/>
        </w:tabs>
        <w:spacing w:after="60"/>
        <w:jc w:val="both"/>
        <w:rPr>
          <w:rFonts w:ascii="Calibri" w:hAnsi="Calibri"/>
          <w:i/>
          <w:color w:val="000000"/>
        </w:rPr>
      </w:pPr>
      <w:r w:rsidRPr="000638A1">
        <w:rPr>
          <w:rFonts w:ascii="Calibri" w:hAnsi="Calibri"/>
          <w:i/>
          <w:color w:val="000000"/>
        </w:rPr>
        <w:t>Current Conditions</w:t>
      </w:r>
    </w:p>
    <w:p w14:paraId="76EB7865" w14:textId="77777777" w:rsidR="00C65183" w:rsidRDefault="00C65183" w:rsidP="00C65183">
      <w:pPr>
        <w:tabs>
          <w:tab w:val="left" w:pos="284"/>
        </w:tabs>
        <w:spacing w:line="360" w:lineRule="auto"/>
        <w:jc w:val="both"/>
        <w:rPr>
          <w:rFonts w:ascii="Calibri" w:hAnsi="Calibri"/>
          <w:color w:val="000000"/>
        </w:rPr>
      </w:pPr>
      <w:r w:rsidRPr="00E2314F">
        <w:rPr>
          <w:rFonts w:ascii="Calibri" w:hAnsi="Calibri"/>
          <w:color w:val="000000"/>
        </w:rPr>
        <w:t>The 201</w:t>
      </w:r>
      <w:r>
        <w:rPr>
          <w:rFonts w:ascii="Calibri" w:hAnsi="Calibri"/>
          <w:color w:val="000000"/>
        </w:rPr>
        <w:t>6</w:t>
      </w:r>
      <w:r w:rsidRPr="00E2314F">
        <w:rPr>
          <w:rFonts w:ascii="Calibri" w:hAnsi="Calibri"/>
          <w:color w:val="000000"/>
        </w:rPr>
        <w:t xml:space="preserve"> Census found that 13% of young adults aged 20-24 in Greater Dandenong had left school before completing year eleven</w:t>
      </w:r>
      <w:r>
        <w:rPr>
          <w:rFonts w:ascii="Calibri" w:hAnsi="Calibri"/>
          <w:color w:val="000000"/>
        </w:rPr>
        <w:t xml:space="preserve"> – including 15.3% of males and 10.2% of females -</w:t>
      </w:r>
      <w:r w:rsidRPr="00E2314F">
        <w:rPr>
          <w:rFonts w:ascii="Calibri" w:hAnsi="Calibri"/>
          <w:color w:val="000000"/>
        </w:rPr>
        <w:t xml:space="preserve"> compared with </w:t>
      </w:r>
      <w:r>
        <w:rPr>
          <w:rFonts w:ascii="Calibri" w:hAnsi="Calibri"/>
          <w:color w:val="000000"/>
        </w:rPr>
        <w:t>8.3</w:t>
      </w:r>
      <w:r w:rsidRPr="00E2314F">
        <w:rPr>
          <w:rFonts w:ascii="Calibri" w:hAnsi="Calibri"/>
          <w:color w:val="000000"/>
        </w:rPr>
        <w:t xml:space="preserve">% across </w:t>
      </w:r>
      <w:r>
        <w:rPr>
          <w:rFonts w:ascii="Calibri" w:hAnsi="Calibri"/>
          <w:color w:val="000000"/>
        </w:rPr>
        <w:t>Melbourne</w:t>
      </w:r>
      <w:r w:rsidRPr="00E2314F">
        <w:rPr>
          <w:rFonts w:ascii="Calibri" w:hAnsi="Calibri"/>
          <w:color w:val="000000"/>
        </w:rPr>
        <w:t xml:space="preserve">. </w:t>
      </w:r>
    </w:p>
    <w:p w14:paraId="4276AB16" w14:textId="77777777" w:rsidR="00C65183" w:rsidRDefault="00C65183" w:rsidP="00C65183">
      <w:pPr>
        <w:tabs>
          <w:tab w:val="left" w:pos="284"/>
        </w:tabs>
        <w:spacing w:line="360" w:lineRule="auto"/>
        <w:jc w:val="both"/>
        <w:rPr>
          <w:rFonts w:ascii="Calibri" w:hAnsi="Calibri"/>
          <w:color w:val="000000"/>
        </w:rPr>
      </w:pPr>
      <w:r>
        <w:rPr>
          <w:rFonts w:ascii="Calibri" w:hAnsi="Calibri"/>
          <w:color w:val="000000"/>
        </w:rPr>
        <w:t>Rates of early school leaving among young people within Greater Dandenong, range from 25% in Dandenong, 14% in Dandenong North, approximately 10% in Noble Park and Springvale, and lower in Noble Park North (8.6%), Springvale South (7.4%) and Keysborough (5.8%).</w:t>
      </w:r>
    </w:p>
    <w:p w14:paraId="5D8E3026" w14:textId="77777777" w:rsidR="00C65183" w:rsidRDefault="00C65183" w:rsidP="00C65183">
      <w:pPr>
        <w:tabs>
          <w:tab w:val="left" w:pos="284"/>
        </w:tabs>
        <w:spacing w:after="60"/>
        <w:jc w:val="both"/>
        <w:rPr>
          <w:rFonts w:ascii="Calibri" w:hAnsi="Calibri"/>
          <w:color w:val="000000"/>
        </w:rPr>
      </w:pPr>
    </w:p>
    <w:p w14:paraId="32DA14BF" w14:textId="77777777" w:rsidR="00C65183" w:rsidRPr="000638A1" w:rsidRDefault="00C65183" w:rsidP="00C65183">
      <w:pPr>
        <w:tabs>
          <w:tab w:val="left" w:pos="284"/>
        </w:tabs>
        <w:spacing w:after="60"/>
        <w:jc w:val="both"/>
        <w:rPr>
          <w:rFonts w:ascii="Calibri" w:hAnsi="Calibri"/>
          <w:i/>
          <w:color w:val="000000"/>
        </w:rPr>
      </w:pPr>
      <w:r>
        <w:rPr>
          <w:rFonts w:ascii="Calibri" w:hAnsi="Calibri"/>
          <w:i/>
          <w:color w:val="000000"/>
        </w:rPr>
        <w:t xml:space="preserve">Historic Trends                                                                     </w:t>
      </w:r>
      <w:r w:rsidRPr="00197312">
        <w:rPr>
          <w:rFonts w:ascii="Calibri" w:hAnsi="Calibri"/>
          <w:color w:val="7F7F7F"/>
          <w:sz w:val="20"/>
          <w:szCs w:val="20"/>
        </w:rPr>
        <w:t xml:space="preserve">Early </w:t>
      </w:r>
      <w:r>
        <w:rPr>
          <w:rFonts w:ascii="Calibri" w:hAnsi="Calibri"/>
          <w:color w:val="7F7F7F"/>
          <w:sz w:val="20"/>
          <w:szCs w:val="20"/>
        </w:rPr>
        <w:t>s</w:t>
      </w:r>
      <w:r w:rsidRPr="00197312">
        <w:rPr>
          <w:rFonts w:ascii="Calibri" w:hAnsi="Calibri"/>
          <w:color w:val="7F7F7F"/>
          <w:sz w:val="20"/>
          <w:szCs w:val="20"/>
        </w:rPr>
        <w:t xml:space="preserve">chool </w:t>
      </w:r>
      <w:r>
        <w:rPr>
          <w:rFonts w:ascii="Calibri" w:hAnsi="Calibri"/>
          <w:color w:val="7F7F7F"/>
          <w:sz w:val="20"/>
          <w:szCs w:val="20"/>
        </w:rPr>
        <w:t>l</w:t>
      </w:r>
      <w:r w:rsidRPr="00197312">
        <w:rPr>
          <w:rFonts w:ascii="Calibri" w:hAnsi="Calibri"/>
          <w:color w:val="7F7F7F"/>
          <w:sz w:val="20"/>
          <w:szCs w:val="20"/>
        </w:rPr>
        <w:t xml:space="preserve">eaving by </w:t>
      </w:r>
      <w:r>
        <w:rPr>
          <w:rFonts w:ascii="Calibri" w:hAnsi="Calibri"/>
          <w:color w:val="7F7F7F"/>
          <w:sz w:val="20"/>
          <w:szCs w:val="20"/>
        </w:rPr>
        <w:t>a</w:t>
      </w:r>
      <w:r w:rsidRPr="00197312">
        <w:rPr>
          <w:rFonts w:ascii="Calibri" w:hAnsi="Calibri"/>
          <w:color w:val="7F7F7F"/>
          <w:sz w:val="20"/>
          <w:szCs w:val="20"/>
        </w:rPr>
        <w:t>ge: Greater Dandenong, 2016</w:t>
      </w:r>
    </w:p>
    <w:p w14:paraId="735AAF49" w14:textId="77777777" w:rsidR="00C65183" w:rsidRDefault="00C65183" w:rsidP="00C65183">
      <w:pPr>
        <w:tabs>
          <w:tab w:val="left" w:pos="284"/>
        </w:tabs>
        <w:spacing w:line="360" w:lineRule="auto"/>
        <w:jc w:val="both"/>
        <w:rPr>
          <w:rFonts w:ascii="Calibri" w:hAnsi="Calibri"/>
          <w:color w:val="000000"/>
        </w:rPr>
      </w:pPr>
      <w:r>
        <w:rPr>
          <w:rFonts w:ascii="Calibri" w:hAnsi="Calibri"/>
          <w:noProof/>
          <w:color w:val="000000"/>
          <w:lang w:eastAsia="en-AU"/>
        </w:rPr>
        <w:drawing>
          <wp:anchor distT="0" distB="0" distL="114300" distR="114300" simplePos="0" relativeHeight="251734016" behindDoc="0" locked="0" layoutInCell="1" allowOverlap="1" wp14:anchorId="75F7606B" wp14:editId="2E3AED45">
            <wp:simplePos x="0" y="0"/>
            <wp:positionH relativeFrom="column">
              <wp:posOffset>2285048</wp:posOffset>
            </wp:positionH>
            <wp:positionV relativeFrom="paragraph">
              <wp:posOffset>387986</wp:posOffset>
            </wp:positionV>
            <wp:extent cx="942092" cy="781050"/>
            <wp:effectExtent l="0" t="0" r="0" b="0"/>
            <wp:wrapNone/>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munity 32.jpg"/>
                    <pic:cNvPicPr/>
                  </pic:nvPicPr>
                  <pic:blipFill rotWithShape="1">
                    <a:blip r:embed="rId98" cstate="print">
                      <a:extLst>
                        <a:ext uri="{28A0092B-C50C-407E-A947-70E740481C1C}">
                          <a14:useLocalDpi xmlns:a14="http://schemas.microsoft.com/office/drawing/2010/main" val="0"/>
                        </a:ext>
                      </a:extLst>
                    </a:blip>
                    <a:srcRect t="21138"/>
                    <a:stretch/>
                  </pic:blipFill>
                  <pic:spPr bwMode="auto">
                    <a:xfrm>
                      <a:off x="0" y="0"/>
                      <a:ext cx="953231" cy="790285"/>
                    </a:xfrm>
                    <a:prstGeom prst="rect">
                      <a:avLst/>
                    </a:prstGeom>
                    <a:ln>
                      <a:noFill/>
                    </a:ln>
                    <a:effectLst>
                      <a:softEdge rad="63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alibri" w:hAnsi="Calibri"/>
          <w:noProof/>
          <w:color w:val="000000"/>
          <w:lang w:eastAsia="en-AU"/>
        </w:rPr>
        <w:drawing>
          <wp:anchor distT="0" distB="0" distL="114300" distR="114300" simplePos="0" relativeHeight="251727872" behindDoc="0" locked="0" layoutInCell="1" allowOverlap="1" wp14:anchorId="25AD4869" wp14:editId="03BF9D8B">
            <wp:simplePos x="0" y="0"/>
            <wp:positionH relativeFrom="column">
              <wp:posOffset>22860</wp:posOffset>
            </wp:positionH>
            <wp:positionV relativeFrom="paragraph">
              <wp:posOffset>3821430</wp:posOffset>
            </wp:positionV>
            <wp:extent cx="3571875" cy="2604770"/>
            <wp:effectExtent l="0" t="0" r="0" b="5080"/>
            <wp:wrapSquare wrapText="bothSides"/>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3571875" cy="2604770"/>
                    </a:xfrm>
                    <a:prstGeom prst="rect">
                      <a:avLst/>
                    </a:prstGeom>
                    <a:noFill/>
                  </pic:spPr>
                </pic:pic>
              </a:graphicData>
            </a:graphic>
            <wp14:sizeRelH relativeFrom="page">
              <wp14:pctWidth>0</wp14:pctWidth>
            </wp14:sizeRelH>
            <wp14:sizeRelV relativeFrom="page">
              <wp14:pctHeight>0</wp14:pctHeight>
            </wp14:sizeRelV>
          </wp:anchor>
        </w:drawing>
      </w:r>
      <w:r>
        <w:rPr>
          <w:rFonts w:ascii="Calibri" w:hAnsi="Calibri"/>
          <w:noProof/>
          <w:color w:val="000000"/>
          <w:lang w:eastAsia="en-AU"/>
        </w:rPr>
        <w:drawing>
          <wp:anchor distT="0" distB="0" distL="114300" distR="114300" simplePos="0" relativeHeight="251732992" behindDoc="0" locked="0" layoutInCell="1" allowOverlap="1" wp14:anchorId="690B9637" wp14:editId="7C8EA913">
            <wp:simplePos x="0" y="0"/>
            <wp:positionH relativeFrom="column">
              <wp:posOffset>1899920</wp:posOffset>
            </wp:positionH>
            <wp:positionV relativeFrom="paragraph">
              <wp:posOffset>8255</wp:posOffset>
            </wp:positionV>
            <wp:extent cx="4224655" cy="2671445"/>
            <wp:effectExtent l="0" t="0" r="4445" b="0"/>
            <wp:wrapSquare wrapText="bothSides"/>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4224655" cy="2671445"/>
                    </a:xfrm>
                    <a:prstGeom prst="rect">
                      <a:avLst/>
                    </a:prstGeom>
                    <a:noFill/>
                  </pic:spPr>
                </pic:pic>
              </a:graphicData>
            </a:graphic>
            <wp14:sizeRelH relativeFrom="page">
              <wp14:pctWidth>0</wp14:pctWidth>
            </wp14:sizeRelH>
            <wp14:sizeRelV relativeFrom="page">
              <wp14:pctHeight>0</wp14:pctHeight>
            </wp14:sizeRelV>
          </wp:anchor>
        </w:drawing>
      </w:r>
      <w:r w:rsidRPr="00E2314F">
        <w:rPr>
          <w:rFonts w:ascii="Calibri" w:hAnsi="Calibri"/>
          <w:color w:val="000000"/>
        </w:rPr>
        <w:t xml:space="preserve">Since education levels have increased over the past few generations, it is scarcely surprising that the rate of early school leaving among residents of Greater Dandenong is highest among older </w:t>
      </w:r>
      <w:r>
        <w:rPr>
          <w:rFonts w:ascii="Calibri" w:hAnsi="Calibri"/>
          <w:color w:val="000000"/>
        </w:rPr>
        <w:t>people</w:t>
      </w:r>
      <w:r w:rsidRPr="00E2314F">
        <w:rPr>
          <w:rFonts w:ascii="Calibri" w:hAnsi="Calibri"/>
          <w:color w:val="000000"/>
        </w:rPr>
        <w:t>, rising from 13% among those aged 20-24, to one-third of residents aged 60-64 and more than three-quarters of those over 85.</w:t>
      </w:r>
      <w:r>
        <w:rPr>
          <w:rFonts w:ascii="Calibri" w:hAnsi="Calibri"/>
          <w:color w:val="000000"/>
        </w:rPr>
        <w:t xml:space="preserve"> Notably, while among young adults the rate of early school leaving is highest for males, among older residents, a higher proportion of females than males had left school early.</w:t>
      </w:r>
    </w:p>
    <w:p w14:paraId="790383CB" w14:textId="77777777" w:rsidR="00C65183" w:rsidRDefault="00C65183" w:rsidP="00C65183">
      <w:pPr>
        <w:tabs>
          <w:tab w:val="left" w:pos="284"/>
        </w:tabs>
        <w:spacing w:line="360" w:lineRule="auto"/>
        <w:jc w:val="both"/>
        <w:rPr>
          <w:rFonts w:ascii="Calibri" w:hAnsi="Calibri"/>
          <w:color w:val="000000"/>
        </w:rPr>
      </w:pPr>
    </w:p>
    <w:p w14:paraId="16E401C1" w14:textId="77777777" w:rsidR="00C65183" w:rsidRPr="00197312" w:rsidRDefault="00C65183" w:rsidP="00C65183">
      <w:pPr>
        <w:tabs>
          <w:tab w:val="left" w:pos="284"/>
        </w:tabs>
        <w:spacing w:before="60" w:after="60"/>
        <w:jc w:val="both"/>
        <w:rPr>
          <w:rFonts w:ascii="Calibri" w:hAnsi="Calibri"/>
          <w:i/>
          <w:color w:val="000000"/>
          <w:sz w:val="20"/>
          <w:szCs w:val="20"/>
        </w:rPr>
      </w:pPr>
      <w:r>
        <w:rPr>
          <w:rFonts w:ascii="Calibri" w:hAnsi="Calibri"/>
          <w:i/>
          <w:color w:val="000000"/>
        </w:rPr>
        <w:t>Early School Leaving and Birthplaces</w:t>
      </w:r>
    </w:p>
    <w:p w14:paraId="4423F818" w14:textId="77777777" w:rsidR="00C65183" w:rsidRDefault="00C65183" w:rsidP="00C65183">
      <w:pPr>
        <w:tabs>
          <w:tab w:val="left" w:pos="284"/>
        </w:tabs>
        <w:spacing w:line="360" w:lineRule="auto"/>
        <w:jc w:val="both"/>
        <w:rPr>
          <w:rFonts w:ascii="Calibri" w:hAnsi="Calibri"/>
          <w:color w:val="000000"/>
        </w:rPr>
      </w:pPr>
      <w:r w:rsidRPr="002409A8">
        <w:rPr>
          <w:rFonts w:ascii="Calibri" w:hAnsi="Calibri"/>
          <w:noProof/>
          <w:color w:val="000000"/>
        </w:rPr>
        <mc:AlternateContent>
          <mc:Choice Requires="wps">
            <w:drawing>
              <wp:anchor distT="45720" distB="45720" distL="114300" distR="114300" simplePos="0" relativeHeight="251949056" behindDoc="0" locked="0" layoutInCell="1" allowOverlap="1" wp14:anchorId="07F929BA" wp14:editId="7CC286BB">
                <wp:simplePos x="0" y="0"/>
                <wp:positionH relativeFrom="column">
                  <wp:posOffset>1227773</wp:posOffset>
                </wp:positionH>
                <wp:positionV relativeFrom="paragraph">
                  <wp:posOffset>1381760</wp:posOffset>
                </wp:positionV>
                <wp:extent cx="2162175" cy="1404620"/>
                <wp:effectExtent l="0" t="0" r="9525" b="8890"/>
                <wp:wrapSquare wrapText="bothSides"/>
                <wp:docPr id="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62175" cy="1404620"/>
                        </a:xfrm>
                        <a:prstGeom prst="rect">
                          <a:avLst/>
                        </a:prstGeom>
                        <a:solidFill>
                          <a:srgbClr val="FFFFFF"/>
                        </a:solidFill>
                        <a:ln w="9525">
                          <a:noFill/>
                          <a:miter lim="800000"/>
                          <a:headEnd/>
                          <a:tailEnd/>
                        </a:ln>
                      </wps:spPr>
                      <wps:txbx>
                        <w:txbxContent>
                          <w:p w14:paraId="458E71E8" w14:textId="77777777" w:rsidR="00C65183" w:rsidRDefault="00C65183" w:rsidP="00C65183">
                            <w:r w:rsidRPr="00197312">
                              <w:rPr>
                                <w:rFonts w:ascii="Calibri" w:hAnsi="Calibri"/>
                                <w:color w:val="7F7F7F"/>
                                <w:sz w:val="20"/>
                                <w:szCs w:val="20"/>
                              </w:rPr>
                              <w:t xml:space="preserve">Rates of </w:t>
                            </w:r>
                            <w:r>
                              <w:rPr>
                                <w:rFonts w:ascii="Calibri" w:hAnsi="Calibri"/>
                                <w:color w:val="7F7F7F"/>
                                <w:sz w:val="20"/>
                                <w:szCs w:val="20"/>
                              </w:rPr>
                              <w:t>e</w:t>
                            </w:r>
                            <w:r w:rsidRPr="00197312">
                              <w:rPr>
                                <w:rFonts w:ascii="Calibri" w:hAnsi="Calibri"/>
                                <w:color w:val="7F7F7F"/>
                                <w:sz w:val="20"/>
                                <w:szCs w:val="20"/>
                              </w:rPr>
                              <w:t xml:space="preserve">arly </w:t>
                            </w:r>
                            <w:r>
                              <w:rPr>
                                <w:rFonts w:ascii="Calibri" w:hAnsi="Calibri"/>
                                <w:color w:val="7F7F7F"/>
                                <w:sz w:val="20"/>
                                <w:szCs w:val="20"/>
                              </w:rPr>
                              <w:t>s</w:t>
                            </w:r>
                            <w:r w:rsidRPr="00197312">
                              <w:rPr>
                                <w:rFonts w:ascii="Calibri" w:hAnsi="Calibri"/>
                                <w:color w:val="7F7F7F"/>
                                <w:sz w:val="20"/>
                                <w:szCs w:val="20"/>
                              </w:rPr>
                              <w:t xml:space="preserve">chool </w:t>
                            </w:r>
                            <w:r>
                              <w:rPr>
                                <w:rFonts w:ascii="Calibri" w:hAnsi="Calibri"/>
                                <w:color w:val="7F7F7F"/>
                                <w:sz w:val="20"/>
                                <w:szCs w:val="20"/>
                              </w:rPr>
                              <w:t>l</w:t>
                            </w:r>
                            <w:r w:rsidRPr="00197312">
                              <w:rPr>
                                <w:rFonts w:ascii="Calibri" w:hAnsi="Calibri"/>
                                <w:color w:val="7F7F7F"/>
                                <w:sz w:val="20"/>
                                <w:szCs w:val="20"/>
                              </w:rPr>
                              <w:t xml:space="preserve">eaving by </w:t>
                            </w:r>
                            <w:r>
                              <w:rPr>
                                <w:rFonts w:ascii="Calibri" w:hAnsi="Calibri"/>
                                <w:color w:val="7F7F7F"/>
                                <w:sz w:val="20"/>
                                <w:szCs w:val="20"/>
                              </w:rPr>
                              <w:t>b</w:t>
                            </w:r>
                            <w:r w:rsidRPr="00197312">
                              <w:rPr>
                                <w:rFonts w:ascii="Calibri" w:hAnsi="Calibri"/>
                                <w:color w:val="7F7F7F"/>
                                <w:sz w:val="20"/>
                                <w:szCs w:val="20"/>
                              </w:rPr>
                              <w:t>irthplace: Greater Dandenong, 2016</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07F929BA" id="_x0000_t202" coordsize="21600,21600" o:spt="202" path="m,l,21600r21600,l21600,xe">
                <v:stroke joinstyle="miter"/>
                <v:path gradientshapeok="t" o:connecttype="rect"/>
              </v:shapetype>
              <v:shape id="Text Box 2" o:spid="_x0000_s1026" type="#_x0000_t202" style="position:absolute;left:0;text-align:left;margin-left:96.7pt;margin-top:108.8pt;width:170.25pt;height:110.6pt;z-index:25194905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" stroked="f">
                <v:textbox style="mso-fit-shape-to-text:t">
                  <w:txbxContent>
                    <w:p w14:paraId="458E71E8" w14:textId="77777777" w:rsidR="00C65183" w:rsidRDefault="00C65183" w:rsidP="00C65183">
                      <w:r w:rsidRPr="00197312">
                        <w:rPr>
                          <w:rFonts w:ascii="Calibri" w:hAnsi="Calibri"/>
                          <w:color w:val="7F7F7F"/>
                          <w:sz w:val="20"/>
                          <w:szCs w:val="20"/>
                        </w:rPr>
                        <w:t xml:space="preserve">Rates of </w:t>
                      </w:r>
                      <w:r>
                        <w:rPr>
                          <w:rFonts w:ascii="Calibri" w:hAnsi="Calibri"/>
                          <w:color w:val="7F7F7F"/>
                          <w:sz w:val="20"/>
                          <w:szCs w:val="20"/>
                        </w:rPr>
                        <w:t>e</w:t>
                      </w:r>
                      <w:r w:rsidRPr="00197312">
                        <w:rPr>
                          <w:rFonts w:ascii="Calibri" w:hAnsi="Calibri"/>
                          <w:color w:val="7F7F7F"/>
                          <w:sz w:val="20"/>
                          <w:szCs w:val="20"/>
                        </w:rPr>
                        <w:t xml:space="preserve">arly </w:t>
                      </w:r>
                      <w:r>
                        <w:rPr>
                          <w:rFonts w:ascii="Calibri" w:hAnsi="Calibri"/>
                          <w:color w:val="7F7F7F"/>
                          <w:sz w:val="20"/>
                          <w:szCs w:val="20"/>
                        </w:rPr>
                        <w:t>s</w:t>
                      </w:r>
                      <w:r w:rsidRPr="00197312">
                        <w:rPr>
                          <w:rFonts w:ascii="Calibri" w:hAnsi="Calibri"/>
                          <w:color w:val="7F7F7F"/>
                          <w:sz w:val="20"/>
                          <w:szCs w:val="20"/>
                        </w:rPr>
                        <w:t xml:space="preserve">chool </w:t>
                      </w:r>
                      <w:r>
                        <w:rPr>
                          <w:rFonts w:ascii="Calibri" w:hAnsi="Calibri"/>
                          <w:color w:val="7F7F7F"/>
                          <w:sz w:val="20"/>
                          <w:szCs w:val="20"/>
                        </w:rPr>
                        <w:t>l</w:t>
                      </w:r>
                      <w:r w:rsidRPr="00197312">
                        <w:rPr>
                          <w:rFonts w:ascii="Calibri" w:hAnsi="Calibri"/>
                          <w:color w:val="7F7F7F"/>
                          <w:sz w:val="20"/>
                          <w:szCs w:val="20"/>
                        </w:rPr>
                        <w:t xml:space="preserve">eaving by </w:t>
                      </w:r>
                      <w:r>
                        <w:rPr>
                          <w:rFonts w:ascii="Calibri" w:hAnsi="Calibri"/>
                          <w:color w:val="7F7F7F"/>
                          <w:sz w:val="20"/>
                          <w:szCs w:val="20"/>
                        </w:rPr>
                        <w:t>b</w:t>
                      </w:r>
                      <w:r w:rsidRPr="00197312">
                        <w:rPr>
                          <w:rFonts w:ascii="Calibri" w:hAnsi="Calibri"/>
                          <w:color w:val="7F7F7F"/>
                          <w:sz w:val="20"/>
                          <w:szCs w:val="20"/>
                        </w:rPr>
                        <w:t>irthplace: Greater Dandenong, 2016</w:t>
                      </w:r>
                    </w:p>
                  </w:txbxContent>
                </v:textbox>
                <w10:wrap type="square"/>
              </v:shape>
            </w:pict>
          </mc:Fallback>
        </mc:AlternateContent>
      </w:r>
      <w:r>
        <w:rPr>
          <w:rFonts w:ascii="Calibri" w:hAnsi="Calibri"/>
          <w:color w:val="000000"/>
        </w:rPr>
        <w:t>In 2016, 69% of 20-24 year-old residents who had left school before completing year 11 were born overseas. The proportion of young adults from selected birthplaces who had left school early is illustrated in the accompanying diagram. Rates of early school leaving range from over 40% among young people from Afghanistan, Burma and Somalia, to fewer than 6% of those from India, Sri Lanka, Vietnam and China.</w:t>
      </w:r>
    </w:p>
    <w:p w14:paraId="32F1864A" w14:textId="77777777" w:rsidR="00C65183" w:rsidRDefault="00C65183" w:rsidP="00C65183">
      <w:pPr>
        <w:tabs>
          <w:tab w:val="left" w:pos="284"/>
        </w:tabs>
        <w:spacing w:line="360" w:lineRule="auto"/>
        <w:jc w:val="both"/>
        <w:rPr>
          <w:rFonts w:ascii="Calibri" w:hAnsi="Calibri"/>
          <w:color w:val="000000"/>
        </w:rPr>
      </w:pPr>
    </w:p>
    <w:p w14:paraId="76B988FD" w14:textId="77777777" w:rsidR="00C65183" w:rsidRPr="00E2314F" w:rsidRDefault="00C65183" w:rsidP="00C65183">
      <w:pPr>
        <w:tabs>
          <w:tab w:val="left" w:pos="5103"/>
        </w:tabs>
        <w:jc w:val="both"/>
        <w:rPr>
          <w:rFonts w:ascii="Calibri" w:hAnsi="Calibri"/>
          <w:b/>
          <w:color w:val="000000"/>
        </w:rPr>
      </w:pPr>
      <w:r w:rsidRPr="00197312">
        <w:rPr>
          <w:rFonts w:ascii="Calibri" w:hAnsi="Calibri"/>
          <w:color w:val="7F7F7F"/>
          <w:sz w:val="20"/>
          <w:szCs w:val="20"/>
        </w:rPr>
        <w:lastRenderedPageBreak/>
        <w:t xml:space="preserve">TAFE and </w:t>
      </w:r>
      <w:r>
        <w:rPr>
          <w:rFonts w:ascii="Calibri" w:hAnsi="Calibri"/>
          <w:color w:val="7F7F7F"/>
          <w:sz w:val="20"/>
          <w:szCs w:val="20"/>
        </w:rPr>
        <w:t>u</w:t>
      </w:r>
      <w:r w:rsidRPr="00197312">
        <w:rPr>
          <w:rFonts w:ascii="Calibri" w:hAnsi="Calibri"/>
          <w:color w:val="7F7F7F"/>
          <w:sz w:val="20"/>
          <w:szCs w:val="20"/>
        </w:rPr>
        <w:t xml:space="preserve">niversity </w:t>
      </w:r>
      <w:r>
        <w:rPr>
          <w:rFonts w:ascii="Calibri" w:hAnsi="Calibri"/>
          <w:color w:val="7F7F7F"/>
          <w:sz w:val="20"/>
          <w:szCs w:val="20"/>
        </w:rPr>
        <w:t>a</w:t>
      </w:r>
      <w:r w:rsidRPr="00197312">
        <w:rPr>
          <w:rFonts w:ascii="Calibri" w:hAnsi="Calibri"/>
          <w:color w:val="7F7F7F"/>
          <w:sz w:val="20"/>
          <w:szCs w:val="20"/>
        </w:rPr>
        <w:t>ttendance: 20-24 year</w:t>
      </w:r>
      <w:r>
        <w:rPr>
          <w:rFonts w:ascii="Calibri" w:hAnsi="Calibri"/>
          <w:color w:val="7F7F7F"/>
          <w:sz w:val="20"/>
          <w:szCs w:val="20"/>
        </w:rPr>
        <w:t>-</w:t>
      </w:r>
      <w:r w:rsidRPr="00197312">
        <w:rPr>
          <w:rFonts w:ascii="Calibri" w:hAnsi="Calibri"/>
          <w:color w:val="7F7F7F"/>
          <w:sz w:val="20"/>
          <w:szCs w:val="20"/>
        </w:rPr>
        <w:t>olds</w:t>
      </w:r>
      <w:r w:rsidRPr="00BD7212">
        <w:rPr>
          <w:rFonts w:ascii="Calibri" w:hAnsi="Calibri"/>
          <w:color w:val="7F7F7F"/>
        </w:rPr>
        <w:t>,</w:t>
      </w:r>
      <w:r w:rsidRPr="009A30E0">
        <w:rPr>
          <w:rFonts w:ascii="Calibri" w:hAnsi="Calibri"/>
          <w:b/>
          <w:color w:val="7F7F7F"/>
        </w:rPr>
        <w:t xml:space="preserve"> </w:t>
      </w:r>
      <w:r>
        <w:rPr>
          <w:rFonts w:ascii="Calibri" w:hAnsi="Calibri"/>
          <w:b/>
          <w:color w:val="000000"/>
        </w:rPr>
        <w:tab/>
      </w:r>
      <w:r w:rsidRPr="00E2314F">
        <w:rPr>
          <w:rFonts w:ascii="Calibri" w:hAnsi="Calibri"/>
          <w:b/>
          <w:color w:val="000000"/>
        </w:rPr>
        <w:t>Tertiary Participation Rates</w:t>
      </w:r>
    </w:p>
    <w:p w14:paraId="46C95662" w14:textId="77777777" w:rsidR="00C65183" w:rsidRPr="00197312" w:rsidRDefault="00C65183" w:rsidP="00C65183">
      <w:pPr>
        <w:tabs>
          <w:tab w:val="left" w:pos="4678"/>
        </w:tabs>
        <w:spacing w:line="360" w:lineRule="auto"/>
        <w:jc w:val="both"/>
        <w:rPr>
          <w:rFonts w:ascii="Calibri" w:hAnsi="Calibri"/>
          <w:b/>
          <w:color w:val="7F7F7F"/>
          <w:sz w:val="20"/>
          <w:szCs w:val="20"/>
        </w:rPr>
      </w:pPr>
      <w:r w:rsidRPr="00197312">
        <w:rPr>
          <w:rFonts w:ascii="Calibri" w:hAnsi="Calibri"/>
          <w:color w:val="7F7F7F"/>
          <w:sz w:val="20"/>
          <w:szCs w:val="20"/>
        </w:rPr>
        <w:t>Greater Dandenong, 2017</w:t>
      </w:r>
    </w:p>
    <w:p w14:paraId="3503CCD6" w14:textId="77777777" w:rsidR="00C65183" w:rsidRPr="001F6E06" w:rsidRDefault="00C65183" w:rsidP="00C65183">
      <w:pPr>
        <w:tabs>
          <w:tab w:val="left" w:pos="4678"/>
        </w:tabs>
        <w:spacing w:line="360" w:lineRule="auto"/>
        <w:jc w:val="both"/>
        <w:rPr>
          <w:rFonts w:ascii="Calibri" w:hAnsi="Calibri"/>
          <w:b/>
          <w:color w:val="7F7F7F"/>
        </w:rPr>
      </w:pPr>
      <w:r>
        <w:rPr>
          <w:rFonts w:ascii="Calibri" w:hAnsi="Calibri"/>
          <w:b/>
          <w:noProof/>
          <w:color w:val="7F7F7F"/>
          <w:lang w:eastAsia="en-AU"/>
        </w:rPr>
        <w:drawing>
          <wp:anchor distT="0" distB="0" distL="114300" distR="114300" simplePos="0" relativeHeight="251728896" behindDoc="0" locked="0" layoutInCell="1" allowOverlap="1" wp14:anchorId="4DB79CAF" wp14:editId="1802BD05">
            <wp:simplePos x="0" y="0"/>
            <wp:positionH relativeFrom="column">
              <wp:posOffset>3810</wp:posOffset>
            </wp:positionH>
            <wp:positionV relativeFrom="paragraph">
              <wp:posOffset>24130</wp:posOffset>
            </wp:positionV>
            <wp:extent cx="3156585" cy="2324100"/>
            <wp:effectExtent l="0" t="0" r="5715" b="0"/>
            <wp:wrapSquare wrapText="bothSides"/>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3156585" cy="2324100"/>
                    </a:xfrm>
                    <a:prstGeom prst="rect">
                      <a:avLst/>
                    </a:prstGeom>
                    <a:noFill/>
                  </pic:spPr>
                </pic:pic>
              </a:graphicData>
            </a:graphic>
            <wp14:sizeRelH relativeFrom="page">
              <wp14:pctWidth>0</wp14:pctWidth>
            </wp14:sizeRelH>
            <wp14:sizeRelV relativeFrom="page">
              <wp14:pctHeight>0</wp14:pctHeight>
            </wp14:sizeRelV>
          </wp:anchor>
        </w:drawing>
      </w:r>
      <w:r w:rsidRPr="00E2314F">
        <w:rPr>
          <w:rFonts w:ascii="Calibri" w:hAnsi="Calibri"/>
          <w:color w:val="000000"/>
        </w:rPr>
        <w:t xml:space="preserve">Levels of attendance at university among young adults in Greater Dandenong are lower than </w:t>
      </w:r>
      <w:r>
        <w:rPr>
          <w:rFonts w:ascii="Calibri" w:hAnsi="Calibri"/>
          <w:color w:val="000000"/>
        </w:rPr>
        <w:t xml:space="preserve">the </w:t>
      </w:r>
      <w:r w:rsidRPr="00E2314F">
        <w:rPr>
          <w:rFonts w:ascii="Calibri" w:hAnsi="Calibri"/>
          <w:color w:val="000000"/>
        </w:rPr>
        <w:t xml:space="preserve">metropolitan </w:t>
      </w:r>
      <w:r>
        <w:rPr>
          <w:rFonts w:ascii="Calibri" w:hAnsi="Calibri"/>
          <w:color w:val="000000"/>
        </w:rPr>
        <w:t>average</w:t>
      </w:r>
      <w:r w:rsidRPr="00E2314F">
        <w:rPr>
          <w:rFonts w:ascii="Calibri" w:hAnsi="Calibri"/>
          <w:color w:val="000000"/>
        </w:rPr>
        <w:t xml:space="preserve">, with </w:t>
      </w:r>
      <w:r>
        <w:rPr>
          <w:rFonts w:ascii="Calibri" w:hAnsi="Calibri"/>
          <w:color w:val="000000"/>
        </w:rPr>
        <w:t>31</w:t>
      </w:r>
      <w:r w:rsidRPr="00E2314F">
        <w:rPr>
          <w:rFonts w:ascii="Calibri" w:hAnsi="Calibri"/>
          <w:color w:val="000000"/>
        </w:rPr>
        <w:t xml:space="preserve">% of local 20-24 year-olds attending university or other tertiary </w:t>
      </w:r>
      <w:r>
        <w:rPr>
          <w:rFonts w:ascii="Calibri" w:hAnsi="Calibri"/>
          <w:color w:val="000000"/>
        </w:rPr>
        <w:t>institutions (up from 23% in 2011)</w:t>
      </w:r>
      <w:r w:rsidRPr="00E2314F">
        <w:rPr>
          <w:rFonts w:ascii="Calibri" w:hAnsi="Calibri"/>
          <w:color w:val="000000"/>
        </w:rPr>
        <w:t xml:space="preserve">, </w:t>
      </w:r>
      <w:r>
        <w:rPr>
          <w:rFonts w:ascii="Calibri" w:hAnsi="Calibri"/>
          <w:color w:val="000000"/>
        </w:rPr>
        <w:t>compared with</w:t>
      </w:r>
      <w:r w:rsidRPr="00E2314F">
        <w:rPr>
          <w:rFonts w:ascii="Calibri" w:hAnsi="Calibri"/>
          <w:color w:val="000000"/>
        </w:rPr>
        <w:t xml:space="preserve"> </w:t>
      </w:r>
      <w:r>
        <w:rPr>
          <w:rFonts w:ascii="Calibri" w:hAnsi="Calibri"/>
          <w:color w:val="000000"/>
        </w:rPr>
        <w:t>40</w:t>
      </w:r>
      <w:r w:rsidRPr="00E2314F">
        <w:rPr>
          <w:rFonts w:ascii="Calibri" w:hAnsi="Calibri"/>
          <w:color w:val="000000"/>
        </w:rPr>
        <w:t>% across Melbourne.</w:t>
      </w:r>
    </w:p>
    <w:p w14:paraId="6DD60269" w14:textId="77777777" w:rsidR="00C65183" w:rsidRDefault="00C65183" w:rsidP="00C65183">
      <w:pPr>
        <w:tabs>
          <w:tab w:val="left" w:pos="426"/>
          <w:tab w:val="left" w:pos="3261"/>
        </w:tabs>
        <w:spacing w:line="360" w:lineRule="auto"/>
        <w:jc w:val="both"/>
        <w:rPr>
          <w:rFonts w:ascii="Calibri" w:hAnsi="Calibri"/>
          <w:color w:val="000000"/>
        </w:rPr>
      </w:pPr>
      <w:r>
        <w:rPr>
          <w:rFonts w:ascii="Calibri" w:hAnsi="Calibri"/>
          <w:color w:val="000000"/>
        </w:rPr>
        <w:t>Rates of a</w:t>
      </w:r>
      <w:r w:rsidRPr="00E2314F">
        <w:rPr>
          <w:rFonts w:ascii="Calibri" w:hAnsi="Calibri"/>
          <w:color w:val="000000"/>
        </w:rPr>
        <w:t xml:space="preserve">ttendance at TAFE </w:t>
      </w:r>
      <w:r>
        <w:rPr>
          <w:rFonts w:ascii="Calibri" w:hAnsi="Calibri"/>
          <w:color w:val="000000"/>
        </w:rPr>
        <w:t>though</w:t>
      </w:r>
      <w:r w:rsidRPr="00E2314F">
        <w:rPr>
          <w:rFonts w:ascii="Calibri" w:hAnsi="Calibri"/>
          <w:color w:val="000000"/>
        </w:rPr>
        <w:t xml:space="preserve">, </w:t>
      </w:r>
      <w:r>
        <w:rPr>
          <w:rFonts w:ascii="Calibri" w:hAnsi="Calibri"/>
          <w:color w:val="000000"/>
        </w:rPr>
        <w:t>are</w:t>
      </w:r>
      <w:r w:rsidRPr="00E2314F">
        <w:rPr>
          <w:rFonts w:ascii="Calibri" w:hAnsi="Calibri"/>
          <w:color w:val="000000"/>
        </w:rPr>
        <w:t xml:space="preserve"> relatively high, with </w:t>
      </w:r>
      <w:r>
        <w:rPr>
          <w:rFonts w:ascii="Calibri" w:hAnsi="Calibri"/>
          <w:color w:val="000000"/>
        </w:rPr>
        <w:t>10</w:t>
      </w:r>
      <w:r w:rsidRPr="00E2314F">
        <w:rPr>
          <w:rFonts w:ascii="Calibri" w:hAnsi="Calibri"/>
          <w:color w:val="000000"/>
        </w:rPr>
        <w:t xml:space="preserve">% of 20-24 year-olds </w:t>
      </w:r>
      <w:r>
        <w:rPr>
          <w:rFonts w:ascii="Calibri" w:hAnsi="Calibri"/>
          <w:color w:val="000000"/>
        </w:rPr>
        <w:t xml:space="preserve">in Greater Dandenong </w:t>
      </w:r>
      <w:r w:rsidRPr="00E2314F">
        <w:rPr>
          <w:rFonts w:ascii="Calibri" w:hAnsi="Calibri"/>
          <w:color w:val="000000"/>
        </w:rPr>
        <w:t xml:space="preserve">attending, compared with </w:t>
      </w:r>
      <w:r>
        <w:rPr>
          <w:rFonts w:ascii="Calibri" w:hAnsi="Calibri"/>
          <w:color w:val="000000"/>
        </w:rPr>
        <w:t>6.7</w:t>
      </w:r>
      <w:r w:rsidRPr="00E2314F">
        <w:rPr>
          <w:rFonts w:ascii="Calibri" w:hAnsi="Calibri"/>
          <w:color w:val="000000"/>
        </w:rPr>
        <w:t xml:space="preserve">% of Victorian residents </w:t>
      </w:r>
      <w:r>
        <w:rPr>
          <w:rFonts w:ascii="Calibri" w:hAnsi="Calibri"/>
          <w:color w:val="000000"/>
        </w:rPr>
        <w:t>that</w:t>
      </w:r>
      <w:r w:rsidRPr="00E2314F">
        <w:rPr>
          <w:rFonts w:ascii="Calibri" w:hAnsi="Calibri"/>
          <w:color w:val="000000"/>
        </w:rPr>
        <w:t xml:space="preserve"> age.</w:t>
      </w:r>
    </w:p>
    <w:p w14:paraId="462759B9" w14:textId="77777777" w:rsidR="00C65183" w:rsidRPr="00197312" w:rsidRDefault="00C65183" w:rsidP="00C65183">
      <w:pPr>
        <w:tabs>
          <w:tab w:val="left" w:pos="426"/>
          <w:tab w:val="left" w:pos="3261"/>
        </w:tabs>
        <w:spacing w:before="60"/>
        <w:jc w:val="both"/>
        <w:rPr>
          <w:rFonts w:ascii="Calibri" w:hAnsi="Calibri"/>
          <w:color w:val="7F7F7F"/>
          <w:sz w:val="20"/>
          <w:szCs w:val="20"/>
        </w:rPr>
      </w:pPr>
      <w:r w:rsidRPr="00197312">
        <w:rPr>
          <w:rFonts w:ascii="Calibri" w:hAnsi="Calibri"/>
          <w:color w:val="7F7F7F"/>
          <w:sz w:val="20"/>
          <w:szCs w:val="20"/>
        </w:rPr>
        <w:t>Qualifications: Greater Dandenong and Victoria, 2016</w:t>
      </w:r>
    </w:p>
    <w:p w14:paraId="6EA9F77B" w14:textId="77777777" w:rsidR="00C65183" w:rsidRPr="009A30E0" w:rsidRDefault="00C65183" w:rsidP="00C65183">
      <w:pPr>
        <w:tabs>
          <w:tab w:val="left" w:pos="426"/>
          <w:tab w:val="left" w:pos="3261"/>
        </w:tabs>
        <w:spacing w:before="60" w:line="360" w:lineRule="auto"/>
        <w:jc w:val="both"/>
        <w:rPr>
          <w:rFonts w:ascii="Calibri" w:hAnsi="Calibri"/>
          <w:color w:val="000000"/>
        </w:rPr>
      </w:pPr>
      <w:r>
        <w:rPr>
          <w:rFonts w:ascii="Calibri" w:hAnsi="Calibri"/>
          <w:noProof/>
          <w:color w:val="000000"/>
          <w:lang w:eastAsia="en-AU"/>
        </w:rPr>
        <w:drawing>
          <wp:anchor distT="0" distB="0" distL="114300" distR="114300" simplePos="0" relativeHeight="251736064" behindDoc="0" locked="0" layoutInCell="1" allowOverlap="1" wp14:anchorId="3C1A1B52" wp14:editId="5096DC99">
            <wp:simplePos x="0" y="0"/>
            <wp:positionH relativeFrom="column">
              <wp:posOffset>3810</wp:posOffset>
            </wp:positionH>
            <wp:positionV relativeFrom="paragraph">
              <wp:posOffset>77470</wp:posOffset>
            </wp:positionV>
            <wp:extent cx="3204845" cy="2579370"/>
            <wp:effectExtent l="0" t="0" r="0" b="0"/>
            <wp:wrapSquare wrapText="bothSides"/>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3204845" cy="2579370"/>
                    </a:xfrm>
                    <a:prstGeom prst="rect">
                      <a:avLst/>
                    </a:prstGeom>
                    <a:noFill/>
                  </pic:spPr>
                </pic:pic>
              </a:graphicData>
            </a:graphic>
            <wp14:sizeRelH relativeFrom="page">
              <wp14:pctWidth>0</wp14:pctWidth>
            </wp14:sizeRelH>
            <wp14:sizeRelV relativeFrom="page">
              <wp14:pctHeight>0</wp14:pctHeight>
            </wp14:sizeRelV>
          </wp:anchor>
        </w:drawing>
      </w:r>
      <w:r w:rsidRPr="00E2314F">
        <w:rPr>
          <w:rFonts w:ascii="Calibri" w:hAnsi="Calibri"/>
          <w:b/>
          <w:noProof/>
        </w:rPr>
        <w:t>Qualifications</w:t>
      </w:r>
    </w:p>
    <w:p w14:paraId="09880B65" w14:textId="77777777" w:rsidR="00C65183" w:rsidRPr="00E2314F" w:rsidRDefault="00C65183" w:rsidP="00C65183">
      <w:pPr>
        <w:tabs>
          <w:tab w:val="left" w:pos="426"/>
          <w:tab w:val="left" w:pos="3261"/>
        </w:tabs>
        <w:spacing w:before="60" w:after="60" w:line="360" w:lineRule="auto"/>
        <w:jc w:val="both"/>
        <w:rPr>
          <w:rFonts w:ascii="Calibri" w:hAnsi="Calibri"/>
          <w:color w:val="000000"/>
        </w:rPr>
      </w:pPr>
      <w:r w:rsidRPr="00E2314F">
        <w:rPr>
          <w:rFonts w:ascii="Calibri" w:hAnsi="Calibri"/>
          <w:color w:val="000000"/>
        </w:rPr>
        <w:t>Consideration of qualifications holds particular relevance for residents aged 25 to 44 years</w:t>
      </w:r>
      <w:r>
        <w:rPr>
          <w:rFonts w:ascii="Calibri" w:hAnsi="Calibri"/>
          <w:color w:val="000000"/>
        </w:rPr>
        <w:t>, among whom employment levels are relatively high</w:t>
      </w:r>
      <w:r w:rsidRPr="00E2314F">
        <w:rPr>
          <w:rFonts w:ascii="Calibri" w:hAnsi="Calibri"/>
          <w:color w:val="000000"/>
        </w:rPr>
        <w:t xml:space="preserve">. </w:t>
      </w:r>
    </w:p>
    <w:p w14:paraId="4329CFC6" w14:textId="77777777" w:rsidR="00C65183" w:rsidRDefault="00C65183" w:rsidP="00C65183">
      <w:pPr>
        <w:tabs>
          <w:tab w:val="left" w:pos="426"/>
          <w:tab w:val="left" w:pos="3261"/>
        </w:tabs>
        <w:spacing w:before="60" w:after="60" w:line="360" w:lineRule="auto"/>
        <w:jc w:val="both"/>
        <w:rPr>
          <w:rFonts w:ascii="Calibri" w:hAnsi="Calibri"/>
          <w:color w:val="000000"/>
        </w:rPr>
      </w:pPr>
      <w:r>
        <w:rPr>
          <w:rFonts w:ascii="Calibri" w:hAnsi="Calibri"/>
          <w:color w:val="000000"/>
        </w:rPr>
        <w:t>Within</w:t>
      </w:r>
      <w:r w:rsidRPr="00E2314F">
        <w:rPr>
          <w:rFonts w:ascii="Calibri" w:hAnsi="Calibri"/>
          <w:color w:val="000000"/>
        </w:rPr>
        <w:t xml:space="preserve"> Greater Dandenong, nearly two-fifths </w:t>
      </w:r>
      <w:r>
        <w:rPr>
          <w:rFonts w:ascii="Calibri" w:hAnsi="Calibri"/>
          <w:color w:val="000000"/>
        </w:rPr>
        <w:t xml:space="preserve">(38%) of residents in this age range </w:t>
      </w:r>
      <w:r w:rsidRPr="00E2314F">
        <w:rPr>
          <w:rFonts w:ascii="Calibri" w:hAnsi="Calibri"/>
          <w:color w:val="000000"/>
        </w:rPr>
        <w:t>held no post-school qualification</w:t>
      </w:r>
      <w:r>
        <w:rPr>
          <w:rFonts w:ascii="Calibri" w:hAnsi="Calibri"/>
          <w:color w:val="000000"/>
        </w:rPr>
        <w:t xml:space="preserve"> in 2016</w:t>
      </w:r>
      <w:r w:rsidRPr="00E2314F">
        <w:rPr>
          <w:rFonts w:ascii="Calibri" w:hAnsi="Calibri"/>
          <w:color w:val="000000"/>
        </w:rPr>
        <w:t xml:space="preserve">. Their range of qualifications is illustrated in the accompanying chart. </w:t>
      </w:r>
    </w:p>
    <w:p w14:paraId="3614AD9B" w14:textId="77777777" w:rsidR="00C65183" w:rsidRDefault="00C65183" w:rsidP="00C65183">
      <w:pPr>
        <w:tabs>
          <w:tab w:val="left" w:pos="284"/>
        </w:tabs>
        <w:jc w:val="both"/>
        <w:rPr>
          <w:rFonts w:ascii="Calibri" w:hAnsi="Calibri"/>
          <w:b/>
          <w:color w:val="000000"/>
        </w:rPr>
      </w:pPr>
      <w:r w:rsidRPr="00E2314F">
        <w:rPr>
          <w:rFonts w:ascii="Calibri" w:hAnsi="Calibri"/>
          <w:b/>
          <w:color w:val="000000"/>
        </w:rPr>
        <w:t>Education &amp; Employment Prospects</w:t>
      </w:r>
    </w:p>
    <w:p w14:paraId="5254E282" w14:textId="77777777" w:rsidR="00C65183" w:rsidRDefault="00C65183" w:rsidP="00C65183">
      <w:pPr>
        <w:tabs>
          <w:tab w:val="left" w:pos="426"/>
          <w:tab w:val="left" w:pos="3261"/>
        </w:tabs>
        <w:spacing w:before="60" w:line="360" w:lineRule="auto"/>
        <w:jc w:val="both"/>
        <w:rPr>
          <w:rFonts w:ascii="Calibri" w:hAnsi="Calibri"/>
          <w:color w:val="000000"/>
        </w:rPr>
      </w:pPr>
      <w:r>
        <w:rPr>
          <w:rFonts w:ascii="Calibri" w:hAnsi="Calibri"/>
          <w:noProof/>
          <w:color w:val="000000"/>
          <w:lang w:eastAsia="en-AU"/>
        </w:rPr>
        <w:drawing>
          <wp:anchor distT="0" distB="0" distL="114300" distR="114300" simplePos="0" relativeHeight="251735040" behindDoc="0" locked="0" layoutInCell="1" allowOverlap="1" wp14:anchorId="4699C22F" wp14:editId="13BB4E6F">
            <wp:simplePos x="0" y="0"/>
            <wp:positionH relativeFrom="column">
              <wp:posOffset>66040</wp:posOffset>
            </wp:positionH>
            <wp:positionV relativeFrom="paragraph">
              <wp:posOffset>603250</wp:posOffset>
            </wp:positionV>
            <wp:extent cx="3518535" cy="2313305"/>
            <wp:effectExtent l="0" t="0" r="5715" b="0"/>
            <wp:wrapSquare wrapText="bothSides"/>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03">
                      <a:extLst>
                        <a:ext uri="{28A0092B-C50C-407E-A947-70E740481C1C}">
                          <a14:useLocalDpi xmlns:a14="http://schemas.microsoft.com/office/drawing/2010/main" val="0"/>
                        </a:ext>
                      </a:extLst>
                    </a:blip>
                    <a:srcRect l="1679" t="15303" r="2196" b="16061"/>
                    <a:stretch/>
                  </pic:blipFill>
                  <pic:spPr bwMode="auto">
                    <a:xfrm>
                      <a:off x="0" y="0"/>
                      <a:ext cx="3518535" cy="23133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2314F">
        <w:rPr>
          <w:rFonts w:ascii="Calibri" w:hAnsi="Calibri"/>
          <w:color w:val="000000"/>
        </w:rPr>
        <w:t>The 201</w:t>
      </w:r>
      <w:r>
        <w:rPr>
          <w:rFonts w:ascii="Calibri" w:hAnsi="Calibri"/>
          <w:color w:val="000000"/>
        </w:rPr>
        <w:t>6</w:t>
      </w:r>
      <w:r w:rsidRPr="00E2314F">
        <w:rPr>
          <w:rFonts w:ascii="Calibri" w:hAnsi="Calibri"/>
          <w:color w:val="000000"/>
        </w:rPr>
        <w:t xml:space="preserve"> Census found that, among </w:t>
      </w:r>
      <w:r>
        <w:rPr>
          <w:rFonts w:ascii="Calibri" w:hAnsi="Calibri"/>
          <w:color w:val="000000"/>
        </w:rPr>
        <w:t>Greater Dandenong</w:t>
      </w:r>
      <w:r w:rsidRPr="00E2314F">
        <w:rPr>
          <w:rFonts w:ascii="Calibri" w:hAnsi="Calibri"/>
          <w:color w:val="000000"/>
        </w:rPr>
        <w:t xml:space="preserve"> residents aged 30-39 years, </w:t>
      </w:r>
      <w:r>
        <w:rPr>
          <w:rFonts w:ascii="Calibri" w:hAnsi="Calibri"/>
          <w:color w:val="000000"/>
        </w:rPr>
        <w:t>81</w:t>
      </w:r>
      <w:r w:rsidRPr="00E2314F">
        <w:rPr>
          <w:rFonts w:ascii="Calibri" w:hAnsi="Calibri"/>
          <w:color w:val="000000"/>
        </w:rPr>
        <w:t xml:space="preserve">% </w:t>
      </w:r>
      <w:r>
        <w:rPr>
          <w:rFonts w:ascii="Calibri" w:hAnsi="Calibri"/>
          <w:color w:val="000000"/>
        </w:rPr>
        <w:t xml:space="preserve">of those </w:t>
      </w:r>
      <w:r w:rsidRPr="00E2314F">
        <w:rPr>
          <w:rFonts w:ascii="Calibri" w:hAnsi="Calibri"/>
          <w:color w:val="000000"/>
        </w:rPr>
        <w:t xml:space="preserve">with a degree were </w:t>
      </w:r>
      <w:r w:rsidRPr="00BB40A2">
        <w:rPr>
          <w:rFonts w:ascii="Calibri" w:hAnsi="Calibri"/>
          <w:iCs/>
          <w:color w:val="000000"/>
        </w:rPr>
        <w:t>employed</w:t>
      </w:r>
      <w:r w:rsidRPr="00E2314F">
        <w:rPr>
          <w:rFonts w:ascii="Calibri" w:hAnsi="Calibri"/>
          <w:color w:val="000000"/>
        </w:rPr>
        <w:t xml:space="preserve">, compared with </w:t>
      </w:r>
      <w:r>
        <w:rPr>
          <w:rFonts w:ascii="Calibri" w:hAnsi="Calibri"/>
          <w:color w:val="000000"/>
        </w:rPr>
        <w:t>48</w:t>
      </w:r>
      <w:r w:rsidRPr="00E2314F">
        <w:rPr>
          <w:rFonts w:ascii="Calibri" w:hAnsi="Calibri"/>
          <w:color w:val="000000"/>
        </w:rPr>
        <w:t xml:space="preserve">% of </w:t>
      </w:r>
      <w:r>
        <w:rPr>
          <w:rFonts w:ascii="Calibri" w:hAnsi="Calibri"/>
          <w:color w:val="000000"/>
        </w:rPr>
        <w:t>people</w:t>
      </w:r>
      <w:r w:rsidRPr="00E2314F">
        <w:rPr>
          <w:rFonts w:ascii="Calibri" w:hAnsi="Calibri"/>
          <w:color w:val="000000"/>
        </w:rPr>
        <w:t xml:space="preserve"> who had left school before completing year 11. </w:t>
      </w:r>
    </w:p>
    <w:p w14:paraId="1D826ED8" w14:textId="77777777" w:rsidR="00C65183" w:rsidRPr="00BA42DF" w:rsidRDefault="00C65183" w:rsidP="00C65183">
      <w:pPr>
        <w:tabs>
          <w:tab w:val="left" w:pos="426"/>
          <w:tab w:val="left" w:pos="3261"/>
        </w:tabs>
        <w:jc w:val="both"/>
        <w:rPr>
          <w:rFonts w:ascii="Calibri" w:hAnsi="Calibri"/>
          <w:color w:val="000000"/>
          <w:sz w:val="12"/>
          <w:szCs w:val="12"/>
        </w:rPr>
      </w:pPr>
    </w:p>
    <w:p w14:paraId="2FE3113D" w14:textId="77777777" w:rsidR="00C65183" w:rsidRPr="00197312" w:rsidRDefault="00C65183" w:rsidP="00C65183">
      <w:pPr>
        <w:tabs>
          <w:tab w:val="left" w:pos="284"/>
        </w:tabs>
        <w:jc w:val="both"/>
        <w:rPr>
          <w:rFonts w:ascii="Calibri" w:hAnsi="Calibri"/>
          <w:color w:val="7F7F7F"/>
          <w:sz w:val="20"/>
          <w:szCs w:val="20"/>
        </w:rPr>
      </w:pPr>
      <w:r w:rsidRPr="00197312">
        <w:rPr>
          <w:rFonts w:ascii="Calibri" w:hAnsi="Calibri"/>
          <w:color w:val="7F7F7F"/>
          <w:sz w:val="20"/>
          <w:szCs w:val="20"/>
        </w:rPr>
        <w:t xml:space="preserve">Employment </w:t>
      </w:r>
      <w:r>
        <w:rPr>
          <w:rFonts w:ascii="Calibri" w:hAnsi="Calibri"/>
          <w:color w:val="7F7F7F"/>
          <w:sz w:val="20"/>
          <w:szCs w:val="20"/>
        </w:rPr>
        <w:t>r</w:t>
      </w:r>
      <w:r w:rsidRPr="00197312">
        <w:rPr>
          <w:rFonts w:ascii="Calibri" w:hAnsi="Calibri"/>
          <w:color w:val="7F7F7F"/>
          <w:sz w:val="20"/>
          <w:szCs w:val="20"/>
        </w:rPr>
        <w:t xml:space="preserve">ates by </w:t>
      </w:r>
      <w:r>
        <w:rPr>
          <w:rFonts w:ascii="Calibri" w:hAnsi="Calibri"/>
          <w:color w:val="7F7F7F"/>
          <w:sz w:val="20"/>
          <w:szCs w:val="20"/>
        </w:rPr>
        <w:t>e</w:t>
      </w:r>
      <w:r w:rsidRPr="00197312">
        <w:rPr>
          <w:rFonts w:ascii="Calibri" w:hAnsi="Calibri"/>
          <w:color w:val="7F7F7F"/>
          <w:sz w:val="20"/>
          <w:szCs w:val="20"/>
        </w:rPr>
        <w:t xml:space="preserve">ducational </w:t>
      </w:r>
      <w:r>
        <w:rPr>
          <w:rFonts w:ascii="Calibri" w:hAnsi="Calibri"/>
          <w:color w:val="7F7F7F"/>
          <w:sz w:val="20"/>
          <w:szCs w:val="20"/>
        </w:rPr>
        <w:t>a</w:t>
      </w:r>
      <w:r w:rsidRPr="00197312">
        <w:rPr>
          <w:rFonts w:ascii="Calibri" w:hAnsi="Calibri"/>
          <w:color w:val="7F7F7F"/>
          <w:sz w:val="20"/>
          <w:szCs w:val="20"/>
        </w:rPr>
        <w:t xml:space="preserve">ttainment: </w:t>
      </w:r>
      <w:r>
        <w:rPr>
          <w:rFonts w:ascii="Calibri" w:hAnsi="Calibri"/>
          <w:color w:val="7F7F7F"/>
          <w:sz w:val="20"/>
          <w:szCs w:val="20"/>
        </w:rPr>
        <w:t>p</w:t>
      </w:r>
      <w:r w:rsidRPr="00197312">
        <w:rPr>
          <w:rFonts w:ascii="Calibri" w:hAnsi="Calibri"/>
          <w:color w:val="7F7F7F"/>
          <w:sz w:val="20"/>
          <w:szCs w:val="20"/>
        </w:rPr>
        <w:t>ersons 30-39 years of age</w:t>
      </w:r>
      <w:r>
        <w:rPr>
          <w:rFonts w:ascii="Calibri" w:hAnsi="Calibri"/>
          <w:color w:val="7F7F7F"/>
          <w:sz w:val="20"/>
          <w:szCs w:val="20"/>
        </w:rPr>
        <w:t>:</w:t>
      </w:r>
      <w:r w:rsidRPr="00197312">
        <w:rPr>
          <w:rFonts w:ascii="Calibri" w:hAnsi="Calibri"/>
          <w:color w:val="7F7F7F"/>
          <w:sz w:val="20"/>
          <w:szCs w:val="20"/>
        </w:rPr>
        <w:t xml:space="preserve"> Greater Dandenong, 2016</w:t>
      </w:r>
    </w:p>
    <w:p w14:paraId="3519108D" w14:textId="77777777" w:rsidR="00C65183" w:rsidRPr="00AB05D2" w:rsidRDefault="00C65183" w:rsidP="00C65183">
      <w:pPr>
        <w:tabs>
          <w:tab w:val="left" w:pos="284"/>
        </w:tabs>
        <w:jc w:val="both"/>
        <w:rPr>
          <w:rFonts w:ascii="Calibri" w:hAnsi="Calibri"/>
          <w:color w:val="7F7F7F"/>
          <w:sz w:val="8"/>
          <w:szCs w:val="8"/>
        </w:rPr>
      </w:pPr>
    </w:p>
    <w:p w14:paraId="1D9CBE54" w14:textId="77777777" w:rsidR="00C65183" w:rsidRDefault="00C65183" w:rsidP="00C65183">
      <w:pPr>
        <w:tabs>
          <w:tab w:val="left" w:pos="426"/>
          <w:tab w:val="left" w:pos="3261"/>
        </w:tabs>
        <w:spacing w:before="60" w:after="120" w:line="360" w:lineRule="auto"/>
        <w:jc w:val="both"/>
        <w:rPr>
          <w:rFonts w:ascii="Calibri" w:hAnsi="Calibri"/>
          <w:color w:val="000000"/>
        </w:rPr>
      </w:pPr>
      <w:r w:rsidRPr="00E2314F">
        <w:rPr>
          <w:rFonts w:ascii="Calibri" w:hAnsi="Calibri"/>
          <w:color w:val="000000"/>
        </w:rPr>
        <w:t xml:space="preserve">Among women the same age, this contrast </w:t>
      </w:r>
      <w:r>
        <w:rPr>
          <w:rFonts w:ascii="Calibri" w:hAnsi="Calibri"/>
          <w:color w:val="000000"/>
        </w:rPr>
        <w:t>is</w:t>
      </w:r>
      <w:r w:rsidRPr="00E2314F">
        <w:rPr>
          <w:rFonts w:ascii="Calibri" w:hAnsi="Calibri"/>
          <w:color w:val="000000"/>
        </w:rPr>
        <w:t xml:space="preserve"> more striking, with </w:t>
      </w:r>
      <w:r>
        <w:rPr>
          <w:rFonts w:ascii="Calibri" w:hAnsi="Calibri"/>
          <w:color w:val="000000"/>
        </w:rPr>
        <w:t>73</w:t>
      </w:r>
      <w:r w:rsidRPr="00E2314F">
        <w:rPr>
          <w:rFonts w:ascii="Calibri" w:hAnsi="Calibri"/>
          <w:color w:val="000000"/>
        </w:rPr>
        <w:t xml:space="preserve">% of females with a degree </w:t>
      </w:r>
      <w:r w:rsidRPr="00BB40A2">
        <w:rPr>
          <w:rFonts w:ascii="Calibri" w:hAnsi="Calibri"/>
          <w:iCs/>
          <w:color w:val="000000"/>
        </w:rPr>
        <w:t>employed</w:t>
      </w:r>
      <w:r w:rsidRPr="00E2314F">
        <w:rPr>
          <w:rFonts w:ascii="Calibri" w:hAnsi="Calibri"/>
          <w:color w:val="000000"/>
        </w:rPr>
        <w:t>, compared with</w:t>
      </w:r>
      <w:r>
        <w:rPr>
          <w:rFonts w:ascii="Calibri" w:hAnsi="Calibri"/>
          <w:color w:val="000000"/>
        </w:rPr>
        <w:t xml:space="preserve"> just</w:t>
      </w:r>
      <w:r w:rsidRPr="00E2314F">
        <w:rPr>
          <w:rFonts w:ascii="Calibri" w:hAnsi="Calibri"/>
          <w:color w:val="000000"/>
        </w:rPr>
        <w:t xml:space="preserve"> </w:t>
      </w:r>
      <w:r>
        <w:rPr>
          <w:rFonts w:ascii="Calibri" w:hAnsi="Calibri"/>
          <w:color w:val="000000"/>
        </w:rPr>
        <w:t>34</w:t>
      </w:r>
      <w:r w:rsidRPr="00E2314F">
        <w:rPr>
          <w:rFonts w:ascii="Calibri" w:hAnsi="Calibri"/>
          <w:color w:val="000000"/>
        </w:rPr>
        <w:t>% of early school leavers.</w:t>
      </w:r>
    </w:p>
    <w:p w14:paraId="213E4C79" w14:textId="77777777" w:rsidR="00C65183" w:rsidRDefault="00C65183" w:rsidP="00C65183">
      <w:pPr>
        <w:rPr>
          <w:rFonts w:ascii="Calibri" w:hAnsi="Calibri"/>
          <w:color w:val="000000"/>
        </w:rPr>
      </w:pPr>
      <w:r>
        <w:rPr>
          <w:rFonts w:ascii="Calibri" w:hAnsi="Calibri"/>
          <w:color w:val="000000"/>
        </w:rPr>
        <w:br w:type="page"/>
      </w:r>
    </w:p>
    <w:p w14:paraId="6E087B05" w14:textId="77777777" w:rsidR="00C65183" w:rsidRPr="00827F47" w:rsidRDefault="00C65183" w:rsidP="00C65183">
      <w:pPr>
        <w:pBdr>
          <w:top w:val="single" w:sz="4" w:space="0" w:color="244061" w:themeColor="accent1" w:themeShade="80"/>
          <w:bottom w:val="single" w:sz="4" w:space="1" w:color="244061" w:themeColor="accent1" w:themeShade="80"/>
        </w:pBdr>
        <w:tabs>
          <w:tab w:val="center" w:pos="4678"/>
        </w:tabs>
        <w:jc w:val="center"/>
        <w:rPr>
          <w:rFonts w:ascii="Garamond" w:hAnsi="Garamond"/>
          <w:noProof/>
          <w:color w:val="244061" w:themeColor="accent1" w:themeShade="80"/>
          <w:sz w:val="34"/>
          <w:szCs w:val="34"/>
        </w:rPr>
      </w:pPr>
      <w:bookmarkStart w:id="4" w:name="_Hlk411233418"/>
      <w:r>
        <w:rPr>
          <w:rFonts w:ascii="Garamond" w:hAnsi="Garamond"/>
          <w:noProof/>
          <w:color w:val="244061" w:themeColor="accent1" w:themeShade="80"/>
          <w:sz w:val="34"/>
          <w:szCs w:val="34"/>
        </w:rPr>
        <w:lastRenderedPageBreak/>
        <w:t xml:space="preserve">English </w:t>
      </w:r>
      <w:r w:rsidRPr="00827F47">
        <w:rPr>
          <w:rFonts w:ascii="Garamond" w:hAnsi="Garamond"/>
          <w:noProof/>
          <w:color w:val="244061" w:themeColor="accent1" w:themeShade="80"/>
          <w:sz w:val="34"/>
          <w:szCs w:val="34"/>
        </w:rPr>
        <w:t xml:space="preserve">Literacy </w:t>
      </w:r>
    </w:p>
    <w:bookmarkEnd w:id="4"/>
    <w:p w14:paraId="56647071" w14:textId="77777777" w:rsidR="00C65183" w:rsidRDefault="00C65183" w:rsidP="00C65183">
      <w:pPr>
        <w:spacing w:line="360" w:lineRule="auto"/>
        <w:jc w:val="both"/>
        <w:rPr>
          <w:rFonts w:ascii="Calibri" w:hAnsi="Calibri"/>
        </w:rPr>
      </w:pPr>
      <w:r>
        <w:rPr>
          <w:rFonts w:ascii="Calibri" w:eastAsia="Times New Roman" w:hAnsi="Calibri"/>
          <w:noProof/>
          <w:lang w:eastAsia="en-AU"/>
        </w:rPr>
        <w:drawing>
          <wp:anchor distT="0" distB="0" distL="114300" distR="114300" simplePos="0" relativeHeight="251744256" behindDoc="0" locked="0" layoutInCell="1" allowOverlap="1" wp14:anchorId="13BCA522" wp14:editId="4717D4A8">
            <wp:simplePos x="0" y="0"/>
            <wp:positionH relativeFrom="column">
              <wp:posOffset>4751705</wp:posOffset>
            </wp:positionH>
            <wp:positionV relativeFrom="paragraph">
              <wp:posOffset>225425</wp:posOffset>
            </wp:positionV>
            <wp:extent cx="1398270" cy="942340"/>
            <wp:effectExtent l="0" t="0" r="0" b="0"/>
            <wp:wrapSquare wrapText="bothSides"/>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ducation 6.png"/>
                    <pic:cNvPicPr/>
                  </pic:nvPicPr>
                  <pic:blipFill>
                    <a:blip r:embed="rId104">
                      <a:extLst>
                        <a:ext uri="{28A0092B-C50C-407E-A947-70E740481C1C}">
                          <a14:useLocalDpi xmlns:a14="http://schemas.microsoft.com/office/drawing/2010/main" val="0"/>
                        </a:ext>
                      </a:extLst>
                    </a:blip>
                    <a:stretch>
                      <a:fillRect/>
                    </a:stretch>
                  </pic:blipFill>
                  <pic:spPr>
                    <a:xfrm>
                      <a:off x="0" y="0"/>
                      <a:ext cx="1398270" cy="94234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663A822E" w14:textId="77777777" w:rsidR="00C65183" w:rsidRPr="006A357B" w:rsidRDefault="00C65183" w:rsidP="00C65183">
      <w:pPr>
        <w:spacing w:line="360" w:lineRule="auto"/>
        <w:jc w:val="both"/>
        <w:rPr>
          <w:rFonts w:ascii="Calibri" w:eastAsia="Times New Roman" w:hAnsi="Calibri"/>
          <w:lang w:val="en-US"/>
        </w:rPr>
      </w:pPr>
      <w:r w:rsidRPr="006A357B">
        <w:rPr>
          <w:rFonts w:ascii="Calibri" w:eastAsia="Times New Roman" w:hAnsi="Calibri"/>
          <w:lang w:val="en-US"/>
        </w:rPr>
        <w:t xml:space="preserve">The information presented here is largely drawn from the findings of the Programme for the International Assessment of Adult Competencies, which measured </w:t>
      </w:r>
      <w:r>
        <w:rPr>
          <w:rFonts w:ascii="Calibri" w:eastAsia="Times New Roman" w:hAnsi="Calibri"/>
          <w:lang w:val="en-US"/>
        </w:rPr>
        <w:t xml:space="preserve">English </w:t>
      </w:r>
      <w:r w:rsidRPr="006A357B">
        <w:rPr>
          <w:rFonts w:ascii="Calibri" w:eastAsia="Times New Roman" w:hAnsi="Calibri"/>
          <w:lang w:val="en-US"/>
        </w:rPr>
        <w:t>literacy and numeracy among a random sample of Australians, through face-to-face interviews. The survey assesse</w:t>
      </w:r>
      <w:r>
        <w:rPr>
          <w:rFonts w:ascii="Calibri" w:eastAsia="Times New Roman" w:hAnsi="Calibri"/>
          <w:lang w:val="en-US"/>
        </w:rPr>
        <w:t>s</w:t>
      </w:r>
      <w:r w:rsidRPr="006A357B">
        <w:rPr>
          <w:rFonts w:ascii="Calibri" w:eastAsia="Times New Roman" w:hAnsi="Calibri"/>
          <w:lang w:val="en-US"/>
        </w:rPr>
        <w:t xml:space="preserve"> respondents’ ability to understand written English as well as their proficiency in numerical calculations.</w:t>
      </w:r>
    </w:p>
    <w:p w14:paraId="6DA10476" w14:textId="77777777" w:rsidR="00C65183" w:rsidRPr="006A357B" w:rsidRDefault="00C65183" w:rsidP="00C65183">
      <w:pPr>
        <w:spacing w:line="360" w:lineRule="auto"/>
        <w:jc w:val="both"/>
        <w:rPr>
          <w:rFonts w:ascii="Calibri" w:eastAsia="Times New Roman" w:hAnsi="Calibri"/>
          <w:lang w:val="en-US"/>
        </w:rPr>
      </w:pPr>
      <w:r w:rsidRPr="006A357B">
        <w:rPr>
          <w:rFonts w:ascii="Calibri" w:eastAsia="Times New Roman" w:hAnsi="Calibri"/>
          <w:lang w:val="en-US"/>
        </w:rPr>
        <w:t xml:space="preserve">English literacy levels </w:t>
      </w:r>
      <w:r>
        <w:rPr>
          <w:rFonts w:ascii="Calibri" w:eastAsia="Times New Roman" w:hAnsi="Calibri"/>
          <w:lang w:val="en-US"/>
        </w:rPr>
        <w:t>are</w:t>
      </w:r>
      <w:r w:rsidRPr="006A357B">
        <w:rPr>
          <w:rFonts w:ascii="Calibri" w:eastAsia="Times New Roman" w:hAnsi="Calibri"/>
          <w:lang w:val="en-US"/>
        </w:rPr>
        <w:t xml:space="preserve"> </w:t>
      </w:r>
      <w:r>
        <w:rPr>
          <w:rFonts w:ascii="Calibri" w:eastAsia="Times New Roman" w:hAnsi="Calibri"/>
          <w:lang w:val="en-US"/>
        </w:rPr>
        <w:t>categorized into</w:t>
      </w:r>
      <w:r w:rsidRPr="006A357B">
        <w:rPr>
          <w:rFonts w:ascii="Calibri" w:eastAsia="Times New Roman" w:hAnsi="Calibri"/>
          <w:lang w:val="en-US"/>
        </w:rPr>
        <w:t xml:space="preserve"> six ranges, from ‘below Level 1’ to ‘Level 5’ - the highest level. </w:t>
      </w:r>
      <w:r>
        <w:rPr>
          <w:rFonts w:ascii="Calibri" w:eastAsia="Times New Roman" w:hAnsi="Calibri"/>
          <w:lang w:val="en-US"/>
        </w:rPr>
        <w:t>P</w:t>
      </w:r>
      <w:r w:rsidRPr="006A357B">
        <w:rPr>
          <w:rFonts w:ascii="Calibri" w:eastAsia="Times New Roman" w:hAnsi="Calibri"/>
          <w:lang w:val="en-US"/>
        </w:rPr>
        <w:t>ersons at or below Level 1 literacy are described</w:t>
      </w:r>
      <w:r>
        <w:rPr>
          <w:rFonts w:ascii="Calibri" w:eastAsia="Times New Roman" w:hAnsi="Calibri"/>
          <w:lang w:val="en-US"/>
        </w:rPr>
        <w:t xml:space="preserve"> here</w:t>
      </w:r>
      <w:r w:rsidRPr="006A357B">
        <w:rPr>
          <w:rFonts w:ascii="Calibri" w:eastAsia="Times New Roman" w:hAnsi="Calibri"/>
          <w:lang w:val="en-US"/>
        </w:rPr>
        <w:t xml:space="preserve"> as having ‘limited English literacy’.</w:t>
      </w:r>
    </w:p>
    <w:p w14:paraId="55351655" w14:textId="77777777" w:rsidR="00C65183" w:rsidRPr="00FA7C11" w:rsidRDefault="00C65183" w:rsidP="00C65183">
      <w:pPr>
        <w:spacing w:after="60"/>
        <w:rPr>
          <w:rFonts w:asciiTheme="minorHAnsi" w:hAnsiTheme="minorHAnsi"/>
          <w:b/>
        </w:rPr>
      </w:pPr>
      <w:r w:rsidRPr="00FA7C11">
        <w:rPr>
          <w:rFonts w:asciiTheme="minorHAnsi" w:hAnsiTheme="minorHAnsi"/>
          <w:b/>
        </w:rPr>
        <w:t xml:space="preserve">Literacy: Age and </w:t>
      </w:r>
      <w:r>
        <w:rPr>
          <w:rFonts w:asciiTheme="minorHAnsi" w:hAnsiTheme="minorHAnsi"/>
          <w:b/>
        </w:rPr>
        <w:t>Sex</w:t>
      </w:r>
    </w:p>
    <w:p w14:paraId="70A69145" w14:textId="77777777" w:rsidR="00C65183" w:rsidRDefault="00C65183" w:rsidP="00C65183">
      <w:pPr>
        <w:spacing w:line="360" w:lineRule="auto"/>
        <w:jc w:val="both"/>
        <w:rPr>
          <w:rFonts w:ascii="Calibri" w:hAnsi="Calibri"/>
        </w:rPr>
      </w:pPr>
      <w:r>
        <w:rPr>
          <w:rFonts w:ascii="Calibri" w:hAnsi="Calibri"/>
        </w:rPr>
        <w:t>Overall, approximately 14 per cent, or one in seven, women and men across Australia aged 15 to 74, had limited English literacy. Among younger age groups, a higher proportion of males than females had limited literacy, whereas among older Australians, limited English literacy was more prevalent among women.</w:t>
      </w:r>
    </w:p>
    <w:p w14:paraId="411FEE77" w14:textId="77777777" w:rsidR="00C65183" w:rsidRDefault="00C65183" w:rsidP="00C65183">
      <w:pPr>
        <w:spacing w:line="360" w:lineRule="auto"/>
        <w:jc w:val="both"/>
        <w:rPr>
          <w:rFonts w:ascii="Calibri" w:hAnsi="Calibri"/>
        </w:rPr>
      </w:pPr>
      <w:r>
        <w:rPr>
          <w:noProof/>
          <w:lang w:eastAsia="en-AU"/>
        </w:rPr>
        <w:drawing>
          <wp:anchor distT="0" distB="0" distL="114300" distR="114300" simplePos="0" relativeHeight="251939840" behindDoc="0" locked="0" layoutInCell="1" allowOverlap="1" wp14:anchorId="7845F98F" wp14:editId="2F83DC8F">
            <wp:simplePos x="0" y="0"/>
            <wp:positionH relativeFrom="column">
              <wp:posOffset>2518410</wp:posOffset>
            </wp:positionH>
            <wp:positionV relativeFrom="paragraph">
              <wp:posOffset>200025</wp:posOffset>
            </wp:positionV>
            <wp:extent cx="3541395" cy="2419350"/>
            <wp:effectExtent l="0" t="0" r="1905" b="0"/>
            <wp:wrapSquare wrapText="bothSides"/>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3541395" cy="2419350"/>
                    </a:xfrm>
                    <a:prstGeom prst="rect">
                      <a:avLst/>
                    </a:prstGeom>
                    <a:noFill/>
                  </pic:spPr>
                </pic:pic>
              </a:graphicData>
            </a:graphic>
            <wp14:sizeRelH relativeFrom="page">
              <wp14:pctWidth>0</wp14:pctWidth>
            </wp14:sizeRelH>
            <wp14:sizeRelV relativeFrom="page">
              <wp14:pctHeight>0</wp14:pctHeight>
            </wp14:sizeRelV>
          </wp:anchor>
        </w:drawing>
      </w:r>
      <w:r>
        <w:rPr>
          <w:rFonts w:ascii="Calibri" w:hAnsi="Calibri"/>
        </w:rPr>
        <w:t>For both women and men, the proportion of people with limited English literacy declined slightly from the teenage prevalence of 11.6% (13.9% among males and 9% among females), to 8.8% among those aged 35 to 39 years, before rising to nearly a third among people aged 65 to 74 (accompanying diagram).</w:t>
      </w:r>
    </w:p>
    <w:p w14:paraId="010C2260" w14:textId="77777777" w:rsidR="00C65183" w:rsidRPr="006A357B" w:rsidRDefault="00C65183" w:rsidP="00C65183">
      <w:pPr>
        <w:jc w:val="both"/>
        <w:rPr>
          <w:rFonts w:ascii="Calibri" w:hAnsi="Calibri"/>
          <w:color w:val="7F7F7F" w:themeColor="text1" w:themeTint="80"/>
          <w:sz w:val="20"/>
          <w:szCs w:val="20"/>
        </w:rPr>
      </w:pPr>
      <w:r w:rsidRPr="006A357B">
        <w:rPr>
          <w:rFonts w:ascii="Calibri" w:hAnsi="Calibri"/>
          <w:color w:val="7F7F7F" w:themeColor="text1" w:themeTint="80"/>
          <w:sz w:val="20"/>
          <w:szCs w:val="20"/>
        </w:rPr>
        <w:t xml:space="preserve">Per cent of </w:t>
      </w:r>
      <w:r>
        <w:rPr>
          <w:rFonts w:ascii="Calibri" w:hAnsi="Calibri"/>
          <w:color w:val="7F7F7F" w:themeColor="text1" w:themeTint="80"/>
          <w:sz w:val="20"/>
          <w:szCs w:val="20"/>
        </w:rPr>
        <w:t>p</w:t>
      </w:r>
      <w:r w:rsidRPr="006A357B">
        <w:rPr>
          <w:rFonts w:ascii="Calibri" w:hAnsi="Calibri"/>
          <w:color w:val="7F7F7F" w:themeColor="text1" w:themeTint="80"/>
          <w:sz w:val="20"/>
          <w:szCs w:val="20"/>
        </w:rPr>
        <w:t xml:space="preserve">ersons with </w:t>
      </w:r>
      <w:r>
        <w:rPr>
          <w:rFonts w:ascii="Calibri" w:hAnsi="Calibri"/>
          <w:color w:val="7F7F7F" w:themeColor="text1" w:themeTint="80"/>
          <w:sz w:val="20"/>
          <w:szCs w:val="20"/>
        </w:rPr>
        <w:t>l</w:t>
      </w:r>
      <w:r w:rsidRPr="006A357B">
        <w:rPr>
          <w:rFonts w:ascii="Calibri" w:hAnsi="Calibri"/>
          <w:color w:val="7F7F7F" w:themeColor="text1" w:themeTint="80"/>
          <w:sz w:val="20"/>
          <w:szCs w:val="20"/>
        </w:rPr>
        <w:t xml:space="preserve">imited English </w:t>
      </w:r>
      <w:r>
        <w:rPr>
          <w:rFonts w:ascii="Calibri" w:hAnsi="Calibri"/>
          <w:color w:val="7F7F7F" w:themeColor="text1" w:themeTint="80"/>
          <w:sz w:val="20"/>
          <w:szCs w:val="20"/>
        </w:rPr>
        <w:t>l</w:t>
      </w:r>
      <w:r w:rsidRPr="006A357B">
        <w:rPr>
          <w:rFonts w:ascii="Calibri" w:hAnsi="Calibri"/>
          <w:color w:val="7F7F7F" w:themeColor="text1" w:themeTint="80"/>
          <w:sz w:val="20"/>
          <w:szCs w:val="20"/>
        </w:rPr>
        <w:t xml:space="preserve">iteracy, by </w:t>
      </w:r>
      <w:r>
        <w:rPr>
          <w:rFonts w:ascii="Calibri" w:hAnsi="Calibri"/>
          <w:color w:val="7F7F7F" w:themeColor="text1" w:themeTint="80"/>
          <w:sz w:val="20"/>
          <w:szCs w:val="20"/>
        </w:rPr>
        <w:t>a</w:t>
      </w:r>
      <w:r w:rsidRPr="006A357B">
        <w:rPr>
          <w:rFonts w:ascii="Calibri" w:hAnsi="Calibri"/>
          <w:color w:val="7F7F7F" w:themeColor="text1" w:themeTint="80"/>
          <w:sz w:val="20"/>
          <w:szCs w:val="20"/>
        </w:rPr>
        <w:t xml:space="preserve">ge and </w:t>
      </w:r>
      <w:r>
        <w:rPr>
          <w:rFonts w:ascii="Calibri" w:hAnsi="Calibri"/>
          <w:color w:val="7F7F7F" w:themeColor="text1" w:themeTint="80"/>
          <w:sz w:val="20"/>
          <w:szCs w:val="20"/>
        </w:rPr>
        <w:t>s</w:t>
      </w:r>
      <w:r w:rsidRPr="006A357B">
        <w:rPr>
          <w:rFonts w:ascii="Calibri" w:hAnsi="Calibri"/>
          <w:color w:val="7F7F7F" w:themeColor="text1" w:themeTint="80"/>
          <w:sz w:val="20"/>
          <w:szCs w:val="20"/>
        </w:rPr>
        <w:t xml:space="preserve">ex: </w:t>
      </w:r>
      <w:r>
        <w:rPr>
          <w:rFonts w:ascii="Calibri" w:hAnsi="Calibri"/>
          <w:color w:val="7F7F7F" w:themeColor="text1" w:themeTint="80"/>
          <w:sz w:val="20"/>
          <w:szCs w:val="20"/>
        </w:rPr>
        <w:t>p</w:t>
      </w:r>
      <w:r w:rsidRPr="006A357B">
        <w:rPr>
          <w:rFonts w:ascii="Calibri" w:hAnsi="Calibri"/>
          <w:color w:val="7F7F7F" w:themeColor="text1" w:themeTint="80"/>
          <w:sz w:val="20"/>
          <w:szCs w:val="20"/>
        </w:rPr>
        <w:t>ersons aged 15-74 years, Australia, 2012</w:t>
      </w:r>
    </w:p>
    <w:p w14:paraId="498F79DE" w14:textId="77777777" w:rsidR="00C65183" w:rsidRPr="00AB05D2" w:rsidRDefault="00C65183" w:rsidP="00C65183">
      <w:pPr>
        <w:spacing w:line="360" w:lineRule="auto"/>
        <w:jc w:val="center"/>
        <w:rPr>
          <w:sz w:val="28"/>
          <w:szCs w:val="28"/>
        </w:rPr>
      </w:pPr>
    </w:p>
    <w:p w14:paraId="20430DF2" w14:textId="77777777" w:rsidR="00C65183" w:rsidRDefault="00C65183" w:rsidP="00C65183">
      <w:pPr>
        <w:spacing w:after="60"/>
        <w:rPr>
          <w:rFonts w:asciiTheme="minorHAnsi" w:hAnsiTheme="minorHAnsi"/>
          <w:b/>
        </w:rPr>
      </w:pPr>
      <w:r w:rsidRPr="00FA7C11">
        <w:rPr>
          <w:rFonts w:asciiTheme="minorHAnsi" w:hAnsiTheme="minorHAnsi"/>
          <w:b/>
        </w:rPr>
        <w:t>Trends in Literacy Levels: 1996 to 2011</w:t>
      </w:r>
    </w:p>
    <w:p w14:paraId="477AC91E" w14:textId="77777777" w:rsidR="00C65183" w:rsidRPr="00AB05D2" w:rsidRDefault="00C65183" w:rsidP="00C65183">
      <w:pPr>
        <w:spacing w:line="360" w:lineRule="auto"/>
        <w:jc w:val="both"/>
        <w:rPr>
          <w:rFonts w:ascii="Calibri" w:hAnsi="Calibri"/>
        </w:rPr>
      </w:pPr>
      <w:r>
        <w:rPr>
          <w:rFonts w:ascii="Calibri" w:hAnsi="Calibri"/>
          <w:noProof/>
          <w:lang w:eastAsia="en-AU"/>
        </w:rPr>
        <w:drawing>
          <wp:anchor distT="0" distB="0" distL="114300" distR="114300" simplePos="0" relativeHeight="251740160" behindDoc="0" locked="0" layoutInCell="1" allowOverlap="1" wp14:anchorId="70B12C4B" wp14:editId="57FD2AFC">
            <wp:simplePos x="0" y="0"/>
            <wp:positionH relativeFrom="column">
              <wp:posOffset>22542</wp:posOffset>
            </wp:positionH>
            <wp:positionV relativeFrom="paragraph">
              <wp:posOffset>596265</wp:posOffset>
            </wp:positionV>
            <wp:extent cx="3252470" cy="2329815"/>
            <wp:effectExtent l="0" t="0" r="5080" b="0"/>
            <wp:wrapSquare wrapText="bothSides"/>
            <wp:docPr id="17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6">
                      <a:extLst>
                        <a:ext uri="{28A0092B-C50C-407E-A947-70E740481C1C}">
                          <a14:useLocalDpi xmlns:a14="http://schemas.microsoft.com/office/drawing/2010/main" val="0"/>
                        </a:ext>
                      </a:extLst>
                    </a:blip>
                    <a:srcRect l="2539" t="2975" b="19316"/>
                    <a:stretch>
                      <a:fillRect/>
                    </a:stretch>
                  </pic:blipFill>
                  <pic:spPr bwMode="auto">
                    <a:xfrm>
                      <a:off x="0" y="0"/>
                      <a:ext cx="3252470" cy="2329815"/>
                    </a:xfrm>
                    <a:prstGeom prst="rect">
                      <a:avLst/>
                    </a:prstGeom>
                    <a:noFill/>
                  </pic:spPr>
                </pic:pic>
              </a:graphicData>
            </a:graphic>
            <wp14:sizeRelH relativeFrom="page">
              <wp14:pctWidth>0</wp14:pctWidth>
            </wp14:sizeRelH>
            <wp14:sizeRelV relativeFrom="page">
              <wp14:pctHeight>0</wp14:pctHeight>
            </wp14:sizeRelV>
          </wp:anchor>
        </w:drawing>
      </w:r>
      <w:r w:rsidRPr="0007061F">
        <w:rPr>
          <w:rFonts w:ascii="Calibri" w:hAnsi="Calibri"/>
        </w:rPr>
        <w:t>In the fifteen years from 1996 to 2011, the propo</w:t>
      </w:r>
      <w:r>
        <w:rPr>
          <w:rFonts w:ascii="Calibri" w:hAnsi="Calibri"/>
        </w:rPr>
        <w:t xml:space="preserve">rtion of Australians aged 15 to 74 </w:t>
      </w:r>
      <w:r w:rsidRPr="0007061F">
        <w:rPr>
          <w:rFonts w:ascii="Calibri" w:hAnsi="Calibri"/>
        </w:rPr>
        <w:t xml:space="preserve">with limited </w:t>
      </w:r>
      <w:r>
        <w:rPr>
          <w:rFonts w:ascii="Calibri" w:hAnsi="Calibri"/>
        </w:rPr>
        <w:t xml:space="preserve">English </w:t>
      </w:r>
      <w:r w:rsidRPr="0007061F">
        <w:rPr>
          <w:rFonts w:ascii="Calibri" w:hAnsi="Calibri"/>
        </w:rPr>
        <w:t>literacy declined from approximately 1</w:t>
      </w:r>
      <w:r>
        <w:rPr>
          <w:rFonts w:ascii="Calibri" w:hAnsi="Calibri"/>
        </w:rPr>
        <w:t>8.7</w:t>
      </w:r>
      <w:r w:rsidRPr="0007061F">
        <w:rPr>
          <w:rFonts w:ascii="Calibri" w:hAnsi="Calibri"/>
        </w:rPr>
        <w:t>% to 14</w:t>
      </w:r>
      <w:r>
        <w:rPr>
          <w:rFonts w:ascii="Calibri" w:hAnsi="Calibri"/>
        </w:rPr>
        <w:t>.3</w:t>
      </w:r>
      <w:r w:rsidRPr="0007061F">
        <w:rPr>
          <w:rFonts w:ascii="Calibri" w:hAnsi="Calibri"/>
        </w:rPr>
        <w:t xml:space="preserve">%. This </w:t>
      </w:r>
      <w:r>
        <w:rPr>
          <w:rFonts w:ascii="Calibri" w:hAnsi="Calibri"/>
        </w:rPr>
        <w:t>fall</w:t>
      </w:r>
      <w:r w:rsidRPr="0007061F">
        <w:rPr>
          <w:rFonts w:ascii="Calibri" w:hAnsi="Calibri"/>
        </w:rPr>
        <w:t xml:space="preserve"> is most marked among older Australians, with the proportion of people aged 65-74 with limited literacy </w:t>
      </w:r>
      <w:r>
        <w:rPr>
          <w:rFonts w:ascii="Calibri" w:hAnsi="Calibri"/>
        </w:rPr>
        <w:t>decreasing</w:t>
      </w:r>
      <w:r w:rsidRPr="0007061F">
        <w:rPr>
          <w:rFonts w:ascii="Calibri" w:hAnsi="Calibri"/>
        </w:rPr>
        <w:t xml:space="preserve"> from 56% to 29%.</w:t>
      </w:r>
      <w:r>
        <w:rPr>
          <w:rFonts w:ascii="Calibri" w:hAnsi="Calibri"/>
        </w:rPr>
        <w:t xml:space="preserve"> T</w:t>
      </w:r>
      <w:r w:rsidRPr="0007061F">
        <w:rPr>
          <w:rFonts w:ascii="Calibri" w:hAnsi="Calibri"/>
        </w:rPr>
        <w:t xml:space="preserve">he proportion of </w:t>
      </w:r>
      <w:r>
        <w:rPr>
          <w:rFonts w:ascii="Calibri" w:hAnsi="Calibri"/>
        </w:rPr>
        <w:t>those</w:t>
      </w:r>
      <w:r w:rsidRPr="0007061F">
        <w:rPr>
          <w:rFonts w:ascii="Calibri" w:hAnsi="Calibri"/>
        </w:rPr>
        <w:t xml:space="preserve"> whose first language was not English, who had limited </w:t>
      </w:r>
      <w:r>
        <w:rPr>
          <w:rFonts w:ascii="Calibri" w:hAnsi="Calibri"/>
        </w:rPr>
        <w:t>English literacy, almost halved</w:t>
      </w:r>
      <w:r w:rsidRPr="0007061F">
        <w:rPr>
          <w:rFonts w:ascii="Calibri" w:hAnsi="Calibri"/>
        </w:rPr>
        <w:t xml:space="preserve"> from 41% in 1996 to 23% by 2011</w:t>
      </w:r>
      <w:r>
        <w:rPr>
          <w:rFonts w:ascii="Calibri" w:hAnsi="Calibri"/>
        </w:rPr>
        <w:t>/12</w:t>
      </w:r>
    </w:p>
    <w:p w14:paraId="4C825352" w14:textId="77777777" w:rsidR="00C65183" w:rsidRDefault="00C65183" w:rsidP="00C65183">
      <w:pPr>
        <w:spacing w:after="60"/>
        <w:rPr>
          <w:rFonts w:asciiTheme="minorHAnsi" w:hAnsiTheme="minorHAnsi"/>
          <w:b/>
        </w:rPr>
      </w:pPr>
      <w:r w:rsidRPr="006A357B">
        <w:rPr>
          <w:rFonts w:ascii="Calibri" w:hAnsi="Calibri"/>
          <w:color w:val="7F7F7F" w:themeColor="text1" w:themeTint="80"/>
          <w:sz w:val="20"/>
          <w:szCs w:val="20"/>
        </w:rPr>
        <w:t xml:space="preserve">Per cent of </w:t>
      </w:r>
      <w:r>
        <w:rPr>
          <w:rFonts w:ascii="Calibri" w:hAnsi="Calibri"/>
          <w:color w:val="7F7F7F" w:themeColor="text1" w:themeTint="80"/>
          <w:sz w:val="20"/>
          <w:szCs w:val="20"/>
        </w:rPr>
        <w:t>p</w:t>
      </w:r>
      <w:r w:rsidRPr="006A357B">
        <w:rPr>
          <w:rFonts w:ascii="Calibri" w:hAnsi="Calibri"/>
          <w:color w:val="7F7F7F" w:themeColor="text1" w:themeTint="80"/>
          <w:sz w:val="20"/>
          <w:szCs w:val="20"/>
        </w:rPr>
        <w:t xml:space="preserve">ersons with </w:t>
      </w:r>
      <w:r>
        <w:rPr>
          <w:rFonts w:ascii="Calibri" w:hAnsi="Calibri"/>
          <w:color w:val="7F7F7F" w:themeColor="text1" w:themeTint="80"/>
          <w:sz w:val="20"/>
          <w:szCs w:val="20"/>
        </w:rPr>
        <w:t>l</w:t>
      </w:r>
      <w:r w:rsidRPr="006A357B">
        <w:rPr>
          <w:rFonts w:ascii="Calibri" w:hAnsi="Calibri"/>
          <w:color w:val="7F7F7F" w:themeColor="text1" w:themeTint="80"/>
          <w:sz w:val="20"/>
          <w:szCs w:val="20"/>
        </w:rPr>
        <w:t xml:space="preserve">imited English </w:t>
      </w:r>
      <w:r>
        <w:rPr>
          <w:rFonts w:ascii="Calibri" w:hAnsi="Calibri"/>
          <w:color w:val="7F7F7F" w:themeColor="text1" w:themeTint="80"/>
          <w:sz w:val="20"/>
          <w:szCs w:val="20"/>
        </w:rPr>
        <w:t>l</w:t>
      </w:r>
      <w:r w:rsidRPr="006A357B">
        <w:rPr>
          <w:rFonts w:ascii="Calibri" w:hAnsi="Calibri"/>
          <w:color w:val="7F7F7F" w:themeColor="text1" w:themeTint="80"/>
          <w:sz w:val="20"/>
          <w:szCs w:val="20"/>
        </w:rPr>
        <w:t xml:space="preserve">iteracy, by </w:t>
      </w:r>
      <w:r>
        <w:rPr>
          <w:rFonts w:ascii="Calibri" w:hAnsi="Calibri"/>
          <w:color w:val="7F7F7F" w:themeColor="text1" w:themeTint="80"/>
          <w:sz w:val="20"/>
          <w:szCs w:val="20"/>
        </w:rPr>
        <w:t>a</w:t>
      </w:r>
      <w:r w:rsidRPr="006A357B">
        <w:rPr>
          <w:rFonts w:ascii="Calibri" w:hAnsi="Calibri"/>
          <w:color w:val="7F7F7F" w:themeColor="text1" w:themeTint="80"/>
          <w:sz w:val="20"/>
          <w:szCs w:val="20"/>
        </w:rPr>
        <w:t xml:space="preserve">ge and </w:t>
      </w:r>
      <w:r>
        <w:rPr>
          <w:rFonts w:ascii="Calibri" w:hAnsi="Calibri"/>
          <w:color w:val="7F7F7F" w:themeColor="text1" w:themeTint="80"/>
          <w:sz w:val="20"/>
          <w:szCs w:val="20"/>
        </w:rPr>
        <w:t>s</w:t>
      </w:r>
      <w:r w:rsidRPr="006A357B">
        <w:rPr>
          <w:rFonts w:ascii="Calibri" w:hAnsi="Calibri"/>
          <w:color w:val="7F7F7F" w:themeColor="text1" w:themeTint="80"/>
          <w:sz w:val="20"/>
          <w:szCs w:val="20"/>
        </w:rPr>
        <w:t>ex: Australia, 1996 and 2012</w:t>
      </w:r>
    </w:p>
    <w:p w14:paraId="3EC35F4F" w14:textId="77777777" w:rsidR="00C65183" w:rsidRDefault="00C65183" w:rsidP="00C65183">
      <w:pPr>
        <w:spacing w:line="360" w:lineRule="auto"/>
        <w:rPr>
          <w:rFonts w:ascii="Calibri" w:hAnsi="Calibri"/>
        </w:rPr>
      </w:pPr>
      <w:r w:rsidRPr="0007061F">
        <w:rPr>
          <w:rFonts w:ascii="Calibri" w:hAnsi="Calibri"/>
        </w:rPr>
        <w:t>In this time, the rate of limited</w:t>
      </w:r>
      <w:r>
        <w:rPr>
          <w:rFonts w:ascii="Calibri" w:hAnsi="Calibri"/>
        </w:rPr>
        <w:t xml:space="preserve"> English</w:t>
      </w:r>
      <w:r w:rsidRPr="0007061F">
        <w:rPr>
          <w:rFonts w:ascii="Calibri" w:hAnsi="Calibri"/>
        </w:rPr>
        <w:t xml:space="preserve"> literacy among people whose first language was English </w:t>
      </w:r>
      <w:r>
        <w:rPr>
          <w:rFonts w:ascii="Calibri" w:hAnsi="Calibri"/>
        </w:rPr>
        <w:t xml:space="preserve">fell slightly </w:t>
      </w:r>
      <w:r w:rsidRPr="0007061F">
        <w:rPr>
          <w:rFonts w:ascii="Calibri" w:hAnsi="Calibri"/>
        </w:rPr>
        <w:t>from 13% to 12%.</w:t>
      </w:r>
    </w:p>
    <w:p w14:paraId="682C3077" w14:textId="77777777" w:rsidR="00C65183" w:rsidRPr="00FA7C11" w:rsidRDefault="00C65183" w:rsidP="00C65183">
      <w:pPr>
        <w:spacing w:after="60"/>
        <w:rPr>
          <w:rFonts w:asciiTheme="minorHAnsi" w:hAnsiTheme="minorHAnsi"/>
          <w:b/>
        </w:rPr>
      </w:pPr>
      <w:r w:rsidRPr="00FA7C11">
        <w:rPr>
          <w:rFonts w:asciiTheme="minorHAnsi" w:hAnsiTheme="minorHAnsi"/>
          <w:b/>
        </w:rPr>
        <w:lastRenderedPageBreak/>
        <w:t>Literacy</w:t>
      </w:r>
      <w:r>
        <w:rPr>
          <w:rFonts w:asciiTheme="minorHAnsi" w:hAnsiTheme="minorHAnsi"/>
          <w:b/>
        </w:rPr>
        <w:t xml:space="preserve"> and Employment</w:t>
      </w:r>
      <w:r w:rsidRPr="00FA7C11">
        <w:rPr>
          <w:rFonts w:asciiTheme="minorHAnsi" w:hAnsiTheme="minorHAnsi"/>
          <w:b/>
        </w:rPr>
        <w:t xml:space="preserve"> </w:t>
      </w:r>
    </w:p>
    <w:p w14:paraId="024C2C1C" w14:textId="77777777" w:rsidR="00C65183" w:rsidRDefault="00C65183" w:rsidP="00C65183">
      <w:pPr>
        <w:spacing w:line="360" w:lineRule="auto"/>
        <w:jc w:val="both"/>
        <w:rPr>
          <w:rFonts w:ascii="Calibri" w:hAnsi="Calibri"/>
        </w:rPr>
      </w:pPr>
      <w:r w:rsidRPr="00FA7C11">
        <w:rPr>
          <w:rFonts w:asciiTheme="minorHAnsi" w:hAnsiTheme="minorHAnsi"/>
          <w:b/>
          <w:noProof/>
        </w:rPr>
        <w:drawing>
          <wp:anchor distT="0" distB="0" distL="114300" distR="114300" simplePos="0" relativeHeight="251743232" behindDoc="0" locked="0" layoutInCell="1" allowOverlap="1" wp14:anchorId="2666FB90" wp14:editId="57CD7A02">
            <wp:simplePos x="0" y="0"/>
            <wp:positionH relativeFrom="column">
              <wp:posOffset>3861434</wp:posOffset>
            </wp:positionH>
            <wp:positionV relativeFrom="paragraph">
              <wp:posOffset>9496</wp:posOffset>
            </wp:positionV>
            <wp:extent cx="1019175" cy="756660"/>
            <wp:effectExtent l="0" t="0" r="0" b="5715"/>
            <wp:wrapNone/>
            <wp:docPr id="179" name="Picture 24" descr="Business Interior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Business Interior 2"/>
                    <pic:cNvPicPr>
                      <a:picLocks noChangeAspect="1" noChangeArrowheads="1"/>
                    </pic:cNvPicPr>
                  </pic:nvPicPr>
                  <pic:blipFill>
                    <a:blip r:embed="rId107" cstate="print"/>
                    <a:srcRect/>
                    <a:stretch>
                      <a:fillRect/>
                    </a:stretch>
                  </pic:blipFill>
                  <pic:spPr bwMode="auto">
                    <a:xfrm>
                      <a:off x="0" y="0"/>
                      <a:ext cx="1019680" cy="75703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noProof/>
          <w:lang w:eastAsia="en-AU"/>
        </w:rPr>
        <w:drawing>
          <wp:anchor distT="0" distB="0" distL="114300" distR="114300" simplePos="0" relativeHeight="251741184" behindDoc="0" locked="0" layoutInCell="1" allowOverlap="1" wp14:anchorId="00CE8F7F" wp14:editId="0F63BCC7">
            <wp:simplePos x="0" y="0"/>
            <wp:positionH relativeFrom="column">
              <wp:posOffset>2327910</wp:posOffset>
            </wp:positionH>
            <wp:positionV relativeFrom="paragraph">
              <wp:posOffset>62230</wp:posOffset>
            </wp:positionV>
            <wp:extent cx="3800475" cy="2492375"/>
            <wp:effectExtent l="0" t="0" r="9525" b="3175"/>
            <wp:wrapSquare wrapText="bothSides"/>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3800475" cy="24923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libri" w:hAnsi="Calibri"/>
        </w:rPr>
        <w:t xml:space="preserve">The proportion of people with limited English literacy was lowest among those in paid employment, higher among people who were unemployed, and greater still among those not in the labour force. </w:t>
      </w:r>
    </w:p>
    <w:p w14:paraId="3F44F0B5" w14:textId="77777777" w:rsidR="00C65183" w:rsidRDefault="00C65183" w:rsidP="00C65183">
      <w:pPr>
        <w:spacing w:line="360" w:lineRule="auto"/>
        <w:jc w:val="both"/>
        <w:rPr>
          <w:rFonts w:ascii="Calibri" w:hAnsi="Calibri"/>
        </w:rPr>
      </w:pPr>
    </w:p>
    <w:p w14:paraId="52D334FC" w14:textId="77777777" w:rsidR="00C65183" w:rsidRPr="008C4528" w:rsidRDefault="00C65183" w:rsidP="00C65183">
      <w:pPr>
        <w:jc w:val="both"/>
        <w:rPr>
          <w:rFonts w:ascii="Calibri" w:hAnsi="Calibri"/>
          <w:sz w:val="10"/>
          <w:szCs w:val="10"/>
        </w:rPr>
      </w:pPr>
    </w:p>
    <w:p w14:paraId="0BA4813D" w14:textId="77777777" w:rsidR="00C65183" w:rsidRDefault="00C65183" w:rsidP="00C65183">
      <w:pPr>
        <w:jc w:val="both"/>
        <w:rPr>
          <w:rFonts w:ascii="Calibri" w:hAnsi="Calibri"/>
          <w:color w:val="7F7F7F" w:themeColor="text1" w:themeTint="80"/>
          <w:sz w:val="20"/>
          <w:szCs w:val="20"/>
        </w:rPr>
      </w:pPr>
      <w:r w:rsidRPr="006A357B">
        <w:rPr>
          <w:rFonts w:ascii="Calibri" w:hAnsi="Calibri"/>
          <w:color w:val="7F7F7F" w:themeColor="text1" w:themeTint="80"/>
          <w:sz w:val="20"/>
          <w:szCs w:val="20"/>
        </w:rPr>
        <w:t xml:space="preserve">Per cent of </w:t>
      </w:r>
      <w:r>
        <w:rPr>
          <w:rFonts w:ascii="Calibri" w:hAnsi="Calibri"/>
          <w:color w:val="7F7F7F" w:themeColor="text1" w:themeTint="80"/>
          <w:sz w:val="20"/>
          <w:szCs w:val="20"/>
        </w:rPr>
        <w:t>p</w:t>
      </w:r>
      <w:r w:rsidRPr="006A357B">
        <w:rPr>
          <w:rFonts w:ascii="Calibri" w:hAnsi="Calibri"/>
          <w:color w:val="7F7F7F" w:themeColor="text1" w:themeTint="80"/>
          <w:sz w:val="20"/>
          <w:szCs w:val="20"/>
        </w:rPr>
        <w:t xml:space="preserve">ersons with </w:t>
      </w:r>
      <w:r>
        <w:rPr>
          <w:rFonts w:ascii="Calibri" w:hAnsi="Calibri"/>
          <w:color w:val="7F7F7F" w:themeColor="text1" w:themeTint="80"/>
          <w:sz w:val="20"/>
          <w:szCs w:val="20"/>
        </w:rPr>
        <w:t>l</w:t>
      </w:r>
      <w:r w:rsidRPr="006A357B">
        <w:rPr>
          <w:rFonts w:ascii="Calibri" w:hAnsi="Calibri"/>
          <w:color w:val="7F7F7F" w:themeColor="text1" w:themeTint="80"/>
          <w:sz w:val="20"/>
          <w:szCs w:val="20"/>
        </w:rPr>
        <w:t xml:space="preserve">imited English </w:t>
      </w:r>
      <w:r>
        <w:rPr>
          <w:rFonts w:ascii="Calibri" w:hAnsi="Calibri"/>
          <w:color w:val="7F7F7F" w:themeColor="text1" w:themeTint="80"/>
          <w:sz w:val="20"/>
          <w:szCs w:val="20"/>
        </w:rPr>
        <w:t>l</w:t>
      </w:r>
      <w:r w:rsidRPr="006A357B">
        <w:rPr>
          <w:rFonts w:ascii="Calibri" w:hAnsi="Calibri"/>
          <w:color w:val="7F7F7F" w:themeColor="text1" w:themeTint="80"/>
          <w:sz w:val="20"/>
          <w:szCs w:val="20"/>
        </w:rPr>
        <w:t xml:space="preserve">iteracy, by </w:t>
      </w:r>
      <w:r>
        <w:rPr>
          <w:rFonts w:ascii="Calibri" w:hAnsi="Calibri"/>
          <w:color w:val="7F7F7F" w:themeColor="text1" w:themeTint="80"/>
          <w:sz w:val="20"/>
          <w:szCs w:val="20"/>
        </w:rPr>
        <w:t>s</w:t>
      </w:r>
      <w:r w:rsidRPr="006A357B">
        <w:rPr>
          <w:rFonts w:ascii="Calibri" w:hAnsi="Calibri"/>
          <w:color w:val="7F7F7F" w:themeColor="text1" w:themeTint="80"/>
          <w:sz w:val="20"/>
          <w:szCs w:val="20"/>
        </w:rPr>
        <w:t xml:space="preserve">ex and </w:t>
      </w:r>
      <w:r>
        <w:rPr>
          <w:rFonts w:ascii="Calibri" w:hAnsi="Calibri"/>
          <w:color w:val="7F7F7F" w:themeColor="text1" w:themeTint="80"/>
          <w:sz w:val="20"/>
          <w:szCs w:val="20"/>
        </w:rPr>
        <w:t>l</w:t>
      </w:r>
      <w:r w:rsidRPr="006A357B">
        <w:rPr>
          <w:rFonts w:ascii="Calibri" w:hAnsi="Calibri"/>
          <w:color w:val="7F7F7F" w:themeColor="text1" w:themeTint="80"/>
          <w:sz w:val="20"/>
          <w:szCs w:val="20"/>
        </w:rPr>
        <w:t xml:space="preserve">abour </w:t>
      </w:r>
      <w:r>
        <w:rPr>
          <w:rFonts w:ascii="Calibri" w:hAnsi="Calibri"/>
          <w:color w:val="7F7F7F" w:themeColor="text1" w:themeTint="80"/>
          <w:sz w:val="20"/>
          <w:szCs w:val="20"/>
        </w:rPr>
        <w:t>f</w:t>
      </w:r>
      <w:r w:rsidRPr="006A357B">
        <w:rPr>
          <w:rFonts w:ascii="Calibri" w:hAnsi="Calibri"/>
          <w:color w:val="7F7F7F" w:themeColor="text1" w:themeTint="80"/>
          <w:sz w:val="20"/>
          <w:szCs w:val="20"/>
        </w:rPr>
        <w:t xml:space="preserve">orce </w:t>
      </w:r>
      <w:r>
        <w:rPr>
          <w:rFonts w:ascii="Calibri" w:hAnsi="Calibri"/>
          <w:color w:val="7F7F7F" w:themeColor="text1" w:themeTint="80"/>
          <w:sz w:val="20"/>
          <w:szCs w:val="20"/>
        </w:rPr>
        <w:t>s</w:t>
      </w:r>
      <w:r w:rsidRPr="006A357B">
        <w:rPr>
          <w:rFonts w:ascii="Calibri" w:hAnsi="Calibri"/>
          <w:color w:val="7F7F7F" w:themeColor="text1" w:themeTint="80"/>
          <w:sz w:val="20"/>
          <w:szCs w:val="20"/>
        </w:rPr>
        <w:t>tatus: Australia, 2012</w:t>
      </w:r>
    </w:p>
    <w:p w14:paraId="40FEC4E5" w14:textId="77777777" w:rsidR="00C65183" w:rsidRDefault="00C65183" w:rsidP="00C65183">
      <w:pPr>
        <w:jc w:val="both"/>
        <w:rPr>
          <w:rFonts w:ascii="Calibri" w:hAnsi="Calibri"/>
          <w:color w:val="7F7F7F" w:themeColor="text1" w:themeTint="80"/>
          <w:sz w:val="20"/>
          <w:szCs w:val="20"/>
        </w:rPr>
      </w:pPr>
    </w:p>
    <w:p w14:paraId="08D466D4" w14:textId="77777777" w:rsidR="00C65183" w:rsidRDefault="00C65183" w:rsidP="00C65183">
      <w:pPr>
        <w:jc w:val="both"/>
        <w:rPr>
          <w:rFonts w:ascii="Calibri" w:hAnsi="Calibri"/>
          <w:color w:val="7F7F7F" w:themeColor="text1" w:themeTint="80"/>
          <w:sz w:val="20"/>
          <w:szCs w:val="20"/>
        </w:rPr>
      </w:pPr>
    </w:p>
    <w:p w14:paraId="57797A21" w14:textId="77777777" w:rsidR="00C65183" w:rsidRPr="006A357B" w:rsidRDefault="00C65183" w:rsidP="00C65183">
      <w:pPr>
        <w:jc w:val="both"/>
        <w:rPr>
          <w:rFonts w:ascii="Calibri" w:hAnsi="Calibri"/>
          <w:color w:val="7F7F7F" w:themeColor="text1" w:themeTint="80"/>
          <w:sz w:val="20"/>
          <w:szCs w:val="20"/>
        </w:rPr>
      </w:pPr>
    </w:p>
    <w:p w14:paraId="6A4F16C8" w14:textId="77777777" w:rsidR="00C65183" w:rsidRPr="00FA7C11" w:rsidRDefault="00C65183" w:rsidP="00C65183">
      <w:pPr>
        <w:spacing w:after="60"/>
        <w:rPr>
          <w:rFonts w:asciiTheme="minorHAnsi" w:hAnsiTheme="minorHAnsi"/>
          <w:b/>
        </w:rPr>
      </w:pPr>
      <w:r w:rsidRPr="00FA7C11">
        <w:rPr>
          <w:rFonts w:asciiTheme="minorHAnsi" w:hAnsiTheme="minorHAnsi"/>
          <w:b/>
        </w:rPr>
        <w:t>Literacy and Access to Modes of Written Communication</w:t>
      </w:r>
    </w:p>
    <w:p w14:paraId="7729EBD7" w14:textId="77777777" w:rsidR="00C65183" w:rsidRDefault="00C65183" w:rsidP="00C65183">
      <w:pPr>
        <w:spacing w:line="360" w:lineRule="auto"/>
        <w:jc w:val="both"/>
        <w:rPr>
          <w:rFonts w:ascii="Calibri" w:hAnsi="Calibri"/>
        </w:rPr>
      </w:pPr>
      <w:r w:rsidRPr="0097538B">
        <w:rPr>
          <w:rFonts w:ascii="Calibri" w:hAnsi="Calibri"/>
        </w:rPr>
        <w:t xml:space="preserve">In everyday life, people with </w:t>
      </w:r>
      <w:r>
        <w:rPr>
          <w:rFonts w:ascii="Calibri" w:hAnsi="Calibri"/>
        </w:rPr>
        <w:t>limited</w:t>
      </w:r>
      <w:r w:rsidRPr="0097538B">
        <w:rPr>
          <w:rFonts w:ascii="Calibri" w:hAnsi="Calibri"/>
        </w:rPr>
        <w:t xml:space="preserve"> levels of </w:t>
      </w:r>
      <w:r>
        <w:rPr>
          <w:rFonts w:ascii="Calibri" w:hAnsi="Calibri"/>
        </w:rPr>
        <w:t xml:space="preserve">English </w:t>
      </w:r>
      <w:r w:rsidRPr="0097538B">
        <w:rPr>
          <w:rFonts w:ascii="Calibri" w:hAnsi="Calibri"/>
        </w:rPr>
        <w:t xml:space="preserve">literacy are </w:t>
      </w:r>
      <w:r>
        <w:rPr>
          <w:rFonts w:ascii="Calibri" w:hAnsi="Calibri"/>
        </w:rPr>
        <w:t>far less likely</w:t>
      </w:r>
      <w:r w:rsidRPr="0097538B">
        <w:rPr>
          <w:rFonts w:ascii="Calibri" w:hAnsi="Calibri"/>
        </w:rPr>
        <w:t xml:space="preserve"> than those with </w:t>
      </w:r>
      <w:r>
        <w:rPr>
          <w:rFonts w:ascii="Calibri" w:hAnsi="Calibri"/>
        </w:rPr>
        <w:t>high</w:t>
      </w:r>
      <w:r w:rsidRPr="0097538B">
        <w:rPr>
          <w:rFonts w:ascii="Calibri" w:hAnsi="Calibri"/>
        </w:rPr>
        <w:t xml:space="preserve"> literacy, to read diagrams, books or maps, </w:t>
      </w:r>
      <w:r>
        <w:rPr>
          <w:rFonts w:ascii="Calibri" w:hAnsi="Calibri"/>
        </w:rPr>
        <w:t>or</w:t>
      </w:r>
      <w:r w:rsidRPr="0097538B">
        <w:rPr>
          <w:rFonts w:ascii="Calibri" w:hAnsi="Calibri"/>
        </w:rPr>
        <w:t xml:space="preserve"> to write or read memos, letters or emails.</w:t>
      </w:r>
    </w:p>
    <w:p w14:paraId="1E499A9B" w14:textId="77777777" w:rsidR="00C65183" w:rsidRDefault="00C65183" w:rsidP="00C65183">
      <w:pPr>
        <w:spacing w:line="360" w:lineRule="auto"/>
        <w:jc w:val="both"/>
        <w:rPr>
          <w:rFonts w:ascii="Calibri" w:hAnsi="Calibri"/>
        </w:rPr>
      </w:pPr>
      <w:r w:rsidRPr="008C4528">
        <w:rPr>
          <w:noProof/>
          <w:lang w:eastAsia="en-AU"/>
        </w:rPr>
        <w:drawing>
          <wp:anchor distT="0" distB="0" distL="114300" distR="114300" simplePos="0" relativeHeight="251742208" behindDoc="0" locked="0" layoutInCell="1" allowOverlap="1" wp14:anchorId="004DD645" wp14:editId="4521C7FB">
            <wp:simplePos x="0" y="0"/>
            <wp:positionH relativeFrom="margin">
              <wp:align>right</wp:align>
            </wp:positionH>
            <wp:positionV relativeFrom="paragraph">
              <wp:posOffset>38100</wp:posOffset>
            </wp:positionV>
            <wp:extent cx="4915535" cy="3348990"/>
            <wp:effectExtent l="0" t="0" r="0" b="3810"/>
            <wp:wrapSquare wrapText="bothSides"/>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109" cstate="print">
                      <a:extLst>
                        <a:ext uri="{28A0092B-C50C-407E-A947-70E740481C1C}">
                          <a14:useLocalDpi xmlns:a14="http://schemas.microsoft.com/office/drawing/2010/main" val="0"/>
                        </a:ext>
                      </a:extLst>
                    </a:blip>
                    <a:srcRect r="9487"/>
                    <a:stretch/>
                  </pic:blipFill>
                  <pic:spPr bwMode="auto">
                    <a:xfrm>
                      <a:off x="0" y="0"/>
                      <a:ext cx="4915535" cy="33489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8BCFDC2" w14:textId="77777777" w:rsidR="00C65183" w:rsidRDefault="00C65183" w:rsidP="00C65183">
      <w:pPr>
        <w:spacing w:line="360" w:lineRule="auto"/>
        <w:jc w:val="both"/>
        <w:rPr>
          <w:rFonts w:ascii="Calibri" w:hAnsi="Calibri"/>
        </w:rPr>
      </w:pPr>
    </w:p>
    <w:p w14:paraId="555FBFF6" w14:textId="77777777" w:rsidR="00C65183" w:rsidRDefault="00C65183" w:rsidP="00C65183">
      <w:pPr>
        <w:spacing w:line="360" w:lineRule="auto"/>
        <w:jc w:val="both"/>
        <w:rPr>
          <w:rFonts w:ascii="Calibri" w:hAnsi="Calibri"/>
        </w:rPr>
      </w:pPr>
    </w:p>
    <w:p w14:paraId="55541AF4" w14:textId="77777777" w:rsidR="00C65183" w:rsidRPr="006A357B" w:rsidRDefault="00C65183" w:rsidP="00C65183">
      <w:pPr>
        <w:jc w:val="both"/>
        <w:rPr>
          <w:rFonts w:ascii="Calibri" w:hAnsi="Calibri"/>
          <w:color w:val="7F7F7F" w:themeColor="text1" w:themeTint="80"/>
          <w:sz w:val="20"/>
          <w:szCs w:val="20"/>
        </w:rPr>
      </w:pPr>
      <w:r w:rsidRPr="006A357B">
        <w:rPr>
          <w:rFonts w:ascii="Calibri" w:hAnsi="Calibri"/>
          <w:color w:val="7F7F7F" w:themeColor="text1" w:themeTint="80"/>
          <w:sz w:val="20"/>
          <w:szCs w:val="20"/>
        </w:rPr>
        <w:t xml:space="preserve">Access to, or </w:t>
      </w:r>
      <w:r>
        <w:rPr>
          <w:rFonts w:ascii="Calibri" w:hAnsi="Calibri"/>
          <w:color w:val="7F7F7F" w:themeColor="text1" w:themeTint="80"/>
          <w:sz w:val="20"/>
          <w:szCs w:val="20"/>
        </w:rPr>
        <w:t>u</w:t>
      </w:r>
      <w:r w:rsidRPr="006A357B">
        <w:rPr>
          <w:rFonts w:ascii="Calibri" w:hAnsi="Calibri"/>
          <w:color w:val="7F7F7F" w:themeColor="text1" w:themeTint="80"/>
          <w:sz w:val="20"/>
          <w:szCs w:val="20"/>
        </w:rPr>
        <w:t xml:space="preserve">se of, </w:t>
      </w:r>
      <w:r>
        <w:rPr>
          <w:rFonts w:ascii="Calibri" w:hAnsi="Calibri"/>
          <w:color w:val="7F7F7F" w:themeColor="text1" w:themeTint="80"/>
          <w:sz w:val="20"/>
          <w:szCs w:val="20"/>
        </w:rPr>
        <w:t>w</w:t>
      </w:r>
      <w:r w:rsidRPr="006A357B">
        <w:rPr>
          <w:rFonts w:ascii="Calibri" w:hAnsi="Calibri"/>
          <w:color w:val="7F7F7F" w:themeColor="text1" w:themeTint="80"/>
          <w:sz w:val="20"/>
          <w:szCs w:val="20"/>
        </w:rPr>
        <w:t xml:space="preserve">ritten </w:t>
      </w:r>
      <w:r>
        <w:rPr>
          <w:rFonts w:ascii="Calibri" w:hAnsi="Calibri"/>
          <w:color w:val="7F7F7F" w:themeColor="text1" w:themeTint="80"/>
          <w:sz w:val="20"/>
          <w:szCs w:val="20"/>
        </w:rPr>
        <w:t>m</w:t>
      </w:r>
      <w:r w:rsidRPr="006A357B">
        <w:rPr>
          <w:rFonts w:ascii="Calibri" w:hAnsi="Calibri"/>
          <w:color w:val="7F7F7F" w:themeColor="text1" w:themeTint="80"/>
          <w:sz w:val="20"/>
          <w:szCs w:val="20"/>
        </w:rPr>
        <w:t xml:space="preserve">edia by </w:t>
      </w:r>
      <w:r>
        <w:rPr>
          <w:rFonts w:ascii="Calibri" w:hAnsi="Calibri"/>
          <w:color w:val="7F7F7F" w:themeColor="text1" w:themeTint="80"/>
          <w:sz w:val="20"/>
          <w:szCs w:val="20"/>
        </w:rPr>
        <w:t>l</w:t>
      </w:r>
      <w:r w:rsidRPr="006A357B">
        <w:rPr>
          <w:rFonts w:ascii="Calibri" w:hAnsi="Calibri"/>
          <w:color w:val="7F7F7F" w:themeColor="text1" w:themeTint="80"/>
          <w:sz w:val="20"/>
          <w:szCs w:val="20"/>
        </w:rPr>
        <w:t xml:space="preserve">iteracy </w:t>
      </w:r>
      <w:r>
        <w:rPr>
          <w:rFonts w:ascii="Calibri" w:hAnsi="Calibri"/>
          <w:color w:val="7F7F7F" w:themeColor="text1" w:themeTint="80"/>
          <w:sz w:val="20"/>
          <w:szCs w:val="20"/>
        </w:rPr>
        <w:t>l</w:t>
      </w:r>
      <w:r w:rsidRPr="006A357B">
        <w:rPr>
          <w:rFonts w:ascii="Calibri" w:hAnsi="Calibri"/>
          <w:color w:val="7F7F7F" w:themeColor="text1" w:themeTint="80"/>
          <w:sz w:val="20"/>
          <w:szCs w:val="20"/>
        </w:rPr>
        <w:t>evel: Australia, 2012</w:t>
      </w:r>
    </w:p>
    <w:p w14:paraId="169AF3A3" w14:textId="77777777" w:rsidR="00C65183" w:rsidRDefault="00C65183" w:rsidP="00C65183">
      <w:pPr>
        <w:spacing w:line="360" w:lineRule="auto"/>
        <w:jc w:val="both"/>
        <w:rPr>
          <w:rFonts w:ascii="Calibri" w:hAnsi="Calibri"/>
        </w:rPr>
      </w:pPr>
    </w:p>
    <w:p w14:paraId="51816465" w14:textId="77777777" w:rsidR="00C65183" w:rsidRDefault="00C65183" w:rsidP="00C65183">
      <w:pPr>
        <w:spacing w:line="360" w:lineRule="auto"/>
        <w:jc w:val="both"/>
        <w:rPr>
          <w:rFonts w:ascii="Calibri" w:hAnsi="Calibri"/>
        </w:rPr>
      </w:pPr>
    </w:p>
    <w:p w14:paraId="6BF548A9" w14:textId="77777777" w:rsidR="00C65183" w:rsidRDefault="00C65183" w:rsidP="00C65183">
      <w:pPr>
        <w:rPr>
          <w:rFonts w:ascii="Calibri" w:hAnsi="Calibri"/>
        </w:rPr>
      </w:pPr>
    </w:p>
    <w:p w14:paraId="3BF170A8" w14:textId="77777777" w:rsidR="00C65183" w:rsidRDefault="00C65183" w:rsidP="00C65183">
      <w:pPr>
        <w:rPr>
          <w:rFonts w:ascii="Calibri" w:hAnsi="Calibri"/>
        </w:rPr>
      </w:pPr>
    </w:p>
    <w:p w14:paraId="387BC136" w14:textId="77777777" w:rsidR="00C65183" w:rsidRDefault="00C65183" w:rsidP="00C65183">
      <w:pPr>
        <w:rPr>
          <w:rFonts w:ascii="Calibri" w:hAnsi="Calibri"/>
        </w:rPr>
      </w:pPr>
    </w:p>
    <w:p w14:paraId="7EB008D5" w14:textId="77777777" w:rsidR="00C65183" w:rsidRDefault="00C65183" w:rsidP="00C65183">
      <w:pPr>
        <w:rPr>
          <w:rFonts w:ascii="Calibri" w:hAnsi="Calibri"/>
        </w:rPr>
      </w:pPr>
    </w:p>
    <w:p w14:paraId="424FD9E0" w14:textId="77777777" w:rsidR="00C65183" w:rsidRDefault="00C65183" w:rsidP="00C65183">
      <w:pPr>
        <w:rPr>
          <w:rFonts w:ascii="Calibri" w:hAnsi="Calibri"/>
        </w:rPr>
      </w:pPr>
    </w:p>
    <w:p w14:paraId="0C664204" w14:textId="77777777" w:rsidR="00C65183" w:rsidRDefault="00C65183" w:rsidP="00C65183">
      <w:pPr>
        <w:rPr>
          <w:rFonts w:ascii="Calibri" w:hAnsi="Calibri"/>
        </w:rPr>
      </w:pPr>
    </w:p>
    <w:p w14:paraId="49FF4C8C" w14:textId="77777777" w:rsidR="00C65183" w:rsidRDefault="00C65183" w:rsidP="00C65183">
      <w:pPr>
        <w:rPr>
          <w:rFonts w:ascii="Calibri" w:hAnsi="Calibri"/>
        </w:rPr>
      </w:pPr>
    </w:p>
    <w:p w14:paraId="6228806E" w14:textId="77777777" w:rsidR="00C65183" w:rsidRPr="00955FA5" w:rsidRDefault="00C65183" w:rsidP="00C65183">
      <w:pPr>
        <w:rPr>
          <w:rFonts w:ascii="Calibri" w:hAnsi="Calibri"/>
          <w:sz w:val="10"/>
          <w:szCs w:val="10"/>
        </w:rPr>
      </w:pPr>
    </w:p>
    <w:p w14:paraId="46D3F98A" w14:textId="77777777" w:rsidR="00C65183" w:rsidRDefault="00C65183" w:rsidP="00C65183">
      <w:pPr>
        <w:rPr>
          <w:rFonts w:ascii="Calibri" w:hAnsi="Calibri"/>
        </w:rPr>
      </w:pPr>
    </w:p>
    <w:p w14:paraId="4D190D75" w14:textId="77777777" w:rsidR="00C65183" w:rsidRDefault="00C65183" w:rsidP="00C65183">
      <w:pPr>
        <w:rPr>
          <w:rFonts w:ascii="Calibri" w:hAnsi="Calibri"/>
        </w:rPr>
      </w:pPr>
    </w:p>
    <w:p w14:paraId="552611AD" w14:textId="77777777" w:rsidR="00C65183" w:rsidRPr="00FA7C11" w:rsidRDefault="00C65183" w:rsidP="00C65183">
      <w:pPr>
        <w:spacing w:after="60"/>
        <w:rPr>
          <w:rFonts w:asciiTheme="minorHAnsi" w:hAnsiTheme="minorHAnsi"/>
          <w:b/>
        </w:rPr>
      </w:pPr>
      <w:r w:rsidRPr="00FA7C11">
        <w:rPr>
          <w:rFonts w:asciiTheme="minorHAnsi" w:hAnsiTheme="minorHAnsi"/>
          <w:b/>
        </w:rPr>
        <w:t>The Prevalence of Limited English Literacy among Victorian Municipalities</w:t>
      </w:r>
    </w:p>
    <w:p w14:paraId="30810153" w14:textId="77777777" w:rsidR="00C65183" w:rsidRDefault="00C65183" w:rsidP="00C65183">
      <w:pPr>
        <w:spacing w:line="360" w:lineRule="auto"/>
        <w:jc w:val="both"/>
        <w:rPr>
          <w:rFonts w:ascii="Calibri" w:hAnsi="Calibri"/>
        </w:rPr>
      </w:pPr>
      <w:r>
        <w:rPr>
          <w:rFonts w:ascii="Calibri" w:hAnsi="Calibri"/>
        </w:rPr>
        <w:t xml:space="preserve">Analysis of the findings of the </w:t>
      </w:r>
      <w:r w:rsidRPr="00FA4F4D">
        <w:rPr>
          <w:rFonts w:ascii="Calibri" w:hAnsi="Calibri"/>
        </w:rPr>
        <w:t>2006 Adult Literacy and Life Skills Survey</w:t>
      </w:r>
      <w:r>
        <w:rPr>
          <w:rFonts w:ascii="Calibri" w:hAnsi="Calibri"/>
        </w:rPr>
        <w:t xml:space="preserve"> suggests</w:t>
      </w:r>
      <w:r w:rsidRPr="00FA4F4D">
        <w:rPr>
          <w:rFonts w:ascii="Calibri" w:hAnsi="Calibri"/>
        </w:rPr>
        <w:t xml:space="preserve"> that approximately 26% of residents of Greater Dandenong aged 15 to 74 - or 21,000 people - ha</w:t>
      </w:r>
      <w:r>
        <w:rPr>
          <w:rFonts w:ascii="Calibri" w:hAnsi="Calibri"/>
        </w:rPr>
        <w:t>d</w:t>
      </w:r>
      <w:r w:rsidRPr="00FA4F4D">
        <w:rPr>
          <w:rFonts w:ascii="Calibri" w:hAnsi="Calibri"/>
        </w:rPr>
        <w:t xml:space="preserve"> limited English literacy, compared with 16% of Victorian residents.</w:t>
      </w:r>
      <w:r>
        <w:rPr>
          <w:rStyle w:val="FootnoteReference"/>
          <w:rFonts w:ascii="Calibri" w:hAnsi="Calibri"/>
        </w:rPr>
        <w:footnoteReference w:id="41"/>
      </w:r>
    </w:p>
    <w:p w14:paraId="601CA112" w14:textId="77777777" w:rsidR="00C65183" w:rsidRDefault="00C65183" w:rsidP="00C65183">
      <w:pPr>
        <w:rPr>
          <w:rFonts w:asciiTheme="minorHAnsi" w:hAnsiTheme="minorHAnsi" w:cstheme="minorHAnsi"/>
        </w:rPr>
      </w:pPr>
      <w:r>
        <w:rPr>
          <w:rFonts w:asciiTheme="minorHAnsi" w:hAnsiTheme="minorHAnsi" w:cstheme="minorHAnsi"/>
        </w:rPr>
        <w:br w:type="page"/>
      </w:r>
    </w:p>
    <w:p w14:paraId="455C1A29" w14:textId="77777777" w:rsidR="00C65183" w:rsidRPr="00827F47" w:rsidRDefault="00C65183" w:rsidP="00C65183">
      <w:pPr>
        <w:pBdr>
          <w:top w:val="single" w:sz="4" w:space="0" w:color="244061" w:themeColor="accent1" w:themeShade="80"/>
          <w:bottom w:val="single" w:sz="4" w:space="1" w:color="244061" w:themeColor="accent1" w:themeShade="80"/>
        </w:pBdr>
        <w:tabs>
          <w:tab w:val="center" w:pos="4678"/>
        </w:tabs>
        <w:jc w:val="center"/>
        <w:rPr>
          <w:rFonts w:ascii="Garamond" w:hAnsi="Garamond"/>
          <w:noProof/>
          <w:color w:val="244061" w:themeColor="accent1" w:themeShade="80"/>
          <w:sz w:val="34"/>
          <w:szCs w:val="34"/>
        </w:rPr>
      </w:pPr>
      <w:r w:rsidRPr="00827F47">
        <w:rPr>
          <w:rFonts w:ascii="Garamond" w:hAnsi="Garamond"/>
          <w:noProof/>
          <w:color w:val="244061" w:themeColor="accent1" w:themeShade="80"/>
          <w:sz w:val="34"/>
          <w:szCs w:val="34"/>
        </w:rPr>
        <w:lastRenderedPageBreak/>
        <w:t>Employment and Unemployment</w:t>
      </w:r>
    </w:p>
    <w:p w14:paraId="796482F0" w14:textId="77777777" w:rsidR="00C65183" w:rsidRPr="00051274" w:rsidRDefault="00C65183" w:rsidP="00C65183">
      <w:pPr>
        <w:jc w:val="both"/>
        <w:rPr>
          <w:rFonts w:ascii="Calibri" w:hAnsi="Calibri"/>
        </w:rPr>
      </w:pPr>
    </w:p>
    <w:p w14:paraId="20002E8B" w14:textId="77777777" w:rsidR="00C65183" w:rsidRDefault="00C65183" w:rsidP="00C65183">
      <w:pPr>
        <w:spacing w:line="360" w:lineRule="auto"/>
        <w:jc w:val="both"/>
        <w:rPr>
          <w:rFonts w:ascii="Calibri" w:hAnsi="Calibri"/>
        </w:rPr>
      </w:pPr>
      <w:r>
        <w:rPr>
          <w:rFonts w:ascii="Calibri" w:hAnsi="Calibri"/>
          <w:noProof/>
          <w:color w:val="7F7F7F"/>
          <w:lang w:eastAsia="en-AU"/>
        </w:rPr>
        <w:drawing>
          <wp:anchor distT="0" distB="0" distL="114300" distR="114300" simplePos="0" relativeHeight="251757568" behindDoc="0" locked="0" layoutInCell="1" allowOverlap="1" wp14:anchorId="3C01BF24" wp14:editId="2A0E952E">
            <wp:simplePos x="0" y="0"/>
            <wp:positionH relativeFrom="margin">
              <wp:posOffset>4728209</wp:posOffset>
            </wp:positionH>
            <wp:positionV relativeFrom="paragraph">
              <wp:posOffset>450850</wp:posOffset>
            </wp:positionV>
            <wp:extent cx="1393510" cy="914400"/>
            <wp:effectExtent l="0" t="0" r="0" b="0"/>
            <wp:wrapNone/>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1405071" cy="921986"/>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051274">
        <w:rPr>
          <w:rFonts w:ascii="Calibri" w:hAnsi="Calibri"/>
        </w:rPr>
        <w:t>The findings of the 201</w:t>
      </w:r>
      <w:r>
        <w:rPr>
          <w:rFonts w:ascii="Calibri" w:hAnsi="Calibri"/>
        </w:rPr>
        <w:t>6</w:t>
      </w:r>
      <w:r w:rsidRPr="00051274">
        <w:rPr>
          <w:rFonts w:ascii="Calibri" w:hAnsi="Calibri"/>
        </w:rPr>
        <w:t xml:space="preserve"> Census, coupled with </w:t>
      </w:r>
      <w:r>
        <w:rPr>
          <w:rFonts w:ascii="Calibri" w:hAnsi="Calibri"/>
        </w:rPr>
        <w:t>more contemporary</w:t>
      </w:r>
      <w:r w:rsidRPr="00051274">
        <w:rPr>
          <w:rFonts w:ascii="Calibri" w:hAnsi="Calibri"/>
        </w:rPr>
        <w:t xml:space="preserve"> sources, provide</w:t>
      </w:r>
      <w:r>
        <w:rPr>
          <w:rFonts w:ascii="Calibri" w:hAnsi="Calibri"/>
        </w:rPr>
        <w:t>s</w:t>
      </w:r>
      <w:r w:rsidRPr="00051274">
        <w:rPr>
          <w:rFonts w:ascii="Calibri" w:hAnsi="Calibri"/>
        </w:rPr>
        <w:t xml:space="preserve"> </w:t>
      </w:r>
      <w:r>
        <w:rPr>
          <w:rFonts w:ascii="Calibri" w:hAnsi="Calibri"/>
        </w:rPr>
        <w:t>a glimpse of</w:t>
      </w:r>
      <w:r w:rsidRPr="00051274">
        <w:rPr>
          <w:rFonts w:ascii="Calibri" w:hAnsi="Calibri"/>
        </w:rPr>
        <w:t xml:space="preserve"> employment</w:t>
      </w:r>
      <w:r>
        <w:rPr>
          <w:rFonts w:ascii="Calibri" w:hAnsi="Calibri"/>
        </w:rPr>
        <w:t>,</w:t>
      </w:r>
      <w:r w:rsidRPr="00051274">
        <w:rPr>
          <w:rFonts w:ascii="Calibri" w:hAnsi="Calibri"/>
        </w:rPr>
        <w:t xml:space="preserve"> </w:t>
      </w:r>
      <w:r>
        <w:rPr>
          <w:rFonts w:ascii="Calibri" w:hAnsi="Calibri"/>
        </w:rPr>
        <w:t>occupations and labour force participation among</w:t>
      </w:r>
      <w:r w:rsidRPr="00051274">
        <w:rPr>
          <w:rFonts w:ascii="Calibri" w:hAnsi="Calibri"/>
        </w:rPr>
        <w:t xml:space="preserve"> residents of Greater Dandenong</w:t>
      </w:r>
      <w:r>
        <w:rPr>
          <w:rFonts w:ascii="Calibri" w:hAnsi="Calibri"/>
        </w:rPr>
        <w:t>,</w:t>
      </w:r>
      <w:r w:rsidRPr="00051274">
        <w:rPr>
          <w:rFonts w:ascii="Calibri" w:hAnsi="Calibri"/>
        </w:rPr>
        <w:t xml:space="preserve"> as well as the nature of the paid work whic</w:t>
      </w:r>
      <w:r>
        <w:rPr>
          <w:rFonts w:ascii="Calibri" w:hAnsi="Calibri"/>
        </w:rPr>
        <w:t>h takes place within this city.</w:t>
      </w:r>
    </w:p>
    <w:p w14:paraId="42065FFD" w14:textId="77777777" w:rsidR="00C65183" w:rsidRDefault="00C65183" w:rsidP="00C65183">
      <w:pPr>
        <w:spacing w:after="60"/>
        <w:jc w:val="both"/>
        <w:rPr>
          <w:rFonts w:ascii="Calibri" w:hAnsi="Calibri"/>
          <w:b/>
          <w:color w:val="000000"/>
        </w:rPr>
      </w:pPr>
    </w:p>
    <w:p w14:paraId="099D506B" w14:textId="77777777" w:rsidR="00C65183" w:rsidRDefault="00C65183" w:rsidP="00C65183">
      <w:pPr>
        <w:spacing w:after="120"/>
        <w:jc w:val="both"/>
        <w:rPr>
          <w:rFonts w:ascii="Calibri" w:hAnsi="Calibri"/>
        </w:rPr>
      </w:pPr>
      <w:r>
        <w:rPr>
          <w:rFonts w:ascii="Calibri" w:hAnsi="Calibri"/>
          <w:noProof/>
        </w:rPr>
        <w:drawing>
          <wp:anchor distT="0" distB="0" distL="114300" distR="114300" simplePos="0" relativeHeight="251753472" behindDoc="0" locked="0" layoutInCell="1" allowOverlap="1" wp14:anchorId="0C7DDC08" wp14:editId="536EDBF9">
            <wp:simplePos x="0" y="0"/>
            <wp:positionH relativeFrom="column">
              <wp:posOffset>2674620</wp:posOffset>
            </wp:positionH>
            <wp:positionV relativeFrom="paragraph">
              <wp:posOffset>123825</wp:posOffset>
            </wp:positionV>
            <wp:extent cx="3612515" cy="2593975"/>
            <wp:effectExtent l="0" t="0" r="6985" b="0"/>
            <wp:wrapSquare wrapText="bothSides"/>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3612515" cy="2593975"/>
                    </a:xfrm>
                    <a:prstGeom prst="rect">
                      <a:avLst/>
                    </a:prstGeom>
                    <a:noFill/>
                  </pic:spPr>
                </pic:pic>
              </a:graphicData>
            </a:graphic>
            <wp14:sizeRelH relativeFrom="page">
              <wp14:pctWidth>0</wp14:pctWidth>
            </wp14:sizeRelH>
            <wp14:sizeRelV relativeFrom="page">
              <wp14:pctHeight>0</wp14:pctHeight>
            </wp14:sizeRelV>
          </wp:anchor>
        </w:drawing>
      </w:r>
      <w:r w:rsidRPr="00111466">
        <w:rPr>
          <w:rFonts w:ascii="Calibri" w:hAnsi="Calibri"/>
          <w:b/>
          <w:color w:val="000000"/>
        </w:rPr>
        <w:t>Unemployment</w:t>
      </w:r>
    </w:p>
    <w:p w14:paraId="7322D4BC" w14:textId="77777777" w:rsidR="00C65183" w:rsidRDefault="00C65183" w:rsidP="00C65183">
      <w:pPr>
        <w:tabs>
          <w:tab w:val="left" w:pos="284"/>
        </w:tabs>
        <w:spacing w:line="360" w:lineRule="auto"/>
        <w:jc w:val="both"/>
        <w:rPr>
          <w:rFonts w:ascii="Calibri" w:hAnsi="Calibri"/>
        </w:rPr>
      </w:pPr>
      <w:r>
        <w:rPr>
          <w:rFonts w:ascii="Calibri" w:hAnsi="Calibri"/>
        </w:rPr>
        <w:t xml:space="preserve">Unemployment rates in Greater Dandenong have fluctuated in the past decade, most recently declining from 12.4% in June 2016 to 7.7% by 2019, before rising to 10.2% by mid-2020 – the highest level in Victoria and substantially more than the metropolitan average of 5.7%. </w:t>
      </w:r>
    </w:p>
    <w:p w14:paraId="1A483586" w14:textId="77777777" w:rsidR="00C65183" w:rsidRPr="00831C14" w:rsidRDefault="00C65183" w:rsidP="00C65183">
      <w:pPr>
        <w:tabs>
          <w:tab w:val="left" w:pos="5387"/>
        </w:tabs>
        <w:jc w:val="both"/>
        <w:rPr>
          <w:rFonts w:ascii="Calibri" w:hAnsi="Calibri"/>
          <w:color w:val="7F7F7F"/>
          <w:sz w:val="10"/>
          <w:szCs w:val="10"/>
        </w:rPr>
      </w:pPr>
    </w:p>
    <w:p w14:paraId="5F3A07A8" w14:textId="77777777" w:rsidR="00C65183" w:rsidRPr="00093573" w:rsidRDefault="00C65183" w:rsidP="00C65183">
      <w:pPr>
        <w:tabs>
          <w:tab w:val="left" w:pos="5387"/>
        </w:tabs>
        <w:jc w:val="both"/>
        <w:rPr>
          <w:rFonts w:ascii="Calibri" w:hAnsi="Calibri"/>
          <w:color w:val="7F7F7F"/>
          <w:sz w:val="20"/>
          <w:szCs w:val="20"/>
        </w:rPr>
      </w:pPr>
      <w:r w:rsidRPr="00093573">
        <w:rPr>
          <w:rFonts w:ascii="Calibri" w:hAnsi="Calibri"/>
          <w:color w:val="7F7F7F"/>
          <w:sz w:val="20"/>
          <w:szCs w:val="20"/>
        </w:rPr>
        <w:t xml:space="preserve">Unemployment </w:t>
      </w:r>
      <w:r>
        <w:rPr>
          <w:rFonts w:ascii="Calibri" w:hAnsi="Calibri"/>
          <w:color w:val="7F7F7F"/>
          <w:sz w:val="20"/>
          <w:szCs w:val="20"/>
        </w:rPr>
        <w:t>r</w:t>
      </w:r>
      <w:r w:rsidRPr="00093573">
        <w:rPr>
          <w:rFonts w:ascii="Calibri" w:hAnsi="Calibri"/>
          <w:color w:val="7F7F7F"/>
          <w:sz w:val="20"/>
          <w:szCs w:val="20"/>
        </w:rPr>
        <w:t xml:space="preserve">ates: Greater Dandenong and </w:t>
      </w:r>
    </w:p>
    <w:p w14:paraId="504497CA" w14:textId="77777777" w:rsidR="00C65183" w:rsidRDefault="00C65183" w:rsidP="00C65183">
      <w:pPr>
        <w:tabs>
          <w:tab w:val="left" w:pos="5954"/>
        </w:tabs>
        <w:jc w:val="both"/>
        <w:rPr>
          <w:rFonts w:ascii="Calibri" w:hAnsi="Calibri"/>
          <w:color w:val="7F7F7F"/>
          <w:sz w:val="20"/>
          <w:szCs w:val="20"/>
        </w:rPr>
      </w:pPr>
      <w:r>
        <w:rPr>
          <w:rFonts w:ascii="Calibri" w:hAnsi="Calibri"/>
          <w:color w:val="7F7F7F"/>
          <w:sz w:val="20"/>
          <w:szCs w:val="20"/>
        </w:rPr>
        <w:t>metropolitan</w:t>
      </w:r>
      <w:r w:rsidRPr="00093573">
        <w:rPr>
          <w:rFonts w:ascii="Calibri" w:hAnsi="Calibri"/>
          <w:color w:val="7F7F7F"/>
          <w:sz w:val="20"/>
          <w:szCs w:val="20"/>
        </w:rPr>
        <w:t xml:space="preserve"> Melbourne, 2008-20</w:t>
      </w:r>
      <w:r>
        <w:rPr>
          <w:rFonts w:ascii="Calibri" w:hAnsi="Calibri"/>
          <w:color w:val="7F7F7F"/>
          <w:sz w:val="20"/>
          <w:szCs w:val="20"/>
        </w:rPr>
        <w:t>20</w:t>
      </w:r>
    </w:p>
    <w:p w14:paraId="727FFF77" w14:textId="77777777" w:rsidR="00C65183" w:rsidRPr="00831C14" w:rsidRDefault="00C65183" w:rsidP="00C65183">
      <w:pPr>
        <w:tabs>
          <w:tab w:val="left" w:pos="5954"/>
        </w:tabs>
        <w:jc w:val="both"/>
        <w:rPr>
          <w:rFonts w:ascii="Calibri" w:hAnsi="Calibri"/>
          <w:b/>
          <w:color w:val="000000"/>
          <w:sz w:val="10"/>
          <w:szCs w:val="10"/>
        </w:rPr>
      </w:pPr>
      <w:r w:rsidRPr="00831C14">
        <w:rPr>
          <w:rFonts w:ascii="Calibri" w:hAnsi="Calibri"/>
          <w:b/>
          <w:color w:val="000000"/>
          <w:sz w:val="10"/>
          <w:szCs w:val="10"/>
        </w:rPr>
        <w:tab/>
      </w:r>
    </w:p>
    <w:p w14:paraId="33786554" w14:textId="77777777" w:rsidR="00C65183" w:rsidRDefault="00C65183" w:rsidP="00C65183">
      <w:pPr>
        <w:tabs>
          <w:tab w:val="left" w:pos="284"/>
        </w:tabs>
        <w:spacing w:line="360" w:lineRule="auto"/>
        <w:jc w:val="both"/>
        <w:rPr>
          <w:rFonts w:ascii="Calibri" w:hAnsi="Calibri"/>
          <w:sz w:val="10"/>
          <w:szCs w:val="10"/>
        </w:rPr>
      </w:pPr>
    </w:p>
    <w:p w14:paraId="2CD40CFA" w14:textId="77777777" w:rsidR="00C65183" w:rsidRDefault="00C65183" w:rsidP="00C65183">
      <w:pPr>
        <w:tabs>
          <w:tab w:val="left" w:pos="284"/>
        </w:tabs>
        <w:spacing w:line="360" w:lineRule="auto"/>
        <w:jc w:val="both"/>
        <w:rPr>
          <w:rFonts w:ascii="Calibri" w:hAnsi="Calibri"/>
          <w:sz w:val="10"/>
          <w:szCs w:val="10"/>
        </w:rPr>
      </w:pPr>
    </w:p>
    <w:p w14:paraId="5E0294E8" w14:textId="77777777" w:rsidR="00C65183" w:rsidRPr="00831C14" w:rsidRDefault="00C65183" w:rsidP="00C65183">
      <w:pPr>
        <w:tabs>
          <w:tab w:val="left" w:pos="284"/>
        </w:tabs>
        <w:spacing w:line="360" w:lineRule="auto"/>
        <w:jc w:val="both"/>
        <w:rPr>
          <w:rFonts w:ascii="Calibri" w:hAnsi="Calibri"/>
          <w:sz w:val="10"/>
          <w:szCs w:val="10"/>
        </w:rPr>
      </w:pPr>
    </w:p>
    <w:p w14:paraId="24176A11" w14:textId="77777777" w:rsidR="00C65183" w:rsidRPr="000525CC" w:rsidRDefault="00C65183" w:rsidP="00C65183">
      <w:pPr>
        <w:tabs>
          <w:tab w:val="left" w:pos="284"/>
        </w:tabs>
        <w:spacing w:line="360" w:lineRule="auto"/>
        <w:jc w:val="both"/>
        <w:rPr>
          <w:rFonts w:ascii="Calibri" w:hAnsi="Calibri"/>
          <w:noProof/>
          <w:lang w:eastAsia="en-AU"/>
        </w:rPr>
      </w:pPr>
      <w:r>
        <w:rPr>
          <w:rFonts w:ascii="Calibri" w:hAnsi="Calibri"/>
        </w:rPr>
        <w:t>This number represents 8,642 people who were unemployed in Greater Dandenong by June 2020, and a rise of 2,331 in the number of unemployed residents, or a 37% increase, since mid-2019.</w:t>
      </w:r>
    </w:p>
    <w:p w14:paraId="314CC33A" w14:textId="77777777" w:rsidR="00C65183" w:rsidRDefault="00C65183" w:rsidP="00C65183">
      <w:pPr>
        <w:tabs>
          <w:tab w:val="left" w:pos="284"/>
        </w:tabs>
        <w:spacing w:line="360" w:lineRule="auto"/>
        <w:jc w:val="both"/>
        <w:rPr>
          <w:rFonts w:ascii="Calibri" w:hAnsi="Calibri"/>
          <w:sz w:val="10"/>
          <w:szCs w:val="10"/>
        </w:rPr>
      </w:pPr>
    </w:p>
    <w:p w14:paraId="68EA529F" w14:textId="77777777" w:rsidR="00C65183" w:rsidRDefault="00C65183" w:rsidP="00C65183">
      <w:pPr>
        <w:tabs>
          <w:tab w:val="left" w:pos="284"/>
        </w:tabs>
        <w:spacing w:line="360" w:lineRule="auto"/>
        <w:jc w:val="both"/>
        <w:rPr>
          <w:rFonts w:ascii="Calibri" w:hAnsi="Calibri"/>
          <w:sz w:val="10"/>
          <w:szCs w:val="10"/>
        </w:rPr>
      </w:pPr>
    </w:p>
    <w:p w14:paraId="007093B4" w14:textId="77777777" w:rsidR="00C65183" w:rsidRDefault="00C65183" w:rsidP="00C65183">
      <w:pPr>
        <w:tabs>
          <w:tab w:val="left" w:pos="284"/>
        </w:tabs>
        <w:spacing w:line="360" w:lineRule="auto"/>
        <w:jc w:val="both"/>
        <w:rPr>
          <w:rFonts w:ascii="Calibri" w:hAnsi="Calibri"/>
          <w:sz w:val="10"/>
          <w:szCs w:val="10"/>
        </w:rPr>
      </w:pPr>
    </w:p>
    <w:p w14:paraId="79DF101E" w14:textId="77777777" w:rsidR="00C65183" w:rsidRDefault="00C65183" w:rsidP="00C65183">
      <w:pPr>
        <w:tabs>
          <w:tab w:val="left" w:pos="284"/>
        </w:tabs>
        <w:spacing w:line="360" w:lineRule="auto"/>
        <w:jc w:val="both"/>
        <w:rPr>
          <w:rFonts w:ascii="Calibri" w:hAnsi="Calibri"/>
          <w:sz w:val="10"/>
          <w:szCs w:val="10"/>
        </w:rPr>
      </w:pPr>
    </w:p>
    <w:p w14:paraId="7D7A43C9" w14:textId="77777777" w:rsidR="00C65183" w:rsidRPr="00831C14" w:rsidRDefault="00C65183" w:rsidP="00C65183">
      <w:pPr>
        <w:tabs>
          <w:tab w:val="left" w:pos="284"/>
        </w:tabs>
        <w:spacing w:line="360" w:lineRule="auto"/>
        <w:jc w:val="both"/>
        <w:rPr>
          <w:rFonts w:ascii="Calibri" w:hAnsi="Calibri"/>
          <w:sz w:val="10"/>
          <w:szCs w:val="10"/>
        </w:rPr>
      </w:pPr>
    </w:p>
    <w:p w14:paraId="5687692F" w14:textId="77777777" w:rsidR="00C65183" w:rsidRDefault="00C65183" w:rsidP="00C65183">
      <w:pPr>
        <w:spacing w:line="360" w:lineRule="auto"/>
        <w:jc w:val="both"/>
        <w:rPr>
          <w:rFonts w:ascii="Calibri" w:hAnsi="Calibri"/>
          <w:noProof/>
        </w:rPr>
      </w:pPr>
      <w:r w:rsidRPr="002563DC">
        <w:rPr>
          <w:rFonts w:ascii="Calibri" w:hAnsi="Calibri"/>
          <w:noProof/>
        </w:rPr>
        <w:t xml:space="preserve">Among the suburbs of Greater Dandenong, unemployment rates in </w:t>
      </w:r>
      <w:r>
        <w:rPr>
          <w:rFonts w:ascii="Calibri" w:hAnsi="Calibri"/>
          <w:noProof/>
        </w:rPr>
        <w:t>June 2020</w:t>
      </w:r>
      <w:r w:rsidRPr="002563DC">
        <w:rPr>
          <w:rFonts w:ascii="Calibri" w:hAnsi="Calibri"/>
          <w:noProof/>
        </w:rPr>
        <w:t xml:space="preserve"> were </w:t>
      </w:r>
      <w:r>
        <w:rPr>
          <w:rFonts w:ascii="Calibri" w:hAnsi="Calibri"/>
          <w:noProof/>
        </w:rPr>
        <w:t>highest in Dandenong, at 17%, and lowest in Keysborough, at 5.2%</w:t>
      </w:r>
      <w:r w:rsidRPr="002563DC">
        <w:rPr>
          <w:rFonts w:ascii="Calibri" w:hAnsi="Calibri"/>
          <w:noProof/>
        </w:rPr>
        <w:t>.</w:t>
      </w:r>
    </w:p>
    <w:p w14:paraId="23DB10F5" w14:textId="77777777" w:rsidR="00C65183" w:rsidRDefault="00C65183" w:rsidP="00C65183">
      <w:pPr>
        <w:spacing w:line="360" w:lineRule="auto"/>
        <w:jc w:val="center"/>
        <w:rPr>
          <w:rFonts w:ascii="Calibri" w:hAnsi="Calibri"/>
          <w:noProof/>
          <w:lang w:eastAsia="en-AU"/>
        </w:rPr>
      </w:pPr>
      <w:r>
        <w:rPr>
          <w:rFonts w:ascii="Calibri" w:hAnsi="Calibri"/>
          <w:noProof/>
          <w:lang w:eastAsia="en-AU"/>
        </w:rPr>
        <w:drawing>
          <wp:anchor distT="0" distB="0" distL="114300" distR="114300" simplePos="0" relativeHeight="251967488" behindDoc="0" locked="0" layoutInCell="1" allowOverlap="1" wp14:anchorId="5EF9BAB8" wp14:editId="2D7D07D3">
            <wp:simplePos x="0" y="0"/>
            <wp:positionH relativeFrom="margin">
              <wp:posOffset>125730</wp:posOffset>
            </wp:positionH>
            <wp:positionV relativeFrom="paragraph">
              <wp:posOffset>8255</wp:posOffset>
            </wp:positionV>
            <wp:extent cx="4050665" cy="2743200"/>
            <wp:effectExtent l="0" t="0" r="6985" b="0"/>
            <wp:wrapSquare wrapText="bothSides"/>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4050665" cy="2743200"/>
                    </a:xfrm>
                    <a:prstGeom prst="rect">
                      <a:avLst/>
                    </a:prstGeom>
                    <a:noFill/>
                  </pic:spPr>
                </pic:pic>
              </a:graphicData>
            </a:graphic>
            <wp14:sizeRelH relativeFrom="page">
              <wp14:pctWidth>0</wp14:pctWidth>
            </wp14:sizeRelH>
            <wp14:sizeRelV relativeFrom="page">
              <wp14:pctHeight>0</wp14:pctHeight>
            </wp14:sizeRelV>
          </wp:anchor>
        </w:drawing>
      </w:r>
    </w:p>
    <w:p w14:paraId="26265B86" w14:textId="77777777" w:rsidR="00C65183" w:rsidRDefault="00C65183" w:rsidP="00C65183">
      <w:pPr>
        <w:tabs>
          <w:tab w:val="left" w:pos="3402"/>
          <w:tab w:val="left" w:pos="5103"/>
        </w:tabs>
        <w:spacing w:line="360" w:lineRule="auto"/>
        <w:ind w:left="3828"/>
        <w:jc w:val="both"/>
        <w:rPr>
          <w:rFonts w:ascii="Calibri" w:hAnsi="Calibri"/>
          <w:color w:val="000000" w:themeColor="text1"/>
          <w:sz w:val="10"/>
          <w:szCs w:val="10"/>
        </w:rPr>
      </w:pPr>
    </w:p>
    <w:p w14:paraId="2891F953" w14:textId="77777777" w:rsidR="00C65183" w:rsidRPr="00831C14" w:rsidRDefault="00C65183" w:rsidP="00C65183">
      <w:pPr>
        <w:tabs>
          <w:tab w:val="left" w:pos="3402"/>
          <w:tab w:val="left" w:pos="5103"/>
        </w:tabs>
        <w:ind w:left="3827"/>
        <w:jc w:val="both"/>
        <w:rPr>
          <w:rFonts w:ascii="Calibri" w:hAnsi="Calibri"/>
          <w:color w:val="7F7F7F" w:themeColor="text1" w:themeTint="80"/>
          <w:sz w:val="20"/>
          <w:szCs w:val="20"/>
        </w:rPr>
      </w:pPr>
      <w:r w:rsidRPr="00831C14">
        <w:rPr>
          <w:rFonts w:ascii="Calibri" w:hAnsi="Calibri"/>
          <w:color w:val="7F7F7F" w:themeColor="text1" w:themeTint="80"/>
          <w:sz w:val="20"/>
          <w:szCs w:val="20"/>
        </w:rPr>
        <w:t xml:space="preserve">Unemployment rates: Greater Dandenong suburbs, </w:t>
      </w:r>
      <w:r>
        <w:rPr>
          <w:rFonts w:ascii="Calibri" w:hAnsi="Calibri"/>
          <w:color w:val="7F7F7F" w:themeColor="text1" w:themeTint="80"/>
          <w:sz w:val="20"/>
          <w:szCs w:val="20"/>
        </w:rPr>
        <w:t>June</w:t>
      </w:r>
      <w:r w:rsidRPr="00831C14">
        <w:rPr>
          <w:rFonts w:ascii="Calibri" w:hAnsi="Calibri"/>
          <w:color w:val="7F7F7F" w:themeColor="text1" w:themeTint="80"/>
          <w:sz w:val="20"/>
          <w:szCs w:val="20"/>
        </w:rPr>
        <w:t>, 2020</w:t>
      </w:r>
    </w:p>
    <w:p w14:paraId="0316B03C" w14:textId="77777777" w:rsidR="00C65183" w:rsidRDefault="00C65183" w:rsidP="00C65183">
      <w:pPr>
        <w:tabs>
          <w:tab w:val="left" w:pos="3402"/>
          <w:tab w:val="left" w:pos="5103"/>
        </w:tabs>
        <w:spacing w:line="360" w:lineRule="auto"/>
        <w:ind w:left="3828"/>
        <w:jc w:val="both"/>
        <w:rPr>
          <w:rFonts w:ascii="Calibri" w:hAnsi="Calibri"/>
          <w:color w:val="000000" w:themeColor="text1"/>
          <w:sz w:val="10"/>
          <w:szCs w:val="10"/>
        </w:rPr>
      </w:pPr>
    </w:p>
    <w:p w14:paraId="1873A16D" w14:textId="77777777" w:rsidR="00C65183" w:rsidRDefault="00C65183" w:rsidP="00C65183">
      <w:pPr>
        <w:tabs>
          <w:tab w:val="left" w:pos="3402"/>
          <w:tab w:val="left" w:pos="5103"/>
        </w:tabs>
        <w:spacing w:line="360" w:lineRule="auto"/>
        <w:ind w:left="3828"/>
        <w:jc w:val="both"/>
        <w:rPr>
          <w:rFonts w:ascii="Calibri" w:hAnsi="Calibri"/>
          <w:color w:val="000000" w:themeColor="text1"/>
          <w:sz w:val="10"/>
          <w:szCs w:val="10"/>
        </w:rPr>
      </w:pPr>
    </w:p>
    <w:p w14:paraId="27048BD9" w14:textId="77777777" w:rsidR="00C65183" w:rsidRDefault="00C65183" w:rsidP="00C65183">
      <w:pPr>
        <w:tabs>
          <w:tab w:val="left" w:pos="3402"/>
          <w:tab w:val="left" w:pos="5103"/>
        </w:tabs>
        <w:spacing w:line="360" w:lineRule="auto"/>
        <w:ind w:left="3828"/>
        <w:jc w:val="both"/>
        <w:rPr>
          <w:rFonts w:ascii="Calibri" w:hAnsi="Calibri"/>
          <w:color w:val="000000" w:themeColor="text1"/>
          <w:sz w:val="10"/>
          <w:szCs w:val="10"/>
        </w:rPr>
      </w:pPr>
    </w:p>
    <w:p w14:paraId="7475C59E" w14:textId="77777777" w:rsidR="00C65183" w:rsidRDefault="00C65183" w:rsidP="00C65183">
      <w:pPr>
        <w:tabs>
          <w:tab w:val="left" w:pos="3402"/>
          <w:tab w:val="left" w:pos="5103"/>
        </w:tabs>
        <w:spacing w:line="360" w:lineRule="auto"/>
        <w:ind w:left="3828"/>
        <w:jc w:val="both"/>
        <w:rPr>
          <w:rFonts w:ascii="Calibri" w:hAnsi="Calibri"/>
          <w:color w:val="000000" w:themeColor="text1"/>
          <w:sz w:val="10"/>
          <w:szCs w:val="10"/>
        </w:rPr>
      </w:pPr>
    </w:p>
    <w:p w14:paraId="652B2AAB" w14:textId="77777777" w:rsidR="00C65183" w:rsidRDefault="00C65183" w:rsidP="00C65183">
      <w:pPr>
        <w:tabs>
          <w:tab w:val="left" w:pos="3402"/>
          <w:tab w:val="left" w:pos="5103"/>
        </w:tabs>
        <w:spacing w:line="360" w:lineRule="auto"/>
        <w:ind w:left="3828"/>
        <w:jc w:val="both"/>
        <w:rPr>
          <w:rFonts w:ascii="Calibri" w:hAnsi="Calibri"/>
          <w:color w:val="000000" w:themeColor="text1"/>
          <w:sz w:val="10"/>
          <w:szCs w:val="10"/>
        </w:rPr>
      </w:pPr>
    </w:p>
    <w:p w14:paraId="4410CE18" w14:textId="77777777" w:rsidR="00C65183" w:rsidRDefault="00C65183" w:rsidP="00C65183">
      <w:pPr>
        <w:tabs>
          <w:tab w:val="left" w:pos="3402"/>
          <w:tab w:val="left" w:pos="5103"/>
        </w:tabs>
        <w:spacing w:line="360" w:lineRule="auto"/>
        <w:ind w:left="3828"/>
        <w:jc w:val="both"/>
        <w:rPr>
          <w:rFonts w:ascii="Calibri" w:hAnsi="Calibri"/>
          <w:color w:val="000000" w:themeColor="text1"/>
          <w:sz w:val="10"/>
          <w:szCs w:val="10"/>
        </w:rPr>
      </w:pPr>
    </w:p>
    <w:p w14:paraId="53BF3EBE" w14:textId="77777777" w:rsidR="00C65183" w:rsidRDefault="00C65183" w:rsidP="00C65183">
      <w:pPr>
        <w:tabs>
          <w:tab w:val="left" w:pos="3402"/>
          <w:tab w:val="left" w:pos="5103"/>
        </w:tabs>
        <w:spacing w:line="360" w:lineRule="auto"/>
        <w:ind w:left="3828"/>
        <w:jc w:val="both"/>
        <w:rPr>
          <w:rFonts w:ascii="Calibri" w:hAnsi="Calibri"/>
          <w:color w:val="000000" w:themeColor="text1"/>
          <w:sz w:val="10"/>
          <w:szCs w:val="10"/>
        </w:rPr>
      </w:pPr>
    </w:p>
    <w:p w14:paraId="6AD6D88F" w14:textId="77777777" w:rsidR="00C65183" w:rsidRDefault="00C65183" w:rsidP="00C65183">
      <w:pPr>
        <w:tabs>
          <w:tab w:val="left" w:pos="3402"/>
          <w:tab w:val="left" w:pos="5103"/>
        </w:tabs>
        <w:spacing w:line="360" w:lineRule="auto"/>
        <w:ind w:left="3828"/>
        <w:jc w:val="both"/>
        <w:rPr>
          <w:rFonts w:ascii="Calibri" w:hAnsi="Calibri"/>
          <w:color w:val="000000" w:themeColor="text1"/>
          <w:sz w:val="10"/>
          <w:szCs w:val="10"/>
        </w:rPr>
      </w:pPr>
    </w:p>
    <w:p w14:paraId="4F3EE879" w14:textId="77777777" w:rsidR="00C65183" w:rsidRDefault="00C65183" w:rsidP="00C65183">
      <w:pPr>
        <w:tabs>
          <w:tab w:val="left" w:pos="3402"/>
          <w:tab w:val="left" w:pos="5103"/>
        </w:tabs>
        <w:spacing w:line="360" w:lineRule="auto"/>
        <w:ind w:left="3828"/>
        <w:jc w:val="both"/>
        <w:rPr>
          <w:rFonts w:ascii="Calibri" w:hAnsi="Calibri"/>
          <w:color w:val="000000" w:themeColor="text1"/>
          <w:sz w:val="10"/>
          <w:szCs w:val="10"/>
        </w:rPr>
      </w:pPr>
    </w:p>
    <w:p w14:paraId="3B6953FB" w14:textId="77777777" w:rsidR="00C65183" w:rsidRDefault="00C65183" w:rsidP="00C65183">
      <w:pPr>
        <w:tabs>
          <w:tab w:val="left" w:pos="3402"/>
          <w:tab w:val="left" w:pos="5103"/>
        </w:tabs>
        <w:spacing w:line="360" w:lineRule="auto"/>
        <w:ind w:left="3828"/>
        <w:jc w:val="both"/>
        <w:rPr>
          <w:rFonts w:ascii="Calibri" w:hAnsi="Calibri"/>
          <w:color w:val="000000" w:themeColor="text1"/>
          <w:sz w:val="10"/>
          <w:szCs w:val="10"/>
        </w:rPr>
      </w:pPr>
    </w:p>
    <w:p w14:paraId="52C79ED9" w14:textId="77777777" w:rsidR="00C65183" w:rsidRDefault="00C65183" w:rsidP="00C65183">
      <w:pPr>
        <w:tabs>
          <w:tab w:val="left" w:pos="3402"/>
          <w:tab w:val="left" w:pos="5103"/>
        </w:tabs>
        <w:spacing w:line="360" w:lineRule="auto"/>
        <w:ind w:left="3828"/>
        <w:jc w:val="both"/>
        <w:rPr>
          <w:rFonts w:ascii="Calibri" w:hAnsi="Calibri"/>
          <w:color w:val="000000" w:themeColor="text1"/>
          <w:sz w:val="10"/>
          <w:szCs w:val="10"/>
        </w:rPr>
      </w:pPr>
    </w:p>
    <w:p w14:paraId="4F25BC6E" w14:textId="77777777" w:rsidR="00C65183" w:rsidRDefault="00C65183" w:rsidP="00C65183">
      <w:pPr>
        <w:tabs>
          <w:tab w:val="left" w:pos="3402"/>
          <w:tab w:val="left" w:pos="5103"/>
        </w:tabs>
        <w:spacing w:line="360" w:lineRule="auto"/>
        <w:ind w:left="3828"/>
        <w:jc w:val="both"/>
        <w:rPr>
          <w:rFonts w:ascii="Calibri" w:hAnsi="Calibri"/>
          <w:color w:val="000000" w:themeColor="text1"/>
          <w:sz w:val="10"/>
          <w:szCs w:val="10"/>
        </w:rPr>
      </w:pPr>
    </w:p>
    <w:p w14:paraId="75BA9A61" w14:textId="77777777" w:rsidR="00C65183" w:rsidRDefault="00C65183" w:rsidP="00C65183">
      <w:pPr>
        <w:tabs>
          <w:tab w:val="left" w:pos="3402"/>
          <w:tab w:val="left" w:pos="5103"/>
        </w:tabs>
        <w:spacing w:line="360" w:lineRule="auto"/>
        <w:ind w:left="3828"/>
        <w:jc w:val="both"/>
        <w:rPr>
          <w:rFonts w:ascii="Calibri" w:hAnsi="Calibri"/>
          <w:color w:val="000000" w:themeColor="text1"/>
          <w:sz w:val="10"/>
          <w:szCs w:val="10"/>
        </w:rPr>
      </w:pPr>
    </w:p>
    <w:p w14:paraId="12C173F3" w14:textId="77777777" w:rsidR="00C65183" w:rsidRDefault="00C65183" w:rsidP="00C65183">
      <w:pPr>
        <w:tabs>
          <w:tab w:val="left" w:pos="3402"/>
          <w:tab w:val="left" w:pos="5103"/>
        </w:tabs>
        <w:spacing w:line="360" w:lineRule="auto"/>
        <w:ind w:left="3828"/>
        <w:jc w:val="both"/>
        <w:rPr>
          <w:rFonts w:ascii="Calibri" w:hAnsi="Calibri"/>
          <w:color w:val="000000" w:themeColor="text1"/>
          <w:sz w:val="10"/>
          <w:szCs w:val="10"/>
        </w:rPr>
      </w:pPr>
    </w:p>
    <w:p w14:paraId="2289FCBB" w14:textId="77777777" w:rsidR="00C65183" w:rsidRDefault="00C65183" w:rsidP="00C65183">
      <w:pPr>
        <w:tabs>
          <w:tab w:val="left" w:pos="3402"/>
          <w:tab w:val="left" w:pos="5103"/>
        </w:tabs>
        <w:spacing w:line="360" w:lineRule="auto"/>
        <w:ind w:left="3828"/>
        <w:jc w:val="both"/>
        <w:rPr>
          <w:rFonts w:ascii="Calibri" w:hAnsi="Calibri"/>
          <w:color w:val="000000" w:themeColor="text1"/>
          <w:sz w:val="10"/>
          <w:szCs w:val="10"/>
        </w:rPr>
      </w:pPr>
    </w:p>
    <w:p w14:paraId="22B16867" w14:textId="77777777" w:rsidR="00C65183" w:rsidRDefault="00C65183" w:rsidP="00C65183">
      <w:pPr>
        <w:tabs>
          <w:tab w:val="left" w:pos="3402"/>
          <w:tab w:val="left" w:pos="5103"/>
        </w:tabs>
        <w:spacing w:line="360" w:lineRule="auto"/>
        <w:ind w:left="3828"/>
        <w:jc w:val="both"/>
        <w:rPr>
          <w:rFonts w:ascii="Calibri" w:hAnsi="Calibri"/>
          <w:color w:val="000000" w:themeColor="text1"/>
          <w:sz w:val="10"/>
          <w:szCs w:val="10"/>
        </w:rPr>
      </w:pPr>
    </w:p>
    <w:p w14:paraId="0AFF026D" w14:textId="77777777" w:rsidR="00C65183" w:rsidRDefault="00C65183" w:rsidP="00C65183">
      <w:pPr>
        <w:rPr>
          <w:rFonts w:ascii="Calibri" w:hAnsi="Calibri"/>
          <w:color w:val="000000" w:themeColor="text1"/>
          <w:sz w:val="10"/>
          <w:szCs w:val="10"/>
        </w:rPr>
      </w:pPr>
      <w:r>
        <w:rPr>
          <w:rFonts w:ascii="Calibri" w:hAnsi="Calibri"/>
          <w:color w:val="000000" w:themeColor="text1"/>
          <w:sz w:val="10"/>
          <w:szCs w:val="10"/>
        </w:rPr>
        <w:br w:type="page"/>
      </w:r>
    </w:p>
    <w:p w14:paraId="740CBC41" w14:textId="77777777" w:rsidR="00C65183" w:rsidRDefault="00C65183" w:rsidP="00C65183">
      <w:pPr>
        <w:tabs>
          <w:tab w:val="left" w:pos="3402"/>
          <w:tab w:val="left" w:pos="5103"/>
        </w:tabs>
        <w:spacing w:line="360" w:lineRule="auto"/>
        <w:ind w:left="3828"/>
        <w:jc w:val="both"/>
        <w:rPr>
          <w:rFonts w:ascii="Calibri" w:hAnsi="Calibri"/>
        </w:rPr>
      </w:pPr>
      <w:r w:rsidRPr="002563DC">
        <w:rPr>
          <w:rFonts w:ascii="Calibri" w:hAnsi="Calibri"/>
          <w:color w:val="7F7F7F"/>
          <w:sz w:val="20"/>
          <w:szCs w:val="20"/>
        </w:rPr>
        <w:lastRenderedPageBreak/>
        <w:t xml:space="preserve">Unemployment by </w:t>
      </w:r>
      <w:r>
        <w:rPr>
          <w:rFonts w:ascii="Calibri" w:hAnsi="Calibri"/>
          <w:color w:val="7F7F7F"/>
          <w:sz w:val="20"/>
          <w:szCs w:val="20"/>
        </w:rPr>
        <w:t>a</w:t>
      </w:r>
      <w:r w:rsidRPr="002563DC">
        <w:rPr>
          <w:rFonts w:ascii="Calibri" w:hAnsi="Calibri"/>
          <w:color w:val="7F7F7F"/>
          <w:sz w:val="20"/>
          <w:szCs w:val="20"/>
        </w:rPr>
        <w:t>ge: Greater</w:t>
      </w:r>
      <w:r>
        <w:rPr>
          <w:rFonts w:ascii="Calibri" w:hAnsi="Calibri"/>
          <w:color w:val="7F7F7F"/>
          <w:sz w:val="20"/>
          <w:szCs w:val="20"/>
        </w:rPr>
        <w:t xml:space="preserve"> </w:t>
      </w:r>
      <w:r w:rsidRPr="002563DC">
        <w:rPr>
          <w:rFonts w:ascii="Calibri" w:hAnsi="Calibri"/>
          <w:color w:val="7F7F7F"/>
          <w:sz w:val="20"/>
          <w:szCs w:val="20"/>
        </w:rPr>
        <w:t>Dandenong and Victoria, 201</w:t>
      </w:r>
      <w:r>
        <w:rPr>
          <w:rFonts w:ascii="Calibri" w:hAnsi="Calibri"/>
          <w:color w:val="7F7F7F"/>
          <w:sz w:val="20"/>
          <w:szCs w:val="20"/>
        </w:rPr>
        <w:t>6</w:t>
      </w:r>
    </w:p>
    <w:p w14:paraId="279EED58" w14:textId="77777777" w:rsidR="00C65183" w:rsidRDefault="00C65183" w:rsidP="00C65183">
      <w:pPr>
        <w:tabs>
          <w:tab w:val="left" w:pos="5103"/>
        </w:tabs>
        <w:spacing w:line="360" w:lineRule="auto"/>
        <w:jc w:val="both"/>
        <w:rPr>
          <w:rFonts w:ascii="Calibri" w:hAnsi="Calibri"/>
        </w:rPr>
      </w:pPr>
      <w:r>
        <w:rPr>
          <w:rFonts w:ascii="Calibri" w:hAnsi="Calibri"/>
          <w:noProof/>
          <w:lang w:eastAsia="en-AU"/>
        </w:rPr>
        <w:drawing>
          <wp:anchor distT="0" distB="0" distL="114300" distR="114300" simplePos="0" relativeHeight="251745280" behindDoc="0" locked="0" layoutInCell="1" allowOverlap="1" wp14:anchorId="30A20178" wp14:editId="521F2DF0">
            <wp:simplePos x="0" y="0"/>
            <wp:positionH relativeFrom="column">
              <wp:posOffset>1957705</wp:posOffset>
            </wp:positionH>
            <wp:positionV relativeFrom="paragraph">
              <wp:posOffset>33655</wp:posOffset>
            </wp:positionV>
            <wp:extent cx="4160520" cy="3108960"/>
            <wp:effectExtent l="0" t="0" r="0" b="0"/>
            <wp:wrapSquare wrapText="bothSides"/>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4160520" cy="3108960"/>
                    </a:xfrm>
                    <a:prstGeom prst="rect">
                      <a:avLst/>
                    </a:prstGeom>
                    <a:noFill/>
                  </pic:spPr>
                </pic:pic>
              </a:graphicData>
            </a:graphic>
            <wp14:sizeRelH relativeFrom="page">
              <wp14:pctWidth>0</wp14:pctWidth>
            </wp14:sizeRelH>
            <wp14:sizeRelV relativeFrom="page">
              <wp14:pctHeight>0</wp14:pctHeight>
            </wp14:sizeRelV>
          </wp:anchor>
        </w:drawing>
      </w:r>
      <w:r>
        <w:rPr>
          <w:rFonts w:ascii="Calibri" w:hAnsi="Calibri"/>
        </w:rPr>
        <w:t xml:space="preserve">Unemployment rates among residents of various age groups were most recently documented by the 2016 Census. </w:t>
      </w:r>
    </w:p>
    <w:p w14:paraId="170419D2" w14:textId="77777777" w:rsidR="00C65183" w:rsidRDefault="00C65183" w:rsidP="00C65183">
      <w:pPr>
        <w:tabs>
          <w:tab w:val="left" w:pos="4536"/>
        </w:tabs>
        <w:spacing w:line="360" w:lineRule="auto"/>
        <w:jc w:val="both"/>
        <w:rPr>
          <w:rFonts w:ascii="Calibri" w:hAnsi="Calibri"/>
        </w:rPr>
      </w:pPr>
      <w:r>
        <w:rPr>
          <w:rFonts w:ascii="Calibri" w:hAnsi="Calibri"/>
        </w:rPr>
        <w:t xml:space="preserve">These rates, for Greater Dandenong and Victoria, are illustrated in the chart at right. </w:t>
      </w:r>
    </w:p>
    <w:p w14:paraId="135F4065" w14:textId="77777777" w:rsidR="00C65183" w:rsidRDefault="00C65183" w:rsidP="00C65183">
      <w:pPr>
        <w:tabs>
          <w:tab w:val="left" w:pos="4536"/>
        </w:tabs>
        <w:spacing w:line="360" w:lineRule="auto"/>
        <w:jc w:val="both"/>
        <w:rPr>
          <w:rFonts w:ascii="Calibri" w:hAnsi="Calibri"/>
        </w:rPr>
      </w:pPr>
      <w:r>
        <w:rPr>
          <w:rFonts w:ascii="Calibri" w:hAnsi="Calibri"/>
        </w:rPr>
        <w:t xml:space="preserve">At this time, the peak unemployment rate was 30% among 15-19 year-olds in Greater Dandenong - higher than the corresponding Victorian rate of 20.5%. </w:t>
      </w:r>
    </w:p>
    <w:p w14:paraId="48361185" w14:textId="77777777" w:rsidR="00C65183" w:rsidRDefault="00C65183" w:rsidP="00C65183">
      <w:pPr>
        <w:spacing w:line="360" w:lineRule="auto"/>
        <w:jc w:val="both"/>
        <w:rPr>
          <w:rFonts w:ascii="Calibri" w:hAnsi="Calibri"/>
        </w:rPr>
      </w:pPr>
      <w:r>
        <w:rPr>
          <w:rFonts w:ascii="Calibri" w:hAnsi="Calibri"/>
          <w:noProof/>
          <w:lang w:eastAsia="en-AU"/>
        </w:rPr>
        <w:drawing>
          <wp:anchor distT="0" distB="0" distL="114300" distR="114300" simplePos="0" relativeHeight="251754496" behindDoc="0" locked="0" layoutInCell="1" allowOverlap="1" wp14:anchorId="113225C2" wp14:editId="4BDF4796">
            <wp:simplePos x="0" y="0"/>
            <wp:positionH relativeFrom="column">
              <wp:posOffset>-44450</wp:posOffset>
            </wp:positionH>
            <wp:positionV relativeFrom="paragraph">
              <wp:posOffset>688340</wp:posOffset>
            </wp:positionV>
            <wp:extent cx="4444365" cy="4786630"/>
            <wp:effectExtent l="0" t="0" r="0" b="0"/>
            <wp:wrapSquare wrapText="bothSides"/>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4444365" cy="4786630"/>
                    </a:xfrm>
                    <a:prstGeom prst="rect">
                      <a:avLst/>
                    </a:prstGeom>
                    <a:noFill/>
                  </pic:spPr>
                </pic:pic>
              </a:graphicData>
            </a:graphic>
            <wp14:sizeRelH relativeFrom="page">
              <wp14:pctWidth>0</wp14:pctWidth>
            </wp14:sizeRelH>
            <wp14:sizeRelV relativeFrom="page">
              <wp14:pctHeight>0</wp14:pctHeight>
            </wp14:sizeRelV>
          </wp:anchor>
        </w:drawing>
      </w:r>
      <w:r>
        <w:rPr>
          <w:rFonts w:ascii="Calibri" w:hAnsi="Calibri"/>
        </w:rPr>
        <w:t>Unemployment rates differed only slightly in each age group between women and men. Among residents aged 15 or more, unemployment rates among women stood at 11% and among men were 9.7%.</w:t>
      </w:r>
    </w:p>
    <w:p w14:paraId="5D4B094F" w14:textId="77777777" w:rsidR="00C65183" w:rsidRDefault="00C65183" w:rsidP="00C65183">
      <w:pPr>
        <w:spacing w:line="360" w:lineRule="auto"/>
        <w:jc w:val="both"/>
        <w:rPr>
          <w:rFonts w:ascii="Calibri" w:hAnsi="Calibri"/>
        </w:rPr>
      </w:pPr>
    </w:p>
    <w:p w14:paraId="22B10E6B" w14:textId="77777777" w:rsidR="00C65183" w:rsidRDefault="00C65183" w:rsidP="00C65183">
      <w:pPr>
        <w:spacing w:line="360" w:lineRule="auto"/>
        <w:jc w:val="both"/>
        <w:rPr>
          <w:rFonts w:ascii="Calibri" w:hAnsi="Calibri"/>
        </w:rPr>
      </w:pPr>
    </w:p>
    <w:p w14:paraId="7D82D5DD" w14:textId="77777777" w:rsidR="00C65183" w:rsidRDefault="00C65183" w:rsidP="00C65183">
      <w:pPr>
        <w:jc w:val="both"/>
        <w:rPr>
          <w:rFonts w:ascii="Calibri" w:hAnsi="Calibri"/>
          <w:color w:val="7F7F7F"/>
          <w:sz w:val="20"/>
          <w:szCs w:val="20"/>
        </w:rPr>
      </w:pPr>
      <w:r w:rsidRPr="002563DC">
        <w:rPr>
          <w:rFonts w:ascii="Calibri" w:hAnsi="Calibri"/>
          <w:color w:val="7F7F7F"/>
          <w:sz w:val="20"/>
          <w:szCs w:val="20"/>
        </w:rPr>
        <w:t xml:space="preserve">Unemployment by </w:t>
      </w:r>
      <w:r>
        <w:rPr>
          <w:rFonts w:ascii="Calibri" w:hAnsi="Calibri"/>
          <w:color w:val="7F7F7F"/>
          <w:sz w:val="20"/>
          <w:szCs w:val="20"/>
        </w:rPr>
        <w:t>s</w:t>
      </w:r>
      <w:r w:rsidRPr="002563DC">
        <w:rPr>
          <w:rFonts w:ascii="Calibri" w:hAnsi="Calibri"/>
          <w:color w:val="7F7F7F"/>
          <w:sz w:val="20"/>
          <w:szCs w:val="20"/>
        </w:rPr>
        <w:t xml:space="preserve">elected </w:t>
      </w:r>
      <w:r>
        <w:rPr>
          <w:rFonts w:ascii="Calibri" w:hAnsi="Calibri"/>
          <w:color w:val="7F7F7F"/>
          <w:sz w:val="20"/>
          <w:szCs w:val="20"/>
        </w:rPr>
        <w:t>b</w:t>
      </w:r>
      <w:r w:rsidRPr="002563DC">
        <w:rPr>
          <w:rFonts w:ascii="Calibri" w:hAnsi="Calibri"/>
          <w:color w:val="7F7F7F"/>
          <w:sz w:val="20"/>
          <w:szCs w:val="20"/>
        </w:rPr>
        <w:t>irthplace</w:t>
      </w:r>
      <w:r>
        <w:rPr>
          <w:rFonts w:ascii="Calibri" w:hAnsi="Calibri"/>
          <w:color w:val="7F7F7F"/>
          <w:sz w:val="20"/>
          <w:szCs w:val="20"/>
        </w:rPr>
        <w:t>s</w:t>
      </w:r>
      <w:r w:rsidRPr="002563DC">
        <w:rPr>
          <w:rFonts w:ascii="Calibri" w:hAnsi="Calibri"/>
          <w:color w:val="7F7F7F"/>
          <w:sz w:val="20"/>
          <w:szCs w:val="20"/>
        </w:rPr>
        <w:t xml:space="preserve">: </w:t>
      </w:r>
      <w:r>
        <w:rPr>
          <w:rFonts w:ascii="Calibri" w:hAnsi="Calibri"/>
          <w:color w:val="7F7F7F"/>
          <w:sz w:val="20"/>
          <w:szCs w:val="20"/>
        </w:rPr>
        <w:t>p</w:t>
      </w:r>
      <w:r w:rsidRPr="002563DC">
        <w:rPr>
          <w:rFonts w:ascii="Calibri" w:hAnsi="Calibri"/>
          <w:color w:val="7F7F7F"/>
          <w:sz w:val="20"/>
          <w:szCs w:val="20"/>
        </w:rPr>
        <w:t xml:space="preserve">ersons aged </w:t>
      </w:r>
      <w:r>
        <w:rPr>
          <w:rFonts w:ascii="Calibri" w:hAnsi="Calibri"/>
          <w:color w:val="7F7F7F"/>
          <w:sz w:val="20"/>
          <w:szCs w:val="20"/>
        </w:rPr>
        <w:t>15</w:t>
      </w:r>
      <w:r w:rsidRPr="002563DC">
        <w:rPr>
          <w:rFonts w:ascii="Calibri" w:hAnsi="Calibri"/>
          <w:color w:val="7F7F7F"/>
          <w:sz w:val="20"/>
          <w:szCs w:val="20"/>
        </w:rPr>
        <w:t xml:space="preserve"> to </w:t>
      </w:r>
      <w:r>
        <w:rPr>
          <w:rFonts w:ascii="Calibri" w:hAnsi="Calibri"/>
          <w:color w:val="7F7F7F"/>
          <w:sz w:val="20"/>
          <w:szCs w:val="20"/>
        </w:rPr>
        <w:t>6</w:t>
      </w:r>
      <w:r w:rsidRPr="002563DC">
        <w:rPr>
          <w:rFonts w:ascii="Calibri" w:hAnsi="Calibri"/>
          <w:color w:val="7F7F7F"/>
          <w:sz w:val="20"/>
          <w:szCs w:val="20"/>
        </w:rPr>
        <w:t>4, Greater Dandenong, 201</w:t>
      </w:r>
      <w:r>
        <w:rPr>
          <w:rFonts w:ascii="Calibri" w:hAnsi="Calibri"/>
          <w:color w:val="7F7F7F"/>
          <w:sz w:val="20"/>
          <w:szCs w:val="20"/>
        </w:rPr>
        <w:t>6</w:t>
      </w:r>
    </w:p>
    <w:p w14:paraId="1F538BEE" w14:textId="77777777" w:rsidR="00C65183" w:rsidRDefault="00C65183" w:rsidP="00C65183">
      <w:pPr>
        <w:spacing w:line="360" w:lineRule="auto"/>
        <w:jc w:val="both"/>
        <w:rPr>
          <w:rFonts w:ascii="Calibri" w:hAnsi="Calibri"/>
          <w:color w:val="7F7F7F"/>
          <w:sz w:val="20"/>
          <w:szCs w:val="20"/>
        </w:rPr>
      </w:pPr>
    </w:p>
    <w:p w14:paraId="632BDAB0" w14:textId="77777777" w:rsidR="00C65183" w:rsidRDefault="00C65183" w:rsidP="00C65183">
      <w:pPr>
        <w:spacing w:line="360" w:lineRule="auto"/>
        <w:jc w:val="both"/>
        <w:rPr>
          <w:rFonts w:ascii="Calibri" w:hAnsi="Calibri"/>
          <w:color w:val="7F7F7F"/>
          <w:sz w:val="20"/>
          <w:szCs w:val="20"/>
        </w:rPr>
      </w:pPr>
    </w:p>
    <w:p w14:paraId="247178BE" w14:textId="77777777" w:rsidR="00C65183" w:rsidRDefault="00C65183" w:rsidP="00C65183">
      <w:pPr>
        <w:spacing w:line="360" w:lineRule="auto"/>
        <w:jc w:val="both"/>
        <w:rPr>
          <w:rFonts w:ascii="Calibri" w:hAnsi="Calibri"/>
        </w:rPr>
      </w:pPr>
      <w:r>
        <w:rPr>
          <w:rFonts w:ascii="Calibri" w:hAnsi="Calibri"/>
        </w:rPr>
        <w:t>Unemployment levels varied widely with birthplace in 2016, from less than 5% among residents from Macedonia and Bosnia, to more than 20% among those from Burma, Sudan, Iran, Somalia and Syria.</w:t>
      </w:r>
    </w:p>
    <w:p w14:paraId="3031CC98" w14:textId="77777777" w:rsidR="00C65183" w:rsidRDefault="00C65183" w:rsidP="00C65183">
      <w:pPr>
        <w:spacing w:line="360" w:lineRule="auto"/>
        <w:jc w:val="both"/>
        <w:rPr>
          <w:rFonts w:ascii="Calibri" w:hAnsi="Calibri"/>
        </w:rPr>
      </w:pPr>
    </w:p>
    <w:p w14:paraId="0182A635" w14:textId="77777777" w:rsidR="00C65183" w:rsidRDefault="00C65183" w:rsidP="00C65183">
      <w:pPr>
        <w:spacing w:line="360" w:lineRule="auto"/>
        <w:jc w:val="both"/>
        <w:rPr>
          <w:rFonts w:ascii="Calibri" w:hAnsi="Calibri"/>
        </w:rPr>
      </w:pPr>
    </w:p>
    <w:p w14:paraId="0C2F0192" w14:textId="77777777" w:rsidR="00C65183" w:rsidRDefault="00C65183" w:rsidP="00C65183">
      <w:pPr>
        <w:spacing w:line="360" w:lineRule="auto"/>
        <w:jc w:val="both"/>
        <w:rPr>
          <w:rFonts w:ascii="Calibri" w:hAnsi="Calibri"/>
        </w:rPr>
      </w:pPr>
    </w:p>
    <w:p w14:paraId="025BE801" w14:textId="77777777" w:rsidR="00C65183" w:rsidRDefault="00C65183" w:rsidP="00C65183">
      <w:pPr>
        <w:spacing w:line="360" w:lineRule="auto"/>
        <w:jc w:val="both"/>
        <w:rPr>
          <w:rFonts w:ascii="Calibri" w:hAnsi="Calibri"/>
        </w:rPr>
      </w:pPr>
    </w:p>
    <w:p w14:paraId="1AE0228E" w14:textId="77777777" w:rsidR="00C65183" w:rsidRDefault="00C65183" w:rsidP="00C65183">
      <w:pPr>
        <w:spacing w:line="360" w:lineRule="auto"/>
        <w:jc w:val="both"/>
        <w:rPr>
          <w:rFonts w:ascii="Calibri" w:hAnsi="Calibri"/>
        </w:rPr>
      </w:pPr>
    </w:p>
    <w:p w14:paraId="239A558E" w14:textId="77777777" w:rsidR="00C65183" w:rsidRDefault="00C65183" w:rsidP="00C65183">
      <w:pPr>
        <w:spacing w:line="360" w:lineRule="auto"/>
        <w:jc w:val="both"/>
        <w:rPr>
          <w:rFonts w:ascii="Calibri" w:hAnsi="Calibri"/>
        </w:rPr>
      </w:pPr>
      <w:r>
        <w:rPr>
          <w:rFonts w:ascii="Calibri" w:hAnsi="Calibri"/>
          <w:noProof/>
          <w:lang w:eastAsia="en-AU"/>
        </w:rPr>
        <w:lastRenderedPageBreak/>
        <w:drawing>
          <wp:anchor distT="0" distB="0" distL="114300" distR="114300" simplePos="0" relativeHeight="251746304" behindDoc="0" locked="0" layoutInCell="1" allowOverlap="1" wp14:anchorId="4FCA239A" wp14:editId="18C4AA2F">
            <wp:simplePos x="0" y="0"/>
            <wp:positionH relativeFrom="column">
              <wp:posOffset>3175</wp:posOffset>
            </wp:positionH>
            <wp:positionV relativeFrom="paragraph">
              <wp:posOffset>82550</wp:posOffset>
            </wp:positionV>
            <wp:extent cx="4074160" cy="3275330"/>
            <wp:effectExtent l="0" t="0" r="2540" b="1270"/>
            <wp:wrapSquare wrapText="bothSides"/>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15">
                      <a:extLst>
                        <a:ext uri="{28A0092B-C50C-407E-A947-70E740481C1C}">
                          <a14:useLocalDpi xmlns:a14="http://schemas.microsoft.com/office/drawing/2010/main" val="0"/>
                        </a:ext>
                      </a:extLst>
                    </a:blip>
                    <a:srcRect b="58311"/>
                    <a:stretch/>
                  </pic:blipFill>
                  <pic:spPr bwMode="auto">
                    <a:xfrm>
                      <a:off x="0" y="0"/>
                      <a:ext cx="4074160" cy="32753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alibri" w:hAnsi="Calibri"/>
        </w:rPr>
        <w:t xml:space="preserve">Notably though, the greater </w:t>
      </w:r>
      <w:r w:rsidRPr="00831C14">
        <w:rPr>
          <w:rFonts w:ascii="Calibri" w:hAnsi="Calibri"/>
          <w:i/>
          <w:iCs/>
        </w:rPr>
        <w:t>numbers</w:t>
      </w:r>
      <w:r>
        <w:rPr>
          <w:rFonts w:ascii="Calibri" w:hAnsi="Calibri"/>
        </w:rPr>
        <w:t xml:space="preserve"> of residents who are unemployed include those from Australia – numbering 2,000 (not shown in the diagram), as well as residents from Vietnam, Cambodia, China, India, Sri Lanka and Afghanistan.</w:t>
      </w:r>
    </w:p>
    <w:p w14:paraId="72D0DEA5" w14:textId="77777777" w:rsidR="00C65183" w:rsidRDefault="00C65183" w:rsidP="00C65183">
      <w:pPr>
        <w:jc w:val="both"/>
        <w:rPr>
          <w:rFonts w:ascii="Calibri" w:hAnsi="Calibri"/>
          <w:color w:val="7F7F7F"/>
          <w:sz w:val="20"/>
          <w:szCs w:val="20"/>
        </w:rPr>
      </w:pPr>
    </w:p>
    <w:p w14:paraId="51FA4F06" w14:textId="77777777" w:rsidR="00C65183" w:rsidRDefault="00C65183" w:rsidP="00C65183">
      <w:pPr>
        <w:jc w:val="both"/>
        <w:rPr>
          <w:rFonts w:ascii="Calibri" w:hAnsi="Calibri"/>
          <w:color w:val="7F7F7F"/>
          <w:sz w:val="20"/>
          <w:szCs w:val="20"/>
        </w:rPr>
      </w:pPr>
      <w:r>
        <w:rPr>
          <w:rFonts w:ascii="Calibri" w:hAnsi="Calibri"/>
          <w:color w:val="7F7F7F"/>
          <w:sz w:val="20"/>
          <w:szCs w:val="20"/>
        </w:rPr>
        <w:t>Numbers of persons who are unemployed,</w:t>
      </w:r>
      <w:r w:rsidRPr="002563DC">
        <w:rPr>
          <w:rFonts w:ascii="Calibri" w:hAnsi="Calibri"/>
          <w:color w:val="7F7F7F"/>
          <w:sz w:val="20"/>
          <w:szCs w:val="20"/>
        </w:rPr>
        <w:t xml:space="preserve"> by </w:t>
      </w:r>
      <w:r>
        <w:rPr>
          <w:rFonts w:ascii="Calibri" w:hAnsi="Calibri"/>
          <w:color w:val="7F7F7F"/>
          <w:sz w:val="20"/>
          <w:szCs w:val="20"/>
        </w:rPr>
        <w:t>s</w:t>
      </w:r>
      <w:r w:rsidRPr="002563DC">
        <w:rPr>
          <w:rFonts w:ascii="Calibri" w:hAnsi="Calibri"/>
          <w:color w:val="7F7F7F"/>
          <w:sz w:val="20"/>
          <w:szCs w:val="20"/>
        </w:rPr>
        <w:t xml:space="preserve">elected </w:t>
      </w:r>
      <w:r>
        <w:rPr>
          <w:rFonts w:ascii="Calibri" w:hAnsi="Calibri"/>
          <w:color w:val="7F7F7F"/>
          <w:sz w:val="20"/>
          <w:szCs w:val="20"/>
        </w:rPr>
        <w:t>b</w:t>
      </w:r>
      <w:r w:rsidRPr="002563DC">
        <w:rPr>
          <w:rFonts w:ascii="Calibri" w:hAnsi="Calibri"/>
          <w:color w:val="7F7F7F"/>
          <w:sz w:val="20"/>
          <w:szCs w:val="20"/>
        </w:rPr>
        <w:t xml:space="preserve">irthplace: </w:t>
      </w:r>
      <w:r>
        <w:rPr>
          <w:rFonts w:ascii="Calibri" w:hAnsi="Calibri"/>
          <w:color w:val="7F7F7F"/>
          <w:sz w:val="20"/>
          <w:szCs w:val="20"/>
        </w:rPr>
        <w:t>p</w:t>
      </w:r>
      <w:r w:rsidRPr="002563DC">
        <w:rPr>
          <w:rFonts w:ascii="Calibri" w:hAnsi="Calibri"/>
          <w:color w:val="7F7F7F"/>
          <w:sz w:val="20"/>
          <w:szCs w:val="20"/>
        </w:rPr>
        <w:t xml:space="preserve">ersons aged </w:t>
      </w:r>
      <w:r>
        <w:rPr>
          <w:rFonts w:ascii="Calibri" w:hAnsi="Calibri"/>
          <w:color w:val="7F7F7F"/>
          <w:sz w:val="20"/>
          <w:szCs w:val="20"/>
        </w:rPr>
        <w:t>15</w:t>
      </w:r>
      <w:r w:rsidRPr="002563DC">
        <w:rPr>
          <w:rFonts w:ascii="Calibri" w:hAnsi="Calibri"/>
          <w:color w:val="7F7F7F"/>
          <w:sz w:val="20"/>
          <w:szCs w:val="20"/>
        </w:rPr>
        <w:t xml:space="preserve"> to </w:t>
      </w:r>
      <w:r>
        <w:rPr>
          <w:rFonts w:ascii="Calibri" w:hAnsi="Calibri"/>
          <w:color w:val="7F7F7F"/>
          <w:sz w:val="20"/>
          <w:szCs w:val="20"/>
        </w:rPr>
        <w:t>6</w:t>
      </w:r>
      <w:r w:rsidRPr="002563DC">
        <w:rPr>
          <w:rFonts w:ascii="Calibri" w:hAnsi="Calibri"/>
          <w:color w:val="7F7F7F"/>
          <w:sz w:val="20"/>
          <w:szCs w:val="20"/>
        </w:rPr>
        <w:t>4, Greater Dandenong, 201</w:t>
      </w:r>
      <w:r>
        <w:rPr>
          <w:rFonts w:ascii="Calibri" w:hAnsi="Calibri"/>
          <w:color w:val="7F7F7F"/>
          <w:sz w:val="20"/>
          <w:szCs w:val="20"/>
        </w:rPr>
        <w:t>6</w:t>
      </w:r>
    </w:p>
    <w:p w14:paraId="0AB66AC8" w14:textId="77777777" w:rsidR="00C65183" w:rsidRDefault="00C65183" w:rsidP="00C65183">
      <w:pPr>
        <w:spacing w:line="360" w:lineRule="auto"/>
        <w:jc w:val="both"/>
        <w:rPr>
          <w:rFonts w:ascii="Calibri" w:hAnsi="Calibri"/>
        </w:rPr>
      </w:pPr>
    </w:p>
    <w:p w14:paraId="132B26B8" w14:textId="77777777" w:rsidR="00C65183" w:rsidRDefault="00C65183" w:rsidP="00C65183">
      <w:pPr>
        <w:spacing w:line="360" w:lineRule="auto"/>
        <w:jc w:val="both"/>
        <w:rPr>
          <w:rFonts w:ascii="Calibri" w:hAnsi="Calibri"/>
        </w:rPr>
      </w:pPr>
    </w:p>
    <w:p w14:paraId="79790CD3" w14:textId="77777777" w:rsidR="00C65183" w:rsidRDefault="00C65183" w:rsidP="00C65183">
      <w:pPr>
        <w:spacing w:line="360" w:lineRule="auto"/>
        <w:jc w:val="both"/>
        <w:rPr>
          <w:rFonts w:ascii="Calibri" w:hAnsi="Calibri"/>
        </w:rPr>
      </w:pPr>
    </w:p>
    <w:p w14:paraId="33EDEC65" w14:textId="77777777" w:rsidR="00C65183" w:rsidRDefault="00C65183" w:rsidP="00C65183">
      <w:pPr>
        <w:spacing w:line="360" w:lineRule="auto"/>
        <w:jc w:val="both"/>
        <w:rPr>
          <w:rFonts w:ascii="Calibri" w:hAnsi="Calibri"/>
        </w:rPr>
      </w:pPr>
      <w:r>
        <w:rPr>
          <w:rFonts w:ascii="Calibri" w:hAnsi="Calibri"/>
        </w:rPr>
        <w:t>Overseas-born residents account for over two-thirds (71%) of unemployed residents of Greater Dandenong.</w:t>
      </w:r>
    </w:p>
    <w:p w14:paraId="4992AE57" w14:textId="77777777" w:rsidR="00C65183" w:rsidRDefault="00C65183" w:rsidP="00C65183">
      <w:pPr>
        <w:spacing w:line="360" w:lineRule="auto"/>
        <w:jc w:val="both"/>
        <w:rPr>
          <w:rFonts w:ascii="Calibri" w:hAnsi="Calibri"/>
          <w:b/>
        </w:rPr>
      </w:pPr>
    </w:p>
    <w:p w14:paraId="1B371CAB" w14:textId="77777777" w:rsidR="00C65183" w:rsidRDefault="00C65183" w:rsidP="00C65183">
      <w:pPr>
        <w:spacing w:line="360" w:lineRule="auto"/>
        <w:jc w:val="both"/>
        <w:rPr>
          <w:rFonts w:ascii="Calibri" w:hAnsi="Calibri"/>
          <w:b/>
        </w:rPr>
      </w:pPr>
    </w:p>
    <w:p w14:paraId="2C539687" w14:textId="77777777" w:rsidR="00C65183" w:rsidRPr="00793095" w:rsidRDefault="00C65183" w:rsidP="00C65183">
      <w:pPr>
        <w:spacing w:line="360" w:lineRule="auto"/>
        <w:jc w:val="both"/>
        <w:rPr>
          <w:rFonts w:ascii="Calibri" w:hAnsi="Calibri"/>
          <w:b/>
        </w:rPr>
      </w:pPr>
      <w:r w:rsidRPr="00793095">
        <w:rPr>
          <w:rFonts w:ascii="Calibri" w:hAnsi="Calibri"/>
          <w:b/>
        </w:rPr>
        <w:t>Families with No Parent in Paid Employment</w:t>
      </w:r>
    </w:p>
    <w:p w14:paraId="1DC27AAF" w14:textId="77777777" w:rsidR="00C65183" w:rsidRDefault="00C65183" w:rsidP="00C65183">
      <w:pPr>
        <w:spacing w:line="360" w:lineRule="auto"/>
        <w:jc w:val="both"/>
        <w:rPr>
          <w:rFonts w:ascii="Calibri" w:hAnsi="Calibri"/>
        </w:rPr>
      </w:pPr>
      <w:r>
        <w:rPr>
          <w:rFonts w:ascii="Calibri" w:hAnsi="Calibri"/>
        </w:rPr>
        <w:t xml:space="preserve">The 2016 Census revealed that among families with children in Greater Dandenong, the head of the family had no paid work in 58% of single parent families, while 21% of couple families with children had no parent in paid employment (diagram, below). </w:t>
      </w:r>
    </w:p>
    <w:p w14:paraId="48E9438C" w14:textId="77777777" w:rsidR="00C65183" w:rsidRDefault="00C65183" w:rsidP="00C65183">
      <w:pPr>
        <w:spacing w:line="360" w:lineRule="auto"/>
        <w:jc w:val="both"/>
        <w:rPr>
          <w:rFonts w:ascii="Calibri" w:hAnsi="Calibri"/>
        </w:rPr>
      </w:pPr>
      <w:r>
        <w:rPr>
          <w:rFonts w:ascii="Calibri" w:hAnsi="Calibri"/>
        </w:rPr>
        <w:t xml:space="preserve">Overall, 31% of families with children in Greater Dandenong had no parent in paid employment – the second highest level in Victoria, and substantially higher than the corresponding State figure of 19%. </w:t>
      </w:r>
    </w:p>
    <w:p w14:paraId="37D11FA3" w14:textId="77777777" w:rsidR="00C65183" w:rsidRDefault="00C65183" w:rsidP="00C65183">
      <w:pPr>
        <w:jc w:val="both"/>
        <w:rPr>
          <w:rFonts w:ascii="Calibri" w:hAnsi="Calibri"/>
          <w:sz w:val="16"/>
          <w:szCs w:val="16"/>
        </w:rPr>
      </w:pPr>
    </w:p>
    <w:p w14:paraId="6CB77885" w14:textId="77777777" w:rsidR="00C65183" w:rsidRDefault="00C65183" w:rsidP="00C65183">
      <w:pPr>
        <w:jc w:val="both"/>
        <w:rPr>
          <w:rFonts w:ascii="Calibri" w:hAnsi="Calibri"/>
          <w:sz w:val="16"/>
          <w:szCs w:val="16"/>
        </w:rPr>
      </w:pPr>
    </w:p>
    <w:p w14:paraId="55976B05" w14:textId="77777777" w:rsidR="00C65183" w:rsidRDefault="00C65183" w:rsidP="00C65183">
      <w:pPr>
        <w:jc w:val="both"/>
        <w:rPr>
          <w:rFonts w:ascii="Calibri" w:hAnsi="Calibri"/>
          <w:sz w:val="16"/>
          <w:szCs w:val="16"/>
        </w:rPr>
      </w:pPr>
      <w:r>
        <w:rPr>
          <w:rFonts w:ascii="Calibri" w:hAnsi="Calibri"/>
          <w:noProof/>
          <w:lang w:eastAsia="en-AU"/>
        </w:rPr>
        <w:drawing>
          <wp:anchor distT="0" distB="0" distL="114300" distR="114300" simplePos="0" relativeHeight="251755520" behindDoc="0" locked="0" layoutInCell="1" allowOverlap="1" wp14:anchorId="4BC17B61" wp14:editId="58A71BD1">
            <wp:simplePos x="0" y="0"/>
            <wp:positionH relativeFrom="column">
              <wp:posOffset>2430145</wp:posOffset>
            </wp:positionH>
            <wp:positionV relativeFrom="paragraph">
              <wp:posOffset>17145</wp:posOffset>
            </wp:positionV>
            <wp:extent cx="3673475" cy="2680335"/>
            <wp:effectExtent l="0" t="0" r="3175" b="5715"/>
            <wp:wrapSquare wrapText="bothSides"/>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3673475" cy="2680335"/>
                    </a:xfrm>
                    <a:prstGeom prst="rect">
                      <a:avLst/>
                    </a:prstGeom>
                    <a:noFill/>
                  </pic:spPr>
                </pic:pic>
              </a:graphicData>
            </a:graphic>
            <wp14:sizeRelH relativeFrom="page">
              <wp14:pctWidth>0</wp14:pctWidth>
            </wp14:sizeRelH>
            <wp14:sizeRelV relativeFrom="page">
              <wp14:pctHeight>0</wp14:pctHeight>
            </wp14:sizeRelV>
          </wp:anchor>
        </w:drawing>
      </w:r>
    </w:p>
    <w:p w14:paraId="2CF17D74" w14:textId="77777777" w:rsidR="00C65183" w:rsidRDefault="00C65183" w:rsidP="00C65183">
      <w:pPr>
        <w:jc w:val="both"/>
        <w:rPr>
          <w:rFonts w:ascii="Calibri" w:hAnsi="Calibri"/>
          <w:sz w:val="16"/>
          <w:szCs w:val="16"/>
        </w:rPr>
      </w:pPr>
    </w:p>
    <w:p w14:paraId="47668E6D" w14:textId="77777777" w:rsidR="00C65183" w:rsidRPr="009528E4" w:rsidRDefault="00C65183" w:rsidP="00C65183">
      <w:pPr>
        <w:jc w:val="both"/>
        <w:rPr>
          <w:rFonts w:ascii="Calibri" w:hAnsi="Calibri"/>
          <w:sz w:val="16"/>
          <w:szCs w:val="16"/>
        </w:rPr>
      </w:pPr>
    </w:p>
    <w:p w14:paraId="4472C9C8" w14:textId="77777777" w:rsidR="00C65183" w:rsidRPr="000A2D28" w:rsidRDefault="00C65183" w:rsidP="00C65183">
      <w:pPr>
        <w:jc w:val="both"/>
        <w:rPr>
          <w:rFonts w:ascii="Calibri" w:hAnsi="Calibri"/>
          <w:color w:val="7F7F7F"/>
          <w:sz w:val="20"/>
          <w:szCs w:val="20"/>
        </w:rPr>
      </w:pPr>
      <w:r w:rsidRPr="000A2D28">
        <w:rPr>
          <w:rFonts w:ascii="Calibri" w:hAnsi="Calibri"/>
          <w:color w:val="7F7F7F"/>
          <w:sz w:val="20"/>
          <w:szCs w:val="20"/>
        </w:rPr>
        <w:t xml:space="preserve">Per cent of </w:t>
      </w:r>
      <w:r>
        <w:rPr>
          <w:rFonts w:ascii="Calibri" w:hAnsi="Calibri"/>
          <w:color w:val="7F7F7F"/>
          <w:sz w:val="20"/>
          <w:szCs w:val="20"/>
        </w:rPr>
        <w:t>f</w:t>
      </w:r>
      <w:r w:rsidRPr="000A2D28">
        <w:rPr>
          <w:rFonts w:ascii="Calibri" w:hAnsi="Calibri"/>
          <w:color w:val="7F7F7F"/>
          <w:sz w:val="20"/>
          <w:szCs w:val="20"/>
        </w:rPr>
        <w:t xml:space="preserve">amilies with </w:t>
      </w:r>
      <w:r>
        <w:rPr>
          <w:rFonts w:ascii="Calibri" w:hAnsi="Calibri"/>
          <w:color w:val="7F7F7F"/>
          <w:sz w:val="20"/>
          <w:szCs w:val="20"/>
        </w:rPr>
        <w:t>c</w:t>
      </w:r>
      <w:r w:rsidRPr="000A2D28">
        <w:rPr>
          <w:rFonts w:ascii="Calibri" w:hAnsi="Calibri"/>
          <w:color w:val="7F7F7F"/>
          <w:sz w:val="20"/>
          <w:szCs w:val="20"/>
        </w:rPr>
        <w:t xml:space="preserve">hildren that have </w:t>
      </w:r>
      <w:r>
        <w:rPr>
          <w:rFonts w:ascii="Calibri" w:hAnsi="Calibri"/>
          <w:color w:val="7F7F7F"/>
          <w:sz w:val="20"/>
          <w:szCs w:val="20"/>
        </w:rPr>
        <w:t>n</w:t>
      </w:r>
      <w:r w:rsidRPr="000A2D28">
        <w:rPr>
          <w:rFonts w:ascii="Calibri" w:hAnsi="Calibri"/>
          <w:color w:val="7F7F7F"/>
          <w:sz w:val="20"/>
          <w:szCs w:val="20"/>
        </w:rPr>
        <w:t xml:space="preserve">o </w:t>
      </w:r>
      <w:r>
        <w:rPr>
          <w:rFonts w:ascii="Calibri" w:hAnsi="Calibri"/>
          <w:color w:val="7F7F7F"/>
          <w:sz w:val="20"/>
          <w:szCs w:val="20"/>
        </w:rPr>
        <w:t>p</w:t>
      </w:r>
      <w:r w:rsidRPr="000A2D28">
        <w:rPr>
          <w:rFonts w:ascii="Calibri" w:hAnsi="Calibri"/>
          <w:color w:val="7F7F7F"/>
          <w:sz w:val="20"/>
          <w:szCs w:val="20"/>
        </w:rPr>
        <w:t xml:space="preserve">arent in </w:t>
      </w:r>
      <w:r>
        <w:rPr>
          <w:rFonts w:ascii="Calibri" w:hAnsi="Calibri"/>
          <w:color w:val="7F7F7F"/>
          <w:sz w:val="20"/>
          <w:szCs w:val="20"/>
        </w:rPr>
        <w:t>p</w:t>
      </w:r>
      <w:r w:rsidRPr="000A2D28">
        <w:rPr>
          <w:rFonts w:ascii="Calibri" w:hAnsi="Calibri"/>
          <w:color w:val="7F7F7F"/>
          <w:sz w:val="20"/>
          <w:szCs w:val="20"/>
        </w:rPr>
        <w:t xml:space="preserve">aid </w:t>
      </w:r>
      <w:r>
        <w:rPr>
          <w:rFonts w:ascii="Calibri" w:hAnsi="Calibri"/>
          <w:color w:val="7F7F7F"/>
          <w:sz w:val="20"/>
          <w:szCs w:val="20"/>
        </w:rPr>
        <w:t>e</w:t>
      </w:r>
      <w:r w:rsidRPr="000A2D28">
        <w:rPr>
          <w:rFonts w:ascii="Calibri" w:hAnsi="Calibri"/>
          <w:color w:val="7F7F7F"/>
          <w:sz w:val="20"/>
          <w:szCs w:val="20"/>
        </w:rPr>
        <w:t xml:space="preserve">mployment, by </w:t>
      </w:r>
      <w:r>
        <w:rPr>
          <w:rFonts w:ascii="Calibri" w:hAnsi="Calibri"/>
          <w:color w:val="7F7F7F"/>
          <w:sz w:val="20"/>
          <w:szCs w:val="20"/>
        </w:rPr>
        <w:t>f</w:t>
      </w:r>
      <w:r w:rsidRPr="000A2D28">
        <w:rPr>
          <w:rFonts w:ascii="Calibri" w:hAnsi="Calibri"/>
          <w:color w:val="7F7F7F"/>
          <w:sz w:val="20"/>
          <w:szCs w:val="20"/>
        </w:rPr>
        <w:t xml:space="preserve">amily </w:t>
      </w:r>
      <w:r>
        <w:rPr>
          <w:rFonts w:ascii="Calibri" w:hAnsi="Calibri"/>
          <w:color w:val="7F7F7F"/>
          <w:sz w:val="20"/>
          <w:szCs w:val="20"/>
        </w:rPr>
        <w:t>t</w:t>
      </w:r>
      <w:r w:rsidRPr="000A2D28">
        <w:rPr>
          <w:rFonts w:ascii="Calibri" w:hAnsi="Calibri"/>
          <w:color w:val="7F7F7F"/>
          <w:sz w:val="20"/>
          <w:szCs w:val="20"/>
        </w:rPr>
        <w:t>ype: Greater Dandenong and Victoria, 2016</w:t>
      </w:r>
    </w:p>
    <w:p w14:paraId="02B3E3DD" w14:textId="77777777" w:rsidR="00C65183" w:rsidRDefault="00C65183" w:rsidP="00C65183">
      <w:pPr>
        <w:spacing w:line="360" w:lineRule="auto"/>
        <w:jc w:val="center"/>
        <w:rPr>
          <w:rFonts w:ascii="Calibri" w:hAnsi="Calibri"/>
        </w:rPr>
      </w:pPr>
    </w:p>
    <w:p w14:paraId="4A393F78" w14:textId="77777777" w:rsidR="00C65183" w:rsidRDefault="00C65183" w:rsidP="00C65183">
      <w:pPr>
        <w:spacing w:line="360" w:lineRule="auto"/>
        <w:jc w:val="both"/>
        <w:rPr>
          <w:rFonts w:ascii="Calibri" w:hAnsi="Calibri"/>
        </w:rPr>
      </w:pPr>
      <w:r>
        <w:rPr>
          <w:rFonts w:ascii="Calibri" w:hAnsi="Calibri"/>
          <w:noProof/>
          <w:lang w:eastAsia="en-AU"/>
        </w:rPr>
        <w:drawing>
          <wp:anchor distT="0" distB="0" distL="114300" distR="114300" simplePos="0" relativeHeight="251756544" behindDoc="0" locked="0" layoutInCell="1" allowOverlap="1" wp14:anchorId="1DE30A21" wp14:editId="2A08485D">
            <wp:simplePos x="0" y="0"/>
            <wp:positionH relativeFrom="column">
              <wp:posOffset>1266825</wp:posOffset>
            </wp:positionH>
            <wp:positionV relativeFrom="paragraph">
              <wp:posOffset>142875</wp:posOffset>
            </wp:positionV>
            <wp:extent cx="818515" cy="1381125"/>
            <wp:effectExtent l="0" t="0" r="635" b="9525"/>
            <wp:wrapNone/>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munity 9.jpg"/>
                    <pic:cNvPicPr/>
                  </pic:nvPicPr>
                  <pic:blipFill rotWithShape="1">
                    <a:blip r:embed="rId117" cstate="print">
                      <a:extLst>
                        <a:ext uri="{28A0092B-C50C-407E-A947-70E740481C1C}">
                          <a14:useLocalDpi xmlns:a14="http://schemas.microsoft.com/office/drawing/2010/main" val="0"/>
                        </a:ext>
                      </a:extLst>
                    </a:blip>
                    <a:srcRect l="22223" r="12222" b="26480"/>
                    <a:stretch/>
                  </pic:blipFill>
                  <pic:spPr bwMode="auto">
                    <a:xfrm>
                      <a:off x="0" y="0"/>
                      <a:ext cx="818515" cy="1381125"/>
                    </a:xfrm>
                    <a:prstGeom prst="rect">
                      <a:avLst/>
                    </a:prstGeom>
                    <a:ln>
                      <a:noFill/>
                    </a:ln>
                    <a:effectLst>
                      <a:softEdge rad="1270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144C28E" w14:textId="77777777" w:rsidR="00C65183" w:rsidRDefault="00C65183" w:rsidP="00C65183">
      <w:pPr>
        <w:spacing w:line="360" w:lineRule="auto"/>
        <w:jc w:val="both"/>
        <w:rPr>
          <w:rFonts w:ascii="Calibri" w:hAnsi="Calibri"/>
        </w:rPr>
      </w:pPr>
    </w:p>
    <w:p w14:paraId="15E8718B" w14:textId="77777777" w:rsidR="00C65183" w:rsidRDefault="00C65183" w:rsidP="00C65183">
      <w:pPr>
        <w:spacing w:line="360" w:lineRule="auto"/>
        <w:ind w:right="5243"/>
        <w:jc w:val="both"/>
        <w:rPr>
          <w:rFonts w:ascii="Calibri" w:hAnsi="Calibri"/>
        </w:rPr>
      </w:pPr>
    </w:p>
    <w:p w14:paraId="11589E91" w14:textId="77777777" w:rsidR="00C65183" w:rsidRDefault="00C65183" w:rsidP="00C65183">
      <w:pPr>
        <w:spacing w:line="360" w:lineRule="auto"/>
        <w:ind w:right="5243"/>
        <w:jc w:val="both"/>
        <w:rPr>
          <w:rFonts w:ascii="Calibri" w:hAnsi="Calibri"/>
        </w:rPr>
      </w:pPr>
    </w:p>
    <w:p w14:paraId="0FC7D594" w14:textId="77777777" w:rsidR="00C65183" w:rsidRDefault="00C65183" w:rsidP="00C65183">
      <w:pPr>
        <w:spacing w:line="360" w:lineRule="auto"/>
        <w:ind w:right="5243"/>
        <w:jc w:val="both"/>
        <w:rPr>
          <w:rFonts w:ascii="Calibri" w:hAnsi="Calibri"/>
        </w:rPr>
      </w:pPr>
    </w:p>
    <w:p w14:paraId="00594B63" w14:textId="77777777" w:rsidR="00C65183" w:rsidRDefault="00C65183" w:rsidP="00C65183">
      <w:pPr>
        <w:spacing w:line="360" w:lineRule="auto"/>
        <w:ind w:right="5243"/>
        <w:jc w:val="both"/>
        <w:rPr>
          <w:rFonts w:ascii="Calibri" w:hAnsi="Calibri"/>
        </w:rPr>
      </w:pPr>
    </w:p>
    <w:p w14:paraId="7CADC66A" w14:textId="77777777" w:rsidR="00C65183" w:rsidRDefault="00C65183" w:rsidP="00C65183">
      <w:pPr>
        <w:spacing w:line="360" w:lineRule="auto"/>
        <w:jc w:val="both"/>
        <w:rPr>
          <w:rFonts w:ascii="Calibri" w:hAnsi="Calibri"/>
          <w:b/>
        </w:rPr>
      </w:pPr>
    </w:p>
    <w:p w14:paraId="31A1CC38" w14:textId="77777777" w:rsidR="00C65183" w:rsidRDefault="00C65183" w:rsidP="00C65183">
      <w:pPr>
        <w:spacing w:line="360" w:lineRule="auto"/>
        <w:jc w:val="both"/>
        <w:rPr>
          <w:rFonts w:ascii="Calibri" w:hAnsi="Calibri"/>
          <w:b/>
        </w:rPr>
      </w:pPr>
    </w:p>
    <w:p w14:paraId="27243E03" w14:textId="77777777" w:rsidR="00C65183" w:rsidRPr="000A2D28" w:rsidRDefault="00C65183" w:rsidP="00C65183">
      <w:pPr>
        <w:spacing w:line="360" w:lineRule="auto"/>
        <w:jc w:val="both"/>
        <w:rPr>
          <w:rFonts w:ascii="Calibri" w:hAnsi="Calibri"/>
          <w:b/>
        </w:rPr>
      </w:pPr>
      <w:r w:rsidRPr="000A2D28">
        <w:rPr>
          <w:rFonts w:ascii="Calibri" w:hAnsi="Calibri"/>
          <w:b/>
        </w:rPr>
        <w:lastRenderedPageBreak/>
        <w:t>Occupations and Industry of Employment among Residents</w:t>
      </w:r>
    </w:p>
    <w:p w14:paraId="346BBF60" w14:textId="77777777" w:rsidR="00C65183" w:rsidRPr="00E069DE" w:rsidRDefault="00C65183" w:rsidP="00C65183">
      <w:pPr>
        <w:spacing w:line="360" w:lineRule="auto"/>
        <w:jc w:val="both"/>
        <w:rPr>
          <w:rFonts w:ascii="Calibri" w:hAnsi="Calibri"/>
        </w:rPr>
      </w:pPr>
      <w:r>
        <w:rPr>
          <w:rFonts w:ascii="Calibri" w:hAnsi="Calibri"/>
        </w:rPr>
        <w:t xml:space="preserve">In 2016, approximately 59,000 residents, or nearly two-fifths (39%) of the population of Greater Dandenong, held paid work. The distribution of employed residents of Greater Dandenong, among the major categories of occupation, is illustrated below.          </w:t>
      </w:r>
      <w:r w:rsidRPr="000F18B6">
        <w:rPr>
          <w:rFonts w:ascii="Calibri" w:hAnsi="Calibri"/>
          <w:color w:val="7F7F7F" w:themeColor="text1" w:themeTint="80"/>
          <w:sz w:val="20"/>
          <w:szCs w:val="20"/>
        </w:rPr>
        <w:t xml:space="preserve">Occupations of </w:t>
      </w:r>
      <w:r>
        <w:rPr>
          <w:rFonts w:ascii="Calibri" w:hAnsi="Calibri"/>
          <w:color w:val="7F7F7F" w:themeColor="text1" w:themeTint="80"/>
          <w:sz w:val="20"/>
          <w:szCs w:val="20"/>
        </w:rPr>
        <w:t>e</w:t>
      </w:r>
      <w:r w:rsidRPr="000F18B6">
        <w:rPr>
          <w:rFonts w:ascii="Calibri" w:hAnsi="Calibri"/>
          <w:color w:val="7F7F7F" w:themeColor="text1" w:themeTint="80"/>
          <w:sz w:val="20"/>
          <w:szCs w:val="20"/>
        </w:rPr>
        <w:t xml:space="preserve">mployed </w:t>
      </w:r>
      <w:r>
        <w:rPr>
          <w:rFonts w:ascii="Calibri" w:hAnsi="Calibri"/>
          <w:color w:val="7F7F7F" w:themeColor="text1" w:themeTint="80"/>
          <w:sz w:val="20"/>
          <w:szCs w:val="20"/>
        </w:rPr>
        <w:t>r</w:t>
      </w:r>
      <w:r w:rsidRPr="000F18B6">
        <w:rPr>
          <w:rFonts w:ascii="Calibri" w:hAnsi="Calibri"/>
          <w:color w:val="7F7F7F" w:themeColor="text1" w:themeTint="80"/>
          <w:sz w:val="20"/>
          <w:szCs w:val="20"/>
        </w:rPr>
        <w:t>esidents: Greater Dandenong and Victoria, 2016</w:t>
      </w:r>
    </w:p>
    <w:p w14:paraId="249987E4" w14:textId="77777777" w:rsidR="00C65183" w:rsidRDefault="00C65183" w:rsidP="00C65183">
      <w:pPr>
        <w:spacing w:line="360" w:lineRule="auto"/>
        <w:jc w:val="both"/>
        <w:rPr>
          <w:rFonts w:ascii="Calibri" w:hAnsi="Calibri"/>
        </w:rPr>
      </w:pPr>
      <w:r>
        <w:rPr>
          <w:rFonts w:ascii="Calibri" w:hAnsi="Calibri"/>
          <w:noProof/>
          <w:lang w:eastAsia="en-AU"/>
        </w:rPr>
        <w:drawing>
          <wp:anchor distT="0" distB="0" distL="114300" distR="114300" simplePos="0" relativeHeight="251747328" behindDoc="0" locked="0" layoutInCell="1" allowOverlap="1" wp14:anchorId="1ACCF05A" wp14:editId="432D7AFF">
            <wp:simplePos x="0" y="0"/>
            <wp:positionH relativeFrom="column">
              <wp:posOffset>1737360</wp:posOffset>
            </wp:positionH>
            <wp:positionV relativeFrom="paragraph">
              <wp:posOffset>5715</wp:posOffset>
            </wp:positionV>
            <wp:extent cx="4291330" cy="3308985"/>
            <wp:effectExtent l="0" t="0" r="0" b="5715"/>
            <wp:wrapSquare wrapText="bothSides"/>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4291330" cy="3308985"/>
                    </a:xfrm>
                    <a:prstGeom prst="rect">
                      <a:avLst/>
                    </a:prstGeom>
                    <a:noFill/>
                  </pic:spPr>
                </pic:pic>
              </a:graphicData>
            </a:graphic>
            <wp14:sizeRelH relativeFrom="page">
              <wp14:pctWidth>0</wp14:pctWidth>
            </wp14:sizeRelH>
            <wp14:sizeRelV relativeFrom="page">
              <wp14:pctHeight>0</wp14:pctHeight>
            </wp14:sizeRelV>
          </wp:anchor>
        </w:drawing>
      </w:r>
    </w:p>
    <w:p w14:paraId="30FEEA47" w14:textId="77777777" w:rsidR="00C65183" w:rsidRPr="000708D7" w:rsidRDefault="00C65183" w:rsidP="00C65183">
      <w:pPr>
        <w:spacing w:line="360" w:lineRule="auto"/>
        <w:jc w:val="both"/>
        <w:rPr>
          <w:rFonts w:ascii="Calibri" w:hAnsi="Calibri"/>
        </w:rPr>
      </w:pPr>
      <w:r w:rsidRPr="000708D7">
        <w:rPr>
          <w:rFonts w:ascii="Calibri" w:hAnsi="Calibri"/>
        </w:rPr>
        <w:t>Notably, the proportion of employed residents who were labourers, machinery operators, technicians and trades workers, exceeded the State average. By contrast, the representation of local workers in professional or managerial occupations was lower than the Victorian level.</w:t>
      </w:r>
    </w:p>
    <w:p w14:paraId="3E6E8554" w14:textId="77777777" w:rsidR="00C65183" w:rsidRDefault="00C65183" w:rsidP="00C65183">
      <w:pPr>
        <w:spacing w:line="360" w:lineRule="auto"/>
        <w:jc w:val="both"/>
        <w:rPr>
          <w:rFonts w:ascii="Calibri" w:hAnsi="Calibri"/>
        </w:rPr>
      </w:pPr>
      <w:r>
        <w:rPr>
          <w:rFonts w:ascii="Calibri" w:hAnsi="Calibri"/>
          <w:noProof/>
          <w:lang w:eastAsia="en-AU"/>
        </w:rPr>
        <w:drawing>
          <wp:anchor distT="0" distB="0" distL="114300" distR="114300" simplePos="0" relativeHeight="251968512" behindDoc="0" locked="0" layoutInCell="1" allowOverlap="1" wp14:anchorId="42D45B5C" wp14:editId="67C1A047">
            <wp:simplePos x="0" y="0"/>
            <wp:positionH relativeFrom="margin">
              <wp:posOffset>4309110</wp:posOffset>
            </wp:positionH>
            <wp:positionV relativeFrom="paragraph">
              <wp:posOffset>749300</wp:posOffset>
            </wp:positionV>
            <wp:extent cx="1017270" cy="761022"/>
            <wp:effectExtent l="0" t="0" r="0" b="1270"/>
            <wp:wrapNone/>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merce Employment 3.jpg"/>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1017270" cy="761022"/>
                    </a:xfrm>
                    <a:prstGeom prst="rect">
                      <a:avLst/>
                    </a:prstGeom>
                    <a:effectLst>
                      <a:softEdge rad="63500"/>
                    </a:effectLst>
                  </pic:spPr>
                </pic:pic>
              </a:graphicData>
            </a:graphic>
            <wp14:sizeRelH relativeFrom="page">
              <wp14:pctWidth>0</wp14:pctWidth>
            </wp14:sizeRelH>
            <wp14:sizeRelV relativeFrom="page">
              <wp14:pctHeight>0</wp14:pctHeight>
            </wp14:sizeRelV>
          </wp:anchor>
        </w:drawing>
      </w:r>
      <w:r>
        <w:rPr>
          <w:rFonts w:ascii="Calibri" w:hAnsi="Calibri"/>
        </w:rPr>
        <w:t>The distribution of employed residents of Greater Dandenong among categories of industry was similar to the Victorian pattern, with the principal exception of manufacturing, which accounted for 17% of jobs held by residents of Greater Dandenong, compared with 8% of employment across Victoria.</w:t>
      </w:r>
    </w:p>
    <w:p w14:paraId="30FDB1B2" w14:textId="77777777" w:rsidR="00C65183" w:rsidRDefault="00C65183" w:rsidP="00C65183">
      <w:pPr>
        <w:spacing w:line="360" w:lineRule="auto"/>
        <w:jc w:val="both"/>
        <w:rPr>
          <w:rFonts w:ascii="Calibri" w:hAnsi="Calibri"/>
        </w:rPr>
      </w:pPr>
    </w:p>
    <w:p w14:paraId="0F96CCC3" w14:textId="77777777" w:rsidR="00C65183" w:rsidRDefault="00C65183" w:rsidP="00C65183">
      <w:pPr>
        <w:spacing w:line="360" w:lineRule="auto"/>
        <w:jc w:val="both"/>
        <w:rPr>
          <w:rFonts w:ascii="Calibri" w:hAnsi="Calibri"/>
        </w:rPr>
      </w:pPr>
    </w:p>
    <w:p w14:paraId="273A192D" w14:textId="77777777" w:rsidR="00C65183" w:rsidRPr="00214AC8" w:rsidRDefault="00C65183" w:rsidP="00C65183">
      <w:pPr>
        <w:jc w:val="both"/>
        <w:rPr>
          <w:rFonts w:ascii="Calibri" w:hAnsi="Calibri"/>
          <w:i/>
        </w:rPr>
      </w:pPr>
      <w:r>
        <w:rPr>
          <w:rFonts w:ascii="Calibri" w:hAnsi="Calibri"/>
          <w:b/>
        </w:rPr>
        <w:t xml:space="preserve">Places of Employment                                                         </w:t>
      </w:r>
      <w:r w:rsidRPr="00331415">
        <w:rPr>
          <w:rFonts w:ascii="Calibri" w:hAnsi="Calibri"/>
          <w:color w:val="7F7F7F"/>
          <w:sz w:val="20"/>
          <w:szCs w:val="20"/>
        </w:rPr>
        <w:t xml:space="preserve">Municipality of </w:t>
      </w:r>
      <w:r>
        <w:rPr>
          <w:rFonts w:ascii="Calibri" w:hAnsi="Calibri"/>
          <w:color w:val="7F7F7F"/>
          <w:sz w:val="20"/>
          <w:szCs w:val="20"/>
        </w:rPr>
        <w:t>e</w:t>
      </w:r>
      <w:r w:rsidRPr="00331415">
        <w:rPr>
          <w:rFonts w:ascii="Calibri" w:hAnsi="Calibri"/>
          <w:color w:val="7F7F7F"/>
          <w:sz w:val="20"/>
          <w:szCs w:val="20"/>
        </w:rPr>
        <w:t>mployment: Greater Dandenong, 201</w:t>
      </w:r>
      <w:r>
        <w:rPr>
          <w:rFonts w:ascii="Calibri" w:hAnsi="Calibri"/>
          <w:color w:val="7F7F7F"/>
          <w:sz w:val="20"/>
          <w:szCs w:val="20"/>
        </w:rPr>
        <w:t>6</w:t>
      </w:r>
    </w:p>
    <w:p w14:paraId="7AE49FFF" w14:textId="77777777" w:rsidR="00C65183" w:rsidRDefault="00C65183" w:rsidP="00C65183">
      <w:pPr>
        <w:spacing w:line="360" w:lineRule="auto"/>
        <w:jc w:val="both"/>
        <w:rPr>
          <w:rFonts w:ascii="Calibri" w:hAnsi="Calibri"/>
        </w:rPr>
      </w:pPr>
      <w:r>
        <w:rPr>
          <w:rFonts w:ascii="Calibri" w:hAnsi="Calibri"/>
          <w:b/>
          <w:noProof/>
          <w:lang w:eastAsia="en-AU"/>
        </w:rPr>
        <w:drawing>
          <wp:anchor distT="0" distB="0" distL="114300" distR="114300" simplePos="0" relativeHeight="251748352" behindDoc="0" locked="0" layoutInCell="1" allowOverlap="1" wp14:anchorId="0A2EA50E" wp14:editId="3A7EB4B9">
            <wp:simplePos x="0" y="0"/>
            <wp:positionH relativeFrom="column">
              <wp:posOffset>2288540</wp:posOffset>
            </wp:positionH>
            <wp:positionV relativeFrom="paragraph">
              <wp:posOffset>39370</wp:posOffset>
            </wp:positionV>
            <wp:extent cx="3812540" cy="3037205"/>
            <wp:effectExtent l="0" t="0" r="0" b="0"/>
            <wp:wrapSquare wrapText="bothSides"/>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3812540" cy="3037205"/>
                    </a:xfrm>
                    <a:prstGeom prst="rect">
                      <a:avLst/>
                    </a:prstGeom>
                    <a:noFill/>
                  </pic:spPr>
                </pic:pic>
              </a:graphicData>
            </a:graphic>
            <wp14:sizeRelH relativeFrom="page">
              <wp14:pctWidth>0</wp14:pctWidth>
            </wp14:sizeRelH>
            <wp14:sizeRelV relativeFrom="page">
              <wp14:pctHeight>0</wp14:pctHeight>
            </wp14:sizeRelV>
          </wp:anchor>
        </w:drawing>
      </w:r>
      <w:r>
        <w:rPr>
          <w:rFonts w:ascii="Calibri" w:hAnsi="Calibri"/>
        </w:rPr>
        <w:t xml:space="preserve">Of the 59,000 Greater Dandenong residents in paid employment in 2016, nearly a third (31%) worked in Greater Dandenong, and about a third in neighbouring municipalities such as Kingston, Monash or Melbourne, and a third in more distant localities. </w:t>
      </w:r>
    </w:p>
    <w:p w14:paraId="2FDAF2DF" w14:textId="77777777" w:rsidR="00C65183" w:rsidRDefault="00C65183" w:rsidP="00C65183">
      <w:pPr>
        <w:spacing w:line="360" w:lineRule="auto"/>
        <w:jc w:val="both"/>
        <w:rPr>
          <w:rFonts w:ascii="Calibri" w:hAnsi="Calibri"/>
        </w:rPr>
      </w:pPr>
    </w:p>
    <w:p w14:paraId="7DA42AF3" w14:textId="77777777" w:rsidR="00C65183" w:rsidRDefault="00C65183" w:rsidP="00C65183">
      <w:pPr>
        <w:spacing w:line="360" w:lineRule="auto"/>
        <w:jc w:val="both"/>
        <w:rPr>
          <w:rFonts w:ascii="Calibri" w:hAnsi="Calibri"/>
        </w:rPr>
      </w:pPr>
      <w:r>
        <w:rPr>
          <w:rFonts w:ascii="Calibri" w:hAnsi="Calibri"/>
          <w:noProof/>
          <w:lang w:eastAsia="en-AU"/>
        </w:rPr>
        <w:drawing>
          <wp:anchor distT="0" distB="0" distL="114300" distR="114300" simplePos="0" relativeHeight="251751424" behindDoc="0" locked="0" layoutInCell="1" allowOverlap="1" wp14:anchorId="29E7DE3F" wp14:editId="3F45E3D7">
            <wp:simplePos x="0" y="0"/>
            <wp:positionH relativeFrom="column">
              <wp:posOffset>160655</wp:posOffset>
            </wp:positionH>
            <wp:positionV relativeFrom="paragraph">
              <wp:posOffset>108268</wp:posOffset>
            </wp:positionV>
            <wp:extent cx="1042035" cy="808886"/>
            <wp:effectExtent l="0" t="0" r="5715" b="0"/>
            <wp:wrapNone/>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merce Employment 2.jpg"/>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1042035" cy="808886"/>
                    </a:xfrm>
                    <a:prstGeom prst="rect">
                      <a:avLst/>
                    </a:prstGeom>
                    <a:effectLst>
                      <a:softEdge rad="127000"/>
                    </a:effectLst>
                  </pic:spPr>
                </pic:pic>
              </a:graphicData>
            </a:graphic>
            <wp14:sizeRelH relativeFrom="page">
              <wp14:pctWidth>0</wp14:pctWidth>
            </wp14:sizeRelH>
            <wp14:sizeRelV relativeFrom="page">
              <wp14:pctHeight>0</wp14:pctHeight>
            </wp14:sizeRelV>
          </wp:anchor>
        </w:drawing>
      </w:r>
    </w:p>
    <w:p w14:paraId="1E10B998" w14:textId="77777777" w:rsidR="00C65183" w:rsidRDefault="00C65183" w:rsidP="00C65183">
      <w:pPr>
        <w:spacing w:line="360" w:lineRule="auto"/>
        <w:jc w:val="both"/>
        <w:rPr>
          <w:rFonts w:ascii="Calibri" w:hAnsi="Calibri"/>
        </w:rPr>
      </w:pPr>
    </w:p>
    <w:p w14:paraId="02ACC5E1" w14:textId="77777777" w:rsidR="00C65183" w:rsidRDefault="00C65183" w:rsidP="00C65183">
      <w:pPr>
        <w:spacing w:line="360" w:lineRule="auto"/>
        <w:jc w:val="both"/>
        <w:rPr>
          <w:rFonts w:ascii="Calibri" w:hAnsi="Calibri"/>
        </w:rPr>
      </w:pPr>
    </w:p>
    <w:p w14:paraId="392FEB0E" w14:textId="77777777" w:rsidR="00C65183" w:rsidRDefault="00C65183" w:rsidP="00C65183">
      <w:pPr>
        <w:spacing w:line="360" w:lineRule="auto"/>
        <w:jc w:val="both"/>
        <w:rPr>
          <w:rFonts w:ascii="Calibri" w:hAnsi="Calibri"/>
        </w:rPr>
      </w:pPr>
    </w:p>
    <w:p w14:paraId="7E595944" w14:textId="77777777" w:rsidR="00C65183" w:rsidRPr="00331415" w:rsidRDefault="00C65183" w:rsidP="00C65183">
      <w:pPr>
        <w:spacing w:line="360" w:lineRule="auto"/>
        <w:ind w:right="5243"/>
        <w:jc w:val="both"/>
        <w:rPr>
          <w:rFonts w:ascii="Calibri" w:hAnsi="Calibri"/>
          <w:b/>
          <w:noProof/>
          <w:color w:val="000000"/>
        </w:rPr>
      </w:pPr>
      <w:r w:rsidRPr="00331415">
        <w:rPr>
          <w:rFonts w:ascii="Calibri" w:hAnsi="Calibri"/>
          <w:b/>
          <w:noProof/>
          <w:color w:val="000000"/>
        </w:rPr>
        <w:lastRenderedPageBreak/>
        <w:t>Employment within Greater Dandenong</w:t>
      </w:r>
    </w:p>
    <w:p w14:paraId="44C28D19" w14:textId="77777777" w:rsidR="00C65183" w:rsidRDefault="00C65183" w:rsidP="00C65183">
      <w:pPr>
        <w:spacing w:line="360" w:lineRule="auto"/>
        <w:jc w:val="both"/>
        <w:rPr>
          <w:rFonts w:ascii="Calibri" w:hAnsi="Calibri"/>
        </w:rPr>
      </w:pPr>
      <w:r>
        <w:rPr>
          <w:rFonts w:ascii="Calibri" w:hAnsi="Calibri"/>
        </w:rPr>
        <w:t>The 2016 Census recorded that 97,000 people worked in Greater Dandenong, an increase of 22,000 over the level of 2006. Greater Dandenong therefore hosts 38,000 more jobs that the number of its residents in paid employment.</w:t>
      </w:r>
    </w:p>
    <w:p w14:paraId="76ABDA9C" w14:textId="77777777" w:rsidR="00C65183" w:rsidRDefault="00C65183" w:rsidP="00C65183">
      <w:pPr>
        <w:spacing w:line="360" w:lineRule="auto"/>
        <w:jc w:val="both"/>
        <w:rPr>
          <w:rFonts w:ascii="Calibri" w:hAnsi="Calibri"/>
        </w:rPr>
      </w:pPr>
    </w:p>
    <w:p w14:paraId="39EE8D68" w14:textId="77777777" w:rsidR="00C65183" w:rsidRPr="00061A38" w:rsidRDefault="00C65183" w:rsidP="00C65183">
      <w:pPr>
        <w:jc w:val="both"/>
        <w:rPr>
          <w:rFonts w:ascii="Calibri" w:hAnsi="Calibri"/>
          <w:i/>
        </w:rPr>
      </w:pPr>
      <w:r w:rsidRPr="00331415">
        <w:rPr>
          <w:rFonts w:ascii="Calibri" w:hAnsi="Calibri"/>
          <w:color w:val="7F7F7F"/>
          <w:sz w:val="20"/>
          <w:szCs w:val="20"/>
        </w:rPr>
        <w:t xml:space="preserve">Industry of </w:t>
      </w:r>
      <w:r>
        <w:rPr>
          <w:rFonts w:ascii="Calibri" w:hAnsi="Calibri"/>
          <w:color w:val="7F7F7F"/>
          <w:sz w:val="20"/>
          <w:szCs w:val="20"/>
        </w:rPr>
        <w:t>e</w:t>
      </w:r>
      <w:r w:rsidRPr="00331415">
        <w:rPr>
          <w:rFonts w:ascii="Calibri" w:hAnsi="Calibri"/>
          <w:color w:val="7F7F7F"/>
          <w:sz w:val="20"/>
          <w:szCs w:val="20"/>
        </w:rPr>
        <w:t xml:space="preserve">mployment: </w:t>
      </w:r>
      <w:r>
        <w:rPr>
          <w:rFonts w:ascii="Calibri" w:hAnsi="Calibri"/>
          <w:color w:val="7F7F7F"/>
          <w:sz w:val="20"/>
          <w:szCs w:val="20"/>
        </w:rPr>
        <w:t>p</w:t>
      </w:r>
      <w:r w:rsidRPr="00331415">
        <w:rPr>
          <w:rFonts w:ascii="Calibri" w:hAnsi="Calibri"/>
          <w:color w:val="7F7F7F"/>
          <w:sz w:val="20"/>
          <w:szCs w:val="20"/>
        </w:rPr>
        <w:t xml:space="preserve">ersons </w:t>
      </w:r>
      <w:r>
        <w:rPr>
          <w:rFonts w:ascii="Calibri" w:hAnsi="Calibri"/>
          <w:color w:val="7F7F7F"/>
          <w:sz w:val="20"/>
          <w:szCs w:val="20"/>
        </w:rPr>
        <w:t>e</w:t>
      </w:r>
      <w:r w:rsidRPr="00331415">
        <w:rPr>
          <w:rFonts w:ascii="Calibri" w:hAnsi="Calibri"/>
          <w:color w:val="7F7F7F"/>
          <w:sz w:val="20"/>
          <w:szCs w:val="20"/>
        </w:rPr>
        <w:t>mployed</w:t>
      </w:r>
      <w:r w:rsidRPr="00061A38">
        <w:rPr>
          <w:rFonts w:ascii="Calibri" w:hAnsi="Calibri"/>
          <w:i/>
        </w:rPr>
        <w:t xml:space="preserve"> </w:t>
      </w:r>
      <w:r>
        <w:rPr>
          <w:rFonts w:ascii="Calibri" w:hAnsi="Calibri"/>
          <w:i/>
        </w:rPr>
        <w:t xml:space="preserve">                                                             </w:t>
      </w:r>
      <w:r w:rsidRPr="00061A38">
        <w:rPr>
          <w:rFonts w:ascii="Calibri" w:hAnsi="Calibri"/>
          <w:i/>
        </w:rPr>
        <w:t>Industry Sectors</w:t>
      </w:r>
    </w:p>
    <w:p w14:paraId="0FB396A4" w14:textId="77777777" w:rsidR="00C65183" w:rsidRPr="00610709" w:rsidRDefault="00C65183" w:rsidP="00C65183">
      <w:pPr>
        <w:tabs>
          <w:tab w:val="left" w:pos="6663"/>
        </w:tabs>
        <w:spacing w:line="360" w:lineRule="auto"/>
        <w:jc w:val="both"/>
        <w:rPr>
          <w:rFonts w:ascii="Calibri" w:hAnsi="Calibri"/>
        </w:rPr>
      </w:pPr>
      <w:r>
        <w:rPr>
          <w:rFonts w:ascii="Calibri" w:hAnsi="Calibri"/>
          <w:noProof/>
          <w:lang w:eastAsia="en-AU"/>
        </w:rPr>
        <w:drawing>
          <wp:anchor distT="0" distB="0" distL="114300" distR="114300" simplePos="0" relativeHeight="251752448" behindDoc="0" locked="0" layoutInCell="1" allowOverlap="1" wp14:anchorId="7742777C" wp14:editId="4BEEBBB8">
            <wp:simplePos x="0" y="0"/>
            <wp:positionH relativeFrom="column">
              <wp:posOffset>3332798</wp:posOffset>
            </wp:positionH>
            <wp:positionV relativeFrom="paragraph">
              <wp:posOffset>2295800</wp:posOffset>
            </wp:positionV>
            <wp:extent cx="771147" cy="1160188"/>
            <wp:effectExtent l="0" t="0" r="0" b="1905"/>
            <wp:wrapNone/>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merce Employment 1.jpg"/>
                    <pic:cNvPicPr/>
                  </pic:nvPicPr>
                  <pic:blipFill>
                    <a:blip r:embed="rId122">
                      <a:extLst>
                        <a:ext uri="{28A0092B-C50C-407E-A947-70E740481C1C}">
                          <a14:useLocalDpi xmlns:a14="http://schemas.microsoft.com/office/drawing/2010/main" val="0"/>
                        </a:ext>
                      </a:extLst>
                    </a:blip>
                    <a:stretch>
                      <a:fillRect/>
                    </a:stretch>
                  </pic:blipFill>
                  <pic:spPr>
                    <a:xfrm>
                      <a:off x="0" y="0"/>
                      <a:ext cx="775904" cy="1167344"/>
                    </a:xfrm>
                    <a:prstGeom prst="rect">
                      <a:avLst/>
                    </a:prstGeom>
                    <a:effectLst>
                      <a:softEdge rad="127000"/>
                    </a:effectLst>
                  </pic:spPr>
                </pic:pic>
              </a:graphicData>
            </a:graphic>
            <wp14:sizeRelH relativeFrom="page">
              <wp14:pctWidth>0</wp14:pctWidth>
            </wp14:sizeRelH>
            <wp14:sizeRelV relativeFrom="page">
              <wp14:pctHeight>0</wp14:pctHeight>
            </wp14:sizeRelV>
          </wp:anchor>
        </w:drawing>
      </w:r>
      <w:r>
        <w:rPr>
          <w:rFonts w:ascii="Calibri" w:hAnsi="Calibri"/>
          <w:noProof/>
          <w:color w:val="7F7F7F"/>
          <w:sz w:val="20"/>
          <w:szCs w:val="20"/>
          <w:lang w:eastAsia="en-AU"/>
        </w:rPr>
        <w:drawing>
          <wp:anchor distT="0" distB="0" distL="114300" distR="114300" simplePos="0" relativeHeight="251749376" behindDoc="0" locked="0" layoutInCell="1" allowOverlap="1" wp14:anchorId="20A45C6F" wp14:editId="5C7AD8F4">
            <wp:simplePos x="0" y="0"/>
            <wp:positionH relativeFrom="margin">
              <wp:posOffset>-953</wp:posOffset>
            </wp:positionH>
            <wp:positionV relativeFrom="paragraph">
              <wp:posOffset>233680</wp:posOffset>
            </wp:positionV>
            <wp:extent cx="4157345" cy="3344545"/>
            <wp:effectExtent l="0" t="0" r="0" b="8255"/>
            <wp:wrapSquare wrapText="bothSides"/>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23">
                      <a:extLst>
                        <a:ext uri="{28A0092B-C50C-407E-A947-70E740481C1C}">
                          <a14:useLocalDpi xmlns:a14="http://schemas.microsoft.com/office/drawing/2010/main" val="0"/>
                        </a:ext>
                      </a:extLst>
                    </a:blip>
                    <a:srcRect r="9452"/>
                    <a:stretch/>
                  </pic:blipFill>
                  <pic:spPr bwMode="auto">
                    <a:xfrm>
                      <a:off x="0" y="0"/>
                      <a:ext cx="4157345" cy="33445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31415">
        <w:rPr>
          <w:rFonts w:ascii="Calibri" w:hAnsi="Calibri"/>
          <w:color w:val="7F7F7F"/>
          <w:sz w:val="20"/>
          <w:szCs w:val="20"/>
        </w:rPr>
        <w:t>within Greater Dandenong, 201</w:t>
      </w:r>
      <w:r>
        <w:rPr>
          <w:rFonts w:ascii="Calibri" w:hAnsi="Calibri"/>
          <w:color w:val="7F7F7F"/>
          <w:sz w:val="20"/>
          <w:szCs w:val="20"/>
        </w:rPr>
        <w:t>6</w:t>
      </w:r>
      <w:r>
        <w:rPr>
          <w:rFonts w:ascii="Calibri" w:hAnsi="Calibri"/>
          <w:i/>
        </w:rPr>
        <w:tab/>
      </w:r>
      <w:r>
        <w:rPr>
          <w:rFonts w:ascii="Calibri" w:hAnsi="Calibri"/>
        </w:rPr>
        <w:t>Employment within Greater Dandenong includes 21,000 jobs in manufacturing, representing 22% of employment within the city, as well as over 9,000 in health care and social assistance, 9,000 jobs in retail trade, and nearly 7,900 in wholesale. These four sectors together account for nearly half of employment in Greater Dandenong.</w:t>
      </w:r>
    </w:p>
    <w:p w14:paraId="77A6CC78" w14:textId="77777777" w:rsidR="00C65183" w:rsidRPr="005434B5" w:rsidRDefault="00C65183" w:rsidP="00C65183">
      <w:pPr>
        <w:spacing w:line="360" w:lineRule="auto"/>
        <w:jc w:val="both"/>
        <w:rPr>
          <w:rFonts w:ascii="Calibri" w:hAnsi="Calibri"/>
        </w:rPr>
      </w:pPr>
      <w:r>
        <w:rPr>
          <w:rFonts w:ascii="Calibri" w:hAnsi="Calibri"/>
        </w:rPr>
        <w:t>For the most part, the distribution of employment among industry sectors mirrors State-wide employment patterns. A notable exception is manufacturing, accounting for 22% of jobs in Greater Dandenong compared with 8% across Melbourne - the highest level of manufacturing employment in the state.</w:t>
      </w:r>
      <w:r w:rsidRPr="00302270">
        <w:rPr>
          <w:rFonts w:ascii="Calibri" w:hAnsi="Calibri"/>
          <w:noProof/>
          <w:lang w:eastAsia="en-AU"/>
        </w:rPr>
        <w:t xml:space="preserve"> </w:t>
      </w:r>
    </w:p>
    <w:p w14:paraId="54FF0EF4" w14:textId="77777777" w:rsidR="00C65183" w:rsidRDefault="00C65183" w:rsidP="00C65183">
      <w:pPr>
        <w:jc w:val="both"/>
        <w:rPr>
          <w:rFonts w:ascii="Calibri" w:hAnsi="Calibri"/>
          <w:color w:val="7F7F7F"/>
          <w:sz w:val="20"/>
          <w:szCs w:val="20"/>
        </w:rPr>
      </w:pPr>
    </w:p>
    <w:p w14:paraId="57ED8E1E" w14:textId="77777777" w:rsidR="00C65183" w:rsidRPr="00331415" w:rsidRDefault="00C65183" w:rsidP="00C65183">
      <w:pPr>
        <w:jc w:val="both"/>
        <w:rPr>
          <w:rFonts w:ascii="Calibri" w:hAnsi="Calibri"/>
          <w:color w:val="7F7F7F"/>
          <w:sz w:val="20"/>
          <w:szCs w:val="20"/>
        </w:rPr>
      </w:pPr>
      <w:r w:rsidRPr="00331415">
        <w:rPr>
          <w:rFonts w:ascii="Calibri" w:hAnsi="Calibri"/>
          <w:color w:val="7F7F7F"/>
          <w:sz w:val="20"/>
          <w:szCs w:val="20"/>
        </w:rPr>
        <w:t xml:space="preserve">Occupations of </w:t>
      </w:r>
      <w:r>
        <w:rPr>
          <w:rFonts w:ascii="Calibri" w:hAnsi="Calibri"/>
          <w:color w:val="7F7F7F"/>
          <w:sz w:val="20"/>
          <w:szCs w:val="20"/>
        </w:rPr>
        <w:t>e</w:t>
      </w:r>
      <w:r w:rsidRPr="00331415">
        <w:rPr>
          <w:rFonts w:ascii="Calibri" w:hAnsi="Calibri"/>
          <w:color w:val="7F7F7F"/>
          <w:sz w:val="20"/>
          <w:szCs w:val="20"/>
        </w:rPr>
        <w:t>mployment: Greater Dandenong, 201</w:t>
      </w:r>
      <w:r>
        <w:rPr>
          <w:rFonts w:ascii="Calibri" w:hAnsi="Calibri"/>
          <w:color w:val="7F7F7F"/>
          <w:sz w:val="20"/>
          <w:szCs w:val="20"/>
        </w:rPr>
        <w:t>6</w:t>
      </w:r>
    </w:p>
    <w:p w14:paraId="4F71E8D1" w14:textId="77777777" w:rsidR="00C65183" w:rsidRPr="00061A38" w:rsidRDefault="00C65183" w:rsidP="00C65183">
      <w:pPr>
        <w:tabs>
          <w:tab w:val="left" w:pos="7088"/>
        </w:tabs>
        <w:spacing w:line="360" w:lineRule="auto"/>
        <w:jc w:val="both"/>
        <w:rPr>
          <w:rFonts w:ascii="Calibri" w:hAnsi="Calibri"/>
          <w:i/>
        </w:rPr>
      </w:pPr>
      <w:r>
        <w:rPr>
          <w:rFonts w:ascii="Calibri" w:hAnsi="Calibri"/>
          <w:i/>
          <w:noProof/>
          <w:lang w:eastAsia="en-AU"/>
        </w:rPr>
        <w:drawing>
          <wp:anchor distT="0" distB="0" distL="114300" distR="114300" simplePos="0" relativeHeight="251750400" behindDoc="0" locked="0" layoutInCell="1" allowOverlap="1" wp14:anchorId="6FE1DF2E" wp14:editId="473BE00C">
            <wp:simplePos x="0" y="0"/>
            <wp:positionH relativeFrom="column">
              <wp:posOffset>3810</wp:posOffset>
            </wp:positionH>
            <wp:positionV relativeFrom="paragraph">
              <wp:posOffset>76200</wp:posOffset>
            </wp:positionV>
            <wp:extent cx="3876675" cy="2630805"/>
            <wp:effectExtent l="0" t="0" r="9525" b="0"/>
            <wp:wrapSquare wrapText="bothSides"/>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3876675" cy="2630805"/>
                    </a:xfrm>
                    <a:prstGeom prst="rect">
                      <a:avLst/>
                    </a:prstGeom>
                    <a:noFill/>
                  </pic:spPr>
                </pic:pic>
              </a:graphicData>
            </a:graphic>
            <wp14:sizeRelH relativeFrom="page">
              <wp14:pctWidth>0</wp14:pctWidth>
            </wp14:sizeRelH>
            <wp14:sizeRelV relativeFrom="page">
              <wp14:pctHeight>0</wp14:pctHeight>
            </wp14:sizeRelV>
          </wp:anchor>
        </w:drawing>
      </w:r>
      <w:r>
        <w:rPr>
          <w:rFonts w:ascii="Calibri" w:hAnsi="Calibri"/>
          <w:i/>
        </w:rPr>
        <w:t>Occupations</w:t>
      </w:r>
    </w:p>
    <w:p w14:paraId="5FFD848C" w14:textId="77777777" w:rsidR="00C65183" w:rsidRDefault="00C65183" w:rsidP="00C65183">
      <w:pPr>
        <w:spacing w:line="360" w:lineRule="auto"/>
        <w:jc w:val="both"/>
        <w:rPr>
          <w:rFonts w:ascii="Calibri" w:hAnsi="Calibri"/>
        </w:rPr>
      </w:pPr>
      <w:r>
        <w:rPr>
          <w:rFonts w:ascii="Calibri" w:hAnsi="Calibri"/>
        </w:rPr>
        <w:t>In the distribution of employment across occupations, professionals and community services workers account for a smaller proportion of jobs within Greater Dandenong than across the State; while machinery operators and drivers account for a higher proportion of employment in Greater Dandenong than Victoria.</w:t>
      </w:r>
    </w:p>
    <w:p w14:paraId="1BD2DAE9" w14:textId="77777777" w:rsidR="00C65183" w:rsidRPr="00D61579" w:rsidRDefault="00C65183" w:rsidP="00C65183">
      <w:pPr>
        <w:spacing w:line="360" w:lineRule="auto"/>
        <w:jc w:val="both"/>
        <w:rPr>
          <w:rFonts w:ascii="Calibri" w:hAnsi="Calibri"/>
          <w:i/>
          <w:sz w:val="4"/>
          <w:szCs w:val="4"/>
        </w:rPr>
      </w:pPr>
    </w:p>
    <w:p w14:paraId="0324CD47" w14:textId="77777777" w:rsidR="00C65183" w:rsidRDefault="00C65183" w:rsidP="00C65183">
      <w:pPr>
        <w:rPr>
          <w:rFonts w:asciiTheme="minorHAnsi" w:hAnsiTheme="minorHAnsi" w:cstheme="minorHAnsi"/>
        </w:rPr>
      </w:pPr>
      <w:r>
        <w:rPr>
          <w:rFonts w:asciiTheme="minorHAnsi" w:hAnsiTheme="minorHAnsi" w:cstheme="minorHAnsi"/>
        </w:rPr>
        <w:br w:type="page"/>
      </w:r>
    </w:p>
    <w:p w14:paraId="35E3CBD9" w14:textId="77777777" w:rsidR="00C65183" w:rsidRPr="00827F47" w:rsidRDefault="00C65183" w:rsidP="00C65183">
      <w:pPr>
        <w:pBdr>
          <w:top w:val="single" w:sz="4" w:space="0" w:color="244061" w:themeColor="accent1" w:themeShade="80"/>
          <w:bottom w:val="single" w:sz="4" w:space="1" w:color="244061" w:themeColor="accent1" w:themeShade="80"/>
        </w:pBdr>
        <w:tabs>
          <w:tab w:val="center" w:pos="4678"/>
        </w:tabs>
        <w:jc w:val="center"/>
        <w:rPr>
          <w:rFonts w:ascii="Garamond" w:hAnsi="Garamond"/>
          <w:noProof/>
          <w:color w:val="244061" w:themeColor="accent1" w:themeShade="80"/>
          <w:sz w:val="34"/>
          <w:szCs w:val="34"/>
        </w:rPr>
      </w:pPr>
      <w:r w:rsidRPr="00827F47">
        <w:rPr>
          <w:rFonts w:ascii="Garamond" w:hAnsi="Garamond"/>
          <w:noProof/>
          <w:color w:val="244061" w:themeColor="accent1" w:themeShade="80"/>
          <w:sz w:val="34"/>
          <w:szCs w:val="34"/>
        </w:rPr>
        <w:lastRenderedPageBreak/>
        <w:t>Incomes and Financial Disadvantage</w:t>
      </w:r>
    </w:p>
    <w:p w14:paraId="7F10205E" w14:textId="77777777" w:rsidR="00C65183" w:rsidRDefault="00C65183" w:rsidP="00C65183">
      <w:pPr>
        <w:tabs>
          <w:tab w:val="left" w:pos="4962"/>
        </w:tabs>
        <w:spacing w:before="60" w:after="60"/>
        <w:jc w:val="right"/>
        <w:rPr>
          <w:rFonts w:ascii="Calibri" w:hAnsi="Calibri"/>
          <w:noProof/>
          <w:color w:val="7F7F7F"/>
          <w:sz w:val="20"/>
          <w:szCs w:val="20"/>
        </w:rPr>
      </w:pPr>
    </w:p>
    <w:p w14:paraId="28B6B381" w14:textId="77777777" w:rsidR="00C65183" w:rsidRPr="00F10793" w:rsidRDefault="00C65183" w:rsidP="00C65183">
      <w:pPr>
        <w:tabs>
          <w:tab w:val="left" w:pos="4962"/>
        </w:tabs>
        <w:spacing w:before="60" w:after="60"/>
        <w:jc w:val="right"/>
        <w:rPr>
          <w:rFonts w:ascii="Calibri" w:hAnsi="Calibri"/>
          <w:noProof/>
          <w:sz w:val="20"/>
          <w:szCs w:val="20"/>
        </w:rPr>
      </w:pPr>
      <w:r w:rsidRPr="00F10793">
        <w:rPr>
          <w:rFonts w:ascii="Calibri" w:hAnsi="Calibri"/>
          <w:noProof/>
          <w:sz w:val="20"/>
          <w:szCs w:val="20"/>
          <w:lang w:eastAsia="en-AU"/>
        </w:rPr>
        <w:drawing>
          <wp:anchor distT="0" distB="0" distL="114300" distR="114300" simplePos="0" relativeHeight="251761664" behindDoc="1" locked="0" layoutInCell="1" allowOverlap="1" wp14:anchorId="5F0EFB68" wp14:editId="5CCFB6D2">
            <wp:simplePos x="0" y="0"/>
            <wp:positionH relativeFrom="column">
              <wp:posOffset>-91440</wp:posOffset>
            </wp:positionH>
            <wp:positionV relativeFrom="paragraph">
              <wp:posOffset>21590</wp:posOffset>
            </wp:positionV>
            <wp:extent cx="1097280" cy="1631315"/>
            <wp:effectExtent l="0" t="0" r="7620" b="6985"/>
            <wp:wrapTight wrapText="bothSides">
              <wp:wrapPolygon edited="0">
                <wp:start x="1500" y="0"/>
                <wp:lineTo x="0" y="504"/>
                <wp:lineTo x="0" y="20684"/>
                <wp:lineTo x="750" y="21440"/>
                <wp:lineTo x="1500" y="21440"/>
                <wp:lineTo x="19875" y="21440"/>
                <wp:lineTo x="20625" y="21440"/>
                <wp:lineTo x="21375" y="20684"/>
                <wp:lineTo x="21375" y="504"/>
                <wp:lineTo x="19875" y="0"/>
                <wp:lineTo x="1500" y="0"/>
              </wp:wrapPolygon>
            </wp:wrapTight>
            <wp:docPr id="224" name="Picture 87" descr="lady with shoppingImage55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dy with shoppingImage5559.jpg"/>
                    <pic:cNvPicPr/>
                  </pic:nvPicPr>
                  <pic:blipFill>
                    <a:blip r:embed="rId125" cstate="print"/>
                    <a:srcRect l="12790" r="18331" b="32854"/>
                    <a:stretch>
                      <a:fillRect/>
                    </a:stretch>
                  </pic:blipFill>
                  <pic:spPr>
                    <a:xfrm>
                      <a:off x="0" y="0"/>
                      <a:ext cx="1097280" cy="163131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F10793">
        <w:rPr>
          <w:rFonts w:ascii="Calibri" w:hAnsi="Calibri"/>
          <w:noProof/>
          <w:color w:val="7F7F7F"/>
          <w:sz w:val="20"/>
          <w:szCs w:val="20"/>
        </w:rPr>
        <w:t>Median Incomes: Greater Dandenong &amp; metro Melbourne, 2006 &amp; 2016</w:t>
      </w:r>
    </w:p>
    <w:p w14:paraId="0411315C" w14:textId="77777777" w:rsidR="00C65183" w:rsidRDefault="00C65183" w:rsidP="00C65183">
      <w:pPr>
        <w:tabs>
          <w:tab w:val="left" w:pos="4962"/>
        </w:tabs>
        <w:spacing w:line="360" w:lineRule="auto"/>
        <w:jc w:val="both"/>
        <w:rPr>
          <w:rFonts w:ascii="Calibri" w:hAnsi="Calibri"/>
          <w:color w:val="000000"/>
        </w:rPr>
      </w:pPr>
      <w:r>
        <w:rPr>
          <w:rFonts w:ascii="Calibri" w:hAnsi="Calibri"/>
          <w:noProof/>
          <w:color w:val="000000"/>
          <w:lang w:eastAsia="en-AU"/>
        </w:rPr>
        <w:drawing>
          <wp:anchor distT="0" distB="0" distL="114300" distR="114300" simplePos="0" relativeHeight="251758592" behindDoc="0" locked="0" layoutInCell="1" allowOverlap="1" wp14:anchorId="27A581AA" wp14:editId="136C1567">
            <wp:simplePos x="0" y="0"/>
            <wp:positionH relativeFrom="column">
              <wp:posOffset>3176905</wp:posOffset>
            </wp:positionH>
            <wp:positionV relativeFrom="paragraph">
              <wp:posOffset>17780</wp:posOffset>
            </wp:positionV>
            <wp:extent cx="3002280" cy="1976120"/>
            <wp:effectExtent l="0" t="0" r="7620" b="5080"/>
            <wp:wrapSquare wrapText="bothSides"/>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126">
                      <a:extLst>
                        <a:ext uri="{28A0092B-C50C-407E-A947-70E740481C1C}">
                          <a14:useLocalDpi xmlns:a14="http://schemas.microsoft.com/office/drawing/2010/main" val="0"/>
                        </a:ext>
                      </a:extLst>
                    </a:blip>
                    <a:srcRect t="12825" r="3629" b="4178"/>
                    <a:stretch>
                      <a:fillRect/>
                    </a:stretch>
                  </pic:blipFill>
                  <pic:spPr bwMode="auto">
                    <a:xfrm>
                      <a:off x="0" y="0"/>
                      <a:ext cx="3002280" cy="1976120"/>
                    </a:xfrm>
                    <a:prstGeom prst="rect">
                      <a:avLst/>
                    </a:prstGeom>
                    <a:noFill/>
                  </pic:spPr>
                </pic:pic>
              </a:graphicData>
            </a:graphic>
            <wp14:sizeRelH relativeFrom="page">
              <wp14:pctWidth>0</wp14:pctWidth>
            </wp14:sizeRelH>
            <wp14:sizeRelV relativeFrom="page">
              <wp14:pctHeight>0</wp14:pctHeight>
            </wp14:sizeRelV>
          </wp:anchor>
        </w:drawing>
      </w:r>
      <w:r w:rsidRPr="00C341FE">
        <w:rPr>
          <w:rFonts w:ascii="Calibri" w:hAnsi="Calibri"/>
          <w:color w:val="000000"/>
        </w:rPr>
        <w:t>In 201</w:t>
      </w:r>
      <w:r>
        <w:rPr>
          <w:rFonts w:ascii="Calibri" w:hAnsi="Calibri"/>
          <w:color w:val="000000"/>
        </w:rPr>
        <w:t>6</w:t>
      </w:r>
      <w:r w:rsidRPr="00C341FE">
        <w:rPr>
          <w:rFonts w:ascii="Calibri" w:hAnsi="Calibri"/>
          <w:color w:val="000000"/>
        </w:rPr>
        <w:t xml:space="preserve">, the median individual weekly </w:t>
      </w:r>
      <w:r>
        <w:rPr>
          <w:rFonts w:ascii="Calibri" w:hAnsi="Calibri"/>
          <w:color w:val="000000"/>
        </w:rPr>
        <w:t xml:space="preserve">gross </w:t>
      </w:r>
      <w:r w:rsidRPr="00C341FE">
        <w:rPr>
          <w:rFonts w:ascii="Calibri" w:hAnsi="Calibri"/>
          <w:color w:val="000000"/>
        </w:rPr>
        <w:t>income in Greater Dandenong stood at $</w:t>
      </w:r>
      <w:r>
        <w:rPr>
          <w:rFonts w:ascii="Calibri" w:hAnsi="Calibri"/>
          <w:color w:val="000000"/>
        </w:rPr>
        <w:t>476</w:t>
      </w:r>
      <w:r w:rsidRPr="00C341FE">
        <w:rPr>
          <w:rFonts w:ascii="Calibri" w:hAnsi="Calibri"/>
          <w:color w:val="000000"/>
        </w:rPr>
        <w:t xml:space="preserve"> – the lowest level in Melbourne. In the </w:t>
      </w:r>
      <w:r>
        <w:rPr>
          <w:rFonts w:ascii="Calibri" w:hAnsi="Calibri"/>
          <w:color w:val="000000"/>
        </w:rPr>
        <w:t>decade</w:t>
      </w:r>
      <w:r w:rsidRPr="00C341FE">
        <w:rPr>
          <w:rFonts w:ascii="Calibri" w:hAnsi="Calibri"/>
          <w:color w:val="000000"/>
        </w:rPr>
        <w:t xml:space="preserve"> to 201</w:t>
      </w:r>
      <w:r>
        <w:rPr>
          <w:rFonts w:ascii="Calibri" w:hAnsi="Calibri"/>
          <w:color w:val="000000"/>
        </w:rPr>
        <w:t>6</w:t>
      </w:r>
      <w:r w:rsidRPr="00C341FE">
        <w:rPr>
          <w:rFonts w:ascii="Calibri" w:hAnsi="Calibri"/>
          <w:color w:val="000000"/>
        </w:rPr>
        <w:t xml:space="preserve">, incomes </w:t>
      </w:r>
      <w:r>
        <w:rPr>
          <w:rFonts w:ascii="Calibri" w:hAnsi="Calibri"/>
          <w:color w:val="000000"/>
        </w:rPr>
        <w:t>in Greater Dandenong have remained at 70% of</w:t>
      </w:r>
      <w:r w:rsidRPr="00C341FE">
        <w:rPr>
          <w:rFonts w:ascii="Calibri" w:hAnsi="Calibri"/>
          <w:color w:val="000000"/>
        </w:rPr>
        <w:t xml:space="preserve"> metropolitan </w:t>
      </w:r>
      <w:r>
        <w:rPr>
          <w:rFonts w:ascii="Calibri" w:hAnsi="Calibri"/>
          <w:color w:val="000000"/>
        </w:rPr>
        <w:t xml:space="preserve">levels. </w:t>
      </w:r>
    </w:p>
    <w:p w14:paraId="229F5391" w14:textId="77777777" w:rsidR="00C65183" w:rsidRPr="008D1EF9" w:rsidRDefault="00C65183" w:rsidP="00C65183">
      <w:pPr>
        <w:tabs>
          <w:tab w:val="left" w:pos="4962"/>
        </w:tabs>
        <w:spacing w:line="360" w:lineRule="auto"/>
        <w:jc w:val="both"/>
        <w:rPr>
          <w:rFonts w:ascii="Calibri" w:hAnsi="Calibri"/>
          <w:noProof/>
          <w:color w:val="7F7F7F"/>
          <w:sz w:val="20"/>
          <w:szCs w:val="20"/>
        </w:rPr>
      </w:pPr>
    </w:p>
    <w:p w14:paraId="55559D8B" w14:textId="77777777" w:rsidR="00C65183" w:rsidRPr="00F10793" w:rsidRDefault="00C65183" w:rsidP="00C65183">
      <w:pPr>
        <w:tabs>
          <w:tab w:val="left" w:pos="284"/>
        </w:tabs>
        <w:jc w:val="both"/>
        <w:rPr>
          <w:rFonts w:ascii="Calibri" w:hAnsi="Calibri"/>
          <w:color w:val="7F7F7F"/>
          <w:sz w:val="20"/>
          <w:szCs w:val="20"/>
        </w:rPr>
      </w:pPr>
      <w:r w:rsidRPr="00F10793">
        <w:rPr>
          <w:rFonts w:ascii="Calibri" w:hAnsi="Calibri"/>
          <w:noProof/>
          <w:color w:val="000000"/>
          <w:sz w:val="20"/>
          <w:szCs w:val="20"/>
          <w:lang w:eastAsia="en-AU"/>
        </w:rPr>
        <w:drawing>
          <wp:anchor distT="0" distB="0" distL="114300" distR="114300" simplePos="0" relativeHeight="251759616" behindDoc="0" locked="0" layoutInCell="1" allowOverlap="1" wp14:anchorId="347DBE33" wp14:editId="56F683B1">
            <wp:simplePos x="0" y="0"/>
            <wp:positionH relativeFrom="column">
              <wp:posOffset>0</wp:posOffset>
            </wp:positionH>
            <wp:positionV relativeFrom="paragraph">
              <wp:posOffset>169545</wp:posOffset>
            </wp:positionV>
            <wp:extent cx="3375025" cy="2320290"/>
            <wp:effectExtent l="0" t="0" r="0" b="3810"/>
            <wp:wrapSquare wrapText="bothSides"/>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127">
                      <a:extLst>
                        <a:ext uri="{28A0092B-C50C-407E-A947-70E740481C1C}">
                          <a14:useLocalDpi xmlns:a14="http://schemas.microsoft.com/office/drawing/2010/main" val="0"/>
                        </a:ext>
                      </a:extLst>
                    </a:blip>
                    <a:srcRect b="3651"/>
                    <a:stretch>
                      <a:fillRect/>
                    </a:stretch>
                  </pic:blipFill>
                  <pic:spPr bwMode="auto">
                    <a:xfrm>
                      <a:off x="0" y="0"/>
                      <a:ext cx="3375025" cy="2320290"/>
                    </a:xfrm>
                    <a:prstGeom prst="rect">
                      <a:avLst/>
                    </a:prstGeom>
                    <a:noFill/>
                  </pic:spPr>
                </pic:pic>
              </a:graphicData>
            </a:graphic>
            <wp14:sizeRelH relativeFrom="page">
              <wp14:pctWidth>0</wp14:pctWidth>
            </wp14:sizeRelH>
            <wp14:sizeRelV relativeFrom="page">
              <wp14:pctHeight>0</wp14:pctHeight>
            </wp14:sizeRelV>
          </wp:anchor>
        </w:drawing>
      </w:r>
      <w:r w:rsidRPr="00F10793">
        <w:rPr>
          <w:rFonts w:ascii="Calibri" w:hAnsi="Calibri"/>
          <w:color w:val="7F7F7F"/>
          <w:sz w:val="20"/>
          <w:szCs w:val="20"/>
        </w:rPr>
        <w:t xml:space="preserve">Median </w:t>
      </w:r>
      <w:r>
        <w:rPr>
          <w:rFonts w:ascii="Calibri" w:hAnsi="Calibri"/>
          <w:color w:val="7F7F7F"/>
          <w:sz w:val="20"/>
          <w:szCs w:val="20"/>
        </w:rPr>
        <w:t>i</w:t>
      </w:r>
      <w:r w:rsidRPr="00F10793">
        <w:rPr>
          <w:rFonts w:ascii="Calibri" w:hAnsi="Calibri"/>
          <w:color w:val="7F7F7F"/>
          <w:sz w:val="20"/>
          <w:szCs w:val="20"/>
        </w:rPr>
        <w:t xml:space="preserve">ncomes by </w:t>
      </w:r>
      <w:r>
        <w:rPr>
          <w:rFonts w:ascii="Calibri" w:hAnsi="Calibri"/>
          <w:color w:val="7F7F7F"/>
          <w:sz w:val="20"/>
          <w:szCs w:val="20"/>
        </w:rPr>
        <w:t>s</w:t>
      </w:r>
      <w:r w:rsidRPr="00F10793">
        <w:rPr>
          <w:rFonts w:ascii="Calibri" w:hAnsi="Calibri"/>
          <w:color w:val="7F7F7F"/>
          <w:sz w:val="20"/>
          <w:szCs w:val="20"/>
        </w:rPr>
        <w:t>ex: Greater Dandenong, 2016</w:t>
      </w:r>
    </w:p>
    <w:p w14:paraId="5089BC5B" w14:textId="77777777" w:rsidR="00C65183" w:rsidRDefault="00C65183" w:rsidP="00C65183">
      <w:pPr>
        <w:tabs>
          <w:tab w:val="left" w:pos="284"/>
        </w:tabs>
        <w:spacing w:before="60" w:line="360" w:lineRule="auto"/>
        <w:jc w:val="both"/>
        <w:rPr>
          <w:rFonts w:ascii="Calibri" w:hAnsi="Calibri"/>
          <w:color w:val="000000"/>
        </w:rPr>
      </w:pPr>
      <w:r w:rsidRPr="00C341FE">
        <w:rPr>
          <w:rFonts w:ascii="Calibri" w:hAnsi="Calibri"/>
          <w:color w:val="000000"/>
        </w:rPr>
        <w:t>At $</w:t>
      </w:r>
      <w:r>
        <w:rPr>
          <w:rFonts w:ascii="Calibri" w:hAnsi="Calibri"/>
          <w:color w:val="000000"/>
        </w:rPr>
        <w:t>616</w:t>
      </w:r>
      <w:r w:rsidRPr="00C341FE">
        <w:rPr>
          <w:rFonts w:ascii="Calibri" w:hAnsi="Calibri"/>
          <w:color w:val="000000"/>
        </w:rPr>
        <w:t xml:space="preserve"> per week, income</w:t>
      </w:r>
      <w:r>
        <w:rPr>
          <w:rFonts w:ascii="Calibri" w:hAnsi="Calibri"/>
          <w:color w:val="000000"/>
        </w:rPr>
        <w:t>s</w:t>
      </w:r>
      <w:r w:rsidRPr="00C341FE">
        <w:rPr>
          <w:rFonts w:ascii="Calibri" w:hAnsi="Calibri"/>
          <w:color w:val="000000"/>
        </w:rPr>
        <w:t xml:space="preserve"> among males</w:t>
      </w:r>
      <w:r>
        <w:rPr>
          <w:rFonts w:ascii="Calibri" w:hAnsi="Calibri"/>
          <w:color w:val="000000"/>
        </w:rPr>
        <w:t xml:space="preserve"> aged 15-64 years in Greater Dandenong</w:t>
      </w:r>
      <w:r w:rsidRPr="00C341FE">
        <w:rPr>
          <w:rFonts w:ascii="Calibri" w:hAnsi="Calibri"/>
          <w:color w:val="000000"/>
        </w:rPr>
        <w:t xml:space="preserve"> were </w:t>
      </w:r>
      <w:r>
        <w:rPr>
          <w:rFonts w:ascii="Calibri" w:hAnsi="Calibri"/>
          <w:color w:val="000000"/>
        </w:rPr>
        <w:t>53%</w:t>
      </w:r>
      <w:r w:rsidRPr="00C341FE">
        <w:rPr>
          <w:rFonts w:ascii="Calibri" w:hAnsi="Calibri"/>
          <w:color w:val="000000"/>
        </w:rPr>
        <w:t xml:space="preserve"> higher than those for females, at $</w:t>
      </w:r>
      <w:r>
        <w:rPr>
          <w:rFonts w:ascii="Calibri" w:hAnsi="Calibri"/>
          <w:color w:val="000000"/>
        </w:rPr>
        <w:t>403</w:t>
      </w:r>
      <w:r w:rsidRPr="00C341FE">
        <w:rPr>
          <w:rFonts w:ascii="Calibri" w:hAnsi="Calibri"/>
          <w:color w:val="000000"/>
        </w:rPr>
        <w:t xml:space="preserve">. The disparity between female and male income levels in Greater Dandenong was most </w:t>
      </w:r>
      <w:r>
        <w:rPr>
          <w:rFonts w:ascii="Calibri" w:hAnsi="Calibri"/>
          <w:color w:val="000000"/>
        </w:rPr>
        <w:t>prominent</w:t>
      </w:r>
      <w:r w:rsidRPr="00C341FE">
        <w:rPr>
          <w:rFonts w:ascii="Calibri" w:hAnsi="Calibri"/>
          <w:color w:val="000000"/>
        </w:rPr>
        <w:t xml:space="preserve"> among residents of working age</w:t>
      </w:r>
      <w:r>
        <w:rPr>
          <w:rFonts w:ascii="Calibri" w:hAnsi="Calibri"/>
          <w:color w:val="000000"/>
        </w:rPr>
        <w:t xml:space="preserve"> (diagram, left)</w:t>
      </w:r>
      <w:r w:rsidRPr="00C341FE">
        <w:rPr>
          <w:rFonts w:ascii="Calibri" w:hAnsi="Calibri"/>
          <w:color w:val="000000"/>
        </w:rPr>
        <w:t>.</w:t>
      </w:r>
    </w:p>
    <w:p w14:paraId="4F0BC740" w14:textId="77777777" w:rsidR="00C65183" w:rsidRDefault="00C65183" w:rsidP="00C65183">
      <w:pPr>
        <w:tabs>
          <w:tab w:val="left" w:pos="284"/>
        </w:tabs>
        <w:rPr>
          <w:rFonts w:ascii="Calibri" w:hAnsi="Calibri"/>
          <w:color w:val="000000"/>
        </w:rPr>
      </w:pPr>
    </w:p>
    <w:p w14:paraId="11E7B413" w14:textId="77777777" w:rsidR="00C65183" w:rsidRDefault="00C65183" w:rsidP="00C65183">
      <w:pPr>
        <w:tabs>
          <w:tab w:val="left" w:pos="284"/>
        </w:tabs>
        <w:rPr>
          <w:rFonts w:ascii="Calibri" w:hAnsi="Calibri"/>
          <w:color w:val="000000"/>
        </w:rPr>
      </w:pPr>
      <w:r>
        <w:rPr>
          <w:rFonts w:ascii="Calibri" w:hAnsi="Calibri"/>
          <w:noProof/>
          <w:color w:val="000000"/>
          <w:lang w:eastAsia="en-AU"/>
        </w:rPr>
        <w:drawing>
          <wp:anchor distT="0" distB="0" distL="114300" distR="114300" simplePos="0" relativeHeight="251760640" behindDoc="0" locked="0" layoutInCell="1" allowOverlap="1" wp14:anchorId="4A26FCFC" wp14:editId="54C427A9">
            <wp:simplePos x="0" y="0"/>
            <wp:positionH relativeFrom="column">
              <wp:posOffset>3336925</wp:posOffset>
            </wp:positionH>
            <wp:positionV relativeFrom="paragraph">
              <wp:posOffset>314960</wp:posOffset>
            </wp:positionV>
            <wp:extent cx="2876550" cy="4199255"/>
            <wp:effectExtent l="0" t="0" r="0" b="0"/>
            <wp:wrapSquare wrapText="bothSides"/>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128">
                      <a:extLst>
                        <a:ext uri="{28A0092B-C50C-407E-A947-70E740481C1C}">
                          <a14:useLocalDpi xmlns:a14="http://schemas.microsoft.com/office/drawing/2010/main" val="0"/>
                        </a:ext>
                      </a:extLst>
                    </a:blip>
                    <a:srcRect t="1845" r="2553"/>
                    <a:stretch>
                      <a:fillRect/>
                    </a:stretch>
                  </pic:blipFill>
                  <pic:spPr bwMode="auto">
                    <a:xfrm>
                      <a:off x="0" y="0"/>
                      <a:ext cx="2876550" cy="4199255"/>
                    </a:xfrm>
                    <a:prstGeom prst="rect">
                      <a:avLst/>
                    </a:prstGeom>
                    <a:noFill/>
                  </pic:spPr>
                </pic:pic>
              </a:graphicData>
            </a:graphic>
            <wp14:sizeRelH relativeFrom="page">
              <wp14:pctWidth>0</wp14:pctWidth>
            </wp14:sizeRelH>
            <wp14:sizeRelV relativeFrom="page">
              <wp14:pctHeight>0</wp14:pctHeight>
            </wp14:sizeRelV>
          </wp:anchor>
        </w:drawing>
      </w:r>
    </w:p>
    <w:p w14:paraId="00F3FDDF" w14:textId="77777777" w:rsidR="00C65183" w:rsidRDefault="00C65183" w:rsidP="00C65183">
      <w:pPr>
        <w:tabs>
          <w:tab w:val="left" w:pos="284"/>
        </w:tabs>
        <w:rPr>
          <w:rFonts w:ascii="Calibri" w:hAnsi="Calibri"/>
          <w:color w:val="000000"/>
        </w:rPr>
      </w:pPr>
    </w:p>
    <w:p w14:paraId="2B5EF3A2" w14:textId="77777777" w:rsidR="00C65183" w:rsidRDefault="00C65183" w:rsidP="00C65183">
      <w:pPr>
        <w:tabs>
          <w:tab w:val="left" w:pos="284"/>
        </w:tabs>
        <w:rPr>
          <w:rFonts w:ascii="Calibri" w:hAnsi="Calibri"/>
          <w:color w:val="000000"/>
        </w:rPr>
      </w:pPr>
    </w:p>
    <w:p w14:paraId="74B55A5A" w14:textId="77777777" w:rsidR="00C65183" w:rsidRPr="00F10793" w:rsidRDefault="00C65183" w:rsidP="00C65183">
      <w:pPr>
        <w:tabs>
          <w:tab w:val="left" w:pos="284"/>
        </w:tabs>
        <w:rPr>
          <w:rFonts w:ascii="Calibri" w:hAnsi="Calibri"/>
          <w:color w:val="7F7F7F"/>
          <w:sz w:val="20"/>
          <w:szCs w:val="20"/>
        </w:rPr>
      </w:pPr>
      <w:r w:rsidRPr="00F10793">
        <w:rPr>
          <w:rFonts w:ascii="Calibri" w:hAnsi="Calibri"/>
          <w:color w:val="7F7F7F"/>
          <w:sz w:val="20"/>
          <w:szCs w:val="20"/>
        </w:rPr>
        <w:t xml:space="preserve">Median </w:t>
      </w:r>
      <w:r>
        <w:rPr>
          <w:rFonts w:ascii="Calibri" w:hAnsi="Calibri"/>
          <w:color w:val="7F7F7F"/>
          <w:sz w:val="20"/>
          <w:szCs w:val="20"/>
        </w:rPr>
        <w:t>i</w:t>
      </w:r>
      <w:r w:rsidRPr="00F10793">
        <w:rPr>
          <w:rFonts w:ascii="Calibri" w:hAnsi="Calibri"/>
          <w:color w:val="7F7F7F"/>
          <w:sz w:val="20"/>
          <w:szCs w:val="20"/>
        </w:rPr>
        <w:t xml:space="preserve">ncome by </w:t>
      </w:r>
      <w:r>
        <w:rPr>
          <w:rFonts w:ascii="Calibri" w:hAnsi="Calibri"/>
          <w:color w:val="7F7F7F"/>
          <w:sz w:val="20"/>
          <w:szCs w:val="20"/>
        </w:rPr>
        <w:t>sex</w:t>
      </w:r>
      <w:r w:rsidRPr="00F10793">
        <w:rPr>
          <w:rFonts w:ascii="Calibri" w:hAnsi="Calibri"/>
          <w:color w:val="7F7F7F"/>
          <w:sz w:val="20"/>
          <w:szCs w:val="20"/>
        </w:rPr>
        <w:t xml:space="preserve"> and </w:t>
      </w:r>
      <w:r>
        <w:rPr>
          <w:rFonts w:ascii="Calibri" w:hAnsi="Calibri"/>
          <w:color w:val="7F7F7F"/>
          <w:sz w:val="20"/>
          <w:szCs w:val="20"/>
        </w:rPr>
        <w:t>s</w:t>
      </w:r>
      <w:r w:rsidRPr="00F10793">
        <w:rPr>
          <w:rFonts w:ascii="Calibri" w:hAnsi="Calibri"/>
          <w:color w:val="7F7F7F"/>
          <w:sz w:val="20"/>
          <w:szCs w:val="20"/>
        </w:rPr>
        <w:t xml:space="preserve">elected </w:t>
      </w:r>
      <w:r>
        <w:rPr>
          <w:rFonts w:ascii="Calibri" w:hAnsi="Calibri"/>
          <w:color w:val="7F7F7F"/>
          <w:sz w:val="20"/>
          <w:szCs w:val="20"/>
        </w:rPr>
        <w:t>b</w:t>
      </w:r>
      <w:r w:rsidRPr="00F10793">
        <w:rPr>
          <w:rFonts w:ascii="Calibri" w:hAnsi="Calibri"/>
          <w:color w:val="7F7F7F"/>
          <w:sz w:val="20"/>
          <w:szCs w:val="20"/>
        </w:rPr>
        <w:t xml:space="preserve">irthplaces: </w:t>
      </w:r>
      <w:r>
        <w:rPr>
          <w:rFonts w:ascii="Calibri" w:hAnsi="Calibri"/>
          <w:color w:val="7F7F7F"/>
          <w:sz w:val="20"/>
          <w:szCs w:val="20"/>
        </w:rPr>
        <w:t>p</w:t>
      </w:r>
      <w:r w:rsidRPr="00F10793">
        <w:rPr>
          <w:rFonts w:ascii="Calibri" w:hAnsi="Calibri"/>
          <w:color w:val="7F7F7F"/>
          <w:sz w:val="20"/>
          <w:szCs w:val="20"/>
        </w:rPr>
        <w:t>ersons aged 25-64, Greater Dandenong, 2016</w:t>
      </w:r>
    </w:p>
    <w:p w14:paraId="6C58257E" w14:textId="77777777" w:rsidR="00C65183" w:rsidRDefault="00C65183" w:rsidP="00C65183">
      <w:pPr>
        <w:tabs>
          <w:tab w:val="left" w:pos="284"/>
        </w:tabs>
        <w:jc w:val="both"/>
        <w:rPr>
          <w:rFonts w:ascii="Calibri" w:hAnsi="Calibri"/>
          <w:color w:val="000000"/>
        </w:rPr>
      </w:pPr>
    </w:p>
    <w:p w14:paraId="0CA33F7F" w14:textId="77777777" w:rsidR="00C65183" w:rsidRDefault="00C65183" w:rsidP="00C65183">
      <w:pPr>
        <w:tabs>
          <w:tab w:val="left" w:pos="284"/>
        </w:tabs>
        <w:spacing w:before="60" w:line="360" w:lineRule="auto"/>
        <w:jc w:val="both"/>
        <w:rPr>
          <w:rFonts w:ascii="Calibri" w:hAnsi="Calibri"/>
          <w:color w:val="000000"/>
        </w:rPr>
      </w:pPr>
      <w:r w:rsidRPr="00C341FE">
        <w:rPr>
          <w:rFonts w:ascii="Calibri" w:hAnsi="Calibri"/>
          <w:color w:val="000000"/>
        </w:rPr>
        <w:t xml:space="preserve">Income levels also vary widely </w:t>
      </w:r>
      <w:r>
        <w:rPr>
          <w:rFonts w:ascii="Calibri" w:hAnsi="Calibri"/>
          <w:color w:val="000000"/>
        </w:rPr>
        <w:t>by birthplace</w:t>
      </w:r>
      <w:r w:rsidRPr="00C341FE">
        <w:rPr>
          <w:rFonts w:ascii="Calibri" w:hAnsi="Calibri"/>
          <w:color w:val="000000"/>
        </w:rPr>
        <w:t>. Among residents</w:t>
      </w:r>
      <w:r>
        <w:rPr>
          <w:rFonts w:ascii="Calibri" w:hAnsi="Calibri"/>
          <w:color w:val="000000"/>
        </w:rPr>
        <w:t xml:space="preserve"> aged 25 to 64</w:t>
      </w:r>
      <w:r w:rsidRPr="00C341FE">
        <w:rPr>
          <w:rFonts w:ascii="Calibri" w:hAnsi="Calibri"/>
          <w:color w:val="000000"/>
        </w:rPr>
        <w:t>, income</w:t>
      </w:r>
      <w:r>
        <w:rPr>
          <w:rFonts w:ascii="Calibri" w:hAnsi="Calibri"/>
          <w:color w:val="000000"/>
        </w:rPr>
        <w:t>s</w:t>
      </w:r>
      <w:r w:rsidRPr="00C341FE">
        <w:rPr>
          <w:rFonts w:ascii="Calibri" w:hAnsi="Calibri"/>
          <w:color w:val="000000"/>
        </w:rPr>
        <w:t xml:space="preserve"> </w:t>
      </w:r>
      <w:r>
        <w:rPr>
          <w:rFonts w:ascii="Calibri" w:hAnsi="Calibri"/>
          <w:color w:val="000000"/>
        </w:rPr>
        <w:t>ranged from</w:t>
      </w:r>
      <w:r w:rsidRPr="00C341FE">
        <w:rPr>
          <w:rFonts w:ascii="Calibri" w:hAnsi="Calibri"/>
          <w:color w:val="000000"/>
        </w:rPr>
        <w:t xml:space="preserve"> $</w:t>
      </w:r>
      <w:r>
        <w:rPr>
          <w:rFonts w:ascii="Calibri" w:hAnsi="Calibri"/>
          <w:color w:val="000000"/>
        </w:rPr>
        <w:t>786 among those born in Australia</w:t>
      </w:r>
      <w:r w:rsidRPr="00C341FE">
        <w:rPr>
          <w:rFonts w:ascii="Calibri" w:hAnsi="Calibri"/>
          <w:color w:val="000000"/>
        </w:rPr>
        <w:t xml:space="preserve">, </w:t>
      </w:r>
      <w:r>
        <w:rPr>
          <w:rFonts w:ascii="Calibri" w:hAnsi="Calibri"/>
          <w:color w:val="000000"/>
        </w:rPr>
        <w:t>to</w:t>
      </w:r>
      <w:r w:rsidRPr="00C341FE">
        <w:rPr>
          <w:rFonts w:ascii="Calibri" w:hAnsi="Calibri"/>
          <w:color w:val="000000"/>
        </w:rPr>
        <w:t xml:space="preserve"> $</w:t>
      </w:r>
      <w:r>
        <w:rPr>
          <w:rFonts w:ascii="Calibri" w:hAnsi="Calibri"/>
          <w:color w:val="000000"/>
        </w:rPr>
        <w:t>298</w:t>
      </w:r>
      <w:r w:rsidRPr="00C341FE">
        <w:rPr>
          <w:rFonts w:ascii="Calibri" w:hAnsi="Calibri"/>
          <w:color w:val="000000"/>
        </w:rPr>
        <w:t xml:space="preserve"> among those from </w:t>
      </w:r>
      <w:r>
        <w:rPr>
          <w:rFonts w:ascii="Calibri" w:hAnsi="Calibri"/>
          <w:color w:val="000000"/>
        </w:rPr>
        <w:t>Burma.</w:t>
      </w:r>
    </w:p>
    <w:p w14:paraId="6DC7B430" w14:textId="77777777" w:rsidR="00C65183" w:rsidRPr="00F10793" w:rsidRDefault="00C65183" w:rsidP="00C65183">
      <w:pPr>
        <w:tabs>
          <w:tab w:val="left" w:pos="284"/>
        </w:tabs>
        <w:spacing w:before="60" w:line="360" w:lineRule="auto"/>
        <w:jc w:val="both"/>
        <w:rPr>
          <w:rFonts w:ascii="Calibri" w:hAnsi="Calibri"/>
          <w:color w:val="000000"/>
        </w:rPr>
      </w:pPr>
      <w:r>
        <w:rPr>
          <w:rFonts w:ascii="Calibri" w:hAnsi="Calibri"/>
          <w:color w:val="000000"/>
        </w:rPr>
        <w:t>Notable disparities between female and male incomes were present also. Among residents from Pakistan, Afghanistan and Bangladesh, male incomes were over three times the female levels, while among residents from Iraq and Burma female and male incomes were similar – perhaps due to the high rates of unemployment among these residents.</w:t>
      </w:r>
    </w:p>
    <w:p w14:paraId="21589977" w14:textId="77777777" w:rsidR="00C65183" w:rsidRDefault="00C65183" w:rsidP="00C65183">
      <w:pPr>
        <w:tabs>
          <w:tab w:val="left" w:pos="284"/>
        </w:tabs>
        <w:jc w:val="both"/>
        <w:rPr>
          <w:rFonts w:ascii="Calibri" w:hAnsi="Calibri"/>
          <w:b/>
          <w:color w:val="000000" w:themeColor="text1"/>
        </w:rPr>
      </w:pPr>
    </w:p>
    <w:p w14:paraId="5F041FCD" w14:textId="77777777" w:rsidR="00C65183" w:rsidRPr="00667774" w:rsidRDefault="00C65183" w:rsidP="00C65183">
      <w:pPr>
        <w:tabs>
          <w:tab w:val="left" w:pos="284"/>
        </w:tabs>
        <w:jc w:val="both"/>
        <w:rPr>
          <w:rFonts w:ascii="Calibri" w:hAnsi="Calibri"/>
          <w:b/>
          <w:color w:val="000000" w:themeColor="text1"/>
        </w:rPr>
      </w:pPr>
      <w:r w:rsidRPr="00667774">
        <w:rPr>
          <w:rFonts w:ascii="Calibri" w:hAnsi="Calibri"/>
          <w:b/>
          <w:color w:val="000000" w:themeColor="text1"/>
        </w:rPr>
        <w:lastRenderedPageBreak/>
        <w:t>Centrelink Support</w:t>
      </w:r>
    </w:p>
    <w:p w14:paraId="3C44F6CE" w14:textId="77777777" w:rsidR="00C65183" w:rsidRPr="00813A66" w:rsidRDefault="00C65183" w:rsidP="00C65183">
      <w:pPr>
        <w:tabs>
          <w:tab w:val="left" w:pos="284"/>
        </w:tabs>
        <w:spacing w:before="60" w:line="360" w:lineRule="auto"/>
        <w:jc w:val="both"/>
        <w:rPr>
          <w:rFonts w:ascii="Calibri" w:hAnsi="Calibri"/>
          <w:color w:val="000000"/>
        </w:rPr>
      </w:pPr>
      <w:r w:rsidRPr="00813A66">
        <w:rPr>
          <w:rFonts w:ascii="Calibri" w:hAnsi="Calibri"/>
          <w:color w:val="000000"/>
        </w:rPr>
        <w:t>In June 20</w:t>
      </w:r>
      <w:r>
        <w:rPr>
          <w:rFonts w:ascii="Calibri" w:hAnsi="Calibri"/>
          <w:color w:val="000000"/>
        </w:rPr>
        <w:t>20</w:t>
      </w:r>
      <w:r w:rsidRPr="00813A66">
        <w:rPr>
          <w:rFonts w:ascii="Calibri" w:hAnsi="Calibri"/>
          <w:color w:val="000000"/>
        </w:rPr>
        <w:t xml:space="preserve">, </w:t>
      </w:r>
      <w:r>
        <w:rPr>
          <w:rFonts w:ascii="Calibri" w:hAnsi="Calibri"/>
          <w:color w:val="000000"/>
        </w:rPr>
        <w:t>12</w:t>
      </w:r>
      <w:r w:rsidRPr="00813A66">
        <w:rPr>
          <w:rFonts w:ascii="Calibri" w:hAnsi="Calibri"/>
          <w:color w:val="000000"/>
        </w:rPr>
        <w:t xml:space="preserve">% of Greater Dandenong residents held a Health Care Card – the third highest dependency upon such support in metropolitan Melbourne and substantially more than the metropolitan level of </w:t>
      </w:r>
      <w:r>
        <w:rPr>
          <w:rFonts w:ascii="Calibri" w:hAnsi="Calibri"/>
          <w:color w:val="000000"/>
        </w:rPr>
        <w:t>7.9</w:t>
      </w:r>
      <w:r w:rsidRPr="00813A66">
        <w:rPr>
          <w:rFonts w:ascii="Calibri" w:hAnsi="Calibri"/>
          <w:color w:val="000000"/>
        </w:rPr>
        <w:t>%, reflecting extensive financial hardship.</w:t>
      </w:r>
    </w:p>
    <w:p w14:paraId="3CBD15ED" w14:textId="77777777" w:rsidR="00C65183" w:rsidRDefault="00C65183" w:rsidP="00C65183">
      <w:pPr>
        <w:tabs>
          <w:tab w:val="left" w:pos="284"/>
        </w:tabs>
        <w:spacing w:before="60" w:line="360" w:lineRule="auto"/>
        <w:jc w:val="both"/>
        <w:rPr>
          <w:rFonts w:ascii="Calibri" w:hAnsi="Calibri"/>
          <w:color w:val="000000"/>
        </w:rPr>
      </w:pPr>
      <w:r>
        <w:rPr>
          <w:rFonts w:ascii="Calibri" w:hAnsi="Calibri"/>
          <w:color w:val="000000"/>
        </w:rPr>
        <w:t>More than one-fifth (22%)</w:t>
      </w:r>
      <w:r w:rsidRPr="00813A66">
        <w:rPr>
          <w:rFonts w:ascii="Calibri" w:hAnsi="Calibri"/>
          <w:color w:val="000000"/>
        </w:rPr>
        <w:t xml:space="preserve"> of occupied dwellings in Greater Dandenong attract rental assistance payments, the highest level in Melbourne and </w:t>
      </w:r>
      <w:r>
        <w:rPr>
          <w:rFonts w:ascii="Calibri" w:hAnsi="Calibri"/>
          <w:color w:val="000000"/>
        </w:rPr>
        <w:t>substantially more than</w:t>
      </w:r>
      <w:r w:rsidRPr="00813A66">
        <w:rPr>
          <w:rFonts w:ascii="Calibri" w:hAnsi="Calibri"/>
          <w:color w:val="000000"/>
        </w:rPr>
        <w:t xml:space="preserve"> the metropolitan average of </w:t>
      </w:r>
      <w:r>
        <w:rPr>
          <w:rFonts w:ascii="Calibri" w:hAnsi="Calibri"/>
          <w:color w:val="000000"/>
        </w:rPr>
        <w:t>14</w:t>
      </w:r>
      <w:r w:rsidRPr="00813A66">
        <w:rPr>
          <w:rFonts w:ascii="Calibri" w:hAnsi="Calibri"/>
          <w:color w:val="000000"/>
        </w:rPr>
        <w:t>%.</w:t>
      </w:r>
    </w:p>
    <w:p w14:paraId="3CFEFDD0" w14:textId="77777777" w:rsidR="00C65183" w:rsidRPr="00813A66" w:rsidRDefault="00C65183" w:rsidP="00C65183">
      <w:pPr>
        <w:tabs>
          <w:tab w:val="left" w:pos="284"/>
        </w:tabs>
        <w:spacing w:before="60" w:line="360" w:lineRule="auto"/>
        <w:jc w:val="both"/>
        <w:rPr>
          <w:rFonts w:ascii="Calibri" w:hAnsi="Calibri"/>
          <w:color w:val="000000"/>
        </w:rPr>
      </w:pPr>
      <w:r>
        <w:rPr>
          <w:rFonts w:ascii="Calibri" w:hAnsi="Calibri"/>
          <w:color w:val="000000"/>
        </w:rPr>
        <w:t>The 2020 Centrelink payments also revealed a high level of dependency of older local residents upon the aged pension, with the number of residents relying on this payment equal to 69% of the number of residents aged 65 years or more – the highest level in Melbourne and higher than the metropolitan ratio of 55%.</w:t>
      </w:r>
    </w:p>
    <w:p w14:paraId="1D5BF0CD" w14:textId="77777777" w:rsidR="00C65183" w:rsidRDefault="00C65183" w:rsidP="00C65183">
      <w:pPr>
        <w:tabs>
          <w:tab w:val="left" w:pos="284"/>
        </w:tabs>
        <w:spacing w:before="60" w:line="360" w:lineRule="auto"/>
        <w:jc w:val="both"/>
        <w:rPr>
          <w:rFonts w:ascii="Calibri" w:hAnsi="Calibri"/>
          <w:color w:val="000000"/>
        </w:rPr>
      </w:pPr>
      <w:r w:rsidRPr="00813A66">
        <w:rPr>
          <w:rFonts w:ascii="Calibri" w:hAnsi="Calibri"/>
          <w:color w:val="000000"/>
        </w:rPr>
        <w:t>The table below sets out a selection of ratios between the relevant population and the number of Centrelink beneficiaries in mid-20</w:t>
      </w:r>
      <w:r>
        <w:rPr>
          <w:rFonts w:ascii="Calibri" w:hAnsi="Calibri"/>
          <w:color w:val="000000"/>
        </w:rPr>
        <w:t>20</w:t>
      </w:r>
      <w:r w:rsidRPr="00813A66">
        <w:rPr>
          <w:rFonts w:ascii="Calibri" w:hAnsi="Calibri"/>
          <w:color w:val="000000"/>
        </w:rPr>
        <w:t xml:space="preserve">, confirming the level of dependence of various segments of the local population upon pensions and benefits, including older, disabled and unemployed people, </w:t>
      </w:r>
      <w:r>
        <w:rPr>
          <w:rFonts w:ascii="Calibri" w:hAnsi="Calibri"/>
          <w:color w:val="000000"/>
        </w:rPr>
        <w:t>as well as</w:t>
      </w:r>
      <w:r w:rsidRPr="00813A66">
        <w:rPr>
          <w:rFonts w:ascii="Calibri" w:hAnsi="Calibri"/>
          <w:color w:val="000000"/>
        </w:rPr>
        <w:t xml:space="preserve"> families facing financial difficulties.</w:t>
      </w:r>
    </w:p>
    <w:tbl>
      <w:tblPr>
        <w:tblW w:w="8560" w:type="dxa"/>
        <w:tblInd w:w="108" w:type="dxa"/>
        <w:tblLook w:val="04A0" w:firstRow="1" w:lastRow="0" w:firstColumn="1" w:lastColumn="0" w:noHBand="0" w:noVBand="1"/>
      </w:tblPr>
      <w:tblGrid>
        <w:gridCol w:w="5116"/>
        <w:gridCol w:w="1564"/>
        <w:gridCol w:w="516"/>
        <w:gridCol w:w="1564"/>
      </w:tblGrid>
      <w:tr w:rsidR="00C65183" w14:paraId="2EC1BF49" w14:textId="77777777" w:rsidTr="0051723D">
        <w:trPr>
          <w:trHeight w:val="285"/>
        </w:trPr>
        <w:tc>
          <w:tcPr>
            <w:tcW w:w="4916" w:type="dxa"/>
            <w:tcBorders>
              <w:top w:val="nil"/>
              <w:left w:val="nil"/>
              <w:bottom w:val="nil"/>
              <w:right w:val="nil"/>
            </w:tcBorders>
            <w:shd w:val="clear" w:color="auto" w:fill="auto"/>
            <w:noWrap/>
            <w:vAlign w:val="bottom"/>
            <w:hideMark/>
          </w:tcPr>
          <w:p w14:paraId="6B31B2F3" w14:textId="77777777" w:rsidR="00C65183" w:rsidRDefault="00C65183" w:rsidP="0051723D">
            <w:pPr>
              <w:rPr>
                <w:rFonts w:ascii="Calibri" w:hAnsi="Calibri" w:cs="Calibri"/>
                <w:color w:val="000000"/>
              </w:rPr>
            </w:pPr>
          </w:p>
          <w:tbl>
            <w:tblPr>
              <w:tblW w:w="0" w:type="auto"/>
              <w:tblCellSpacing w:w="0" w:type="dxa"/>
              <w:tblCellMar>
                <w:left w:w="0" w:type="dxa"/>
                <w:right w:w="0" w:type="dxa"/>
              </w:tblCellMar>
              <w:tblLook w:val="04A0" w:firstRow="1" w:lastRow="0" w:firstColumn="1" w:lastColumn="0" w:noHBand="0" w:noVBand="1"/>
            </w:tblPr>
            <w:tblGrid>
              <w:gridCol w:w="4900"/>
            </w:tblGrid>
            <w:tr w:rsidR="00C65183" w14:paraId="77A8622C" w14:textId="77777777" w:rsidTr="0051723D">
              <w:trPr>
                <w:trHeight w:val="285"/>
                <w:tblCellSpacing w:w="0" w:type="dxa"/>
              </w:trPr>
              <w:tc>
                <w:tcPr>
                  <w:tcW w:w="4900" w:type="dxa"/>
                  <w:tcBorders>
                    <w:top w:val="nil"/>
                    <w:left w:val="nil"/>
                    <w:bottom w:val="nil"/>
                    <w:right w:val="nil"/>
                  </w:tcBorders>
                  <w:shd w:val="clear" w:color="auto" w:fill="auto"/>
                  <w:noWrap/>
                  <w:vAlign w:val="bottom"/>
                  <w:hideMark/>
                </w:tcPr>
                <w:p w14:paraId="6CAB033E" w14:textId="77777777" w:rsidR="00C65183" w:rsidRDefault="00C65183" w:rsidP="0051723D">
                  <w:pPr>
                    <w:rPr>
                      <w:rFonts w:ascii="Calibri" w:hAnsi="Calibri" w:cs="Calibri"/>
                      <w:color w:val="000000"/>
                    </w:rPr>
                  </w:pPr>
                </w:p>
              </w:tc>
            </w:tr>
          </w:tbl>
          <w:p w14:paraId="11CB2D8B" w14:textId="77777777" w:rsidR="00C65183" w:rsidRDefault="00C65183" w:rsidP="0051723D">
            <w:pPr>
              <w:rPr>
                <w:rFonts w:ascii="Calibri" w:hAnsi="Calibri" w:cs="Calibri"/>
                <w:color w:val="000000"/>
              </w:rPr>
            </w:pPr>
          </w:p>
        </w:tc>
        <w:tc>
          <w:tcPr>
            <w:tcW w:w="1564" w:type="dxa"/>
            <w:vMerge w:val="restart"/>
            <w:tcBorders>
              <w:top w:val="nil"/>
              <w:left w:val="nil"/>
              <w:bottom w:val="nil"/>
              <w:right w:val="nil"/>
            </w:tcBorders>
            <w:shd w:val="clear" w:color="000000" w:fill="632523"/>
            <w:vAlign w:val="center"/>
            <w:hideMark/>
          </w:tcPr>
          <w:p w14:paraId="3A9EF534" w14:textId="77777777" w:rsidR="00C65183" w:rsidRDefault="00C65183" w:rsidP="0051723D">
            <w:pPr>
              <w:jc w:val="center"/>
              <w:rPr>
                <w:rFonts w:ascii="Garamond" w:hAnsi="Garamond" w:cs="Calibri"/>
                <w:color w:val="FFFFFF"/>
                <w:sz w:val="16"/>
                <w:szCs w:val="16"/>
              </w:rPr>
            </w:pPr>
            <w:r>
              <w:rPr>
                <w:rFonts w:ascii="Garamond" w:hAnsi="Garamond" w:cs="Calibri"/>
                <w:color w:val="FFFFFF"/>
                <w:sz w:val="16"/>
                <w:szCs w:val="16"/>
              </w:rPr>
              <w:t>Greater Dandenong</w:t>
            </w:r>
          </w:p>
        </w:tc>
        <w:tc>
          <w:tcPr>
            <w:tcW w:w="516" w:type="dxa"/>
            <w:tcBorders>
              <w:top w:val="nil"/>
              <w:left w:val="nil"/>
              <w:bottom w:val="nil"/>
              <w:right w:val="nil"/>
            </w:tcBorders>
            <w:shd w:val="clear" w:color="auto" w:fill="auto"/>
            <w:noWrap/>
            <w:vAlign w:val="bottom"/>
            <w:hideMark/>
          </w:tcPr>
          <w:p w14:paraId="7F319F35" w14:textId="77777777" w:rsidR="00C65183" w:rsidRDefault="00C65183" w:rsidP="0051723D">
            <w:pPr>
              <w:jc w:val="center"/>
              <w:rPr>
                <w:rFonts w:ascii="Garamond" w:hAnsi="Garamond" w:cs="Calibri"/>
                <w:color w:val="FFFFFF"/>
                <w:sz w:val="16"/>
                <w:szCs w:val="16"/>
              </w:rPr>
            </w:pPr>
          </w:p>
        </w:tc>
        <w:tc>
          <w:tcPr>
            <w:tcW w:w="1564" w:type="dxa"/>
            <w:vMerge w:val="restart"/>
            <w:tcBorders>
              <w:top w:val="nil"/>
              <w:left w:val="nil"/>
              <w:bottom w:val="nil"/>
              <w:right w:val="nil"/>
            </w:tcBorders>
            <w:shd w:val="clear" w:color="000000" w:fill="003300"/>
            <w:vAlign w:val="center"/>
            <w:hideMark/>
          </w:tcPr>
          <w:p w14:paraId="2DB5B3DC" w14:textId="77777777" w:rsidR="00C65183" w:rsidRDefault="00C65183" w:rsidP="0051723D">
            <w:pPr>
              <w:jc w:val="center"/>
              <w:rPr>
                <w:rFonts w:ascii="Garamond" w:hAnsi="Garamond" w:cs="Calibri"/>
                <w:color w:val="FFFFFF"/>
                <w:sz w:val="16"/>
                <w:szCs w:val="16"/>
              </w:rPr>
            </w:pPr>
            <w:r>
              <w:rPr>
                <w:rFonts w:ascii="Garamond" w:hAnsi="Garamond" w:cs="Calibri"/>
                <w:color w:val="FFFFFF"/>
                <w:sz w:val="16"/>
                <w:szCs w:val="16"/>
              </w:rPr>
              <w:t>Metro. Melbourne</w:t>
            </w:r>
          </w:p>
        </w:tc>
      </w:tr>
      <w:tr w:rsidR="00C65183" w14:paraId="31B9F958" w14:textId="77777777" w:rsidTr="0051723D">
        <w:trPr>
          <w:trHeight w:val="285"/>
        </w:trPr>
        <w:tc>
          <w:tcPr>
            <w:tcW w:w="4916" w:type="dxa"/>
            <w:tcBorders>
              <w:top w:val="nil"/>
              <w:left w:val="nil"/>
              <w:bottom w:val="nil"/>
              <w:right w:val="nil"/>
            </w:tcBorders>
            <w:shd w:val="clear" w:color="000000" w:fill="948A54"/>
            <w:noWrap/>
            <w:vAlign w:val="bottom"/>
            <w:hideMark/>
          </w:tcPr>
          <w:p w14:paraId="59D42E7B" w14:textId="77777777" w:rsidR="00C65183" w:rsidRDefault="00C65183" w:rsidP="0051723D">
            <w:pPr>
              <w:rPr>
                <w:rFonts w:ascii="Garamond" w:hAnsi="Garamond" w:cs="Calibri"/>
                <w:b/>
                <w:bCs/>
                <w:color w:val="000000"/>
                <w:sz w:val="16"/>
                <w:szCs w:val="16"/>
              </w:rPr>
            </w:pPr>
            <w:r>
              <w:rPr>
                <w:rFonts w:ascii="Garamond" w:hAnsi="Garamond" w:cs="Calibri"/>
                <w:b/>
                <w:bCs/>
                <w:color w:val="000000"/>
                <w:sz w:val="16"/>
                <w:szCs w:val="16"/>
              </w:rPr>
              <w:t>RATIOS</w:t>
            </w:r>
          </w:p>
        </w:tc>
        <w:tc>
          <w:tcPr>
            <w:tcW w:w="1564" w:type="dxa"/>
            <w:vMerge/>
            <w:tcBorders>
              <w:top w:val="nil"/>
              <w:left w:val="nil"/>
              <w:bottom w:val="nil"/>
              <w:right w:val="nil"/>
            </w:tcBorders>
            <w:vAlign w:val="center"/>
            <w:hideMark/>
          </w:tcPr>
          <w:p w14:paraId="3C081228" w14:textId="77777777" w:rsidR="00C65183" w:rsidRDefault="00C65183" w:rsidP="0051723D">
            <w:pPr>
              <w:rPr>
                <w:rFonts w:ascii="Garamond" w:hAnsi="Garamond" w:cs="Calibri"/>
                <w:color w:val="FFFFFF"/>
                <w:sz w:val="16"/>
                <w:szCs w:val="16"/>
              </w:rPr>
            </w:pPr>
          </w:p>
        </w:tc>
        <w:tc>
          <w:tcPr>
            <w:tcW w:w="516" w:type="dxa"/>
            <w:tcBorders>
              <w:top w:val="nil"/>
              <w:left w:val="nil"/>
              <w:bottom w:val="nil"/>
              <w:right w:val="nil"/>
            </w:tcBorders>
            <w:shd w:val="clear" w:color="auto" w:fill="auto"/>
            <w:noWrap/>
            <w:vAlign w:val="bottom"/>
            <w:hideMark/>
          </w:tcPr>
          <w:p w14:paraId="1CAD4A78" w14:textId="77777777" w:rsidR="00C65183" w:rsidRDefault="00C65183" w:rsidP="0051723D">
            <w:pPr>
              <w:rPr>
                <w:rFonts w:ascii="Garamond" w:hAnsi="Garamond" w:cs="Calibri"/>
                <w:b/>
                <w:bCs/>
                <w:color w:val="000000"/>
                <w:sz w:val="16"/>
                <w:szCs w:val="16"/>
              </w:rPr>
            </w:pPr>
          </w:p>
        </w:tc>
        <w:tc>
          <w:tcPr>
            <w:tcW w:w="1564" w:type="dxa"/>
            <w:vMerge/>
            <w:tcBorders>
              <w:top w:val="nil"/>
              <w:left w:val="nil"/>
              <w:bottom w:val="nil"/>
              <w:right w:val="nil"/>
            </w:tcBorders>
            <w:vAlign w:val="center"/>
            <w:hideMark/>
          </w:tcPr>
          <w:p w14:paraId="3F0EB170" w14:textId="77777777" w:rsidR="00C65183" w:rsidRDefault="00C65183" w:rsidP="0051723D">
            <w:pPr>
              <w:rPr>
                <w:rFonts w:ascii="Garamond" w:hAnsi="Garamond" w:cs="Calibri"/>
                <w:color w:val="FFFFFF"/>
                <w:sz w:val="16"/>
                <w:szCs w:val="16"/>
              </w:rPr>
            </w:pPr>
          </w:p>
        </w:tc>
      </w:tr>
      <w:tr w:rsidR="00C65183" w14:paraId="137EF59B" w14:textId="77777777" w:rsidTr="0051723D">
        <w:trPr>
          <w:trHeight w:val="285"/>
        </w:trPr>
        <w:tc>
          <w:tcPr>
            <w:tcW w:w="4916" w:type="dxa"/>
            <w:tcBorders>
              <w:top w:val="single" w:sz="4" w:space="0" w:color="auto"/>
              <w:left w:val="nil"/>
              <w:bottom w:val="single" w:sz="4" w:space="0" w:color="auto"/>
              <w:right w:val="nil"/>
            </w:tcBorders>
            <w:shd w:val="clear" w:color="000000" w:fill="F2DCDB"/>
            <w:noWrap/>
            <w:vAlign w:val="bottom"/>
            <w:hideMark/>
          </w:tcPr>
          <w:p w14:paraId="469F6EC6" w14:textId="77777777" w:rsidR="00C65183" w:rsidRDefault="00C65183" w:rsidP="0051723D">
            <w:pPr>
              <w:rPr>
                <w:rFonts w:ascii="Garamond" w:hAnsi="Garamond" w:cs="Calibri"/>
                <w:color w:val="000000"/>
                <w:sz w:val="16"/>
                <w:szCs w:val="16"/>
              </w:rPr>
            </w:pPr>
            <w:r>
              <w:rPr>
                <w:rFonts w:ascii="Garamond" w:hAnsi="Garamond" w:cs="Calibri"/>
                <w:color w:val="000000"/>
                <w:sz w:val="16"/>
                <w:szCs w:val="16"/>
              </w:rPr>
              <w:t>Jobseeker Payment / Population 18-64 (%)</w:t>
            </w:r>
          </w:p>
        </w:tc>
        <w:tc>
          <w:tcPr>
            <w:tcW w:w="1564" w:type="dxa"/>
            <w:tcBorders>
              <w:top w:val="single" w:sz="4" w:space="0" w:color="auto"/>
              <w:left w:val="nil"/>
              <w:bottom w:val="single" w:sz="4" w:space="0" w:color="auto"/>
              <w:right w:val="nil"/>
            </w:tcBorders>
            <w:shd w:val="clear" w:color="000000" w:fill="F2DCDB"/>
            <w:noWrap/>
            <w:vAlign w:val="center"/>
            <w:hideMark/>
          </w:tcPr>
          <w:p w14:paraId="6D69788B" w14:textId="77777777" w:rsidR="00C65183" w:rsidRPr="00976A4A" w:rsidRDefault="00C65183" w:rsidP="0051723D">
            <w:pPr>
              <w:ind w:firstLineChars="100" w:firstLine="181"/>
              <w:jc w:val="center"/>
              <w:rPr>
                <w:rFonts w:ascii="Garamond" w:hAnsi="Garamond" w:cs="Calibri"/>
                <w:b/>
                <w:bCs/>
                <w:color w:val="632523"/>
                <w:sz w:val="18"/>
                <w:szCs w:val="18"/>
              </w:rPr>
            </w:pPr>
            <w:r w:rsidRPr="00976A4A">
              <w:rPr>
                <w:rFonts w:ascii="Garamond" w:hAnsi="Garamond" w:cs="Calibri"/>
                <w:b/>
                <w:bCs/>
                <w:color w:val="632523"/>
                <w:sz w:val="18"/>
                <w:szCs w:val="18"/>
              </w:rPr>
              <w:t>10.9</w:t>
            </w:r>
          </w:p>
        </w:tc>
        <w:tc>
          <w:tcPr>
            <w:tcW w:w="516" w:type="dxa"/>
            <w:tcBorders>
              <w:top w:val="nil"/>
              <w:left w:val="nil"/>
              <w:bottom w:val="nil"/>
              <w:right w:val="nil"/>
            </w:tcBorders>
            <w:shd w:val="clear" w:color="auto" w:fill="auto"/>
            <w:noWrap/>
            <w:vAlign w:val="bottom"/>
            <w:hideMark/>
          </w:tcPr>
          <w:p w14:paraId="02426BCE" w14:textId="77777777" w:rsidR="00C65183" w:rsidRPr="00976A4A" w:rsidRDefault="00C65183" w:rsidP="0051723D">
            <w:pPr>
              <w:ind w:firstLineChars="100" w:firstLine="181"/>
              <w:jc w:val="center"/>
              <w:rPr>
                <w:rFonts w:ascii="Garamond" w:hAnsi="Garamond" w:cs="Calibri"/>
                <w:b/>
                <w:bCs/>
                <w:color w:val="632523"/>
                <w:sz w:val="18"/>
                <w:szCs w:val="18"/>
              </w:rPr>
            </w:pPr>
          </w:p>
        </w:tc>
        <w:tc>
          <w:tcPr>
            <w:tcW w:w="1564" w:type="dxa"/>
            <w:tcBorders>
              <w:top w:val="single" w:sz="4" w:space="0" w:color="auto"/>
              <w:left w:val="nil"/>
              <w:bottom w:val="single" w:sz="4" w:space="0" w:color="auto"/>
              <w:right w:val="nil"/>
            </w:tcBorders>
            <w:shd w:val="clear" w:color="000000" w:fill="EBF1DE"/>
            <w:noWrap/>
            <w:vAlign w:val="center"/>
            <w:hideMark/>
          </w:tcPr>
          <w:p w14:paraId="492E6253" w14:textId="77777777" w:rsidR="00C65183" w:rsidRPr="00976A4A" w:rsidRDefault="00C65183" w:rsidP="0051723D">
            <w:pPr>
              <w:ind w:firstLineChars="100" w:firstLine="181"/>
              <w:jc w:val="center"/>
              <w:rPr>
                <w:rFonts w:ascii="Garamond" w:hAnsi="Garamond" w:cs="Calibri"/>
                <w:b/>
                <w:bCs/>
                <w:color w:val="003300"/>
                <w:sz w:val="18"/>
                <w:szCs w:val="18"/>
              </w:rPr>
            </w:pPr>
            <w:r w:rsidRPr="00976A4A">
              <w:rPr>
                <w:rFonts w:ascii="Garamond" w:hAnsi="Garamond" w:cs="Calibri"/>
                <w:b/>
                <w:bCs/>
                <w:color w:val="003300"/>
                <w:sz w:val="18"/>
                <w:szCs w:val="18"/>
              </w:rPr>
              <w:t>7.9</w:t>
            </w:r>
          </w:p>
        </w:tc>
      </w:tr>
      <w:tr w:rsidR="00C65183" w14:paraId="76A94085" w14:textId="77777777" w:rsidTr="0051723D">
        <w:trPr>
          <w:trHeight w:val="285"/>
        </w:trPr>
        <w:tc>
          <w:tcPr>
            <w:tcW w:w="4916" w:type="dxa"/>
            <w:tcBorders>
              <w:top w:val="nil"/>
              <w:left w:val="nil"/>
              <w:bottom w:val="single" w:sz="4" w:space="0" w:color="auto"/>
              <w:right w:val="nil"/>
            </w:tcBorders>
            <w:shd w:val="clear" w:color="000000" w:fill="E6B8B7"/>
            <w:noWrap/>
            <w:vAlign w:val="bottom"/>
            <w:hideMark/>
          </w:tcPr>
          <w:p w14:paraId="08A0F18F" w14:textId="77777777" w:rsidR="00C65183" w:rsidRDefault="00C65183" w:rsidP="0051723D">
            <w:pPr>
              <w:rPr>
                <w:rFonts w:ascii="Garamond" w:hAnsi="Garamond" w:cs="Calibri"/>
                <w:color w:val="000000"/>
                <w:sz w:val="16"/>
                <w:szCs w:val="16"/>
              </w:rPr>
            </w:pPr>
            <w:r>
              <w:rPr>
                <w:rFonts w:ascii="Garamond" w:hAnsi="Garamond" w:cs="Calibri"/>
                <w:color w:val="000000"/>
                <w:sz w:val="16"/>
                <w:szCs w:val="16"/>
              </w:rPr>
              <w:t>Parenting Payment Single / Population Females 20-44 (%)</w:t>
            </w:r>
          </w:p>
        </w:tc>
        <w:tc>
          <w:tcPr>
            <w:tcW w:w="1564" w:type="dxa"/>
            <w:tcBorders>
              <w:top w:val="nil"/>
              <w:left w:val="nil"/>
              <w:bottom w:val="single" w:sz="4" w:space="0" w:color="auto"/>
              <w:right w:val="nil"/>
            </w:tcBorders>
            <w:shd w:val="clear" w:color="000000" w:fill="E6B8B7"/>
            <w:noWrap/>
            <w:vAlign w:val="center"/>
            <w:hideMark/>
          </w:tcPr>
          <w:p w14:paraId="215FC1E9" w14:textId="77777777" w:rsidR="00C65183" w:rsidRPr="00976A4A" w:rsidRDefault="00C65183" w:rsidP="0051723D">
            <w:pPr>
              <w:ind w:firstLineChars="100" w:firstLine="181"/>
              <w:jc w:val="center"/>
              <w:rPr>
                <w:rFonts w:ascii="Garamond" w:hAnsi="Garamond" w:cs="Calibri"/>
                <w:b/>
                <w:bCs/>
                <w:color w:val="632523"/>
                <w:sz w:val="18"/>
                <w:szCs w:val="18"/>
              </w:rPr>
            </w:pPr>
            <w:r w:rsidRPr="00976A4A">
              <w:rPr>
                <w:rFonts w:ascii="Garamond" w:hAnsi="Garamond" w:cs="Calibri"/>
                <w:b/>
                <w:bCs/>
                <w:color w:val="632523"/>
                <w:sz w:val="18"/>
                <w:szCs w:val="18"/>
              </w:rPr>
              <w:t>3.9</w:t>
            </w:r>
          </w:p>
        </w:tc>
        <w:tc>
          <w:tcPr>
            <w:tcW w:w="516" w:type="dxa"/>
            <w:tcBorders>
              <w:top w:val="nil"/>
              <w:left w:val="nil"/>
              <w:bottom w:val="nil"/>
              <w:right w:val="nil"/>
            </w:tcBorders>
            <w:shd w:val="clear" w:color="auto" w:fill="auto"/>
            <w:noWrap/>
            <w:vAlign w:val="bottom"/>
            <w:hideMark/>
          </w:tcPr>
          <w:p w14:paraId="719EBBA4" w14:textId="77777777" w:rsidR="00C65183" w:rsidRPr="00976A4A" w:rsidRDefault="00C65183" w:rsidP="0051723D">
            <w:pPr>
              <w:ind w:firstLineChars="100" w:firstLine="181"/>
              <w:jc w:val="center"/>
              <w:rPr>
                <w:rFonts w:ascii="Garamond" w:hAnsi="Garamond" w:cs="Calibri"/>
                <w:b/>
                <w:bCs/>
                <w:color w:val="632523"/>
                <w:sz w:val="18"/>
                <w:szCs w:val="18"/>
              </w:rPr>
            </w:pPr>
          </w:p>
        </w:tc>
        <w:tc>
          <w:tcPr>
            <w:tcW w:w="1564" w:type="dxa"/>
            <w:tcBorders>
              <w:top w:val="nil"/>
              <w:left w:val="nil"/>
              <w:bottom w:val="single" w:sz="4" w:space="0" w:color="auto"/>
              <w:right w:val="nil"/>
            </w:tcBorders>
            <w:shd w:val="clear" w:color="000000" w:fill="D8E4BC"/>
            <w:noWrap/>
            <w:vAlign w:val="center"/>
            <w:hideMark/>
          </w:tcPr>
          <w:p w14:paraId="71918507" w14:textId="77777777" w:rsidR="00C65183" w:rsidRPr="00976A4A" w:rsidRDefault="00C65183" w:rsidP="0051723D">
            <w:pPr>
              <w:ind w:firstLineChars="100" w:firstLine="181"/>
              <w:jc w:val="center"/>
              <w:rPr>
                <w:rFonts w:ascii="Garamond" w:hAnsi="Garamond" w:cs="Calibri"/>
                <w:b/>
                <w:bCs/>
                <w:color w:val="003300"/>
                <w:sz w:val="18"/>
                <w:szCs w:val="18"/>
              </w:rPr>
            </w:pPr>
            <w:r w:rsidRPr="00976A4A">
              <w:rPr>
                <w:rFonts w:ascii="Garamond" w:hAnsi="Garamond" w:cs="Calibri"/>
                <w:b/>
                <w:bCs/>
                <w:color w:val="003300"/>
                <w:sz w:val="18"/>
                <w:szCs w:val="18"/>
              </w:rPr>
              <w:t>3.2</w:t>
            </w:r>
          </w:p>
        </w:tc>
      </w:tr>
      <w:tr w:rsidR="00C65183" w14:paraId="0DF53CE4" w14:textId="77777777" w:rsidTr="0051723D">
        <w:trPr>
          <w:trHeight w:val="285"/>
        </w:trPr>
        <w:tc>
          <w:tcPr>
            <w:tcW w:w="4916" w:type="dxa"/>
            <w:tcBorders>
              <w:top w:val="nil"/>
              <w:left w:val="nil"/>
              <w:bottom w:val="single" w:sz="4" w:space="0" w:color="auto"/>
              <w:right w:val="nil"/>
            </w:tcBorders>
            <w:shd w:val="clear" w:color="000000" w:fill="F2DCDB"/>
            <w:noWrap/>
            <w:vAlign w:val="bottom"/>
            <w:hideMark/>
          </w:tcPr>
          <w:p w14:paraId="561D2C92" w14:textId="77777777" w:rsidR="00C65183" w:rsidRDefault="00C65183" w:rsidP="0051723D">
            <w:pPr>
              <w:rPr>
                <w:rFonts w:ascii="Garamond" w:hAnsi="Garamond" w:cs="Calibri"/>
                <w:color w:val="000000"/>
                <w:sz w:val="16"/>
                <w:szCs w:val="16"/>
              </w:rPr>
            </w:pPr>
            <w:r>
              <w:rPr>
                <w:rFonts w:ascii="Garamond" w:hAnsi="Garamond" w:cs="Calibri"/>
                <w:color w:val="000000"/>
                <w:sz w:val="16"/>
                <w:szCs w:val="16"/>
              </w:rPr>
              <w:t>Parenting Payment - partnered / Population Female 20-45 (%)</w:t>
            </w:r>
          </w:p>
        </w:tc>
        <w:tc>
          <w:tcPr>
            <w:tcW w:w="1564" w:type="dxa"/>
            <w:tcBorders>
              <w:top w:val="nil"/>
              <w:left w:val="nil"/>
              <w:bottom w:val="single" w:sz="4" w:space="0" w:color="auto"/>
              <w:right w:val="nil"/>
            </w:tcBorders>
            <w:shd w:val="clear" w:color="000000" w:fill="F2DCDB"/>
            <w:noWrap/>
            <w:vAlign w:val="center"/>
            <w:hideMark/>
          </w:tcPr>
          <w:p w14:paraId="3843B96D" w14:textId="77777777" w:rsidR="00C65183" w:rsidRPr="00976A4A" w:rsidRDefault="00C65183" w:rsidP="0051723D">
            <w:pPr>
              <w:ind w:firstLineChars="100" w:firstLine="181"/>
              <w:jc w:val="center"/>
              <w:rPr>
                <w:rFonts w:ascii="Garamond" w:hAnsi="Garamond" w:cs="Calibri"/>
                <w:b/>
                <w:bCs/>
                <w:color w:val="632523"/>
                <w:sz w:val="18"/>
                <w:szCs w:val="18"/>
              </w:rPr>
            </w:pPr>
            <w:r w:rsidRPr="00976A4A">
              <w:rPr>
                <w:rFonts w:ascii="Garamond" w:hAnsi="Garamond" w:cs="Calibri"/>
                <w:b/>
                <w:bCs/>
                <w:color w:val="632523"/>
                <w:sz w:val="18"/>
                <w:szCs w:val="18"/>
              </w:rPr>
              <w:t>3.4</w:t>
            </w:r>
          </w:p>
        </w:tc>
        <w:tc>
          <w:tcPr>
            <w:tcW w:w="516" w:type="dxa"/>
            <w:tcBorders>
              <w:top w:val="nil"/>
              <w:left w:val="nil"/>
              <w:bottom w:val="nil"/>
              <w:right w:val="nil"/>
            </w:tcBorders>
            <w:shd w:val="clear" w:color="auto" w:fill="auto"/>
            <w:noWrap/>
            <w:vAlign w:val="bottom"/>
            <w:hideMark/>
          </w:tcPr>
          <w:p w14:paraId="192D6304" w14:textId="77777777" w:rsidR="00C65183" w:rsidRPr="00976A4A" w:rsidRDefault="00C65183" w:rsidP="0051723D">
            <w:pPr>
              <w:ind w:firstLineChars="100" w:firstLine="181"/>
              <w:jc w:val="center"/>
              <w:rPr>
                <w:rFonts w:ascii="Garamond" w:hAnsi="Garamond" w:cs="Calibri"/>
                <w:b/>
                <w:bCs/>
                <w:color w:val="632523"/>
                <w:sz w:val="18"/>
                <w:szCs w:val="18"/>
              </w:rPr>
            </w:pPr>
          </w:p>
        </w:tc>
        <w:tc>
          <w:tcPr>
            <w:tcW w:w="1564" w:type="dxa"/>
            <w:tcBorders>
              <w:top w:val="nil"/>
              <w:left w:val="nil"/>
              <w:bottom w:val="single" w:sz="4" w:space="0" w:color="auto"/>
              <w:right w:val="nil"/>
            </w:tcBorders>
            <w:shd w:val="clear" w:color="000000" w:fill="EBF1DE"/>
            <w:noWrap/>
            <w:vAlign w:val="center"/>
            <w:hideMark/>
          </w:tcPr>
          <w:p w14:paraId="7D3C50D0" w14:textId="77777777" w:rsidR="00C65183" w:rsidRPr="00976A4A" w:rsidRDefault="00C65183" w:rsidP="0051723D">
            <w:pPr>
              <w:ind w:firstLineChars="100" w:firstLine="181"/>
              <w:jc w:val="center"/>
              <w:rPr>
                <w:rFonts w:ascii="Garamond" w:hAnsi="Garamond" w:cs="Calibri"/>
                <w:b/>
                <w:bCs/>
                <w:color w:val="003300"/>
                <w:sz w:val="18"/>
                <w:szCs w:val="18"/>
              </w:rPr>
            </w:pPr>
            <w:r w:rsidRPr="00976A4A">
              <w:rPr>
                <w:rFonts w:ascii="Garamond" w:hAnsi="Garamond" w:cs="Calibri"/>
                <w:b/>
                <w:bCs/>
                <w:color w:val="003300"/>
                <w:sz w:val="18"/>
                <w:szCs w:val="18"/>
              </w:rPr>
              <w:t>1.8</w:t>
            </w:r>
          </w:p>
        </w:tc>
      </w:tr>
      <w:tr w:rsidR="00C65183" w14:paraId="0FBFD3CC" w14:textId="77777777" w:rsidTr="0051723D">
        <w:trPr>
          <w:trHeight w:val="285"/>
        </w:trPr>
        <w:tc>
          <w:tcPr>
            <w:tcW w:w="4916" w:type="dxa"/>
            <w:tcBorders>
              <w:top w:val="nil"/>
              <w:left w:val="nil"/>
              <w:bottom w:val="single" w:sz="4" w:space="0" w:color="auto"/>
              <w:right w:val="nil"/>
            </w:tcBorders>
            <w:shd w:val="clear" w:color="000000" w:fill="E6B8B7"/>
            <w:noWrap/>
            <w:vAlign w:val="bottom"/>
            <w:hideMark/>
          </w:tcPr>
          <w:p w14:paraId="142DBE17" w14:textId="77777777" w:rsidR="00C65183" w:rsidRDefault="00C65183" w:rsidP="0051723D">
            <w:pPr>
              <w:rPr>
                <w:rFonts w:ascii="Garamond" w:hAnsi="Garamond" w:cs="Calibri"/>
                <w:color w:val="000000"/>
                <w:sz w:val="16"/>
                <w:szCs w:val="16"/>
              </w:rPr>
            </w:pPr>
            <w:r>
              <w:rPr>
                <w:rFonts w:ascii="Garamond" w:hAnsi="Garamond" w:cs="Calibri"/>
                <w:color w:val="000000"/>
                <w:sz w:val="16"/>
                <w:szCs w:val="16"/>
              </w:rPr>
              <w:t>Disability Pension / Total population (%)</w:t>
            </w:r>
          </w:p>
        </w:tc>
        <w:tc>
          <w:tcPr>
            <w:tcW w:w="1564" w:type="dxa"/>
            <w:tcBorders>
              <w:top w:val="nil"/>
              <w:left w:val="nil"/>
              <w:bottom w:val="single" w:sz="4" w:space="0" w:color="auto"/>
              <w:right w:val="nil"/>
            </w:tcBorders>
            <w:shd w:val="clear" w:color="000000" w:fill="E6B8B7"/>
            <w:noWrap/>
            <w:vAlign w:val="center"/>
            <w:hideMark/>
          </w:tcPr>
          <w:p w14:paraId="39E221DE" w14:textId="77777777" w:rsidR="00C65183" w:rsidRPr="00976A4A" w:rsidRDefault="00C65183" w:rsidP="0051723D">
            <w:pPr>
              <w:ind w:firstLineChars="100" w:firstLine="181"/>
              <w:jc w:val="center"/>
              <w:rPr>
                <w:rFonts w:ascii="Garamond" w:hAnsi="Garamond" w:cs="Calibri"/>
                <w:b/>
                <w:bCs/>
                <w:color w:val="632523"/>
                <w:sz w:val="18"/>
                <w:szCs w:val="18"/>
              </w:rPr>
            </w:pPr>
            <w:r w:rsidRPr="00976A4A">
              <w:rPr>
                <w:rFonts w:ascii="Garamond" w:hAnsi="Garamond" w:cs="Calibri"/>
                <w:b/>
                <w:bCs/>
                <w:color w:val="632523"/>
                <w:sz w:val="18"/>
                <w:szCs w:val="18"/>
              </w:rPr>
              <w:t>3.7</w:t>
            </w:r>
          </w:p>
        </w:tc>
        <w:tc>
          <w:tcPr>
            <w:tcW w:w="516" w:type="dxa"/>
            <w:tcBorders>
              <w:top w:val="nil"/>
              <w:left w:val="nil"/>
              <w:bottom w:val="nil"/>
              <w:right w:val="nil"/>
            </w:tcBorders>
            <w:shd w:val="clear" w:color="auto" w:fill="auto"/>
            <w:noWrap/>
            <w:vAlign w:val="bottom"/>
            <w:hideMark/>
          </w:tcPr>
          <w:p w14:paraId="333A0D41" w14:textId="77777777" w:rsidR="00C65183" w:rsidRPr="00976A4A" w:rsidRDefault="00C65183" w:rsidP="0051723D">
            <w:pPr>
              <w:ind w:firstLineChars="100" w:firstLine="181"/>
              <w:jc w:val="center"/>
              <w:rPr>
                <w:rFonts w:ascii="Garamond" w:hAnsi="Garamond" w:cs="Calibri"/>
                <w:b/>
                <w:bCs/>
                <w:color w:val="632523"/>
                <w:sz w:val="18"/>
                <w:szCs w:val="18"/>
              </w:rPr>
            </w:pPr>
          </w:p>
        </w:tc>
        <w:tc>
          <w:tcPr>
            <w:tcW w:w="1564" w:type="dxa"/>
            <w:tcBorders>
              <w:top w:val="nil"/>
              <w:left w:val="nil"/>
              <w:bottom w:val="single" w:sz="4" w:space="0" w:color="auto"/>
              <w:right w:val="nil"/>
            </w:tcBorders>
            <w:shd w:val="clear" w:color="000000" w:fill="D8E4BC"/>
            <w:noWrap/>
            <w:vAlign w:val="center"/>
            <w:hideMark/>
          </w:tcPr>
          <w:p w14:paraId="551B34A7" w14:textId="77777777" w:rsidR="00C65183" w:rsidRPr="00976A4A" w:rsidRDefault="00C65183" w:rsidP="0051723D">
            <w:pPr>
              <w:ind w:firstLineChars="100" w:firstLine="181"/>
              <w:jc w:val="center"/>
              <w:rPr>
                <w:rFonts w:ascii="Garamond" w:hAnsi="Garamond" w:cs="Calibri"/>
                <w:b/>
                <w:bCs/>
                <w:color w:val="003300"/>
                <w:sz w:val="18"/>
                <w:szCs w:val="18"/>
              </w:rPr>
            </w:pPr>
            <w:r w:rsidRPr="00976A4A">
              <w:rPr>
                <w:rFonts w:ascii="Garamond" w:hAnsi="Garamond" w:cs="Calibri"/>
                <w:b/>
                <w:bCs/>
                <w:color w:val="003300"/>
                <w:sz w:val="18"/>
                <w:szCs w:val="18"/>
              </w:rPr>
              <w:t>2.3</w:t>
            </w:r>
          </w:p>
        </w:tc>
      </w:tr>
      <w:tr w:rsidR="00C65183" w14:paraId="0A0DAA46" w14:textId="77777777" w:rsidTr="0051723D">
        <w:trPr>
          <w:trHeight w:val="285"/>
        </w:trPr>
        <w:tc>
          <w:tcPr>
            <w:tcW w:w="4916" w:type="dxa"/>
            <w:tcBorders>
              <w:top w:val="nil"/>
              <w:left w:val="nil"/>
              <w:bottom w:val="single" w:sz="4" w:space="0" w:color="auto"/>
              <w:right w:val="nil"/>
            </w:tcBorders>
            <w:shd w:val="clear" w:color="000000" w:fill="F2DCDB"/>
            <w:noWrap/>
            <w:vAlign w:val="bottom"/>
            <w:hideMark/>
          </w:tcPr>
          <w:p w14:paraId="4D2CE684" w14:textId="77777777" w:rsidR="00C65183" w:rsidRDefault="00C65183" w:rsidP="0051723D">
            <w:pPr>
              <w:rPr>
                <w:rFonts w:ascii="Garamond" w:hAnsi="Garamond" w:cs="Calibri"/>
                <w:color w:val="000000"/>
                <w:sz w:val="16"/>
                <w:szCs w:val="16"/>
              </w:rPr>
            </w:pPr>
            <w:r>
              <w:rPr>
                <w:rFonts w:ascii="Garamond" w:hAnsi="Garamond" w:cs="Calibri"/>
                <w:color w:val="000000"/>
                <w:sz w:val="16"/>
                <w:szCs w:val="16"/>
              </w:rPr>
              <w:t>Aged Pension/ Population 65+ (%)</w:t>
            </w:r>
          </w:p>
        </w:tc>
        <w:tc>
          <w:tcPr>
            <w:tcW w:w="1564" w:type="dxa"/>
            <w:tcBorders>
              <w:top w:val="nil"/>
              <w:left w:val="nil"/>
              <w:bottom w:val="single" w:sz="4" w:space="0" w:color="auto"/>
              <w:right w:val="nil"/>
            </w:tcBorders>
            <w:shd w:val="clear" w:color="000000" w:fill="F2DCDB"/>
            <w:noWrap/>
            <w:vAlign w:val="center"/>
            <w:hideMark/>
          </w:tcPr>
          <w:p w14:paraId="4E9432A4" w14:textId="77777777" w:rsidR="00C65183" w:rsidRPr="00976A4A" w:rsidRDefault="00C65183" w:rsidP="0051723D">
            <w:pPr>
              <w:ind w:firstLineChars="100" w:firstLine="181"/>
              <w:jc w:val="center"/>
              <w:rPr>
                <w:rFonts w:ascii="Garamond" w:hAnsi="Garamond" w:cs="Calibri"/>
                <w:b/>
                <w:bCs/>
                <w:color w:val="632523"/>
                <w:sz w:val="18"/>
                <w:szCs w:val="18"/>
              </w:rPr>
            </w:pPr>
            <w:r w:rsidRPr="00976A4A">
              <w:rPr>
                <w:rFonts w:ascii="Garamond" w:hAnsi="Garamond" w:cs="Calibri"/>
                <w:b/>
                <w:bCs/>
                <w:color w:val="632523"/>
                <w:sz w:val="18"/>
                <w:szCs w:val="18"/>
              </w:rPr>
              <w:t>69</w:t>
            </w:r>
          </w:p>
        </w:tc>
        <w:tc>
          <w:tcPr>
            <w:tcW w:w="516" w:type="dxa"/>
            <w:tcBorders>
              <w:top w:val="nil"/>
              <w:left w:val="nil"/>
              <w:bottom w:val="nil"/>
              <w:right w:val="nil"/>
            </w:tcBorders>
            <w:shd w:val="clear" w:color="auto" w:fill="auto"/>
            <w:noWrap/>
            <w:vAlign w:val="bottom"/>
            <w:hideMark/>
          </w:tcPr>
          <w:p w14:paraId="26678B81" w14:textId="77777777" w:rsidR="00C65183" w:rsidRPr="00976A4A" w:rsidRDefault="00C65183" w:rsidP="0051723D">
            <w:pPr>
              <w:ind w:firstLineChars="100" w:firstLine="181"/>
              <w:jc w:val="center"/>
              <w:rPr>
                <w:rFonts w:ascii="Garamond" w:hAnsi="Garamond" w:cs="Calibri"/>
                <w:b/>
                <w:bCs/>
                <w:color w:val="632523"/>
                <w:sz w:val="18"/>
                <w:szCs w:val="18"/>
              </w:rPr>
            </w:pPr>
          </w:p>
        </w:tc>
        <w:tc>
          <w:tcPr>
            <w:tcW w:w="1564" w:type="dxa"/>
            <w:tcBorders>
              <w:top w:val="nil"/>
              <w:left w:val="nil"/>
              <w:bottom w:val="single" w:sz="4" w:space="0" w:color="auto"/>
              <w:right w:val="nil"/>
            </w:tcBorders>
            <w:shd w:val="clear" w:color="000000" w:fill="EBF1DE"/>
            <w:noWrap/>
            <w:vAlign w:val="center"/>
            <w:hideMark/>
          </w:tcPr>
          <w:p w14:paraId="6D5FAA1A" w14:textId="77777777" w:rsidR="00C65183" w:rsidRPr="00976A4A" w:rsidRDefault="00C65183" w:rsidP="0051723D">
            <w:pPr>
              <w:ind w:firstLineChars="100" w:firstLine="181"/>
              <w:jc w:val="center"/>
              <w:rPr>
                <w:rFonts w:ascii="Garamond" w:hAnsi="Garamond" w:cs="Calibri"/>
                <w:b/>
                <w:bCs/>
                <w:color w:val="003300"/>
                <w:sz w:val="18"/>
                <w:szCs w:val="18"/>
              </w:rPr>
            </w:pPr>
            <w:r w:rsidRPr="00976A4A">
              <w:rPr>
                <w:rFonts w:ascii="Garamond" w:hAnsi="Garamond" w:cs="Calibri"/>
                <w:b/>
                <w:bCs/>
                <w:color w:val="003300"/>
                <w:sz w:val="18"/>
                <w:szCs w:val="18"/>
              </w:rPr>
              <w:t>55.0</w:t>
            </w:r>
          </w:p>
        </w:tc>
      </w:tr>
      <w:tr w:rsidR="00C65183" w14:paraId="3F2EE626" w14:textId="77777777" w:rsidTr="0051723D">
        <w:trPr>
          <w:trHeight w:val="285"/>
        </w:trPr>
        <w:tc>
          <w:tcPr>
            <w:tcW w:w="4916" w:type="dxa"/>
            <w:tcBorders>
              <w:top w:val="nil"/>
              <w:left w:val="nil"/>
              <w:bottom w:val="single" w:sz="4" w:space="0" w:color="auto"/>
              <w:right w:val="nil"/>
            </w:tcBorders>
            <w:shd w:val="clear" w:color="000000" w:fill="E6B8B7"/>
            <w:noWrap/>
            <w:vAlign w:val="bottom"/>
            <w:hideMark/>
          </w:tcPr>
          <w:p w14:paraId="4949F89A" w14:textId="77777777" w:rsidR="00C65183" w:rsidRDefault="00C65183" w:rsidP="0051723D">
            <w:pPr>
              <w:rPr>
                <w:rFonts w:ascii="Garamond" w:hAnsi="Garamond" w:cs="Calibri"/>
                <w:color w:val="000000"/>
                <w:sz w:val="16"/>
                <w:szCs w:val="16"/>
              </w:rPr>
            </w:pPr>
            <w:r>
              <w:rPr>
                <w:rFonts w:ascii="Garamond" w:hAnsi="Garamond" w:cs="Calibri"/>
                <w:color w:val="000000"/>
                <w:sz w:val="16"/>
                <w:szCs w:val="16"/>
              </w:rPr>
              <w:t>Health Care Card / Total population (%)</w:t>
            </w:r>
          </w:p>
        </w:tc>
        <w:tc>
          <w:tcPr>
            <w:tcW w:w="1564" w:type="dxa"/>
            <w:tcBorders>
              <w:top w:val="nil"/>
              <w:left w:val="nil"/>
              <w:bottom w:val="single" w:sz="4" w:space="0" w:color="auto"/>
              <w:right w:val="nil"/>
            </w:tcBorders>
            <w:shd w:val="clear" w:color="000000" w:fill="E6B8B7"/>
            <w:noWrap/>
            <w:vAlign w:val="center"/>
            <w:hideMark/>
          </w:tcPr>
          <w:p w14:paraId="35D2F620" w14:textId="77777777" w:rsidR="00C65183" w:rsidRPr="00976A4A" w:rsidRDefault="00C65183" w:rsidP="0051723D">
            <w:pPr>
              <w:ind w:firstLineChars="100" w:firstLine="181"/>
              <w:jc w:val="center"/>
              <w:rPr>
                <w:rFonts w:ascii="Garamond" w:hAnsi="Garamond" w:cs="Calibri"/>
                <w:b/>
                <w:bCs/>
                <w:color w:val="632523"/>
                <w:sz w:val="18"/>
                <w:szCs w:val="18"/>
              </w:rPr>
            </w:pPr>
            <w:r w:rsidRPr="00976A4A">
              <w:rPr>
                <w:rFonts w:ascii="Garamond" w:hAnsi="Garamond" w:cs="Calibri"/>
                <w:b/>
                <w:bCs/>
                <w:color w:val="632523"/>
                <w:sz w:val="18"/>
                <w:szCs w:val="18"/>
              </w:rPr>
              <w:t>12.0</w:t>
            </w:r>
          </w:p>
        </w:tc>
        <w:tc>
          <w:tcPr>
            <w:tcW w:w="516" w:type="dxa"/>
            <w:tcBorders>
              <w:top w:val="nil"/>
              <w:left w:val="nil"/>
              <w:bottom w:val="nil"/>
              <w:right w:val="nil"/>
            </w:tcBorders>
            <w:shd w:val="clear" w:color="auto" w:fill="auto"/>
            <w:noWrap/>
            <w:vAlign w:val="bottom"/>
            <w:hideMark/>
          </w:tcPr>
          <w:p w14:paraId="7938FCB8" w14:textId="77777777" w:rsidR="00C65183" w:rsidRPr="00976A4A" w:rsidRDefault="00C65183" w:rsidP="0051723D">
            <w:pPr>
              <w:ind w:firstLineChars="100" w:firstLine="181"/>
              <w:jc w:val="center"/>
              <w:rPr>
                <w:rFonts w:ascii="Garamond" w:hAnsi="Garamond" w:cs="Calibri"/>
                <w:b/>
                <w:bCs/>
                <w:color w:val="632523"/>
                <w:sz w:val="18"/>
                <w:szCs w:val="18"/>
              </w:rPr>
            </w:pPr>
          </w:p>
        </w:tc>
        <w:tc>
          <w:tcPr>
            <w:tcW w:w="1564" w:type="dxa"/>
            <w:tcBorders>
              <w:top w:val="nil"/>
              <w:left w:val="nil"/>
              <w:bottom w:val="single" w:sz="4" w:space="0" w:color="auto"/>
              <w:right w:val="nil"/>
            </w:tcBorders>
            <w:shd w:val="clear" w:color="000000" w:fill="D8E4BC"/>
            <w:noWrap/>
            <w:vAlign w:val="center"/>
            <w:hideMark/>
          </w:tcPr>
          <w:p w14:paraId="1A44098B" w14:textId="77777777" w:rsidR="00C65183" w:rsidRPr="00976A4A" w:rsidRDefault="00C65183" w:rsidP="0051723D">
            <w:pPr>
              <w:ind w:firstLineChars="100" w:firstLine="181"/>
              <w:jc w:val="center"/>
              <w:rPr>
                <w:rFonts w:ascii="Garamond" w:hAnsi="Garamond" w:cs="Calibri"/>
                <w:b/>
                <w:bCs/>
                <w:color w:val="003300"/>
                <w:sz w:val="18"/>
                <w:szCs w:val="18"/>
              </w:rPr>
            </w:pPr>
            <w:r w:rsidRPr="00976A4A">
              <w:rPr>
                <w:rFonts w:ascii="Garamond" w:hAnsi="Garamond" w:cs="Calibri"/>
                <w:b/>
                <w:bCs/>
                <w:color w:val="003300"/>
                <w:sz w:val="18"/>
                <w:szCs w:val="18"/>
              </w:rPr>
              <w:t>9.5</w:t>
            </w:r>
          </w:p>
        </w:tc>
      </w:tr>
      <w:tr w:rsidR="00C65183" w14:paraId="4AAC6417" w14:textId="77777777" w:rsidTr="0051723D">
        <w:trPr>
          <w:trHeight w:val="285"/>
        </w:trPr>
        <w:tc>
          <w:tcPr>
            <w:tcW w:w="4916" w:type="dxa"/>
            <w:tcBorders>
              <w:top w:val="nil"/>
              <w:left w:val="nil"/>
              <w:bottom w:val="single" w:sz="4" w:space="0" w:color="auto"/>
              <w:right w:val="nil"/>
            </w:tcBorders>
            <w:shd w:val="clear" w:color="000000" w:fill="F2DCDB"/>
            <w:noWrap/>
            <w:vAlign w:val="bottom"/>
            <w:hideMark/>
          </w:tcPr>
          <w:p w14:paraId="054012AE" w14:textId="77777777" w:rsidR="00C65183" w:rsidRDefault="00C65183" w:rsidP="0051723D">
            <w:pPr>
              <w:rPr>
                <w:rFonts w:ascii="Garamond" w:hAnsi="Garamond" w:cs="Calibri"/>
                <w:color w:val="000000"/>
                <w:sz w:val="16"/>
                <w:szCs w:val="16"/>
              </w:rPr>
            </w:pPr>
            <w:r>
              <w:rPr>
                <w:rFonts w:ascii="Garamond" w:hAnsi="Garamond" w:cs="Calibri"/>
                <w:color w:val="000000"/>
                <w:sz w:val="16"/>
                <w:szCs w:val="16"/>
              </w:rPr>
              <w:t>Rent Assistance/Occupied Dwellings (%)</w:t>
            </w:r>
          </w:p>
        </w:tc>
        <w:tc>
          <w:tcPr>
            <w:tcW w:w="1564" w:type="dxa"/>
            <w:tcBorders>
              <w:top w:val="nil"/>
              <w:left w:val="nil"/>
              <w:bottom w:val="single" w:sz="4" w:space="0" w:color="auto"/>
              <w:right w:val="nil"/>
            </w:tcBorders>
            <w:shd w:val="clear" w:color="000000" w:fill="F2DCDB"/>
            <w:noWrap/>
            <w:vAlign w:val="center"/>
            <w:hideMark/>
          </w:tcPr>
          <w:p w14:paraId="06194CA5" w14:textId="77777777" w:rsidR="00C65183" w:rsidRPr="00976A4A" w:rsidRDefault="00C65183" w:rsidP="0051723D">
            <w:pPr>
              <w:ind w:firstLineChars="100" w:firstLine="181"/>
              <w:jc w:val="center"/>
              <w:rPr>
                <w:rFonts w:ascii="Garamond" w:hAnsi="Garamond" w:cs="Calibri"/>
                <w:b/>
                <w:bCs/>
                <w:color w:val="632523"/>
                <w:sz w:val="18"/>
                <w:szCs w:val="18"/>
              </w:rPr>
            </w:pPr>
            <w:r w:rsidRPr="00976A4A">
              <w:rPr>
                <w:rFonts w:ascii="Garamond" w:hAnsi="Garamond" w:cs="Calibri"/>
                <w:b/>
                <w:bCs/>
                <w:color w:val="632523"/>
                <w:sz w:val="18"/>
                <w:szCs w:val="18"/>
              </w:rPr>
              <w:t>22.4</w:t>
            </w:r>
          </w:p>
        </w:tc>
        <w:tc>
          <w:tcPr>
            <w:tcW w:w="516" w:type="dxa"/>
            <w:tcBorders>
              <w:top w:val="nil"/>
              <w:left w:val="nil"/>
              <w:bottom w:val="nil"/>
              <w:right w:val="nil"/>
            </w:tcBorders>
            <w:shd w:val="clear" w:color="auto" w:fill="auto"/>
            <w:noWrap/>
            <w:vAlign w:val="bottom"/>
            <w:hideMark/>
          </w:tcPr>
          <w:p w14:paraId="139E0899" w14:textId="77777777" w:rsidR="00C65183" w:rsidRPr="00976A4A" w:rsidRDefault="00C65183" w:rsidP="0051723D">
            <w:pPr>
              <w:ind w:firstLineChars="100" w:firstLine="181"/>
              <w:jc w:val="center"/>
              <w:rPr>
                <w:rFonts w:ascii="Garamond" w:hAnsi="Garamond" w:cs="Calibri"/>
                <w:b/>
                <w:bCs/>
                <w:color w:val="632523"/>
                <w:sz w:val="18"/>
                <w:szCs w:val="18"/>
              </w:rPr>
            </w:pPr>
          </w:p>
        </w:tc>
        <w:tc>
          <w:tcPr>
            <w:tcW w:w="1564" w:type="dxa"/>
            <w:tcBorders>
              <w:top w:val="nil"/>
              <w:left w:val="nil"/>
              <w:bottom w:val="single" w:sz="4" w:space="0" w:color="auto"/>
              <w:right w:val="nil"/>
            </w:tcBorders>
            <w:shd w:val="clear" w:color="000000" w:fill="EBF1DE"/>
            <w:noWrap/>
            <w:vAlign w:val="center"/>
            <w:hideMark/>
          </w:tcPr>
          <w:p w14:paraId="30BC80F7" w14:textId="77777777" w:rsidR="00C65183" w:rsidRPr="00976A4A" w:rsidRDefault="00C65183" w:rsidP="0051723D">
            <w:pPr>
              <w:ind w:firstLineChars="100" w:firstLine="181"/>
              <w:jc w:val="center"/>
              <w:rPr>
                <w:rFonts w:ascii="Garamond" w:hAnsi="Garamond" w:cs="Calibri"/>
                <w:b/>
                <w:bCs/>
                <w:color w:val="003300"/>
                <w:sz w:val="18"/>
                <w:szCs w:val="18"/>
              </w:rPr>
            </w:pPr>
            <w:r w:rsidRPr="00976A4A">
              <w:rPr>
                <w:rFonts w:ascii="Garamond" w:hAnsi="Garamond" w:cs="Calibri"/>
                <w:b/>
                <w:bCs/>
                <w:color w:val="003300"/>
                <w:sz w:val="18"/>
                <w:szCs w:val="18"/>
              </w:rPr>
              <w:t>13.9</w:t>
            </w:r>
          </w:p>
        </w:tc>
      </w:tr>
    </w:tbl>
    <w:p w14:paraId="52889075" w14:textId="77777777" w:rsidR="00C65183" w:rsidRDefault="00C65183" w:rsidP="00C65183">
      <w:pPr>
        <w:tabs>
          <w:tab w:val="left" w:pos="284"/>
        </w:tabs>
        <w:jc w:val="both"/>
        <w:rPr>
          <w:rFonts w:asciiTheme="minorHAnsi" w:hAnsiTheme="minorHAnsi"/>
          <w:color w:val="000000"/>
        </w:rPr>
      </w:pPr>
    </w:p>
    <w:p w14:paraId="5C1ACAFE" w14:textId="77777777" w:rsidR="00C65183" w:rsidRDefault="00C65183" w:rsidP="00C65183">
      <w:pPr>
        <w:tabs>
          <w:tab w:val="left" w:pos="284"/>
        </w:tabs>
        <w:spacing w:before="60" w:line="360" w:lineRule="auto"/>
        <w:jc w:val="both"/>
        <w:rPr>
          <w:rFonts w:ascii="Calibri" w:hAnsi="Calibri"/>
          <w:color w:val="000000"/>
        </w:rPr>
      </w:pPr>
      <w:r>
        <w:rPr>
          <w:rFonts w:ascii="Calibri" w:hAnsi="Calibri"/>
          <w:noProof/>
          <w:color w:val="000000"/>
          <w:lang w:eastAsia="en-AU"/>
        </w:rPr>
        <w:drawing>
          <wp:anchor distT="0" distB="0" distL="114300" distR="114300" simplePos="0" relativeHeight="251940864" behindDoc="0" locked="0" layoutInCell="1" allowOverlap="1" wp14:anchorId="04326F9D" wp14:editId="1DF09F1F">
            <wp:simplePos x="0" y="0"/>
            <wp:positionH relativeFrom="margin">
              <wp:posOffset>5036820</wp:posOffset>
            </wp:positionH>
            <wp:positionV relativeFrom="paragraph">
              <wp:posOffset>357505</wp:posOffset>
            </wp:positionV>
            <wp:extent cx="1162050" cy="676275"/>
            <wp:effectExtent l="0" t="0" r="0" b="9525"/>
            <wp:wrapSquare wrapText="bothSides"/>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come 1.png"/>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1162050" cy="67627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Pr>
          <w:rFonts w:asciiTheme="minorHAnsi" w:hAnsiTheme="minorHAnsi"/>
          <w:color w:val="000000"/>
        </w:rPr>
        <w:t>Notably, i</w:t>
      </w:r>
      <w:r w:rsidRPr="00E514B6">
        <w:rPr>
          <w:rFonts w:asciiTheme="minorHAnsi" w:hAnsiTheme="minorHAnsi"/>
          <w:color w:val="000000"/>
        </w:rPr>
        <w:t>n 20</w:t>
      </w:r>
      <w:r>
        <w:rPr>
          <w:rFonts w:asciiTheme="minorHAnsi" w:hAnsiTheme="minorHAnsi"/>
          <w:color w:val="000000"/>
        </w:rPr>
        <w:t>16</w:t>
      </w:r>
      <w:r w:rsidRPr="00E514B6">
        <w:rPr>
          <w:rFonts w:asciiTheme="minorHAnsi" w:hAnsiTheme="minorHAnsi"/>
          <w:color w:val="000000"/>
        </w:rPr>
        <w:t>, 3</w:t>
      </w:r>
      <w:r>
        <w:rPr>
          <w:rFonts w:asciiTheme="minorHAnsi" w:hAnsiTheme="minorHAnsi"/>
          <w:color w:val="000000"/>
        </w:rPr>
        <w:t>1</w:t>
      </w:r>
      <w:r w:rsidRPr="00E514B6">
        <w:rPr>
          <w:rFonts w:asciiTheme="minorHAnsi" w:hAnsiTheme="minorHAnsi"/>
          <w:color w:val="000000"/>
        </w:rPr>
        <w:t xml:space="preserve">% of families with children in Greater Dandenong had no parent in paid employment – the highest level in metropolitan Melbourne and substantially more than the State level of </w:t>
      </w:r>
      <w:r>
        <w:rPr>
          <w:rFonts w:asciiTheme="minorHAnsi" w:hAnsiTheme="minorHAnsi"/>
          <w:color w:val="000000"/>
        </w:rPr>
        <w:t>19</w:t>
      </w:r>
      <w:r w:rsidRPr="00E514B6">
        <w:rPr>
          <w:rFonts w:asciiTheme="minorHAnsi" w:hAnsiTheme="minorHAnsi"/>
          <w:color w:val="000000"/>
        </w:rPr>
        <w:t>%.</w:t>
      </w:r>
      <w:r>
        <w:rPr>
          <w:rFonts w:asciiTheme="minorHAnsi" w:hAnsiTheme="minorHAnsi"/>
          <w:color w:val="000000"/>
        </w:rPr>
        <w:t xml:space="preserve"> </w:t>
      </w:r>
    </w:p>
    <w:p w14:paraId="0AEA6119" w14:textId="77777777" w:rsidR="00C65183" w:rsidRPr="001C2963" w:rsidRDefault="00C65183" w:rsidP="00C65183">
      <w:pPr>
        <w:tabs>
          <w:tab w:val="num" w:pos="720"/>
        </w:tabs>
        <w:spacing w:before="60" w:after="60"/>
        <w:jc w:val="both"/>
        <w:rPr>
          <w:rFonts w:asciiTheme="minorHAnsi" w:hAnsiTheme="minorHAnsi"/>
          <w:b/>
          <w:color w:val="000000"/>
        </w:rPr>
      </w:pPr>
      <w:r>
        <w:rPr>
          <w:rFonts w:asciiTheme="minorHAnsi" w:hAnsiTheme="minorHAnsi"/>
          <w:b/>
          <w:color w:val="000000"/>
        </w:rPr>
        <w:t>The Index of Relative Socio-economic Disadvantage</w:t>
      </w:r>
    </w:p>
    <w:p w14:paraId="5C9BA1FF" w14:textId="77777777" w:rsidR="00C65183" w:rsidRPr="001C2963" w:rsidRDefault="00C65183" w:rsidP="00C65183">
      <w:pPr>
        <w:spacing w:line="360" w:lineRule="auto"/>
        <w:jc w:val="both"/>
        <w:rPr>
          <w:rFonts w:asciiTheme="minorHAnsi" w:hAnsiTheme="minorHAnsi"/>
        </w:rPr>
      </w:pPr>
      <w:r w:rsidRPr="001C2963">
        <w:rPr>
          <w:rFonts w:asciiTheme="minorHAnsi" w:hAnsiTheme="minorHAnsi"/>
        </w:rPr>
        <w:t>Greater Dandenong is ranked as the second most disadvantaged municipality in Victoria, on the Commonwealth Government Index of Relative Socio-economic Disadvantage.</w:t>
      </w:r>
    </w:p>
    <w:p w14:paraId="59A28A07" w14:textId="77777777" w:rsidR="00C65183" w:rsidRPr="001C2963" w:rsidRDefault="00C65183" w:rsidP="00C65183">
      <w:pPr>
        <w:spacing w:line="360" w:lineRule="auto"/>
        <w:jc w:val="both"/>
        <w:rPr>
          <w:rFonts w:asciiTheme="minorHAnsi" w:hAnsiTheme="minorHAnsi"/>
        </w:rPr>
      </w:pPr>
      <w:r w:rsidRPr="001C2963">
        <w:rPr>
          <w:rFonts w:asciiTheme="minorHAnsi" w:hAnsiTheme="minorHAnsi"/>
        </w:rPr>
        <w:t>This index</w:t>
      </w:r>
      <w:r>
        <w:rPr>
          <w:rFonts w:asciiTheme="minorHAnsi" w:hAnsiTheme="minorHAnsi"/>
        </w:rPr>
        <w:t xml:space="preserve"> is</w:t>
      </w:r>
      <w:r w:rsidRPr="001C2963">
        <w:rPr>
          <w:rFonts w:asciiTheme="minorHAnsi" w:hAnsiTheme="minorHAnsi"/>
        </w:rPr>
        <w:t xml:space="preserve"> </w:t>
      </w:r>
      <w:r>
        <w:rPr>
          <w:rFonts w:asciiTheme="minorHAnsi" w:hAnsiTheme="minorHAnsi"/>
        </w:rPr>
        <w:t>prepared</w:t>
      </w:r>
      <w:r w:rsidRPr="001C2963">
        <w:rPr>
          <w:rFonts w:asciiTheme="minorHAnsi" w:hAnsiTheme="minorHAnsi"/>
        </w:rPr>
        <w:t xml:space="preserve"> by the Australian Bureau of Statistics and based on 2016 Census findings about income levels, education, English fluency, home ownership and others</w:t>
      </w:r>
      <w:r>
        <w:rPr>
          <w:rFonts w:asciiTheme="minorHAnsi" w:hAnsiTheme="minorHAnsi"/>
        </w:rPr>
        <w:t>.</w:t>
      </w:r>
    </w:p>
    <w:p w14:paraId="4B9618F1" w14:textId="77777777" w:rsidR="00C65183" w:rsidRPr="00775D8F" w:rsidRDefault="00C65183" w:rsidP="00C65183">
      <w:pPr>
        <w:spacing w:line="360" w:lineRule="auto"/>
        <w:jc w:val="both"/>
        <w:rPr>
          <w:rFonts w:asciiTheme="minorHAnsi" w:hAnsiTheme="minorHAnsi"/>
        </w:rPr>
      </w:pPr>
      <w:r w:rsidRPr="00775D8F">
        <w:rPr>
          <w:rFonts w:asciiTheme="minorHAnsi" w:hAnsiTheme="minorHAnsi"/>
        </w:rPr>
        <w:t>Greater Dandenong is ranked as the second most socio-economically disadvantaged municipality in Victoria (after Central Goldfields)</w:t>
      </w:r>
      <w:r>
        <w:rPr>
          <w:rFonts w:asciiTheme="minorHAnsi" w:hAnsiTheme="minorHAnsi"/>
        </w:rPr>
        <w:t xml:space="preserve"> on this index </w:t>
      </w:r>
      <w:r w:rsidRPr="00775D8F">
        <w:rPr>
          <w:rFonts w:asciiTheme="minorHAnsi" w:hAnsiTheme="minorHAnsi"/>
        </w:rPr>
        <w:t xml:space="preserve"> – the same as its ranking 20 years ago, in 1996.</w:t>
      </w:r>
    </w:p>
    <w:p w14:paraId="5847ACB1" w14:textId="77777777" w:rsidR="00C65183" w:rsidRPr="00775D8F" w:rsidRDefault="00C65183" w:rsidP="00C65183">
      <w:pPr>
        <w:spacing w:line="360" w:lineRule="auto"/>
        <w:jc w:val="both"/>
        <w:rPr>
          <w:rFonts w:asciiTheme="minorHAnsi" w:hAnsiTheme="minorHAnsi"/>
        </w:rPr>
      </w:pPr>
      <w:r w:rsidRPr="00775D8F">
        <w:rPr>
          <w:rFonts w:asciiTheme="minorHAnsi" w:hAnsiTheme="minorHAnsi"/>
        </w:rPr>
        <w:t>Within Greater Dandenong, the suburbs of Dandenong and Springvale are the most disadvantaged on this index, and are</w:t>
      </w:r>
      <w:r>
        <w:rPr>
          <w:rFonts w:asciiTheme="minorHAnsi" w:hAnsiTheme="minorHAnsi"/>
        </w:rPr>
        <w:t xml:space="preserve"> ranked</w:t>
      </w:r>
      <w:r w:rsidRPr="00775D8F">
        <w:rPr>
          <w:rFonts w:asciiTheme="minorHAnsi" w:hAnsiTheme="minorHAnsi"/>
        </w:rPr>
        <w:t xml:space="preserve"> among the most disadvantaged 2%</w:t>
      </w:r>
      <w:r>
        <w:rPr>
          <w:rFonts w:asciiTheme="minorHAnsi" w:hAnsiTheme="minorHAnsi"/>
        </w:rPr>
        <w:t xml:space="preserve"> of suburbs and towns</w:t>
      </w:r>
      <w:r w:rsidRPr="00775D8F">
        <w:rPr>
          <w:rFonts w:asciiTheme="minorHAnsi" w:hAnsiTheme="minorHAnsi"/>
        </w:rPr>
        <w:t xml:space="preserve"> in Victoria. Keysborough is the </w:t>
      </w:r>
      <w:r w:rsidRPr="00775D8F">
        <w:rPr>
          <w:rFonts w:asciiTheme="minorHAnsi" w:hAnsiTheme="minorHAnsi"/>
          <w:i/>
        </w:rPr>
        <w:t>least</w:t>
      </w:r>
      <w:r w:rsidRPr="00775D8F">
        <w:rPr>
          <w:rFonts w:asciiTheme="minorHAnsi" w:hAnsiTheme="minorHAnsi"/>
        </w:rPr>
        <w:t xml:space="preserve"> disadvantaged suburb in Greater Dandenong, though still among the 27% most disadvantaged in the State</w:t>
      </w:r>
    </w:p>
    <w:p w14:paraId="50B8E5A8" w14:textId="77777777" w:rsidR="00C65183" w:rsidRDefault="00C65183" w:rsidP="00C65183">
      <w:pPr>
        <w:rPr>
          <w:rFonts w:asciiTheme="minorHAnsi" w:eastAsia="Calibri" w:hAnsiTheme="minorHAnsi" w:cs="Times New Roman"/>
        </w:rPr>
      </w:pPr>
      <w:r>
        <w:rPr>
          <w:rFonts w:asciiTheme="minorHAnsi" w:hAnsiTheme="minorHAnsi"/>
        </w:rPr>
        <w:br w:type="page"/>
      </w:r>
    </w:p>
    <w:p w14:paraId="604F3253" w14:textId="77777777" w:rsidR="00C65183" w:rsidRPr="00827F47" w:rsidRDefault="00C65183" w:rsidP="00C65183">
      <w:pPr>
        <w:pBdr>
          <w:top w:val="single" w:sz="4" w:space="0" w:color="244061" w:themeColor="accent1" w:themeShade="80"/>
          <w:bottom w:val="single" w:sz="4" w:space="1" w:color="244061" w:themeColor="accent1" w:themeShade="80"/>
        </w:pBdr>
        <w:tabs>
          <w:tab w:val="center" w:pos="4678"/>
        </w:tabs>
        <w:jc w:val="center"/>
        <w:rPr>
          <w:rFonts w:ascii="Garamond" w:hAnsi="Garamond"/>
          <w:noProof/>
          <w:color w:val="244061" w:themeColor="accent1" w:themeShade="80"/>
          <w:sz w:val="34"/>
          <w:szCs w:val="34"/>
        </w:rPr>
      </w:pPr>
      <w:r w:rsidRPr="00827F47">
        <w:rPr>
          <w:rFonts w:ascii="Garamond" w:hAnsi="Garamond"/>
          <w:noProof/>
          <w:color w:val="244061" w:themeColor="accent1" w:themeShade="80"/>
          <w:sz w:val="34"/>
          <w:szCs w:val="34"/>
        </w:rPr>
        <w:lastRenderedPageBreak/>
        <w:t>Gambling</w:t>
      </w:r>
    </w:p>
    <w:p w14:paraId="594A8141" w14:textId="77777777" w:rsidR="00C65183" w:rsidRPr="00E038A4" w:rsidRDefault="00C65183" w:rsidP="00C65183">
      <w:pPr>
        <w:ind w:right="4535"/>
        <w:jc w:val="both"/>
        <w:rPr>
          <w:rFonts w:ascii="Calibri" w:hAnsi="Calibri"/>
          <w:sz w:val="12"/>
          <w:szCs w:val="12"/>
        </w:rPr>
      </w:pPr>
      <w:r w:rsidRPr="00C160B5">
        <w:rPr>
          <w:rFonts w:ascii="Calibri" w:hAnsi="Calibri" w:cs="Arial"/>
          <w:b/>
          <w:noProof/>
          <w:color w:val="000000"/>
          <w:sz w:val="12"/>
          <w:szCs w:val="12"/>
          <w:lang w:eastAsia="en-AU"/>
        </w:rPr>
        <w:drawing>
          <wp:anchor distT="0" distB="0" distL="114300" distR="114300" simplePos="0" relativeHeight="251762688" behindDoc="0" locked="0" layoutInCell="1" allowOverlap="1" wp14:anchorId="33152DDF" wp14:editId="4E8D9409">
            <wp:simplePos x="0" y="0"/>
            <wp:positionH relativeFrom="column">
              <wp:posOffset>4713605</wp:posOffset>
            </wp:positionH>
            <wp:positionV relativeFrom="paragraph">
              <wp:posOffset>6033</wp:posOffset>
            </wp:positionV>
            <wp:extent cx="1461135" cy="821690"/>
            <wp:effectExtent l="0" t="0" r="5715" b="0"/>
            <wp:wrapSquare wrapText="bothSides"/>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mbling 4.jpg"/>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1461135" cy="82169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1A4D720F" w14:textId="77777777" w:rsidR="00C65183" w:rsidRPr="00AE20A7" w:rsidRDefault="00C65183" w:rsidP="00C65183">
      <w:pPr>
        <w:spacing w:after="120"/>
        <w:ind w:right="4536"/>
        <w:jc w:val="both"/>
        <w:rPr>
          <w:rFonts w:ascii="Calibri" w:hAnsi="Calibri" w:cs="Arial"/>
          <w:b/>
          <w:color w:val="000000"/>
        </w:rPr>
      </w:pPr>
      <w:r w:rsidRPr="00AE20A7">
        <w:rPr>
          <w:rFonts w:ascii="Calibri" w:hAnsi="Calibri" w:cs="Arial"/>
          <w:b/>
          <w:color w:val="000000"/>
        </w:rPr>
        <w:t>Gambling Losses</w:t>
      </w:r>
    </w:p>
    <w:p w14:paraId="281D5BF4" w14:textId="77777777" w:rsidR="00C65183" w:rsidRPr="00670992" w:rsidRDefault="00C65183" w:rsidP="00C65183">
      <w:pPr>
        <w:spacing w:line="360" w:lineRule="auto"/>
        <w:jc w:val="both"/>
        <w:rPr>
          <w:rFonts w:ascii="Calibri" w:hAnsi="Calibri" w:cs="Arial"/>
        </w:rPr>
      </w:pPr>
      <w:r w:rsidRPr="00670992">
        <w:rPr>
          <w:rFonts w:ascii="Calibri" w:hAnsi="Calibri" w:cs="Arial"/>
        </w:rPr>
        <w:t>Legal gambling in Victoria includes sports betting, racing, lotteries, keno, lotto and the Casino. Electronic gambling machines. EGMs (or ‘pokies’) though, account for half of all gambling losses</w:t>
      </w:r>
      <w:r w:rsidRPr="004D0E08">
        <w:rPr>
          <w:rFonts w:ascii="Calibri" w:hAnsi="Calibri" w:cs="Arial"/>
          <w:sz w:val="14"/>
          <w:szCs w:val="14"/>
        </w:rPr>
        <w:footnoteReference w:id="42"/>
      </w:r>
      <w:r w:rsidRPr="00670992">
        <w:rPr>
          <w:rFonts w:ascii="Calibri" w:hAnsi="Calibri" w:cs="Arial"/>
        </w:rPr>
        <w:t xml:space="preserve"> and most problems, </w:t>
      </w:r>
      <w:r>
        <w:rPr>
          <w:rFonts w:ascii="Calibri" w:hAnsi="Calibri" w:cs="Arial"/>
        </w:rPr>
        <w:t>as</w:t>
      </w:r>
      <w:r w:rsidRPr="00670992">
        <w:rPr>
          <w:rFonts w:ascii="Calibri" w:hAnsi="Calibri" w:cs="Arial"/>
        </w:rPr>
        <w:t xml:space="preserve"> they are accessible and allow people to gamble continuously. Losses are highest among disadvantaged residents - those least able to afford them.</w:t>
      </w:r>
    </w:p>
    <w:p w14:paraId="095D6374" w14:textId="77777777" w:rsidR="00C65183" w:rsidRDefault="00C65183" w:rsidP="00C65183">
      <w:pPr>
        <w:spacing w:line="360" w:lineRule="auto"/>
        <w:jc w:val="both"/>
        <w:rPr>
          <w:rFonts w:ascii="Calibri" w:hAnsi="Calibri" w:cs="Arial"/>
        </w:rPr>
      </w:pPr>
      <w:r w:rsidRPr="00AE20A7">
        <w:rPr>
          <w:rFonts w:ascii="Calibri" w:hAnsi="Calibri" w:cs="Arial"/>
        </w:rPr>
        <w:t>In 201</w:t>
      </w:r>
      <w:r>
        <w:rPr>
          <w:rFonts w:ascii="Calibri" w:hAnsi="Calibri" w:cs="Arial"/>
        </w:rPr>
        <w:t>8</w:t>
      </w:r>
      <w:r w:rsidRPr="00AE20A7">
        <w:rPr>
          <w:rFonts w:ascii="Calibri" w:hAnsi="Calibri" w:cs="Arial"/>
        </w:rPr>
        <w:t>/1</w:t>
      </w:r>
      <w:r>
        <w:rPr>
          <w:rFonts w:ascii="Calibri" w:hAnsi="Calibri" w:cs="Arial"/>
        </w:rPr>
        <w:t>9</w:t>
      </w:r>
      <w:r w:rsidRPr="00AE20A7">
        <w:rPr>
          <w:rFonts w:ascii="Calibri" w:hAnsi="Calibri" w:cs="Arial"/>
        </w:rPr>
        <w:t>, $</w:t>
      </w:r>
      <w:r>
        <w:rPr>
          <w:rFonts w:ascii="Calibri" w:hAnsi="Calibri" w:cs="Arial"/>
        </w:rPr>
        <w:t>119</w:t>
      </w:r>
      <w:r w:rsidRPr="00AE20A7">
        <w:rPr>
          <w:rFonts w:ascii="Calibri" w:hAnsi="Calibri" w:cs="Arial"/>
        </w:rPr>
        <w:t xml:space="preserve"> million was lost to electronic gambling machines (EGMs or ‘pokies’) in Greater Dandenong</w:t>
      </w:r>
      <w:r>
        <w:rPr>
          <w:rFonts w:ascii="Calibri" w:hAnsi="Calibri" w:cs="Arial"/>
        </w:rPr>
        <w:t xml:space="preserve">, an average of $326,882 each day, and equal to the cost of feeding </w:t>
      </w:r>
      <w:r>
        <w:rPr>
          <w:rFonts w:asciiTheme="minorHAnsi" w:hAnsiTheme="minorHAnsi"/>
        </w:rPr>
        <w:t>nearly 49,000 children for one year.</w:t>
      </w:r>
      <w:r w:rsidRPr="004D0E08">
        <w:rPr>
          <w:rStyle w:val="FootnoteReference"/>
          <w:rFonts w:asciiTheme="minorHAnsi" w:hAnsiTheme="minorHAnsi"/>
          <w:sz w:val="16"/>
          <w:szCs w:val="16"/>
        </w:rPr>
        <w:footnoteReference w:id="43"/>
      </w:r>
      <w:r w:rsidRPr="004D0E08">
        <w:rPr>
          <w:rFonts w:ascii="Calibri" w:hAnsi="Calibri" w:cs="Arial"/>
          <w:sz w:val="16"/>
          <w:szCs w:val="16"/>
        </w:rPr>
        <w:t xml:space="preserve"> </w:t>
      </w:r>
      <w:r>
        <w:rPr>
          <w:rFonts w:ascii="Calibri" w:hAnsi="Calibri" w:cs="Arial"/>
        </w:rPr>
        <w:t xml:space="preserve">EGM gambling losses in that year were </w:t>
      </w:r>
      <w:r w:rsidRPr="00AE20A7">
        <w:rPr>
          <w:rFonts w:ascii="Calibri" w:hAnsi="Calibri" w:cs="Arial"/>
        </w:rPr>
        <w:t>equivalent to $9</w:t>
      </w:r>
      <w:r>
        <w:rPr>
          <w:rFonts w:ascii="Calibri" w:hAnsi="Calibri" w:cs="Arial"/>
        </w:rPr>
        <w:t>10 per adult -</w:t>
      </w:r>
      <w:r w:rsidRPr="00AE20A7">
        <w:rPr>
          <w:rFonts w:ascii="Calibri" w:hAnsi="Calibri" w:cs="Arial"/>
        </w:rPr>
        <w:t xml:space="preserve"> the highest rate of losses per adult in Victoria</w:t>
      </w:r>
      <w:r>
        <w:rPr>
          <w:rFonts w:ascii="Calibri" w:hAnsi="Calibri" w:cs="Arial"/>
        </w:rPr>
        <w:t xml:space="preserve">, </w:t>
      </w:r>
      <w:r w:rsidRPr="00AE20A7">
        <w:rPr>
          <w:rFonts w:ascii="Calibri" w:hAnsi="Calibri" w:cs="Arial"/>
        </w:rPr>
        <w:t>nearly twice the metropolitan level of $5</w:t>
      </w:r>
      <w:r>
        <w:rPr>
          <w:rFonts w:ascii="Calibri" w:hAnsi="Calibri" w:cs="Arial"/>
        </w:rPr>
        <w:t>31</w:t>
      </w:r>
      <w:r w:rsidRPr="00AE20A7">
        <w:rPr>
          <w:rFonts w:ascii="Calibri" w:hAnsi="Calibri" w:cs="Arial"/>
        </w:rPr>
        <w:t xml:space="preserve"> per adult</w:t>
      </w:r>
      <w:r>
        <w:rPr>
          <w:rFonts w:ascii="Calibri" w:hAnsi="Calibri" w:cs="Arial"/>
        </w:rPr>
        <w:t xml:space="preserve"> and over six times the rate of gaming losses in Boroondara ($143) -</w:t>
      </w:r>
      <w:r w:rsidRPr="00AE20A7">
        <w:rPr>
          <w:rFonts w:ascii="Calibri" w:hAnsi="Calibri" w:cs="Arial"/>
        </w:rPr>
        <w:t xml:space="preserve"> </w:t>
      </w:r>
      <w:r>
        <w:rPr>
          <w:rFonts w:ascii="Calibri" w:hAnsi="Calibri" w:cs="Arial"/>
        </w:rPr>
        <w:t xml:space="preserve">the most affluent municipality in the State. Since the introduction of EGMs in Victoria in 1992, over $3.4 billion had been lost to machines in Greater Dandenong alone. </w:t>
      </w:r>
      <w:r w:rsidRPr="00E73053">
        <w:rPr>
          <w:rFonts w:ascii="Calibri" w:hAnsi="Calibri" w:cs="Arial"/>
          <w:sz w:val="18"/>
          <w:szCs w:val="18"/>
        </w:rPr>
        <w:t>(in 201</w:t>
      </w:r>
      <w:r>
        <w:rPr>
          <w:rFonts w:ascii="Calibri" w:hAnsi="Calibri" w:cs="Arial"/>
          <w:sz w:val="18"/>
          <w:szCs w:val="18"/>
        </w:rPr>
        <w:t>9</w:t>
      </w:r>
      <w:r w:rsidRPr="00E73053">
        <w:rPr>
          <w:rFonts w:ascii="Calibri" w:hAnsi="Calibri" w:cs="Arial"/>
          <w:sz w:val="18"/>
          <w:szCs w:val="18"/>
        </w:rPr>
        <w:t xml:space="preserve"> dollars)</w:t>
      </w:r>
    </w:p>
    <w:p w14:paraId="5EBD1B60" w14:textId="77777777" w:rsidR="00C65183" w:rsidRDefault="00C65183" w:rsidP="00C65183">
      <w:pPr>
        <w:spacing w:line="360" w:lineRule="auto"/>
        <w:jc w:val="both"/>
        <w:rPr>
          <w:rFonts w:ascii="Calibri" w:hAnsi="Calibri" w:cs="Arial"/>
        </w:rPr>
      </w:pPr>
      <w:r>
        <w:rPr>
          <w:rFonts w:ascii="Calibri" w:hAnsi="Calibri" w:cs="Arial"/>
        </w:rPr>
        <w:t>In the year 2019/20, annual EGM losses in Greater Dandenong declined by 29% in real terms to $87 million, owing to the closure of gambling venues in late March, 2020. Information about the level and rate of EGM gambling loses, the number and density of EGMs, within Greater Dandenong and metropolitan Melbourne in 2019/20, are set out below.</w:t>
      </w:r>
    </w:p>
    <w:p w14:paraId="17D02199" w14:textId="77777777" w:rsidR="00C65183" w:rsidRPr="00BF4436" w:rsidRDefault="00C65183" w:rsidP="00C65183">
      <w:pPr>
        <w:spacing w:line="360" w:lineRule="auto"/>
        <w:jc w:val="both"/>
        <w:rPr>
          <w:rFonts w:ascii="Calibri" w:hAnsi="Calibri" w:cs="Arial"/>
          <w:sz w:val="8"/>
          <w:szCs w:val="8"/>
        </w:rPr>
      </w:pPr>
    </w:p>
    <w:p w14:paraId="26A59764" w14:textId="77777777" w:rsidR="00C65183" w:rsidRPr="00214490" w:rsidRDefault="00C65183" w:rsidP="00C65183">
      <w:pPr>
        <w:spacing w:line="360" w:lineRule="auto"/>
        <w:jc w:val="both"/>
        <w:rPr>
          <w:rFonts w:ascii="Calibri" w:hAnsi="Calibri" w:cs="Arial"/>
          <w:color w:val="7F7F7F" w:themeColor="text1" w:themeTint="80"/>
          <w:sz w:val="20"/>
          <w:szCs w:val="20"/>
        </w:rPr>
      </w:pPr>
      <w:r w:rsidRPr="00214490">
        <w:rPr>
          <w:rFonts w:ascii="Calibri" w:hAnsi="Calibri" w:cs="Arial"/>
          <w:color w:val="7F7F7F" w:themeColor="text1" w:themeTint="80"/>
          <w:sz w:val="20"/>
          <w:szCs w:val="20"/>
        </w:rPr>
        <w:t xml:space="preserve">EGM </w:t>
      </w:r>
      <w:r>
        <w:rPr>
          <w:rFonts w:ascii="Calibri" w:hAnsi="Calibri" w:cs="Arial"/>
          <w:color w:val="7F7F7F" w:themeColor="text1" w:themeTint="80"/>
          <w:sz w:val="20"/>
          <w:szCs w:val="20"/>
        </w:rPr>
        <w:t>l</w:t>
      </w:r>
      <w:r w:rsidRPr="00214490">
        <w:rPr>
          <w:rFonts w:ascii="Calibri" w:hAnsi="Calibri" w:cs="Arial"/>
          <w:color w:val="7F7F7F" w:themeColor="text1" w:themeTint="80"/>
          <w:sz w:val="20"/>
          <w:szCs w:val="20"/>
        </w:rPr>
        <w:t xml:space="preserve">osses and </w:t>
      </w:r>
      <w:r>
        <w:rPr>
          <w:rFonts w:ascii="Calibri" w:hAnsi="Calibri" w:cs="Arial"/>
          <w:color w:val="7F7F7F" w:themeColor="text1" w:themeTint="80"/>
          <w:sz w:val="20"/>
          <w:szCs w:val="20"/>
        </w:rPr>
        <w:t>m</w:t>
      </w:r>
      <w:r w:rsidRPr="00214490">
        <w:rPr>
          <w:rFonts w:ascii="Calibri" w:hAnsi="Calibri" w:cs="Arial"/>
          <w:color w:val="7F7F7F" w:themeColor="text1" w:themeTint="80"/>
          <w:sz w:val="20"/>
          <w:szCs w:val="20"/>
        </w:rPr>
        <w:t>achines: Greater Dandenong and Metro. Melbourne, 2019/20</w:t>
      </w:r>
    </w:p>
    <w:p w14:paraId="39ADA2A2" w14:textId="77777777" w:rsidR="00C65183" w:rsidRDefault="00C65183" w:rsidP="00C65183">
      <w:pPr>
        <w:spacing w:line="360" w:lineRule="auto"/>
        <w:jc w:val="center"/>
        <w:rPr>
          <w:rFonts w:ascii="Calibri" w:hAnsi="Calibri" w:cs="Arial"/>
        </w:rPr>
      </w:pPr>
      <w:r w:rsidRPr="00214490">
        <w:rPr>
          <w:noProof/>
        </w:rPr>
        <w:drawing>
          <wp:inline distT="0" distB="0" distL="0" distR="0" wp14:anchorId="2874F6D0" wp14:editId="2A2D3F5D">
            <wp:extent cx="5700712" cy="2442233"/>
            <wp:effectExtent l="0" t="0" r="0" b="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5705607" cy="2444330"/>
                    </a:xfrm>
                    <a:prstGeom prst="rect">
                      <a:avLst/>
                    </a:prstGeom>
                    <a:noFill/>
                    <a:ln>
                      <a:noFill/>
                    </a:ln>
                  </pic:spPr>
                </pic:pic>
              </a:graphicData>
            </a:graphic>
          </wp:inline>
        </w:drawing>
      </w:r>
    </w:p>
    <w:p w14:paraId="5544E962" w14:textId="77777777" w:rsidR="00C65183" w:rsidRDefault="00C65183" w:rsidP="00C65183">
      <w:pPr>
        <w:spacing w:line="360" w:lineRule="auto"/>
        <w:jc w:val="both"/>
        <w:rPr>
          <w:rFonts w:ascii="Calibri" w:hAnsi="Calibri" w:cs="Arial"/>
          <w:sz w:val="16"/>
          <w:szCs w:val="16"/>
        </w:rPr>
      </w:pPr>
    </w:p>
    <w:p w14:paraId="4FBA27D9" w14:textId="77777777" w:rsidR="00C65183" w:rsidRPr="002A55CE" w:rsidRDefault="00C65183" w:rsidP="00C65183">
      <w:pPr>
        <w:spacing w:line="360" w:lineRule="auto"/>
        <w:jc w:val="both"/>
        <w:rPr>
          <w:rFonts w:ascii="Calibri" w:hAnsi="Calibri" w:cs="Arial"/>
        </w:rPr>
      </w:pPr>
      <w:r w:rsidRPr="002A55CE">
        <w:rPr>
          <w:rFonts w:ascii="Calibri" w:hAnsi="Calibri" w:cs="Arial"/>
        </w:rPr>
        <w:t xml:space="preserve">In addition to EGM losses, </w:t>
      </w:r>
      <w:r>
        <w:rPr>
          <w:rFonts w:ascii="Calibri" w:hAnsi="Calibri" w:cs="Arial"/>
        </w:rPr>
        <w:t>an estimated $130</w:t>
      </w:r>
      <w:r w:rsidRPr="002A55CE">
        <w:rPr>
          <w:rFonts w:ascii="Calibri" w:hAnsi="Calibri" w:cs="Arial"/>
        </w:rPr>
        <w:t xml:space="preserve"> million is lost </w:t>
      </w:r>
      <w:r>
        <w:rPr>
          <w:rFonts w:ascii="Calibri" w:hAnsi="Calibri" w:cs="Arial"/>
        </w:rPr>
        <w:t xml:space="preserve">each year </w:t>
      </w:r>
      <w:r w:rsidRPr="002A55CE">
        <w:rPr>
          <w:rFonts w:ascii="Calibri" w:hAnsi="Calibri" w:cs="Arial"/>
        </w:rPr>
        <w:t xml:space="preserve">by residents to other legal forms of gambling, bringing total annual </w:t>
      </w:r>
      <w:r>
        <w:rPr>
          <w:rFonts w:ascii="Calibri" w:hAnsi="Calibri" w:cs="Arial"/>
        </w:rPr>
        <w:t xml:space="preserve">gambling </w:t>
      </w:r>
      <w:r w:rsidRPr="002A55CE">
        <w:rPr>
          <w:rFonts w:ascii="Calibri" w:hAnsi="Calibri" w:cs="Arial"/>
        </w:rPr>
        <w:t xml:space="preserve">losses to </w:t>
      </w:r>
      <w:r>
        <w:rPr>
          <w:rFonts w:ascii="Calibri" w:hAnsi="Calibri" w:cs="Arial"/>
        </w:rPr>
        <w:t>nearly</w:t>
      </w:r>
      <w:r w:rsidRPr="002A55CE">
        <w:rPr>
          <w:rFonts w:ascii="Calibri" w:hAnsi="Calibri" w:cs="Arial"/>
        </w:rPr>
        <w:t xml:space="preserve"> $2</w:t>
      </w:r>
      <w:r>
        <w:rPr>
          <w:rFonts w:ascii="Calibri" w:hAnsi="Calibri" w:cs="Arial"/>
        </w:rPr>
        <w:t>50</w:t>
      </w:r>
      <w:r w:rsidRPr="002A55CE">
        <w:rPr>
          <w:rFonts w:ascii="Calibri" w:hAnsi="Calibri" w:cs="Arial"/>
        </w:rPr>
        <w:t xml:space="preserve"> million</w:t>
      </w:r>
      <w:r>
        <w:rPr>
          <w:rFonts w:ascii="Calibri" w:hAnsi="Calibri" w:cs="Arial"/>
        </w:rPr>
        <w:t xml:space="preserve"> in this municipality</w:t>
      </w:r>
      <w:r>
        <w:rPr>
          <w:rStyle w:val="FootnoteReference"/>
          <w:rFonts w:ascii="Calibri" w:hAnsi="Calibri" w:cs="Arial"/>
        </w:rPr>
        <w:footnoteReference w:id="44"/>
      </w:r>
      <w:r w:rsidRPr="002A55CE">
        <w:rPr>
          <w:rFonts w:ascii="Calibri" w:hAnsi="Calibri" w:cs="Arial"/>
        </w:rPr>
        <w:t xml:space="preserve"> – equivalent to $</w:t>
      </w:r>
      <w:r>
        <w:rPr>
          <w:rFonts w:ascii="Calibri" w:hAnsi="Calibri" w:cs="Arial"/>
        </w:rPr>
        <w:t>1,911</w:t>
      </w:r>
      <w:r w:rsidRPr="002A55CE">
        <w:rPr>
          <w:rFonts w:ascii="Calibri" w:hAnsi="Calibri" w:cs="Arial"/>
        </w:rPr>
        <w:t xml:space="preserve"> per adult.</w:t>
      </w:r>
      <w:r>
        <w:rPr>
          <w:rFonts w:ascii="Calibri" w:hAnsi="Calibri" w:cs="Arial"/>
        </w:rPr>
        <w:t xml:space="preserve"> These gambling losses represent approximately 7% of total incomes in Greater Dandenong.</w:t>
      </w:r>
    </w:p>
    <w:p w14:paraId="3397821B" w14:textId="77777777" w:rsidR="00C65183" w:rsidRDefault="00C65183" w:rsidP="00C65183">
      <w:pPr>
        <w:spacing w:line="360" w:lineRule="auto"/>
        <w:jc w:val="both"/>
        <w:rPr>
          <w:rFonts w:ascii="Calibri" w:hAnsi="Calibri" w:cs="Arial"/>
          <w:b/>
        </w:rPr>
      </w:pPr>
      <w:r>
        <w:rPr>
          <w:rFonts w:ascii="Calibri" w:hAnsi="Calibri" w:cs="Arial"/>
          <w:b/>
          <w:noProof/>
        </w:rPr>
        <w:lastRenderedPageBreak/>
        <w:drawing>
          <wp:anchor distT="0" distB="0" distL="114300" distR="114300" simplePos="0" relativeHeight="251763712" behindDoc="0" locked="0" layoutInCell="1" allowOverlap="1" wp14:anchorId="24E4964C" wp14:editId="7066AE55">
            <wp:simplePos x="0" y="0"/>
            <wp:positionH relativeFrom="column">
              <wp:posOffset>3094355</wp:posOffset>
            </wp:positionH>
            <wp:positionV relativeFrom="paragraph">
              <wp:posOffset>74930</wp:posOffset>
            </wp:positionV>
            <wp:extent cx="3103245" cy="2338705"/>
            <wp:effectExtent l="0" t="0" r="1905" b="4445"/>
            <wp:wrapSquare wrapText="bothSides"/>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3103245" cy="2338705"/>
                    </a:xfrm>
                    <a:prstGeom prst="rect">
                      <a:avLst/>
                    </a:prstGeom>
                    <a:noFill/>
                  </pic:spPr>
                </pic:pic>
              </a:graphicData>
            </a:graphic>
            <wp14:sizeRelH relativeFrom="page">
              <wp14:pctWidth>0</wp14:pctWidth>
            </wp14:sizeRelH>
            <wp14:sizeRelV relativeFrom="page">
              <wp14:pctHeight>0</wp14:pctHeight>
            </wp14:sizeRelV>
          </wp:anchor>
        </w:drawing>
      </w:r>
      <w:r>
        <w:rPr>
          <w:rFonts w:ascii="Calibri" w:hAnsi="Calibri" w:cs="Arial"/>
          <w:b/>
        </w:rPr>
        <w:t>Prevalence of Gambling</w:t>
      </w:r>
    </w:p>
    <w:p w14:paraId="56670A38" w14:textId="77777777" w:rsidR="00C65183" w:rsidRDefault="00C65183" w:rsidP="00C65183">
      <w:pPr>
        <w:spacing w:line="360" w:lineRule="auto"/>
        <w:jc w:val="both"/>
        <w:rPr>
          <w:rFonts w:ascii="Calibri" w:hAnsi="Calibri" w:cs="Arial"/>
          <w:bCs/>
        </w:rPr>
      </w:pPr>
      <w:r>
        <w:rPr>
          <w:rFonts w:ascii="Calibri" w:hAnsi="Calibri" w:cs="Arial"/>
          <w:bCs/>
        </w:rPr>
        <w:t>Findings of a 2014 study of gambling patterns</w:t>
      </w:r>
      <w:r>
        <w:rPr>
          <w:rStyle w:val="FootnoteReference"/>
          <w:rFonts w:ascii="Calibri" w:hAnsi="Calibri" w:cs="Arial"/>
          <w:bCs/>
        </w:rPr>
        <w:footnoteReference w:id="45"/>
      </w:r>
      <w:r>
        <w:rPr>
          <w:rFonts w:ascii="Calibri" w:hAnsi="Calibri" w:cs="Arial"/>
          <w:bCs/>
        </w:rPr>
        <w:t xml:space="preserve"> show that the prevalence of gambling varies widely with age, sex and type of gambling. </w:t>
      </w:r>
    </w:p>
    <w:p w14:paraId="49FFD9F7" w14:textId="77777777" w:rsidR="00C65183" w:rsidRPr="00E038A4" w:rsidRDefault="00C65183" w:rsidP="00C65183">
      <w:pPr>
        <w:spacing w:line="360" w:lineRule="auto"/>
        <w:jc w:val="both"/>
        <w:rPr>
          <w:rFonts w:ascii="Calibri" w:hAnsi="Calibri" w:cs="Arial"/>
          <w:bCs/>
        </w:rPr>
      </w:pPr>
      <w:r>
        <w:rPr>
          <w:rFonts w:ascii="Calibri" w:hAnsi="Calibri" w:cs="Arial"/>
          <w:bCs/>
        </w:rPr>
        <w:t>EGM gambling, for example, is slightly more popular among males, and is most widespread among younger adults and older people.</w:t>
      </w:r>
    </w:p>
    <w:p w14:paraId="7759A77A" w14:textId="77777777" w:rsidR="00C65183" w:rsidRPr="00214490" w:rsidRDefault="00C65183" w:rsidP="00C65183">
      <w:pPr>
        <w:jc w:val="both"/>
        <w:rPr>
          <w:rFonts w:ascii="Calibri" w:hAnsi="Calibri" w:cs="Arial"/>
          <w:bCs/>
          <w:color w:val="7F7F7F" w:themeColor="text1" w:themeTint="80"/>
          <w:sz w:val="20"/>
          <w:szCs w:val="20"/>
        </w:rPr>
      </w:pPr>
      <w:r>
        <w:rPr>
          <w:rFonts w:ascii="Calibri" w:hAnsi="Calibri" w:cs="Arial"/>
          <w:b/>
          <w:noProof/>
        </w:rPr>
        <w:drawing>
          <wp:anchor distT="0" distB="0" distL="114300" distR="114300" simplePos="0" relativeHeight="251764736" behindDoc="0" locked="0" layoutInCell="1" allowOverlap="1" wp14:anchorId="2E3AF315" wp14:editId="268C3E61">
            <wp:simplePos x="0" y="0"/>
            <wp:positionH relativeFrom="margin">
              <wp:posOffset>8255</wp:posOffset>
            </wp:positionH>
            <wp:positionV relativeFrom="paragraph">
              <wp:posOffset>527685</wp:posOffset>
            </wp:positionV>
            <wp:extent cx="3018155" cy="2299970"/>
            <wp:effectExtent l="0" t="0" r="0" b="5080"/>
            <wp:wrapSquare wrapText="bothSides"/>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3018155" cy="2299970"/>
                    </a:xfrm>
                    <a:prstGeom prst="rect">
                      <a:avLst/>
                    </a:prstGeom>
                    <a:noFill/>
                  </pic:spPr>
                </pic:pic>
              </a:graphicData>
            </a:graphic>
            <wp14:sizeRelH relativeFrom="page">
              <wp14:pctWidth>0</wp14:pctWidth>
            </wp14:sizeRelH>
            <wp14:sizeRelV relativeFrom="page">
              <wp14:pctHeight>0</wp14:pctHeight>
            </wp14:sizeRelV>
          </wp:anchor>
        </w:drawing>
      </w:r>
      <w:r w:rsidRPr="00214490">
        <w:rPr>
          <w:rFonts w:ascii="Calibri" w:hAnsi="Calibri" w:cs="Arial"/>
          <w:bCs/>
          <w:color w:val="7F7F7F" w:themeColor="text1" w:themeTint="80"/>
          <w:sz w:val="20"/>
          <w:szCs w:val="20"/>
        </w:rPr>
        <w:t xml:space="preserve">Proportion of </w:t>
      </w:r>
      <w:r>
        <w:rPr>
          <w:rFonts w:ascii="Calibri" w:hAnsi="Calibri" w:cs="Arial"/>
          <w:bCs/>
          <w:color w:val="7F7F7F" w:themeColor="text1" w:themeTint="80"/>
          <w:sz w:val="20"/>
          <w:szCs w:val="20"/>
        </w:rPr>
        <w:t>a</w:t>
      </w:r>
      <w:r w:rsidRPr="00214490">
        <w:rPr>
          <w:rFonts w:ascii="Calibri" w:hAnsi="Calibri" w:cs="Arial"/>
          <w:bCs/>
          <w:color w:val="7F7F7F" w:themeColor="text1" w:themeTint="80"/>
          <w:sz w:val="20"/>
          <w:szCs w:val="20"/>
        </w:rPr>
        <w:t xml:space="preserve">dults who </w:t>
      </w:r>
      <w:r>
        <w:rPr>
          <w:rFonts w:ascii="Calibri" w:hAnsi="Calibri" w:cs="Arial"/>
          <w:bCs/>
          <w:color w:val="7F7F7F" w:themeColor="text1" w:themeTint="80"/>
          <w:sz w:val="20"/>
          <w:szCs w:val="20"/>
        </w:rPr>
        <w:t>e</w:t>
      </w:r>
      <w:r w:rsidRPr="00214490">
        <w:rPr>
          <w:rFonts w:ascii="Calibri" w:hAnsi="Calibri" w:cs="Arial"/>
          <w:bCs/>
          <w:color w:val="7F7F7F" w:themeColor="text1" w:themeTint="80"/>
          <w:sz w:val="20"/>
          <w:szCs w:val="20"/>
        </w:rPr>
        <w:t xml:space="preserve">ngaged in EGM </w:t>
      </w:r>
      <w:r>
        <w:rPr>
          <w:rFonts w:ascii="Calibri" w:hAnsi="Calibri" w:cs="Arial"/>
          <w:bCs/>
          <w:color w:val="7F7F7F" w:themeColor="text1" w:themeTint="80"/>
          <w:sz w:val="20"/>
          <w:szCs w:val="20"/>
        </w:rPr>
        <w:t>g</w:t>
      </w:r>
      <w:r w:rsidRPr="00214490">
        <w:rPr>
          <w:rFonts w:ascii="Calibri" w:hAnsi="Calibri" w:cs="Arial"/>
          <w:bCs/>
          <w:color w:val="7F7F7F" w:themeColor="text1" w:themeTint="80"/>
          <w:sz w:val="20"/>
          <w:szCs w:val="20"/>
        </w:rPr>
        <w:t xml:space="preserve">ambling at </w:t>
      </w:r>
      <w:r>
        <w:rPr>
          <w:rFonts w:ascii="Calibri" w:hAnsi="Calibri" w:cs="Arial"/>
          <w:bCs/>
          <w:color w:val="7F7F7F" w:themeColor="text1" w:themeTint="80"/>
          <w:sz w:val="20"/>
          <w:szCs w:val="20"/>
        </w:rPr>
        <w:t>l</w:t>
      </w:r>
      <w:r w:rsidRPr="00214490">
        <w:rPr>
          <w:rFonts w:ascii="Calibri" w:hAnsi="Calibri" w:cs="Arial"/>
          <w:bCs/>
          <w:color w:val="7F7F7F" w:themeColor="text1" w:themeTint="80"/>
          <w:sz w:val="20"/>
          <w:szCs w:val="20"/>
        </w:rPr>
        <w:t xml:space="preserve">east </w:t>
      </w:r>
      <w:r>
        <w:rPr>
          <w:rFonts w:ascii="Calibri" w:hAnsi="Calibri" w:cs="Arial"/>
          <w:bCs/>
          <w:color w:val="7F7F7F" w:themeColor="text1" w:themeTint="80"/>
          <w:sz w:val="20"/>
          <w:szCs w:val="20"/>
        </w:rPr>
        <w:t>o</w:t>
      </w:r>
      <w:r w:rsidRPr="00214490">
        <w:rPr>
          <w:rFonts w:ascii="Calibri" w:hAnsi="Calibri" w:cs="Arial"/>
          <w:bCs/>
          <w:color w:val="7F7F7F" w:themeColor="text1" w:themeTint="80"/>
          <w:sz w:val="20"/>
          <w:szCs w:val="20"/>
        </w:rPr>
        <w:t xml:space="preserve">nce in the </w:t>
      </w:r>
      <w:r>
        <w:rPr>
          <w:rFonts w:ascii="Calibri" w:hAnsi="Calibri" w:cs="Arial"/>
          <w:bCs/>
          <w:color w:val="7F7F7F" w:themeColor="text1" w:themeTint="80"/>
          <w:sz w:val="20"/>
          <w:szCs w:val="20"/>
        </w:rPr>
        <w:t>p</w:t>
      </w:r>
      <w:r w:rsidRPr="00214490">
        <w:rPr>
          <w:rFonts w:ascii="Calibri" w:hAnsi="Calibri" w:cs="Arial"/>
          <w:bCs/>
          <w:color w:val="7F7F7F" w:themeColor="text1" w:themeTint="80"/>
          <w:sz w:val="20"/>
          <w:szCs w:val="20"/>
        </w:rPr>
        <w:t xml:space="preserve">revious </w:t>
      </w:r>
      <w:r>
        <w:rPr>
          <w:rFonts w:ascii="Calibri" w:hAnsi="Calibri" w:cs="Arial"/>
          <w:bCs/>
          <w:color w:val="7F7F7F" w:themeColor="text1" w:themeTint="80"/>
          <w:sz w:val="20"/>
          <w:szCs w:val="20"/>
        </w:rPr>
        <w:t>y</w:t>
      </w:r>
      <w:r w:rsidRPr="00214490">
        <w:rPr>
          <w:rFonts w:ascii="Calibri" w:hAnsi="Calibri" w:cs="Arial"/>
          <w:bCs/>
          <w:color w:val="7F7F7F" w:themeColor="text1" w:themeTint="80"/>
          <w:sz w:val="20"/>
          <w:szCs w:val="20"/>
        </w:rPr>
        <w:t xml:space="preserve">ear, by </w:t>
      </w:r>
      <w:r>
        <w:rPr>
          <w:rFonts w:ascii="Calibri" w:hAnsi="Calibri" w:cs="Arial"/>
          <w:bCs/>
          <w:color w:val="7F7F7F" w:themeColor="text1" w:themeTint="80"/>
          <w:sz w:val="20"/>
          <w:szCs w:val="20"/>
        </w:rPr>
        <w:t>a</w:t>
      </w:r>
      <w:r w:rsidRPr="00214490">
        <w:rPr>
          <w:rFonts w:ascii="Calibri" w:hAnsi="Calibri" w:cs="Arial"/>
          <w:bCs/>
          <w:color w:val="7F7F7F" w:themeColor="text1" w:themeTint="80"/>
          <w:sz w:val="20"/>
          <w:szCs w:val="20"/>
        </w:rPr>
        <w:t xml:space="preserve">ge and </w:t>
      </w:r>
      <w:r>
        <w:rPr>
          <w:rFonts w:ascii="Calibri" w:hAnsi="Calibri" w:cs="Arial"/>
          <w:bCs/>
          <w:color w:val="7F7F7F" w:themeColor="text1" w:themeTint="80"/>
          <w:sz w:val="20"/>
          <w:szCs w:val="20"/>
        </w:rPr>
        <w:t>s</w:t>
      </w:r>
      <w:r w:rsidRPr="00214490">
        <w:rPr>
          <w:rFonts w:ascii="Calibri" w:hAnsi="Calibri" w:cs="Arial"/>
          <w:bCs/>
          <w:color w:val="7F7F7F" w:themeColor="text1" w:themeTint="80"/>
          <w:sz w:val="20"/>
          <w:szCs w:val="20"/>
        </w:rPr>
        <w:t>ex: Victoria, 2014</w:t>
      </w:r>
    </w:p>
    <w:p w14:paraId="457AEFDA" w14:textId="77777777" w:rsidR="00C65183" w:rsidRDefault="00C65183" w:rsidP="00C65183">
      <w:pPr>
        <w:spacing w:line="360" w:lineRule="auto"/>
        <w:jc w:val="both"/>
        <w:rPr>
          <w:rFonts w:ascii="Calibri" w:hAnsi="Calibri" w:cs="Arial"/>
          <w:b/>
        </w:rPr>
      </w:pPr>
    </w:p>
    <w:p w14:paraId="185053D7" w14:textId="77777777" w:rsidR="00C65183" w:rsidRPr="00400AC4" w:rsidRDefault="00C65183" w:rsidP="00C65183">
      <w:pPr>
        <w:spacing w:line="360" w:lineRule="auto"/>
        <w:jc w:val="both"/>
        <w:rPr>
          <w:rFonts w:ascii="Calibri" w:hAnsi="Calibri" w:cs="Arial"/>
          <w:bCs/>
        </w:rPr>
      </w:pPr>
      <w:r w:rsidRPr="00400AC4">
        <w:rPr>
          <w:rFonts w:ascii="Calibri" w:hAnsi="Calibri" w:cs="Arial"/>
          <w:bCs/>
        </w:rPr>
        <w:t>Sports betting follows a very different pattern, and is decisively most popular among males</w:t>
      </w:r>
      <w:r>
        <w:rPr>
          <w:rFonts w:ascii="Calibri" w:hAnsi="Calibri" w:cs="Arial"/>
          <w:bCs/>
        </w:rPr>
        <w:t xml:space="preserve"> and</w:t>
      </w:r>
      <w:r w:rsidRPr="00400AC4">
        <w:rPr>
          <w:rFonts w:ascii="Calibri" w:hAnsi="Calibri" w:cs="Arial"/>
          <w:bCs/>
        </w:rPr>
        <w:t xml:space="preserve"> young people, with rates of participation declining steeply with age.</w:t>
      </w:r>
    </w:p>
    <w:p w14:paraId="5CAD2A2F" w14:textId="77777777" w:rsidR="00C65183" w:rsidRPr="00400AC4" w:rsidRDefault="00C65183" w:rsidP="00C65183">
      <w:pPr>
        <w:spacing w:line="360" w:lineRule="auto"/>
        <w:jc w:val="both"/>
        <w:rPr>
          <w:rFonts w:ascii="Calibri" w:hAnsi="Calibri" w:cs="Arial"/>
          <w:b/>
          <w:sz w:val="10"/>
          <w:szCs w:val="10"/>
        </w:rPr>
      </w:pPr>
    </w:p>
    <w:p w14:paraId="7A38270F" w14:textId="77777777" w:rsidR="00C65183" w:rsidRPr="00214490" w:rsidRDefault="00C65183" w:rsidP="00C65183">
      <w:pPr>
        <w:jc w:val="both"/>
        <w:rPr>
          <w:rFonts w:ascii="Calibri" w:hAnsi="Calibri" w:cs="Arial"/>
          <w:bCs/>
          <w:color w:val="7F7F7F" w:themeColor="text1" w:themeTint="80"/>
          <w:sz w:val="20"/>
          <w:szCs w:val="20"/>
        </w:rPr>
      </w:pPr>
      <w:r w:rsidRPr="00214490">
        <w:rPr>
          <w:rFonts w:ascii="Calibri" w:hAnsi="Calibri" w:cs="Arial"/>
          <w:bCs/>
          <w:color w:val="7F7F7F" w:themeColor="text1" w:themeTint="80"/>
          <w:sz w:val="20"/>
          <w:szCs w:val="20"/>
        </w:rPr>
        <w:t xml:space="preserve">Proportion of </w:t>
      </w:r>
      <w:r>
        <w:rPr>
          <w:rFonts w:ascii="Calibri" w:hAnsi="Calibri" w:cs="Arial"/>
          <w:bCs/>
          <w:color w:val="7F7F7F" w:themeColor="text1" w:themeTint="80"/>
          <w:sz w:val="20"/>
          <w:szCs w:val="20"/>
        </w:rPr>
        <w:t>a</w:t>
      </w:r>
      <w:r w:rsidRPr="00214490">
        <w:rPr>
          <w:rFonts w:ascii="Calibri" w:hAnsi="Calibri" w:cs="Arial"/>
          <w:bCs/>
          <w:color w:val="7F7F7F" w:themeColor="text1" w:themeTint="80"/>
          <w:sz w:val="20"/>
          <w:szCs w:val="20"/>
        </w:rPr>
        <w:t xml:space="preserve">dults who </w:t>
      </w:r>
      <w:r>
        <w:rPr>
          <w:rFonts w:ascii="Calibri" w:hAnsi="Calibri" w:cs="Arial"/>
          <w:bCs/>
          <w:color w:val="7F7F7F" w:themeColor="text1" w:themeTint="80"/>
          <w:sz w:val="20"/>
          <w:szCs w:val="20"/>
        </w:rPr>
        <w:t>e</w:t>
      </w:r>
      <w:r w:rsidRPr="00214490">
        <w:rPr>
          <w:rFonts w:ascii="Calibri" w:hAnsi="Calibri" w:cs="Arial"/>
          <w:bCs/>
          <w:color w:val="7F7F7F" w:themeColor="text1" w:themeTint="80"/>
          <w:sz w:val="20"/>
          <w:szCs w:val="20"/>
        </w:rPr>
        <w:t xml:space="preserve">ngaged in </w:t>
      </w:r>
      <w:r>
        <w:rPr>
          <w:rFonts w:ascii="Calibri" w:hAnsi="Calibri" w:cs="Arial"/>
          <w:bCs/>
          <w:color w:val="7F7F7F" w:themeColor="text1" w:themeTint="80"/>
          <w:sz w:val="20"/>
          <w:szCs w:val="20"/>
        </w:rPr>
        <w:t>sports betting</w:t>
      </w:r>
      <w:r w:rsidRPr="00214490">
        <w:rPr>
          <w:rFonts w:ascii="Calibri" w:hAnsi="Calibri" w:cs="Arial"/>
          <w:bCs/>
          <w:color w:val="7F7F7F" w:themeColor="text1" w:themeTint="80"/>
          <w:sz w:val="20"/>
          <w:szCs w:val="20"/>
        </w:rPr>
        <w:t xml:space="preserve"> at </w:t>
      </w:r>
      <w:r>
        <w:rPr>
          <w:rFonts w:ascii="Calibri" w:hAnsi="Calibri" w:cs="Arial"/>
          <w:bCs/>
          <w:color w:val="7F7F7F" w:themeColor="text1" w:themeTint="80"/>
          <w:sz w:val="20"/>
          <w:szCs w:val="20"/>
        </w:rPr>
        <w:t>l</w:t>
      </w:r>
      <w:r w:rsidRPr="00214490">
        <w:rPr>
          <w:rFonts w:ascii="Calibri" w:hAnsi="Calibri" w:cs="Arial"/>
          <w:bCs/>
          <w:color w:val="7F7F7F" w:themeColor="text1" w:themeTint="80"/>
          <w:sz w:val="20"/>
          <w:szCs w:val="20"/>
        </w:rPr>
        <w:t xml:space="preserve">east </w:t>
      </w:r>
      <w:r>
        <w:rPr>
          <w:rFonts w:ascii="Calibri" w:hAnsi="Calibri" w:cs="Arial"/>
          <w:bCs/>
          <w:color w:val="7F7F7F" w:themeColor="text1" w:themeTint="80"/>
          <w:sz w:val="20"/>
          <w:szCs w:val="20"/>
        </w:rPr>
        <w:t>o</w:t>
      </w:r>
      <w:r w:rsidRPr="00214490">
        <w:rPr>
          <w:rFonts w:ascii="Calibri" w:hAnsi="Calibri" w:cs="Arial"/>
          <w:bCs/>
          <w:color w:val="7F7F7F" w:themeColor="text1" w:themeTint="80"/>
          <w:sz w:val="20"/>
          <w:szCs w:val="20"/>
        </w:rPr>
        <w:t xml:space="preserve">nce in the </w:t>
      </w:r>
      <w:r>
        <w:rPr>
          <w:rFonts w:ascii="Calibri" w:hAnsi="Calibri" w:cs="Arial"/>
          <w:bCs/>
          <w:color w:val="7F7F7F" w:themeColor="text1" w:themeTint="80"/>
          <w:sz w:val="20"/>
          <w:szCs w:val="20"/>
        </w:rPr>
        <w:t>p</w:t>
      </w:r>
      <w:r w:rsidRPr="00214490">
        <w:rPr>
          <w:rFonts w:ascii="Calibri" w:hAnsi="Calibri" w:cs="Arial"/>
          <w:bCs/>
          <w:color w:val="7F7F7F" w:themeColor="text1" w:themeTint="80"/>
          <w:sz w:val="20"/>
          <w:szCs w:val="20"/>
        </w:rPr>
        <w:t xml:space="preserve">revious </w:t>
      </w:r>
      <w:r>
        <w:rPr>
          <w:rFonts w:ascii="Calibri" w:hAnsi="Calibri" w:cs="Arial"/>
          <w:bCs/>
          <w:color w:val="7F7F7F" w:themeColor="text1" w:themeTint="80"/>
          <w:sz w:val="20"/>
          <w:szCs w:val="20"/>
        </w:rPr>
        <w:t>y</w:t>
      </w:r>
      <w:r w:rsidRPr="00214490">
        <w:rPr>
          <w:rFonts w:ascii="Calibri" w:hAnsi="Calibri" w:cs="Arial"/>
          <w:bCs/>
          <w:color w:val="7F7F7F" w:themeColor="text1" w:themeTint="80"/>
          <w:sz w:val="20"/>
          <w:szCs w:val="20"/>
        </w:rPr>
        <w:t xml:space="preserve">ear, by </w:t>
      </w:r>
      <w:r>
        <w:rPr>
          <w:rFonts w:ascii="Calibri" w:hAnsi="Calibri" w:cs="Arial"/>
          <w:bCs/>
          <w:color w:val="7F7F7F" w:themeColor="text1" w:themeTint="80"/>
          <w:sz w:val="20"/>
          <w:szCs w:val="20"/>
        </w:rPr>
        <w:t>a</w:t>
      </w:r>
      <w:r w:rsidRPr="00214490">
        <w:rPr>
          <w:rFonts w:ascii="Calibri" w:hAnsi="Calibri" w:cs="Arial"/>
          <w:bCs/>
          <w:color w:val="7F7F7F" w:themeColor="text1" w:themeTint="80"/>
          <w:sz w:val="20"/>
          <w:szCs w:val="20"/>
        </w:rPr>
        <w:t xml:space="preserve">ge and </w:t>
      </w:r>
      <w:r>
        <w:rPr>
          <w:rFonts w:ascii="Calibri" w:hAnsi="Calibri" w:cs="Arial"/>
          <w:bCs/>
          <w:color w:val="7F7F7F" w:themeColor="text1" w:themeTint="80"/>
          <w:sz w:val="20"/>
          <w:szCs w:val="20"/>
        </w:rPr>
        <w:t>s</w:t>
      </w:r>
      <w:r w:rsidRPr="00214490">
        <w:rPr>
          <w:rFonts w:ascii="Calibri" w:hAnsi="Calibri" w:cs="Arial"/>
          <w:bCs/>
          <w:color w:val="7F7F7F" w:themeColor="text1" w:themeTint="80"/>
          <w:sz w:val="20"/>
          <w:szCs w:val="20"/>
        </w:rPr>
        <w:t>ex: Victoria, 2014</w:t>
      </w:r>
    </w:p>
    <w:p w14:paraId="573F706B" w14:textId="77777777" w:rsidR="00C65183" w:rsidRDefault="00C65183" w:rsidP="00C65183">
      <w:pPr>
        <w:spacing w:line="360" w:lineRule="auto"/>
        <w:jc w:val="both"/>
        <w:rPr>
          <w:rFonts w:ascii="Calibri" w:hAnsi="Calibri" w:cs="Arial"/>
          <w:b/>
        </w:rPr>
      </w:pPr>
    </w:p>
    <w:p w14:paraId="37C8B062" w14:textId="77777777" w:rsidR="00C65183" w:rsidRDefault="00C65183" w:rsidP="00C65183">
      <w:pPr>
        <w:spacing w:line="360" w:lineRule="auto"/>
        <w:jc w:val="both"/>
        <w:rPr>
          <w:rFonts w:ascii="Calibri" w:hAnsi="Calibri" w:cs="Arial"/>
          <w:b/>
        </w:rPr>
      </w:pPr>
      <w:r w:rsidRPr="00E038A4">
        <w:rPr>
          <w:rFonts w:ascii="Calibri" w:hAnsi="Calibri" w:cs="Arial"/>
          <w:b/>
          <w:noProof/>
          <w:sz w:val="8"/>
          <w:szCs w:val="8"/>
        </w:rPr>
        <w:drawing>
          <wp:anchor distT="0" distB="0" distL="114300" distR="114300" simplePos="0" relativeHeight="251765760" behindDoc="0" locked="0" layoutInCell="1" allowOverlap="1" wp14:anchorId="6D41C93B" wp14:editId="0FD1CCE7">
            <wp:simplePos x="0" y="0"/>
            <wp:positionH relativeFrom="column">
              <wp:posOffset>3070860</wp:posOffset>
            </wp:positionH>
            <wp:positionV relativeFrom="paragraph">
              <wp:posOffset>232410</wp:posOffset>
            </wp:positionV>
            <wp:extent cx="3212465" cy="2446020"/>
            <wp:effectExtent l="0" t="0" r="6985" b="0"/>
            <wp:wrapSquare wrapText="bothSides"/>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3212465" cy="2446020"/>
                    </a:xfrm>
                    <a:prstGeom prst="rect">
                      <a:avLst/>
                    </a:prstGeom>
                    <a:noFill/>
                  </pic:spPr>
                </pic:pic>
              </a:graphicData>
            </a:graphic>
            <wp14:sizeRelH relativeFrom="page">
              <wp14:pctWidth>0</wp14:pctWidth>
            </wp14:sizeRelH>
            <wp14:sizeRelV relativeFrom="page">
              <wp14:pctHeight>0</wp14:pctHeight>
            </wp14:sizeRelV>
          </wp:anchor>
        </w:drawing>
      </w:r>
    </w:p>
    <w:p w14:paraId="29236E94" w14:textId="77777777" w:rsidR="00C65183" w:rsidRDefault="00C65183" w:rsidP="00C65183">
      <w:pPr>
        <w:spacing w:line="360" w:lineRule="auto"/>
        <w:jc w:val="both"/>
        <w:rPr>
          <w:rFonts w:ascii="Calibri" w:hAnsi="Calibri" w:cs="Arial"/>
          <w:b/>
          <w:sz w:val="8"/>
          <w:szCs w:val="8"/>
        </w:rPr>
      </w:pPr>
    </w:p>
    <w:p w14:paraId="4F55E879" w14:textId="77777777" w:rsidR="00C65183" w:rsidRDefault="00C65183" w:rsidP="00C65183">
      <w:pPr>
        <w:spacing w:line="360" w:lineRule="auto"/>
        <w:jc w:val="both"/>
        <w:rPr>
          <w:rFonts w:ascii="Calibri" w:hAnsi="Calibri" w:cs="Arial"/>
          <w:b/>
          <w:sz w:val="8"/>
          <w:szCs w:val="8"/>
        </w:rPr>
      </w:pPr>
    </w:p>
    <w:p w14:paraId="2DC45974" w14:textId="77777777" w:rsidR="00C65183" w:rsidRPr="00E038A4" w:rsidRDefault="00C65183" w:rsidP="00C65183">
      <w:pPr>
        <w:spacing w:line="360" w:lineRule="auto"/>
        <w:jc w:val="both"/>
        <w:rPr>
          <w:rFonts w:ascii="Calibri" w:hAnsi="Calibri" w:cs="Arial"/>
          <w:b/>
          <w:sz w:val="8"/>
          <w:szCs w:val="8"/>
        </w:rPr>
      </w:pPr>
    </w:p>
    <w:p w14:paraId="60A87568" w14:textId="77777777" w:rsidR="00C65183" w:rsidRPr="00BF4436" w:rsidRDefault="00C65183" w:rsidP="00C65183">
      <w:pPr>
        <w:spacing w:line="360" w:lineRule="auto"/>
        <w:jc w:val="both"/>
        <w:rPr>
          <w:rFonts w:ascii="Calibri" w:hAnsi="Calibri" w:cs="Arial"/>
          <w:b/>
          <w:sz w:val="10"/>
          <w:szCs w:val="10"/>
        </w:rPr>
      </w:pPr>
      <w:r w:rsidRPr="00400AC4">
        <w:rPr>
          <w:rFonts w:ascii="Calibri" w:hAnsi="Calibri" w:cs="Arial"/>
          <w:bCs/>
        </w:rPr>
        <w:t>Participation in gambling at the Casino is most popular among males and young people, declining with age</w:t>
      </w:r>
      <w:r>
        <w:rPr>
          <w:rFonts w:ascii="Calibri" w:hAnsi="Calibri" w:cs="Arial"/>
          <w:bCs/>
        </w:rPr>
        <w:t>, before rising among people aged over 65 years</w:t>
      </w:r>
      <w:r w:rsidRPr="00400AC4">
        <w:rPr>
          <w:rFonts w:ascii="Calibri" w:hAnsi="Calibri" w:cs="Arial"/>
          <w:bCs/>
        </w:rPr>
        <w:t>.</w:t>
      </w:r>
    </w:p>
    <w:p w14:paraId="39ACEE73" w14:textId="77777777" w:rsidR="00C65183" w:rsidRDefault="00C65183" w:rsidP="00C65183">
      <w:pPr>
        <w:jc w:val="both"/>
        <w:rPr>
          <w:rFonts w:ascii="Calibri" w:hAnsi="Calibri" w:cs="Arial"/>
          <w:bCs/>
          <w:color w:val="7F7F7F" w:themeColor="text1" w:themeTint="80"/>
          <w:sz w:val="20"/>
          <w:szCs w:val="20"/>
        </w:rPr>
      </w:pPr>
      <w:r w:rsidRPr="00214490">
        <w:rPr>
          <w:rFonts w:ascii="Calibri" w:hAnsi="Calibri" w:cs="Arial"/>
          <w:bCs/>
          <w:color w:val="7F7F7F" w:themeColor="text1" w:themeTint="80"/>
          <w:sz w:val="20"/>
          <w:szCs w:val="20"/>
        </w:rPr>
        <w:t xml:space="preserve">Proportion of </w:t>
      </w:r>
      <w:r>
        <w:rPr>
          <w:rFonts w:ascii="Calibri" w:hAnsi="Calibri" w:cs="Arial"/>
          <w:bCs/>
          <w:color w:val="7F7F7F" w:themeColor="text1" w:themeTint="80"/>
          <w:sz w:val="20"/>
          <w:szCs w:val="20"/>
        </w:rPr>
        <w:t>a</w:t>
      </w:r>
      <w:r w:rsidRPr="00214490">
        <w:rPr>
          <w:rFonts w:ascii="Calibri" w:hAnsi="Calibri" w:cs="Arial"/>
          <w:bCs/>
          <w:color w:val="7F7F7F" w:themeColor="text1" w:themeTint="80"/>
          <w:sz w:val="20"/>
          <w:szCs w:val="20"/>
        </w:rPr>
        <w:t xml:space="preserve">dults who </w:t>
      </w:r>
      <w:r>
        <w:rPr>
          <w:rFonts w:ascii="Calibri" w:hAnsi="Calibri" w:cs="Arial"/>
          <w:bCs/>
          <w:color w:val="7F7F7F" w:themeColor="text1" w:themeTint="80"/>
          <w:sz w:val="20"/>
          <w:szCs w:val="20"/>
        </w:rPr>
        <w:t>gambled at the Melbourne Casino</w:t>
      </w:r>
      <w:r w:rsidRPr="00214490">
        <w:rPr>
          <w:rFonts w:ascii="Calibri" w:hAnsi="Calibri" w:cs="Arial"/>
          <w:bCs/>
          <w:color w:val="7F7F7F" w:themeColor="text1" w:themeTint="80"/>
          <w:sz w:val="20"/>
          <w:szCs w:val="20"/>
        </w:rPr>
        <w:t xml:space="preserve"> in the </w:t>
      </w:r>
      <w:r>
        <w:rPr>
          <w:rFonts w:ascii="Calibri" w:hAnsi="Calibri" w:cs="Arial"/>
          <w:bCs/>
          <w:color w:val="7F7F7F" w:themeColor="text1" w:themeTint="80"/>
          <w:sz w:val="20"/>
          <w:szCs w:val="20"/>
        </w:rPr>
        <w:t>p</w:t>
      </w:r>
      <w:r w:rsidRPr="00214490">
        <w:rPr>
          <w:rFonts w:ascii="Calibri" w:hAnsi="Calibri" w:cs="Arial"/>
          <w:bCs/>
          <w:color w:val="7F7F7F" w:themeColor="text1" w:themeTint="80"/>
          <w:sz w:val="20"/>
          <w:szCs w:val="20"/>
        </w:rPr>
        <w:t xml:space="preserve">revious </w:t>
      </w:r>
      <w:r>
        <w:rPr>
          <w:rFonts w:ascii="Calibri" w:hAnsi="Calibri" w:cs="Arial"/>
          <w:bCs/>
          <w:color w:val="7F7F7F" w:themeColor="text1" w:themeTint="80"/>
          <w:sz w:val="20"/>
          <w:szCs w:val="20"/>
        </w:rPr>
        <w:t>y</w:t>
      </w:r>
      <w:r w:rsidRPr="00214490">
        <w:rPr>
          <w:rFonts w:ascii="Calibri" w:hAnsi="Calibri" w:cs="Arial"/>
          <w:bCs/>
          <w:color w:val="7F7F7F" w:themeColor="text1" w:themeTint="80"/>
          <w:sz w:val="20"/>
          <w:szCs w:val="20"/>
        </w:rPr>
        <w:t xml:space="preserve">ear, by </w:t>
      </w:r>
      <w:r>
        <w:rPr>
          <w:rFonts w:ascii="Calibri" w:hAnsi="Calibri" w:cs="Arial"/>
          <w:bCs/>
          <w:color w:val="7F7F7F" w:themeColor="text1" w:themeTint="80"/>
          <w:sz w:val="20"/>
          <w:szCs w:val="20"/>
        </w:rPr>
        <w:t>a</w:t>
      </w:r>
      <w:r w:rsidRPr="00214490">
        <w:rPr>
          <w:rFonts w:ascii="Calibri" w:hAnsi="Calibri" w:cs="Arial"/>
          <w:bCs/>
          <w:color w:val="7F7F7F" w:themeColor="text1" w:themeTint="80"/>
          <w:sz w:val="20"/>
          <w:szCs w:val="20"/>
        </w:rPr>
        <w:t xml:space="preserve">ge and </w:t>
      </w:r>
      <w:r>
        <w:rPr>
          <w:rFonts w:ascii="Calibri" w:hAnsi="Calibri" w:cs="Arial"/>
          <w:bCs/>
          <w:color w:val="7F7F7F" w:themeColor="text1" w:themeTint="80"/>
          <w:sz w:val="20"/>
          <w:szCs w:val="20"/>
        </w:rPr>
        <w:t>s</w:t>
      </w:r>
      <w:r w:rsidRPr="00214490">
        <w:rPr>
          <w:rFonts w:ascii="Calibri" w:hAnsi="Calibri" w:cs="Arial"/>
          <w:bCs/>
          <w:color w:val="7F7F7F" w:themeColor="text1" w:themeTint="80"/>
          <w:sz w:val="20"/>
          <w:szCs w:val="20"/>
        </w:rPr>
        <w:t>ex: Victoria, 2014</w:t>
      </w:r>
    </w:p>
    <w:p w14:paraId="3A44792F" w14:textId="77777777" w:rsidR="00C65183" w:rsidRPr="00BF4436" w:rsidRDefault="00C65183" w:rsidP="00C65183">
      <w:pPr>
        <w:jc w:val="both"/>
        <w:rPr>
          <w:rFonts w:ascii="Calibri" w:hAnsi="Calibri" w:cs="Arial"/>
          <w:bCs/>
          <w:color w:val="7F7F7F" w:themeColor="text1" w:themeTint="80"/>
          <w:sz w:val="20"/>
          <w:szCs w:val="20"/>
        </w:rPr>
      </w:pPr>
      <w:r w:rsidRPr="00D42B18">
        <w:rPr>
          <w:rFonts w:ascii="Calibri" w:hAnsi="Calibri" w:cs="Arial"/>
          <w:b/>
          <w:noProof/>
          <w:sz w:val="12"/>
          <w:szCs w:val="12"/>
        </w:rPr>
        <w:drawing>
          <wp:anchor distT="0" distB="0" distL="114300" distR="114300" simplePos="0" relativeHeight="251766784" behindDoc="0" locked="0" layoutInCell="1" allowOverlap="1" wp14:anchorId="7EAE861E" wp14:editId="085C22B0">
            <wp:simplePos x="0" y="0"/>
            <wp:positionH relativeFrom="margin">
              <wp:align>left</wp:align>
            </wp:positionH>
            <wp:positionV relativeFrom="paragraph">
              <wp:posOffset>269240</wp:posOffset>
            </wp:positionV>
            <wp:extent cx="3133725" cy="2388235"/>
            <wp:effectExtent l="0" t="0" r="9525" b="0"/>
            <wp:wrapSquare wrapText="bothSides"/>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3133725" cy="2388235"/>
                    </a:xfrm>
                    <a:prstGeom prst="rect">
                      <a:avLst/>
                    </a:prstGeom>
                    <a:noFill/>
                  </pic:spPr>
                </pic:pic>
              </a:graphicData>
            </a:graphic>
            <wp14:sizeRelH relativeFrom="page">
              <wp14:pctWidth>0</wp14:pctWidth>
            </wp14:sizeRelH>
            <wp14:sizeRelV relativeFrom="page">
              <wp14:pctHeight>0</wp14:pctHeight>
            </wp14:sizeRelV>
          </wp:anchor>
        </w:drawing>
      </w:r>
    </w:p>
    <w:p w14:paraId="6FE9DDE2" w14:textId="77777777" w:rsidR="00C65183" w:rsidRDefault="00C65183" w:rsidP="00C65183">
      <w:pPr>
        <w:spacing w:line="360" w:lineRule="auto"/>
        <w:jc w:val="both"/>
        <w:rPr>
          <w:rFonts w:ascii="Calibri" w:hAnsi="Calibri" w:cs="Arial"/>
          <w:bCs/>
        </w:rPr>
      </w:pPr>
    </w:p>
    <w:p w14:paraId="79F210D2" w14:textId="77777777" w:rsidR="00C65183" w:rsidRDefault="00C65183" w:rsidP="00C65183">
      <w:pPr>
        <w:spacing w:line="360" w:lineRule="auto"/>
        <w:jc w:val="both"/>
        <w:rPr>
          <w:rFonts w:ascii="Calibri" w:hAnsi="Calibri" w:cs="Arial"/>
          <w:bCs/>
        </w:rPr>
      </w:pPr>
    </w:p>
    <w:p w14:paraId="567C53E1" w14:textId="77777777" w:rsidR="00C65183" w:rsidRPr="00E038A4" w:rsidRDefault="00C65183" w:rsidP="00C65183">
      <w:pPr>
        <w:spacing w:line="360" w:lineRule="auto"/>
        <w:jc w:val="both"/>
        <w:rPr>
          <w:rFonts w:ascii="Calibri" w:hAnsi="Calibri" w:cs="Arial"/>
          <w:bCs/>
        </w:rPr>
      </w:pPr>
      <w:r>
        <w:rPr>
          <w:rFonts w:ascii="Calibri" w:hAnsi="Calibri" w:cs="Arial"/>
          <w:bCs/>
        </w:rPr>
        <w:t>Levels of g</w:t>
      </w:r>
      <w:r w:rsidRPr="00400AC4">
        <w:rPr>
          <w:rFonts w:ascii="Calibri" w:hAnsi="Calibri" w:cs="Arial"/>
          <w:bCs/>
        </w:rPr>
        <w:t xml:space="preserve">ambling on horse and dog racing </w:t>
      </w:r>
      <w:r>
        <w:rPr>
          <w:rFonts w:ascii="Calibri" w:hAnsi="Calibri" w:cs="Arial"/>
          <w:bCs/>
        </w:rPr>
        <w:t>are similar across the age span,</w:t>
      </w:r>
      <w:r w:rsidRPr="00400AC4">
        <w:rPr>
          <w:rFonts w:ascii="Calibri" w:hAnsi="Calibri" w:cs="Arial"/>
          <w:bCs/>
        </w:rPr>
        <w:t xml:space="preserve"> though </w:t>
      </w:r>
      <w:r>
        <w:rPr>
          <w:rFonts w:ascii="Calibri" w:hAnsi="Calibri" w:cs="Arial"/>
          <w:bCs/>
        </w:rPr>
        <w:t>more</w:t>
      </w:r>
      <w:r w:rsidRPr="00400AC4">
        <w:rPr>
          <w:rFonts w:ascii="Calibri" w:hAnsi="Calibri" w:cs="Arial"/>
          <w:bCs/>
        </w:rPr>
        <w:t xml:space="preserve"> popular among middle-aged adults, and young men.</w:t>
      </w:r>
    </w:p>
    <w:p w14:paraId="7AAAC7DC" w14:textId="77777777" w:rsidR="00C65183" w:rsidRDefault="00C65183" w:rsidP="00C65183">
      <w:pPr>
        <w:spacing w:before="120"/>
        <w:jc w:val="both"/>
        <w:rPr>
          <w:rFonts w:ascii="Calibri" w:hAnsi="Calibri" w:cs="Arial"/>
          <w:bCs/>
          <w:color w:val="7F7F7F" w:themeColor="text1" w:themeTint="80"/>
          <w:sz w:val="20"/>
          <w:szCs w:val="20"/>
        </w:rPr>
      </w:pPr>
      <w:r w:rsidRPr="00214490">
        <w:rPr>
          <w:rFonts w:ascii="Calibri" w:hAnsi="Calibri" w:cs="Arial"/>
          <w:bCs/>
          <w:color w:val="7F7F7F" w:themeColor="text1" w:themeTint="80"/>
          <w:sz w:val="20"/>
          <w:szCs w:val="20"/>
        </w:rPr>
        <w:t xml:space="preserve">Proportion of </w:t>
      </w:r>
      <w:r>
        <w:rPr>
          <w:rFonts w:ascii="Calibri" w:hAnsi="Calibri" w:cs="Arial"/>
          <w:bCs/>
          <w:color w:val="7F7F7F" w:themeColor="text1" w:themeTint="80"/>
          <w:sz w:val="20"/>
          <w:szCs w:val="20"/>
        </w:rPr>
        <w:t>a</w:t>
      </w:r>
      <w:r w:rsidRPr="00214490">
        <w:rPr>
          <w:rFonts w:ascii="Calibri" w:hAnsi="Calibri" w:cs="Arial"/>
          <w:bCs/>
          <w:color w:val="7F7F7F" w:themeColor="text1" w:themeTint="80"/>
          <w:sz w:val="20"/>
          <w:szCs w:val="20"/>
        </w:rPr>
        <w:t xml:space="preserve">dults who </w:t>
      </w:r>
      <w:r>
        <w:rPr>
          <w:rFonts w:ascii="Calibri" w:hAnsi="Calibri" w:cs="Arial"/>
          <w:bCs/>
          <w:color w:val="7F7F7F" w:themeColor="text1" w:themeTint="80"/>
          <w:sz w:val="20"/>
          <w:szCs w:val="20"/>
        </w:rPr>
        <w:t>participated in racing gambling</w:t>
      </w:r>
      <w:r w:rsidRPr="00214490">
        <w:rPr>
          <w:rFonts w:ascii="Calibri" w:hAnsi="Calibri" w:cs="Arial"/>
          <w:bCs/>
          <w:color w:val="7F7F7F" w:themeColor="text1" w:themeTint="80"/>
          <w:sz w:val="20"/>
          <w:szCs w:val="20"/>
        </w:rPr>
        <w:t xml:space="preserve"> in the </w:t>
      </w:r>
      <w:r>
        <w:rPr>
          <w:rFonts w:ascii="Calibri" w:hAnsi="Calibri" w:cs="Arial"/>
          <w:bCs/>
          <w:color w:val="7F7F7F" w:themeColor="text1" w:themeTint="80"/>
          <w:sz w:val="20"/>
          <w:szCs w:val="20"/>
        </w:rPr>
        <w:t>p</w:t>
      </w:r>
      <w:r w:rsidRPr="00214490">
        <w:rPr>
          <w:rFonts w:ascii="Calibri" w:hAnsi="Calibri" w:cs="Arial"/>
          <w:bCs/>
          <w:color w:val="7F7F7F" w:themeColor="text1" w:themeTint="80"/>
          <w:sz w:val="20"/>
          <w:szCs w:val="20"/>
        </w:rPr>
        <w:t xml:space="preserve">revious </w:t>
      </w:r>
      <w:r>
        <w:rPr>
          <w:rFonts w:ascii="Calibri" w:hAnsi="Calibri" w:cs="Arial"/>
          <w:bCs/>
          <w:color w:val="7F7F7F" w:themeColor="text1" w:themeTint="80"/>
          <w:sz w:val="20"/>
          <w:szCs w:val="20"/>
        </w:rPr>
        <w:t>y</w:t>
      </w:r>
      <w:r w:rsidRPr="00214490">
        <w:rPr>
          <w:rFonts w:ascii="Calibri" w:hAnsi="Calibri" w:cs="Arial"/>
          <w:bCs/>
          <w:color w:val="7F7F7F" w:themeColor="text1" w:themeTint="80"/>
          <w:sz w:val="20"/>
          <w:szCs w:val="20"/>
        </w:rPr>
        <w:t xml:space="preserve">ear, by </w:t>
      </w:r>
      <w:r>
        <w:rPr>
          <w:rFonts w:ascii="Calibri" w:hAnsi="Calibri" w:cs="Arial"/>
          <w:bCs/>
          <w:color w:val="7F7F7F" w:themeColor="text1" w:themeTint="80"/>
          <w:sz w:val="20"/>
          <w:szCs w:val="20"/>
        </w:rPr>
        <w:t>a</w:t>
      </w:r>
      <w:r w:rsidRPr="00214490">
        <w:rPr>
          <w:rFonts w:ascii="Calibri" w:hAnsi="Calibri" w:cs="Arial"/>
          <w:bCs/>
          <w:color w:val="7F7F7F" w:themeColor="text1" w:themeTint="80"/>
          <w:sz w:val="20"/>
          <w:szCs w:val="20"/>
        </w:rPr>
        <w:t xml:space="preserve">ge and </w:t>
      </w:r>
      <w:r>
        <w:rPr>
          <w:rFonts w:ascii="Calibri" w:hAnsi="Calibri" w:cs="Arial"/>
          <w:bCs/>
          <w:color w:val="7F7F7F" w:themeColor="text1" w:themeTint="80"/>
          <w:sz w:val="20"/>
          <w:szCs w:val="20"/>
        </w:rPr>
        <w:t>s</w:t>
      </w:r>
      <w:r w:rsidRPr="00214490">
        <w:rPr>
          <w:rFonts w:ascii="Calibri" w:hAnsi="Calibri" w:cs="Arial"/>
          <w:bCs/>
          <w:color w:val="7F7F7F" w:themeColor="text1" w:themeTint="80"/>
          <w:sz w:val="20"/>
          <w:szCs w:val="20"/>
        </w:rPr>
        <w:t>ex: Victoria, 2014</w:t>
      </w:r>
    </w:p>
    <w:p w14:paraId="04C23D0F" w14:textId="77777777" w:rsidR="00C65183" w:rsidRPr="00AE20A7" w:rsidRDefault="00C65183" w:rsidP="00C65183">
      <w:pPr>
        <w:spacing w:before="120" w:line="360" w:lineRule="auto"/>
        <w:jc w:val="both"/>
        <w:rPr>
          <w:rFonts w:ascii="Calibri" w:hAnsi="Calibri" w:cs="Arial"/>
          <w:b/>
        </w:rPr>
      </w:pPr>
      <w:r w:rsidRPr="00AE20A7">
        <w:rPr>
          <w:rFonts w:ascii="Calibri" w:hAnsi="Calibri" w:cs="Arial"/>
          <w:b/>
        </w:rPr>
        <w:lastRenderedPageBreak/>
        <w:t>Gambling Machines</w:t>
      </w:r>
    </w:p>
    <w:p w14:paraId="2AAD1EEC" w14:textId="77777777" w:rsidR="00C65183" w:rsidRDefault="00C65183" w:rsidP="00C65183">
      <w:pPr>
        <w:spacing w:line="360" w:lineRule="auto"/>
        <w:jc w:val="both"/>
        <w:rPr>
          <w:rFonts w:ascii="Calibri" w:hAnsi="Calibri" w:cs="Arial"/>
        </w:rPr>
      </w:pPr>
      <w:r w:rsidRPr="00AE20A7">
        <w:rPr>
          <w:rFonts w:ascii="Calibri" w:hAnsi="Calibri" w:cs="Arial"/>
        </w:rPr>
        <w:t>9</w:t>
      </w:r>
      <w:r>
        <w:rPr>
          <w:rFonts w:ascii="Calibri" w:hAnsi="Calibri" w:cs="Arial"/>
        </w:rPr>
        <w:t>57</w:t>
      </w:r>
      <w:r w:rsidRPr="00AE20A7">
        <w:rPr>
          <w:rFonts w:ascii="Calibri" w:hAnsi="Calibri" w:cs="Arial"/>
        </w:rPr>
        <w:t xml:space="preserve"> EGMs </w:t>
      </w:r>
      <w:r>
        <w:rPr>
          <w:rFonts w:ascii="Calibri" w:hAnsi="Calibri" w:cs="Arial"/>
        </w:rPr>
        <w:t>operate at</w:t>
      </w:r>
      <w:r w:rsidRPr="00AE20A7">
        <w:rPr>
          <w:rFonts w:ascii="Calibri" w:hAnsi="Calibri" w:cs="Arial"/>
        </w:rPr>
        <w:t xml:space="preserve"> </w:t>
      </w:r>
      <w:r>
        <w:rPr>
          <w:rFonts w:ascii="Calibri" w:hAnsi="Calibri" w:cs="Arial"/>
        </w:rPr>
        <w:t xml:space="preserve">15 clubs and hotels </w:t>
      </w:r>
      <w:r w:rsidRPr="00AE20A7">
        <w:rPr>
          <w:rFonts w:ascii="Calibri" w:hAnsi="Calibri" w:cs="Arial"/>
        </w:rPr>
        <w:t>within Greater Dandenong</w:t>
      </w:r>
      <w:r>
        <w:rPr>
          <w:rFonts w:ascii="Calibri" w:hAnsi="Calibri" w:cs="Arial"/>
        </w:rPr>
        <w:t xml:space="preserve"> – the second highest number of EGMs in any Melbourne municipality. </w:t>
      </w:r>
      <w:r w:rsidRPr="00AE20A7">
        <w:rPr>
          <w:rFonts w:ascii="Calibri" w:hAnsi="Calibri" w:cs="Arial"/>
        </w:rPr>
        <w:t xml:space="preserve">Under </w:t>
      </w:r>
      <w:r>
        <w:rPr>
          <w:rFonts w:ascii="Calibri" w:hAnsi="Calibri" w:cs="Arial"/>
        </w:rPr>
        <w:t>State Government municipal gaming machine limits,</w:t>
      </w:r>
      <w:r w:rsidRPr="00AE20A7">
        <w:rPr>
          <w:rFonts w:ascii="Calibri" w:hAnsi="Calibri" w:cs="Arial"/>
        </w:rPr>
        <w:t xml:space="preserve"> 989 EGMs are permitted in Greater Dandenong. </w:t>
      </w:r>
      <w:r>
        <w:rPr>
          <w:rFonts w:ascii="Calibri" w:hAnsi="Calibri" w:cs="Arial"/>
        </w:rPr>
        <w:t>This means that 32</w:t>
      </w:r>
      <w:r w:rsidRPr="00AE20A7">
        <w:rPr>
          <w:rFonts w:ascii="Calibri" w:hAnsi="Calibri" w:cs="Arial"/>
        </w:rPr>
        <w:t xml:space="preserve"> more EGMs may therefore be </w:t>
      </w:r>
      <w:r>
        <w:rPr>
          <w:rFonts w:ascii="Calibri" w:hAnsi="Calibri" w:cs="Arial"/>
        </w:rPr>
        <w:t>installed in</w:t>
      </w:r>
      <w:r w:rsidRPr="00AE20A7">
        <w:rPr>
          <w:rFonts w:ascii="Calibri" w:hAnsi="Calibri" w:cs="Arial"/>
        </w:rPr>
        <w:t xml:space="preserve"> venues in this city before the cap is reached.</w:t>
      </w:r>
      <w:r>
        <w:rPr>
          <w:rFonts w:ascii="Calibri" w:hAnsi="Calibri" w:cs="Arial"/>
        </w:rPr>
        <w:t xml:space="preserve"> </w:t>
      </w:r>
      <w:r w:rsidRPr="00AE20A7">
        <w:rPr>
          <w:rFonts w:ascii="Calibri" w:hAnsi="Calibri" w:cs="Arial"/>
        </w:rPr>
        <w:t xml:space="preserve">Clubs account for nine of </w:t>
      </w:r>
      <w:r>
        <w:rPr>
          <w:rFonts w:ascii="Calibri" w:hAnsi="Calibri" w:cs="Arial"/>
        </w:rPr>
        <w:t>the existing</w:t>
      </w:r>
      <w:r w:rsidRPr="00AE20A7">
        <w:rPr>
          <w:rFonts w:ascii="Calibri" w:hAnsi="Calibri" w:cs="Arial"/>
        </w:rPr>
        <w:t xml:space="preserve"> </w:t>
      </w:r>
      <w:r>
        <w:rPr>
          <w:rFonts w:ascii="Calibri" w:hAnsi="Calibri" w:cs="Arial"/>
        </w:rPr>
        <w:t xml:space="preserve">15 </w:t>
      </w:r>
      <w:r w:rsidRPr="00AE20A7">
        <w:rPr>
          <w:rFonts w:ascii="Calibri" w:hAnsi="Calibri" w:cs="Arial"/>
        </w:rPr>
        <w:t xml:space="preserve">venues and over half </w:t>
      </w:r>
      <w:r>
        <w:rPr>
          <w:rFonts w:ascii="Calibri" w:hAnsi="Calibri" w:cs="Arial"/>
        </w:rPr>
        <w:t xml:space="preserve">(60%) </w:t>
      </w:r>
      <w:r w:rsidRPr="00AE20A7">
        <w:rPr>
          <w:rFonts w:ascii="Calibri" w:hAnsi="Calibri" w:cs="Arial"/>
        </w:rPr>
        <w:t xml:space="preserve">of </w:t>
      </w:r>
      <w:r>
        <w:rPr>
          <w:rFonts w:ascii="Calibri" w:hAnsi="Calibri" w:cs="Arial"/>
        </w:rPr>
        <w:t xml:space="preserve">the annual EGM </w:t>
      </w:r>
      <w:r w:rsidRPr="00AE20A7">
        <w:rPr>
          <w:rFonts w:ascii="Calibri" w:hAnsi="Calibri" w:cs="Arial"/>
        </w:rPr>
        <w:t xml:space="preserve">gambling losses </w:t>
      </w:r>
      <w:r>
        <w:rPr>
          <w:rFonts w:ascii="Calibri" w:hAnsi="Calibri" w:cs="Arial"/>
        </w:rPr>
        <w:t>in Greater Dandenong 2019/20.</w:t>
      </w:r>
    </w:p>
    <w:p w14:paraId="4E881F99" w14:textId="77777777" w:rsidR="00C65183" w:rsidRPr="002A4738" w:rsidRDefault="00C65183" w:rsidP="00C65183">
      <w:pPr>
        <w:ind w:right="4536"/>
        <w:jc w:val="both"/>
        <w:rPr>
          <w:rFonts w:ascii="Calibri" w:hAnsi="Calibri" w:cs="Arial"/>
          <w:b/>
          <w:color w:val="000000"/>
          <w:sz w:val="8"/>
          <w:szCs w:val="8"/>
        </w:rPr>
      </w:pPr>
    </w:p>
    <w:p w14:paraId="5730FE95" w14:textId="77777777" w:rsidR="00C65183" w:rsidRPr="00AE20A7" w:rsidRDefault="00C65183" w:rsidP="00C65183">
      <w:pPr>
        <w:spacing w:before="120" w:after="120"/>
        <w:ind w:right="4536"/>
        <w:jc w:val="both"/>
        <w:rPr>
          <w:rFonts w:ascii="Calibri" w:hAnsi="Calibri" w:cs="Arial"/>
          <w:b/>
          <w:color w:val="000000"/>
        </w:rPr>
      </w:pPr>
      <w:r>
        <w:rPr>
          <w:rFonts w:ascii="Calibri" w:hAnsi="Calibri" w:cs="Arial"/>
          <w:b/>
          <w:color w:val="000000"/>
        </w:rPr>
        <w:t>Impact</w:t>
      </w:r>
      <w:r w:rsidRPr="00AE20A7">
        <w:rPr>
          <w:rFonts w:ascii="Calibri" w:hAnsi="Calibri" w:cs="Arial"/>
          <w:b/>
          <w:color w:val="000000"/>
        </w:rPr>
        <w:t xml:space="preserve"> of Gambling Losses</w:t>
      </w:r>
    </w:p>
    <w:p w14:paraId="0DA37758" w14:textId="77777777" w:rsidR="00C65183" w:rsidRDefault="00C65183" w:rsidP="00C65183">
      <w:pPr>
        <w:spacing w:line="360" w:lineRule="auto"/>
        <w:jc w:val="both"/>
        <w:rPr>
          <w:rFonts w:ascii="Calibri" w:hAnsi="Calibri" w:cs="Arial"/>
        </w:rPr>
      </w:pPr>
      <w:bookmarkStart w:id="5" w:name="_Hlk61252566"/>
      <w:r w:rsidRPr="00AE20A7">
        <w:rPr>
          <w:rFonts w:ascii="Calibri" w:hAnsi="Calibri" w:cs="Arial"/>
        </w:rPr>
        <w:t xml:space="preserve">Many people gamble to </w:t>
      </w:r>
      <w:r>
        <w:rPr>
          <w:rFonts w:ascii="Calibri" w:hAnsi="Calibri" w:cs="Arial"/>
        </w:rPr>
        <w:t>alleviate</w:t>
      </w:r>
      <w:r w:rsidRPr="00AE20A7">
        <w:rPr>
          <w:rFonts w:ascii="Calibri" w:hAnsi="Calibri" w:cs="Arial"/>
        </w:rPr>
        <w:t xml:space="preserve"> boredom, social isolation or depression, while others are </w:t>
      </w:r>
      <w:r>
        <w:rPr>
          <w:rFonts w:ascii="Calibri" w:hAnsi="Calibri" w:cs="Arial"/>
        </w:rPr>
        <w:t>swayed</w:t>
      </w:r>
      <w:r w:rsidRPr="00AE20A7">
        <w:rPr>
          <w:rFonts w:ascii="Calibri" w:hAnsi="Calibri" w:cs="Arial"/>
        </w:rPr>
        <w:t xml:space="preserve"> by </w:t>
      </w:r>
      <w:r>
        <w:rPr>
          <w:rFonts w:ascii="Calibri" w:hAnsi="Calibri" w:cs="Arial"/>
        </w:rPr>
        <w:t xml:space="preserve">unrealistic expectations about the chances of winning, or lured by </w:t>
      </w:r>
      <w:r w:rsidRPr="00AE20A7">
        <w:rPr>
          <w:rFonts w:ascii="Calibri" w:hAnsi="Calibri" w:cs="Arial"/>
        </w:rPr>
        <w:t xml:space="preserve">convenient access to venues. </w:t>
      </w:r>
      <w:r>
        <w:rPr>
          <w:rFonts w:ascii="Calibri" w:hAnsi="Calibri" w:cs="Arial"/>
        </w:rPr>
        <w:t xml:space="preserve">In addition though, gambling machines are designed to addict and deceive patrons, enticing them into losing more money than they otherwise might gamble. </w:t>
      </w:r>
    </w:p>
    <w:p w14:paraId="53261CF2" w14:textId="77777777" w:rsidR="00C65183" w:rsidRDefault="00C65183" w:rsidP="00C65183">
      <w:pPr>
        <w:spacing w:line="360" w:lineRule="auto"/>
        <w:jc w:val="both"/>
        <w:rPr>
          <w:rFonts w:asciiTheme="minorHAnsi" w:hAnsiTheme="minorHAnsi" w:cstheme="minorHAnsi"/>
        </w:rPr>
      </w:pPr>
      <w:r>
        <w:rPr>
          <w:rFonts w:ascii="Calibri" w:hAnsi="Calibri" w:cs="Arial"/>
        </w:rPr>
        <w:t>G</w:t>
      </w:r>
      <w:r w:rsidRPr="00480355">
        <w:rPr>
          <w:rFonts w:ascii="Calibri" w:hAnsi="Calibri" w:cs="Arial"/>
        </w:rPr>
        <w:t>ambling-related problems</w:t>
      </w:r>
      <w:r>
        <w:rPr>
          <w:rFonts w:ascii="Calibri" w:hAnsi="Calibri" w:cs="Arial"/>
        </w:rPr>
        <w:t xml:space="preserve"> generally</w:t>
      </w:r>
      <w:r w:rsidRPr="00480355">
        <w:rPr>
          <w:rFonts w:ascii="Calibri" w:hAnsi="Calibri" w:cs="Arial"/>
        </w:rPr>
        <w:t xml:space="preserve"> </w:t>
      </w:r>
      <w:r>
        <w:rPr>
          <w:rFonts w:ascii="Calibri" w:hAnsi="Calibri" w:cs="Arial"/>
        </w:rPr>
        <w:t>arise when a person persistently loses more money than they</w:t>
      </w:r>
      <w:r w:rsidRPr="00480355">
        <w:rPr>
          <w:rFonts w:ascii="Calibri" w:hAnsi="Calibri" w:cs="Arial"/>
        </w:rPr>
        <w:t xml:space="preserve">, or their household, can comfortably afford. The resulting financial hardship </w:t>
      </w:r>
      <w:r>
        <w:rPr>
          <w:rFonts w:ascii="Calibri" w:hAnsi="Calibri" w:cs="Arial"/>
        </w:rPr>
        <w:t xml:space="preserve">often contributes </w:t>
      </w:r>
      <w:r w:rsidRPr="00480355">
        <w:rPr>
          <w:rFonts w:ascii="Calibri" w:hAnsi="Calibri" w:cs="Arial"/>
        </w:rPr>
        <w:t xml:space="preserve">to personal </w:t>
      </w:r>
      <w:r>
        <w:rPr>
          <w:rFonts w:ascii="Calibri" w:hAnsi="Calibri" w:cs="Arial"/>
        </w:rPr>
        <w:t>distress</w:t>
      </w:r>
      <w:r w:rsidRPr="00480355">
        <w:rPr>
          <w:rFonts w:ascii="Calibri" w:hAnsi="Calibri" w:cs="Arial"/>
        </w:rPr>
        <w:t xml:space="preserve">, </w:t>
      </w:r>
      <w:r>
        <w:rPr>
          <w:rFonts w:ascii="Calibri" w:hAnsi="Calibri" w:cs="Arial"/>
        </w:rPr>
        <w:t xml:space="preserve">family poverty, conflict, </w:t>
      </w:r>
      <w:r w:rsidRPr="00480355">
        <w:rPr>
          <w:rFonts w:ascii="Calibri" w:hAnsi="Calibri" w:cs="Arial"/>
        </w:rPr>
        <w:t>violence</w:t>
      </w:r>
      <w:r>
        <w:rPr>
          <w:rFonts w:ascii="Calibri" w:hAnsi="Calibri" w:cs="Arial"/>
        </w:rPr>
        <w:t xml:space="preserve"> and breakup</w:t>
      </w:r>
      <w:r w:rsidRPr="00480355">
        <w:rPr>
          <w:rFonts w:ascii="Calibri" w:hAnsi="Calibri" w:cs="Arial"/>
        </w:rPr>
        <w:t>, decreased attendance and productivity at work, deceptive or c</w:t>
      </w:r>
      <w:r>
        <w:rPr>
          <w:rFonts w:ascii="Calibri" w:hAnsi="Calibri" w:cs="Arial"/>
        </w:rPr>
        <w:t>riminal actions to obtain money,</w:t>
      </w:r>
      <w:r w:rsidRPr="00480355">
        <w:rPr>
          <w:rFonts w:ascii="Calibri" w:hAnsi="Calibri" w:cs="Arial"/>
        </w:rPr>
        <w:t xml:space="preserve"> and homelessness</w:t>
      </w:r>
      <w:r>
        <w:rPr>
          <w:rStyle w:val="FootnoteReference"/>
          <w:rFonts w:ascii="Calibri" w:hAnsi="Calibri" w:cs="Arial"/>
        </w:rPr>
        <w:footnoteReference w:id="46"/>
      </w:r>
      <w:r w:rsidRPr="00480355">
        <w:rPr>
          <w:rFonts w:ascii="Calibri" w:hAnsi="Calibri" w:cs="Arial"/>
        </w:rPr>
        <w:t xml:space="preserve">. </w:t>
      </w:r>
      <w:r>
        <w:rPr>
          <w:rFonts w:asciiTheme="minorHAnsi" w:hAnsiTheme="minorHAnsi" w:cstheme="minorHAnsi"/>
        </w:rPr>
        <w:t>Such  g</w:t>
      </w:r>
      <w:r w:rsidRPr="00670992">
        <w:rPr>
          <w:rFonts w:asciiTheme="minorHAnsi" w:hAnsiTheme="minorHAnsi" w:cstheme="minorHAnsi"/>
        </w:rPr>
        <w:t>ambling-related problems are most widespread among people with limited education, low incomes, manual occupations or without paid work – circumstances widespread in Greater Dandenong</w:t>
      </w:r>
      <w:r>
        <w:rPr>
          <w:rFonts w:asciiTheme="minorHAnsi" w:hAnsiTheme="minorHAnsi" w:cstheme="minorHAnsi"/>
        </w:rPr>
        <w:t>.</w:t>
      </w:r>
    </w:p>
    <w:p w14:paraId="78314FAB" w14:textId="77777777" w:rsidR="00C65183" w:rsidRPr="00670992" w:rsidRDefault="00C65183" w:rsidP="00C65183">
      <w:pPr>
        <w:spacing w:line="360" w:lineRule="auto"/>
        <w:jc w:val="both"/>
        <w:rPr>
          <w:rFonts w:asciiTheme="minorHAnsi" w:hAnsiTheme="minorHAnsi" w:cstheme="minorHAnsi"/>
        </w:rPr>
      </w:pPr>
      <w:r w:rsidRPr="00AE20A7">
        <w:rPr>
          <w:rFonts w:ascii="Calibri" w:hAnsi="Calibri" w:cs="Arial"/>
        </w:rPr>
        <w:t>At least 1 in 100 adults have severe gambling problems – a figure the Productivity Commission acknowledges may be three times higher</w:t>
      </w:r>
      <w:r>
        <w:rPr>
          <w:rFonts w:ascii="Calibri" w:hAnsi="Calibri" w:cs="Arial"/>
        </w:rPr>
        <w:t>; and about two-thirds of EGM gamblers experience gambling problems, ranging from mild to severe</w:t>
      </w:r>
      <w:r w:rsidRPr="00AE20A7">
        <w:rPr>
          <w:rFonts w:ascii="Calibri" w:hAnsi="Calibri" w:cs="Arial"/>
        </w:rPr>
        <w:t xml:space="preserve">. </w:t>
      </w:r>
      <w:r>
        <w:rPr>
          <w:rFonts w:ascii="Calibri" w:hAnsi="Calibri" w:cs="Arial"/>
        </w:rPr>
        <w:t xml:space="preserve">Financial difficulties play a key role in such gambling problems: among the approximately 17% of adult residents of Greater Dandenong who use gaming machines, numbering approximately 21,000, annual gambling losses average 19% of their </w:t>
      </w:r>
      <w:r w:rsidRPr="00670992">
        <w:rPr>
          <w:rFonts w:asciiTheme="minorHAnsi" w:hAnsiTheme="minorHAnsi" w:cstheme="minorHAnsi"/>
        </w:rPr>
        <w:t>gross income – the highest level of gaming losses relative to income</w:t>
      </w:r>
      <w:r>
        <w:rPr>
          <w:rFonts w:asciiTheme="minorHAnsi" w:hAnsiTheme="minorHAnsi" w:cstheme="minorHAnsi"/>
        </w:rPr>
        <w:t>s</w:t>
      </w:r>
      <w:r w:rsidRPr="00670992">
        <w:rPr>
          <w:rFonts w:asciiTheme="minorHAnsi" w:hAnsiTheme="minorHAnsi" w:cstheme="minorHAnsi"/>
        </w:rPr>
        <w:t xml:space="preserve"> in Victoria.</w:t>
      </w:r>
      <w:r>
        <w:rPr>
          <w:rFonts w:asciiTheme="minorHAnsi" w:hAnsiTheme="minorHAnsi" w:cstheme="minorHAnsi"/>
        </w:rPr>
        <w:t xml:space="preserve"> </w:t>
      </w:r>
    </w:p>
    <w:bookmarkEnd w:id="5"/>
    <w:p w14:paraId="16CA5892" w14:textId="77777777" w:rsidR="00C65183" w:rsidRDefault="00C65183" w:rsidP="00C65183">
      <w:pPr>
        <w:rPr>
          <w:rFonts w:asciiTheme="minorHAnsi" w:eastAsia="Calibri" w:hAnsiTheme="minorHAnsi" w:cs="Times New Roman"/>
        </w:rPr>
      </w:pPr>
      <w:r>
        <w:rPr>
          <w:rFonts w:asciiTheme="minorHAnsi" w:hAnsiTheme="minorHAnsi"/>
        </w:rPr>
        <w:br w:type="page"/>
      </w:r>
    </w:p>
    <w:p w14:paraId="6BB49FD8" w14:textId="77777777" w:rsidR="00C65183" w:rsidRPr="00827F47" w:rsidRDefault="00C65183" w:rsidP="00C65183">
      <w:pPr>
        <w:pBdr>
          <w:top w:val="single" w:sz="4" w:space="0" w:color="244061" w:themeColor="accent1" w:themeShade="80"/>
          <w:bottom w:val="single" w:sz="4" w:space="1" w:color="244061" w:themeColor="accent1" w:themeShade="80"/>
        </w:pBdr>
        <w:tabs>
          <w:tab w:val="center" w:pos="4678"/>
        </w:tabs>
        <w:jc w:val="center"/>
        <w:rPr>
          <w:rFonts w:ascii="Garamond" w:hAnsi="Garamond"/>
          <w:noProof/>
          <w:color w:val="244061" w:themeColor="accent1" w:themeShade="80"/>
          <w:sz w:val="34"/>
          <w:szCs w:val="34"/>
        </w:rPr>
      </w:pPr>
      <w:r w:rsidRPr="00827F47">
        <w:rPr>
          <w:rFonts w:ascii="Garamond" w:hAnsi="Garamond"/>
          <w:noProof/>
          <w:color w:val="244061" w:themeColor="accent1" w:themeShade="80"/>
          <w:sz w:val="34"/>
          <w:szCs w:val="34"/>
        </w:rPr>
        <w:lastRenderedPageBreak/>
        <w:t>Housing</w:t>
      </w:r>
    </w:p>
    <w:p w14:paraId="0B651443" w14:textId="77777777" w:rsidR="00C65183" w:rsidRPr="0043051E" w:rsidRDefault="00C65183" w:rsidP="00C65183">
      <w:pPr>
        <w:jc w:val="center"/>
        <w:rPr>
          <w:rFonts w:ascii="Calibri" w:hAnsi="Calibri"/>
          <w:sz w:val="10"/>
          <w:szCs w:val="10"/>
        </w:rPr>
      </w:pPr>
      <w:r w:rsidRPr="00803EF5">
        <w:rPr>
          <w:rFonts w:ascii="Calibri" w:hAnsi="Calibri"/>
          <w:noProof/>
          <w:lang w:eastAsia="en-AU"/>
        </w:rPr>
        <w:drawing>
          <wp:anchor distT="0" distB="0" distL="114300" distR="114300" simplePos="0" relativeHeight="251772928" behindDoc="1" locked="0" layoutInCell="1" allowOverlap="1" wp14:anchorId="51AB8218" wp14:editId="3BAAA97C">
            <wp:simplePos x="0" y="0"/>
            <wp:positionH relativeFrom="column">
              <wp:posOffset>4713605</wp:posOffset>
            </wp:positionH>
            <wp:positionV relativeFrom="paragraph">
              <wp:posOffset>53975</wp:posOffset>
            </wp:positionV>
            <wp:extent cx="1421130" cy="956945"/>
            <wp:effectExtent l="0" t="0" r="7620" b="0"/>
            <wp:wrapTight wrapText="bothSides">
              <wp:wrapPolygon edited="0">
                <wp:start x="1158" y="0"/>
                <wp:lineTo x="0" y="860"/>
                <wp:lineTo x="0" y="18920"/>
                <wp:lineTo x="290" y="20640"/>
                <wp:lineTo x="1158" y="21070"/>
                <wp:lineTo x="20268" y="21070"/>
                <wp:lineTo x="21137" y="20640"/>
                <wp:lineTo x="21426" y="18920"/>
                <wp:lineTo x="21426" y="860"/>
                <wp:lineTo x="20268" y="0"/>
                <wp:lineTo x="1158" y="0"/>
              </wp:wrapPolygon>
            </wp:wrapTight>
            <wp:docPr id="240" name="Picture 73" descr="Housing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using 2.jpg"/>
                    <pic:cNvPicPr/>
                  </pic:nvPicPr>
                  <pic:blipFill>
                    <a:blip r:embed="rId136" cstate="print"/>
                    <a:srcRect l="4528" t="10189" r="7453" b="11321"/>
                    <a:stretch>
                      <a:fillRect/>
                    </a:stretch>
                  </pic:blipFill>
                  <pic:spPr>
                    <a:xfrm>
                      <a:off x="0" y="0"/>
                      <a:ext cx="1421130" cy="95694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3FC70C4E" w14:textId="77777777" w:rsidR="00C65183" w:rsidRPr="00E94DD1" w:rsidRDefault="00C65183" w:rsidP="00C65183">
      <w:pPr>
        <w:pStyle w:val="IntroParagraphtoeachChapter"/>
        <w:pBdr>
          <w:bottom w:val="none" w:sz="0" w:space="0" w:color="auto"/>
        </w:pBdr>
        <w:spacing w:line="360" w:lineRule="auto"/>
        <w:rPr>
          <w:rFonts w:ascii="Calibri" w:hAnsi="Calibri"/>
          <w:b/>
        </w:rPr>
      </w:pPr>
      <w:r w:rsidRPr="00E94DD1">
        <w:rPr>
          <w:rFonts w:ascii="Calibri" w:hAnsi="Calibri"/>
          <w:b/>
        </w:rPr>
        <w:t>Housing Structure</w:t>
      </w:r>
    </w:p>
    <w:p w14:paraId="522FEE7E" w14:textId="77777777" w:rsidR="00C65183" w:rsidRDefault="00C65183" w:rsidP="00C65183">
      <w:pPr>
        <w:pStyle w:val="IntroParagraphtoeachChapter"/>
        <w:pBdr>
          <w:bottom w:val="none" w:sz="0" w:space="0" w:color="auto"/>
        </w:pBdr>
        <w:spacing w:line="360" w:lineRule="auto"/>
        <w:rPr>
          <w:rFonts w:ascii="Calibri" w:hAnsi="Calibri"/>
        </w:rPr>
      </w:pPr>
      <w:r w:rsidRPr="00E94DD1">
        <w:rPr>
          <w:rFonts w:ascii="Calibri" w:hAnsi="Calibri"/>
        </w:rPr>
        <w:t>In 201</w:t>
      </w:r>
      <w:r>
        <w:rPr>
          <w:rFonts w:ascii="Calibri" w:hAnsi="Calibri"/>
        </w:rPr>
        <w:t>6</w:t>
      </w:r>
      <w:r w:rsidRPr="00E94DD1">
        <w:rPr>
          <w:rFonts w:ascii="Calibri" w:hAnsi="Calibri"/>
        </w:rPr>
        <w:t xml:space="preserve">, 70% of households in Greater Dandenong were detached, </w:t>
      </w:r>
      <w:r>
        <w:rPr>
          <w:rFonts w:ascii="Calibri" w:hAnsi="Calibri"/>
        </w:rPr>
        <w:t>11</w:t>
      </w:r>
      <w:r w:rsidRPr="00E94DD1">
        <w:rPr>
          <w:rFonts w:ascii="Calibri" w:hAnsi="Calibri"/>
        </w:rPr>
        <w:t xml:space="preserve">% flats and </w:t>
      </w:r>
      <w:r>
        <w:rPr>
          <w:rFonts w:ascii="Calibri" w:hAnsi="Calibri"/>
        </w:rPr>
        <w:t>1</w:t>
      </w:r>
      <w:r w:rsidRPr="00E94DD1">
        <w:rPr>
          <w:rFonts w:ascii="Calibri" w:hAnsi="Calibri"/>
        </w:rPr>
        <w:t xml:space="preserve">7% semi-detached. </w:t>
      </w:r>
      <w:r>
        <w:rPr>
          <w:rFonts w:ascii="Calibri" w:hAnsi="Calibri"/>
        </w:rPr>
        <w:t>During the decade to 2016, the number of detached dwellings in Greater Dandenong rose by approximately 5,000 and the number of semi-detached dwellings grew by nearly 6,000, while the number of flats declined by 3,700.</w:t>
      </w:r>
      <w:r w:rsidRPr="00E94DD1">
        <w:rPr>
          <w:rFonts w:ascii="Calibri" w:hAnsi="Calibri"/>
        </w:rPr>
        <w:t xml:space="preserve"> </w:t>
      </w:r>
    </w:p>
    <w:p w14:paraId="13DD2FAB" w14:textId="77777777" w:rsidR="00C65183" w:rsidRDefault="00C65183" w:rsidP="00C65183">
      <w:pPr>
        <w:pStyle w:val="IntroParagraphtoeachChapter"/>
        <w:pBdr>
          <w:bottom w:val="none" w:sz="0" w:space="0" w:color="auto"/>
        </w:pBdr>
        <w:spacing w:line="360" w:lineRule="auto"/>
        <w:rPr>
          <w:rFonts w:ascii="Calibri" w:hAnsi="Calibri"/>
        </w:rPr>
      </w:pPr>
      <w:r w:rsidRPr="00E94DD1">
        <w:rPr>
          <w:rFonts w:ascii="Calibri" w:hAnsi="Calibri"/>
        </w:rPr>
        <w:t>The distribution of housing structure varies across</w:t>
      </w:r>
      <w:r>
        <w:rPr>
          <w:rFonts w:ascii="Calibri" w:hAnsi="Calibri"/>
        </w:rPr>
        <w:t xml:space="preserve"> the</w:t>
      </w:r>
      <w:r w:rsidRPr="00E94DD1">
        <w:rPr>
          <w:rFonts w:ascii="Calibri" w:hAnsi="Calibri"/>
        </w:rPr>
        <w:t xml:space="preserve"> </w:t>
      </w:r>
      <w:r>
        <w:rPr>
          <w:rFonts w:ascii="Calibri" w:hAnsi="Calibri"/>
        </w:rPr>
        <w:t>metropolitan area</w:t>
      </w:r>
      <w:r w:rsidRPr="00E94DD1">
        <w:rPr>
          <w:rFonts w:ascii="Calibri" w:hAnsi="Calibri"/>
        </w:rPr>
        <w:t xml:space="preserve">: </w:t>
      </w:r>
      <w:r>
        <w:rPr>
          <w:rFonts w:ascii="Calibri" w:hAnsi="Calibri"/>
        </w:rPr>
        <w:t>85% of</w:t>
      </w:r>
      <w:r w:rsidRPr="00E94DD1">
        <w:rPr>
          <w:rFonts w:ascii="Calibri" w:hAnsi="Calibri"/>
        </w:rPr>
        <w:t xml:space="preserve"> dwellings in </w:t>
      </w:r>
      <w:r>
        <w:rPr>
          <w:rFonts w:ascii="Calibri" w:hAnsi="Calibri"/>
        </w:rPr>
        <w:t>Melbourne</w:t>
      </w:r>
      <w:r w:rsidRPr="00E94DD1">
        <w:rPr>
          <w:rFonts w:ascii="Calibri" w:hAnsi="Calibri"/>
        </w:rPr>
        <w:t xml:space="preserve"> are </w:t>
      </w:r>
      <w:r>
        <w:rPr>
          <w:rFonts w:ascii="Calibri" w:hAnsi="Calibri"/>
        </w:rPr>
        <w:t>flats</w:t>
      </w:r>
      <w:r w:rsidRPr="00E94DD1">
        <w:rPr>
          <w:rFonts w:ascii="Calibri" w:hAnsi="Calibri"/>
        </w:rPr>
        <w:t xml:space="preserve">, compared with </w:t>
      </w:r>
      <w:r>
        <w:rPr>
          <w:rFonts w:ascii="Calibri" w:hAnsi="Calibri"/>
        </w:rPr>
        <w:t>just 0.5% in Cardinia. Flats tend to be concentrated among the inner-urban areas, though also in sections of Springvale, Noble Park and Dandenong within Greater Dandenong, particularly in proximity to transport corridors.</w:t>
      </w:r>
    </w:p>
    <w:p w14:paraId="277A6912" w14:textId="77777777" w:rsidR="00C65183" w:rsidRDefault="00C65183" w:rsidP="00C65183">
      <w:pPr>
        <w:pStyle w:val="IntroParagraphtoeachChapter"/>
        <w:pBdr>
          <w:bottom w:val="none" w:sz="0" w:space="0" w:color="auto"/>
        </w:pBdr>
        <w:tabs>
          <w:tab w:val="left" w:pos="4962"/>
        </w:tabs>
        <w:spacing w:before="0" w:after="60"/>
        <w:rPr>
          <w:rFonts w:ascii="Calibri" w:hAnsi="Calibri"/>
          <w:b/>
        </w:rPr>
      </w:pPr>
    </w:p>
    <w:p w14:paraId="1E1DA8FD" w14:textId="77777777" w:rsidR="00C65183" w:rsidRPr="00190B5D" w:rsidRDefault="00C65183" w:rsidP="00C65183">
      <w:pPr>
        <w:pStyle w:val="IntroParagraphtoeachChapter"/>
        <w:pBdr>
          <w:bottom w:val="none" w:sz="0" w:space="0" w:color="auto"/>
        </w:pBdr>
        <w:tabs>
          <w:tab w:val="left" w:pos="4962"/>
        </w:tabs>
        <w:spacing w:before="0" w:after="60"/>
        <w:rPr>
          <w:rFonts w:ascii="Calibri" w:hAnsi="Calibri"/>
          <w:color w:val="7F7F7F"/>
          <w:sz w:val="18"/>
          <w:szCs w:val="18"/>
        </w:rPr>
      </w:pPr>
      <w:r w:rsidRPr="00E94DD1">
        <w:rPr>
          <w:rFonts w:ascii="Calibri" w:hAnsi="Calibri"/>
          <w:b/>
        </w:rPr>
        <w:t>Housing Tenure</w:t>
      </w:r>
      <w:r>
        <w:rPr>
          <w:rFonts w:ascii="Calibri" w:hAnsi="Calibri"/>
          <w:b/>
        </w:rPr>
        <w:t xml:space="preserve"> </w:t>
      </w:r>
      <w:r>
        <w:rPr>
          <w:rFonts w:ascii="Calibri" w:hAnsi="Calibri"/>
          <w:b/>
        </w:rPr>
        <w:tab/>
      </w:r>
    </w:p>
    <w:p w14:paraId="72E8B664" w14:textId="77777777" w:rsidR="00C65183" w:rsidRDefault="00C65183" w:rsidP="00C65183">
      <w:pPr>
        <w:spacing w:line="360" w:lineRule="auto"/>
        <w:jc w:val="both"/>
        <w:rPr>
          <w:rFonts w:ascii="Calibri" w:hAnsi="Calibri"/>
        </w:rPr>
      </w:pPr>
      <w:r w:rsidRPr="00E94DD1">
        <w:rPr>
          <w:rFonts w:ascii="Calibri" w:hAnsi="Calibri"/>
        </w:rPr>
        <w:t>In 201</w:t>
      </w:r>
      <w:r>
        <w:rPr>
          <w:rFonts w:ascii="Calibri" w:hAnsi="Calibri"/>
        </w:rPr>
        <w:t>6</w:t>
      </w:r>
      <w:r w:rsidRPr="00E94DD1">
        <w:rPr>
          <w:rFonts w:ascii="Calibri" w:hAnsi="Calibri"/>
        </w:rPr>
        <w:t xml:space="preserve">, </w:t>
      </w:r>
      <w:r>
        <w:rPr>
          <w:rFonts w:ascii="Calibri" w:hAnsi="Calibri"/>
        </w:rPr>
        <w:t xml:space="preserve">over half (54%) of </w:t>
      </w:r>
      <w:r w:rsidRPr="00E94DD1">
        <w:rPr>
          <w:rFonts w:ascii="Calibri" w:hAnsi="Calibri"/>
        </w:rPr>
        <w:t>private dwellings in Greater Dandenong were either owned or being purchased by their occupants</w:t>
      </w:r>
      <w:r>
        <w:rPr>
          <w:rFonts w:ascii="Calibri" w:hAnsi="Calibri"/>
        </w:rPr>
        <w:t>, compared with 57% across Melbourne</w:t>
      </w:r>
      <w:r w:rsidRPr="00E94DD1">
        <w:rPr>
          <w:rFonts w:ascii="Calibri" w:eastAsia="Times New Roman" w:hAnsi="Calibri"/>
          <w:lang w:val="en-US"/>
        </w:rPr>
        <w:t>.</w:t>
      </w:r>
      <w:r w:rsidRPr="00E94DD1">
        <w:rPr>
          <w:rFonts w:ascii="Calibri" w:hAnsi="Calibri"/>
        </w:rPr>
        <w:t xml:space="preserve"> </w:t>
      </w:r>
    </w:p>
    <w:p w14:paraId="64AA1B47" w14:textId="77777777" w:rsidR="00C65183" w:rsidRDefault="00C65183" w:rsidP="00C65183">
      <w:pPr>
        <w:pStyle w:val="IntroParagraphtoeachChapter"/>
        <w:pBdr>
          <w:bottom w:val="none" w:sz="0" w:space="0" w:color="auto"/>
        </w:pBdr>
        <w:tabs>
          <w:tab w:val="left" w:pos="5529"/>
        </w:tabs>
        <w:spacing w:line="360" w:lineRule="auto"/>
        <w:rPr>
          <w:rFonts w:ascii="Calibri" w:hAnsi="Calibri"/>
        </w:rPr>
      </w:pPr>
      <w:r>
        <w:rPr>
          <w:noProof/>
          <w:lang w:eastAsia="en-AU"/>
        </w:rPr>
        <w:drawing>
          <wp:anchor distT="0" distB="0" distL="114300" distR="114300" simplePos="0" relativeHeight="251769856" behindDoc="0" locked="0" layoutInCell="1" allowOverlap="0" wp14:anchorId="1D34E0ED" wp14:editId="10A5A6A3">
            <wp:simplePos x="0" y="0"/>
            <wp:positionH relativeFrom="margin">
              <wp:posOffset>3116580</wp:posOffset>
            </wp:positionH>
            <wp:positionV relativeFrom="paragraph">
              <wp:posOffset>288925</wp:posOffset>
            </wp:positionV>
            <wp:extent cx="3004820" cy="3209925"/>
            <wp:effectExtent l="0" t="0" r="5080" b="9525"/>
            <wp:wrapSquare wrapText="bothSides"/>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3004820" cy="32099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libri" w:hAnsi="Calibri"/>
        </w:rPr>
        <w:t>In Greater Dandenong, h</w:t>
      </w:r>
      <w:r w:rsidRPr="00E94DD1">
        <w:rPr>
          <w:rFonts w:ascii="Calibri" w:hAnsi="Calibri"/>
        </w:rPr>
        <w:t>ome ownership levels are lowest among recent settlers</w:t>
      </w:r>
      <w:r>
        <w:rPr>
          <w:rFonts w:ascii="Calibri" w:hAnsi="Calibri"/>
        </w:rPr>
        <w:t>:</w:t>
      </w:r>
      <w:r w:rsidRPr="00E94DD1">
        <w:rPr>
          <w:rFonts w:ascii="Calibri" w:hAnsi="Calibri"/>
        </w:rPr>
        <w:t xml:space="preserve"> 90% of Sudanese residents and over 75% of those from Afgh</w:t>
      </w:r>
      <w:r>
        <w:rPr>
          <w:rFonts w:ascii="Calibri" w:hAnsi="Calibri"/>
        </w:rPr>
        <w:t>anistan, Samoa, Burma, Pakistan and Iran rent</w:t>
      </w:r>
      <w:r w:rsidRPr="00E94DD1">
        <w:rPr>
          <w:rFonts w:ascii="Calibri" w:hAnsi="Calibri"/>
        </w:rPr>
        <w:t xml:space="preserve"> their accommodation, compared with fewer than one in </w:t>
      </w:r>
      <w:r>
        <w:rPr>
          <w:rFonts w:ascii="Calibri" w:hAnsi="Calibri"/>
        </w:rPr>
        <w:t>five</w:t>
      </w:r>
      <w:r w:rsidRPr="00E94DD1">
        <w:rPr>
          <w:rFonts w:ascii="Calibri" w:hAnsi="Calibri"/>
        </w:rPr>
        <w:t xml:space="preserve"> from </w:t>
      </w:r>
      <w:r>
        <w:rPr>
          <w:rFonts w:ascii="Calibri" w:hAnsi="Calibri"/>
        </w:rPr>
        <w:t>China, Vietnam, Cambodia, Greece, Croatia or Italy</w:t>
      </w:r>
      <w:r w:rsidRPr="00E94DD1">
        <w:rPr>
          <w:rFonts w:ascii="Calibri" w:hAnsi="Calibri"/>
        </w:rPr>
        <w:t xml:space="preserve"> </w:t>
      </w:r>
      <w:r>
        <w:rPr>
          <w:rFonts w:ascii="Calibri" w:hAnsi="Calibri"/>
        </w:rPr>
        <w:t>(accompanying diagram).</w:t>
      </w:r>
    </w:p>
    <w:p w14:paraId="6CE563DB" w14:textId="77777777" w:rsidR="00C65183" w:rsidRPr="008A29F7" w:rsidRDefault="00C65183" w:rsidP="00C65183">
      <w:pPr>
        <w:jc w:val="both"/>
        <w:rPr>
          <w:rFonts w:ascii="Calibri" w:hAnsi="Calibri"/>
          <w:color w:val="7F7F7F" w:themeColor="text1" w:themeTint="80"/>
          <w:sz w:val="20"/>
          <w:szCs w:val="20"/>
        </w:rPr>
      </w:pPr>
      <w:r w:rsidRPr="008A29F7">
        <w:rPr>
          <w:rFonts w:ascii="Calibri" w:hAnsi="Calibri"/>
          <w:color w:val="7F7F7F" w:themeColor="text1" w:themeTint="80"/>
          <w:sz w:val="20"/>
          <w:szCs w:val="20"/>
        </w:rPr>
        <w:t>Per cent of persons living in a rented dwelling, by birthplace: Greater Dandenong, 2016</w:t>
      </w:r>
    </w:p>
    <w:p w14:paraId="3734CC6F" w14:textId="77777777" w:rsidR="00C65183" w:rsidRDefault="00C65183" w:rsidP="00C65183">
      <w:pPr>
        <w:pStyle w:val="IntroParagraphtoeachChapter"/>
        <w:pBdr>
          <w:bottom w:val="none" w:sz="0" w:space="0" w:color="auto"/>
        </w:pBdr>
        <w:spacing w:line="360" w:lineRule="auto"/>
        <w:jc w:val="center"/>
        <w:rPr>
          <w:rFonts w:ascii="Calibri" w:hAnsi="Calibri"/>
          <w:color w:val="7F7F7F"/>
        </w:rPr>
      </w:pPr>
    </w:p>
    <w:p w14:paraId="7F938C2C" w14:textId="77777777" w:rsidR="00C65183" w:rsidRPr="001436C3" w:rsidRDefault="00C65183" w:rsidP="00C65183">
      <w:pPr>
        <w:pStyle w:val="IntroParagraphtoeachChapter"/>
        <w:pBdr>
          <w:bottom w:val="none" w:sz="0" w:space="0" w:color="auto"/>
        </w:pBdr>
        <w:spacing w:before="0" w:line="360" w:lineRule="auto"/>
        <w:rPr>
          <w:rFonts w:ascii="Calibri" w:hAnsi="Calibri"/>
          <w:b/>
          <w:bCs/>
        </w:rPr>
      </w:pPr>
      <w:r w:rsidRPr="001436C3">
        <w:rPr>
          <w:rFonts w:ascii="Calibri" w:hAnsi="Calibri"/>
          <w:b/>
          <w:bCs/>
        </w:rPr>
        <w:t>Housing Costs</w:t>
      </w:r>
    </w:p>
    <w:p w14:paraId="5A75699F" w14:textId="77777777" w:rsidR="00C65183" w:rsidRDefault="00C65183" w:rsidP="00C65183">
      <w:pPr>
        <w:pStyle w:val="IntroParagraphtoeachChapter"/>
        <w:pBdr>
          <w:bottom w:val="none" w:sz="0" w:space="0" w:color="auto"/>
        </w:pBdr>
        <w:spacing w:before="0" w:line="360" w:lineRule="auto"/>
        <w:rPr>
          <w:rFonts w:ascii="Calibri" w:hAnsi="Calibri"/>
        </w:rPr>
      </w:pPr>
      <w:r>
        <w:rPr>
          <w:rFonts w:ascii="Calibri" w:hAnsi="Calibri"/>
          <w:noProof/>
          <w:lang w:eastAsia="en-AU"/>
        </w:rPr>
        <w:drawing>
          <wp:anchor distT="0" distB="0" distL="114300" distR="114300" simplePos="0" relativeHeight="251773952" behindDoc="0" locked="0" layoutInCell="1" allowOverlap="1" wp14:anchorId="3DF67A15" wp14:editId="33B63A51">
            <wp:simplePos x="0" y="0"/>
            <wp:positionH relativeFrom="margin">
              <wp:align>right</wp:align>
            </wp:positionH>
            <wp:positionV relativeFrom="paragraph">
              <wp:posOffset>228917</wp:posOffset>
            </wp:positionV>
            <wp:extent cx="926783" cy="695087"/>
            <wp:effectExtent l="0" t="0" r="6985" b="0"/>
            <wp:wrapNone/>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use 6.JPG"/>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926783" cy="695087"/>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6561D97E" w14:textId="77777777" w:rsidR="00C65183" w:rsidRDefault="00C65183" w:rsidP="00C65183">
      <w:pPr>
        <w:pStyle w:val="IntroParagraphtoeachChapter"/>
        <w:pBdr>
          <w:bottom w:val="none" w:sz="0" w:space="0" w:color="auto"/>
        </w:pBdr>
        <w:spacing w:before="0" w:line="360" w:lineRule="auto"/>
        <w:rPr>
          <w:rFonts w:ascii="Calibri" w:hAnsi="Calibri"/>
        </w:rPr>
      </w:pPr>
      <w:r w:rsidRPr="001436C3">
        <w:rPr>
          <w:rFonts w:ascii="Calibri" w:hAnsi="Calibri"/>
          <w:b/>
          <w:bCs/>
          <w:noProof/>
        </w:rPr>
        <w:drawing>
          <wp:anchor distT="0" distB="0" distL="114300" distR="114300" simplePos="0" relativeHeight="251780096" behindDoc="0" locked="0" layoutInCell="1" allowOverlap="1" wp14:anchorId="70E8023A" wp14:editId="0FAA4BE2">
            <wp:simplePos x="0" y="0"/>
            <wp:positionH relativeFrom="margin">
              <wp:posOffset>144780</wp:posOffset>
            </wp:positionH>
            <wp:positionV relativeFrom="paragraph">
              <wp:posOffset>234315</wp:posOffset>
            </wp:positionV>
            <wp:extent cx="3081020" cy="2626360"/>
            <wp:effectExtent l="0" t="0" r="5080" b="2540"/>
            <wp:wrapSquare wrapText="bothSides"/>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3081020" cy="2626360"/>
                    </a:xfrm>
                    <a:prstGeom prst="rect">
                      <a:avLst/>
                    </a:prstGeom>
                    <a:noFill/>
                  </pic:spPr>
                </pic:pic>
              </a:graphicData>
            </a:graphic>
            <wp14:sizeRelH relativeFrom="page">
              <wp14:pctWidth>0</wp14:pctWidth>
            </wp14:sizeRelH>
            <wp14:sizeRelV relativeFrom="page">
              <wp14:pctHeight>0</wp14:pctHeight>
            </wp14:sizeRelV>
          </wp:anchor>
        </w:drawing>
      </w:r>
    </w:p>
    <w:p w14:paraId="75E1A3B7" w14:textId="77777777" w:rsidR="00C65183" w:rsidRDefault="00C65183" w:rsidP="00C65183">
      <w:pPr>
        <w:pStyle w:val="IntroParagraphtoeachChapter"/>
        <w:pBdr>
          <w:bottom w:val="none" w:sz="0" w:space="0" w:color="auto"/>
        </w:pBdr>
        <w:spacing w:before="0" w:line="360" w:lineRule="auto"/>
        <w:rPr>
          <w:rFonts w:ascii="Calibri" w:hAnsi="Calibri"/>
        </w:rPr>
      </w:pPr>
      <w:r>
        <w:rPr>
          <w:rFonts w:ascii="Calibri" w:hAnsi="Calibri"/>
        </w:rPr>
        <w:t>In the past 20 years, median housing costs in Greater Dandenong have more than trebled in real terms</w:t>
      </w:r>
      <w:bookmarkStart w:id="6" w:name="_Hlk23238955"/>
      <w:r>
        <w:rPr>
          <w:rFonts w:ascii="Calibri" w:hAnsi="Calibri"/>
        </w:rPr>
        <w:t xml:space="preserve">, reaching $701,000 by June 2020 </w:t>
      </w:r>
      <w:r w:rsidRPr="00E94DD1">
        <w:rPr>
          <w:rFonts w:ascii="Calibri" w:hAnsi="Calibri"/>
        </w:rPr>
        <w:t xml:space="preserve">(diagram at </w:t>
      </w:r>
      <w:r>
        <w:rPr>
          <w:rFonts w:ascii="Calibri" w:hAnsi="Calibri"/>
        </w:rPr>
        <w:t>left).</w:t>
      </w:r>
    </w:p>
    <w:p w14:paraId="6C52A7BA" w14:textId="77777777" w:rsidR="00C65183" w:rsidRDefault="00C65183" w:rsidP="00C65183">
      <w:pPr>
        <w:pStyle w:val="IntroParagraphtoeachChapter"/>
        <w:pBdr>
          <w:bottom w:val="none" w:sz="0" w:space="0" w:color="auto"/>
        </w:pBdr>
        <w:spacing w:line="360" w:lineRule="auto"/>
        <w:rPr>
          <w:rFonts w:ascii="Calibri" w:hAnsi="Calibri"/>
        </w:rPr>
      </w:pPr>
      <w:r>
        <w:rPr>
          <w:rFonts w:ascii="Calibri" w:hAnsi="Calibri"/>
        </w:rPr>
        <w:t>As a consequence, l</w:t>
      </w:r>
      <w:r w:rsidRPr="00E94DD1">
        <w:rPr>
          <w:rFonts w:ascii="Calibri" w:hAnsi="Calibri"/>
        </w:rPr>
        <w:t xml:space="preserve">ocal price increases </w:t>
      </w:r>
      <w:r>
        <w:rPr>
          <w:rFonts w:ascii="Calibri" w:hAnsi="Calibri"/>
        </w:rPr>
        <w:t xml:space="preserve">have </w:t>
      </w:r>
      <w:r w:rsidRPr="00E94DD1">
        <w:rPr>
          <w:rFonts w:ascii="Calibri" w:hAnsi="Calibri"/>
        </w:rPr>
        <w:t>outstripped growth in incomes</w:t>
      </w:r>
      <w:r>
        <w:rPr>
          <w:rFonts w:ascii="Calibri" w:hAnsi="Calibri"/>
        </w:rPr>
        <w:t>, with the</w:t>
      </w:r>
      <w:r w:rsidRPr="00E94DD1">
        <w:rPr>
          <w:rFonts w:ascii="Calibri" w:hAnsi="Calibri"/>
        </w:rPr>
        <w:t xml:space="preserve"> median cost of houses in Greater Dandenong rising from </w:t>
      </w:r>
      <w:r>
        <w:rPr>
          <w:rFonts w:ascii="Calibri" w:hAnsi="Calibri"/>
        </w:rPr>
        <w:lastRenderedPageBreak/>
        <w:t>3.2</w:t>
      </w:r>
      <w:r w:rsidRPr="00E94DD1">
        <w:rPr>
          <w:rFonts w:ascii="Calibri" w:hAnsi="Calibri"/>
        </w:rPr>
        <w:t xml:space="preserve"> years of average </w:t>
      </w:r>
      <w:r>
        <w:rPr>
          <w:rFonts w:ascii="Calibri" w:hAnsi="Calibri"/>
        </w:rPr>
        <w:t>household</w:t>
      </w:r>
      <w:r w:rsidRPr="00E94DD1">
        <w:rPr>
          <w:rFonts w:ascii="Calibri" w:hAnsi="Calibri"/>
        </w:rPr>
        <w:t xml:space="preserve"> income</w:t>
      </w:r>
      <w:r>
        <w:rPr>
          <w:rFonts w:ascii="Calibri" w:hAnsi="Calibri"/>
        </w:rPr>
        <w:t xml:space="preserve"> in 1996</w:t>
      </w:r>
      <w:r w:rsidRPr="00E94DD1">
        <w:rPr>
          <w:rFonts w:ascii="Calibri" w:hAnsi="Calibri"/>
        </w:rPr>
        <w:t xml:space="preserve">, to </w:t>
      </w:r>
      <w:r>
        <w:rPr>
          <w:rFonts w:ascii="Calibri" w:hAnsi="Calibri"/>
        </w:rPr>
        <w:t>8.1</w:t>
      </w:r>
      <w:r w:rsidRPr="00E94DD1">
        <w:rPr>
          <w:rFonts w:ascii="Calibri" w:hAnsi="Calibri"/>
        </w:rPr>
        <w:t xml:space="preserve"> years</w:t>
      </w:r>
      <w:r>
        <w:rPr>
          <w:rFonts w:ascii="Calibri" w:hAnsi="Calibri"/>
        </w:rPr>
        <w:t xml:space="preserve"> in 2016</w:t>
      </w:r>
      <w:r w:rsidRPr="00E94DD1">
        <w:rPr>
          <w:rFonts w:ascii="Calibri" w:hAnsi="Calibri"/>
        </w:rPr>
        <w:t xml:space="preserve">. </w:t>
      </w:r>
      <w:bookmarkEnd w:id="6"/>
    </w:p>
    <w:p w14:paraId="39F97B57" w14:textId="77777777" w:rsidR="00C65183" w:rsidRPr="008A29F7" w:rsidRDefault="00C65183" w:rsidP="00C65183">
      <w:pPr>
        <w:pStyle w:val="IntroParagraphtoeachChapter"/>
        <w:pBdr>
          <w:bottom w:val="none" w:sz="0" w:space="0" w:color="auto"/>
        </w:pBdr>
        <w:spacing w:before="0"/>
        <w:rPr>
          <w:rFonts w:ascii="Calibri" w:hAnsi="Calibri"/>
          <w:color w:val="7F7F7F"/>
          <w:sz w:val="20"/>
          <w:szCs w:val="20"/>
        </w:rPr>
      </w:pPr>
      <w:r>
        <w:rPr>
          <w:rFonts w:ascii="Calibri" w:hAnsi="Calibri"/>
          <w:noProof/>
        </w:rPr>
        <w:drawing>
          <wp:anchor distT="0" distB="0" distL="114300" distR="114300" simplePos="0" relativeHeight="251768832" behindDoc="0" locked="0" layoutInCell="1" allowOverlap="1" wp14:anchorId="132DC44B" wp14:editId="5DD024A5">
            <wp:simplePos x="0" y="0"/>
            <wp:positionH relativeFrom="margin">
              <wp:posOffset>8255</wp:posOffset>
            </wp:positionH>
            <wp:positionV relativeFrom="paragraph">
              <wp:posOffset>8255</wp:posOffset>
            </wp:positionV>
            <wp:extent cx="2966720" cy="2195830"/>
            <wp:effectExtent l="0" t="0" r="5080" b="0"/>
            <wp:wrapSquare wrapText="bothSides"/>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2966720" cy="2195830"/>
                    </a:xfrm>
                    <a:prstGeom prst="rect">
                      <a:avLst/>
                    </a:prstGeom>
                    <a:noFill/>
                  </pic:spPr>
                </pic:pic>
              </a:graphicData>
            </a:graphic>
            <wp14:sizeRelH relativeFrom="page">
              <wp14:pctWidth>0</wp14:pctWidth>
            </wp14:sizeRelH>
            <wp14:sizeRelV relativeFrom="page">
              <wp14:pctHeight>0</wp14:pctHeight>
            </wp14:sizeRelV>
          </wp:anchor>
        </w:drawing>
      </w:r>
      <w:r w:rsidRPr="008A29F7">
        <w:rPr>
          <w:rFonts w:ascii="Calibri" w:hAnsi="Calibri"/>
          <w:color w:val="7F7F7F"/>
          <w:sz w:val="20"/>
          <w:szCs w:val="20"/>
        </w:rPr>
        <w:t xml:space="preserve">Median </w:t>
      </w:r>
      <w:r>
        <w:rPr>
          <w:rFonts w:ascii="Calibri" w:hAnsi="Calibri"/>
          <w:color w:val="7F7F7F"/>
          <w:sz w:val="20"/>
          <w:szCs w:val="20"/>
        </w:rPr>
        <w:t>h</w:t>
      </w:r>
      <w:r w:rsidRPr="008A29F7">
        <w:rPr>
          <w:rFonts w:ascii="Calibri" w:hAnsi="Calibri"/>
          <w:color w:val="7F7F7F"/>
          <w:sz w:val="20"/>
          <w:szCs w:val="20"/>
        </w:rPr>
        <w:t xml:space="preserve">ouse </w:t>
      </w:r>
      <w:r>
        <w:rPr>
          <w:rFonts w:ascii="Calibri" w:hAnsi="Calibri"/>
          <w:color w:val="7F7F7F"/>
          <w:sz w:val="20"/>
          <w:szCs w:val="20"/>
        </w:rPr>
        <w:t>p</w:t>
      </w:r>
      <w:r w:rsidRPr="008A29F7">
        <w:rPr>
          <w:rFonts w:ascii="Calibri" w:hAnsi="Calibri"/>
          <w:color w:val="7F7F7F"/>
          <w:sz w:val="20"/>
          <w:szCs w:val="20"/>
        </w:rPr>
        <w:t>rices as a percentage of metropolitan prices: Greater Dandenong</w:t>
      </w:r>
      <w:r>
        <w:rPr>
          <w:rFonts w:ascii="Calibri" w:hAnsi="Calibri"/>
          <w:color w:val="7F7F7F"/>
          <w:sz w:val="20"/>
          <w:szCs w:val="20"/>
        </w:rPr>
        <w:t xml:space="preserve">, </w:t>
      </w:r>
      <w:r w:rsidRPr="008A29F7">
        <w:rPr>
          <w:rFonts w:ascii="Calibri" w:hAnsi="Calibri"/>
          <w:color w:val="7F7F7F"/>
          <w:sz w:val="20"/>
          <w:szCs w:val="20"/>
        </w:rPr>
        <w:t>1985 to 2020</w:t>
      </w:r>
    </w:p>
    <w:p w14:paraId="32FD7A52" w14:textId="77777777" w:rsidR="00C65183" w:rsidRPr="002A74B7" w:rsidRDefault="00C65183" w:rsidP="00C65183">
      <w:pPr>
        <w:pStyle w:val="IntroParagraphtoeachChapter"/>
        <w:pBdr>
          <w:bottom w:val="none" w:sz="0" w:space="0" w:color="auto"/>
        </w:pBdr>
        <w:spacing w:before="0"/>
        <w:rPr>
          <w:rFonts w:ascii="Calibri" w:hAnsi="Calibri"/>
          <w:color w:val="7F7F7F"/>
          <w:sz w:val="18"/>
          <w:szCs w:val="18"/>
        </w:rPr>
      </w:pPr>
    </w:p>
    <w:p w14:paraId="414A5ABB" w14:textId="77777777" w:rsidR="00C65183" w:rsidRDefault="00C65183" w:rsidP="00C65183">
      <w:pPr>
        <w:pStyle w:val="IntroParagraphtoeachChapter"/>
        <w:pBdr>
          <w:bottom w:val="none" w:sz="0" w:space="0" w:color="auto"/>
        </w:pBdr>
        <w:spacing w:line="360" w:lineRule="auto"/>
        <w:rPr>
          <w:rFonts w:ascii="Calibri" w:hAnsi="Calibri"/>
        </w:rPr>
      </w:pPr>
      <w:r>
        <w:rPr>
          <w:rFonts w:ascii="Calibri" w:hAnsi="Calibri"/>
        </w:rPr>
        <w:t xml:space="preserve">In keeping with these trends, median housing prices in Greater Dandenong have risen from approximately two-thirds (68%) of the metropolitan median in 2001 to 103% of the metropolitan median by </w:t>
      </w:r>
      <w:r>
        <w:rPr>
          <w:rFonts w:ascii="Calibri" w:hAnsi="Calibri"/>
          <w:noProof/>
          <w:lang w:val="en-AU" w:eastAsia="en-AU"/>
        </w:rPr>
        <w:drawing>
          <wp:anchor distT="0" distB="0" distL="114300" distR="114300" simplePos="0" relativeHeight="251779072" behindDoc="0" locked="0" layoutInCell="1" allowOverlap="1" wp14:anchorId="151ABF03" wp14:editId="3E1E8D3D">
            <wp:simplePos x="0" y="0"/>
            <wp:positionH relativeFrom="column">
              <wp:posOffset>-3342640</wp:posOffset>
            </wp:positionH>
            <wp:positionV relativeFrom="line">
              <wp:posOffset>18097</wp:posOffset>
            </wp:positionV>
            <wp:extent cx="1164399" cy="873406"/>
            <wp:effectExtent l="0" t="0" r="0" b="3175"/>
            <wp:wrapNone/>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use 15.JPG"/>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1164399" cy="873406"/>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Pr>
          <w:rFonts w:ascii="Calibri" w:hAnsi="Calibri"/>
        </w:rPr>
        <w:t>2020.</w:t>
      </w:r>
    </w:p>
    <w:p w14:paraId="5C878196" w14:textId="77777777" w:rsidR="00C65183" w:rsidRDefault="00C65183" w:rsidP="00C65183">
      <w:pPr>
        <w:pStyle w:val="IntroParagraphtoeachChapter"/>
        <w:pBdr>
          <w:bottom w:val="none" w:sz="0" w:space="0" w:color="auto"/>
        </w:pBdr>
        <w:spacing w:line="360" w:lineRule="auto"/>
        <w:rPr>
          <w:rFonts w:ascii="Calibri" w:hAnsi="Calibri"/>
        </w:rPr>
      </w:pPr>
      <w:r>
        <w:rPr>
          <w:rFonts w:ascii="Calibri" w:hAnsi="Calibri"/>
        </w:rPr>
        <w:t xml:space="preserve">The median price of three-bedroom houses in Greater Dandenong rose 4.2% in real terms, and two-bedroom flats by 5.9%, during the decade to 2020 – more than twice the rate of </w:t>
      </w:r>
      <w:r>
        <w:rPr>
          <w:rFonts w:ascii="Calibri" w:hAnsi="Calibri"/>
          <w:noProof/>
        </w:rPr>
        <w:drawing>
          <wp:anchor distT="0" distB="0" distL="114300" distR="114300" simplePos="0" relativeHeight="251776000" behindDoc="0" locked="0" layoutInCell="1" allowOverlap="1" wp14:anchorId="351D2B03" wp14:editId="3B07E15D">
            <wp:simplePos x="0" y="0"/>
            <wp:positionH relativeFrom="margin">
              <wp:align>right</wp:align>
            </wp:positionH>
            <wp:positionV relativeFrom="line">
              <wp:posOffset>225425</wp:posOffset>
            </wp:positionV>
            <wp:extent cx="3444875" cy="2581275"/>
            <wp:effectExtent l="0" t="0" r="3175" b="9525"/>
            <wp:wrapSquare wrapText="bothSides"/>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3444875" cy="2581275"/>
                    </a:xfrm>
                    <a:prstGeom prst="rect">
                      <a:avLst/>
                    </a:prstGeom>
                    <a:noFill/>
                  </pic:spPr>
                </pic:pic>
              </a:graphicData>
            </a:graphic>
            <wp14:sizeRelH relativeFrom="page">
              <wp14:pctWidth>0</wp14:pctWidth>
            </wp14:sizeRelH>
            <wp14:sizeRelV relativeFrom="page">
              <wp14:pctHeight>0</wp14:pctHeight>
            </wp14:sizeRelV>
          </wp:anchor>
        </w:drawing>
      </w:r>
      <w:r>
        <w:rPr>
          <w:rFonts w:ascii="Calibri" w:hAnsi="Calibri"/>
        </w:rPr>
        <w:t xml:space="preserve">growth recorded across Melbourne during this period. </w:t>
      </w:r>
    </w:p>
    <w:p w14:paraId="55834689" w14:textId="77777777" w:rsidR="00C65183" w:rsidRPr="008A29F7" w:rsidRDefault="00C65183" w:rsidP="00C65183">
      <w:pPr>
        <w:pStyle w:val="IntroParagraphtoeachChapter"/>
        <w:pBdr>
          <w:bottom w:val="none" w:sz="0" w:space="0" w:color="auto"/>
        </w:pBdr>
        <w:spacing w:before="0"/>
        <w:rPr>
          <w:rFonts w:ascii="Calibri" w:hAnsi="Calibri"/>
          <w:color w:val="7F7F7F" w:themeColor="text1" w:themeTint="80"/>
          <w:sz w:val="20"/>
          <w:szCs w:val="20"/>
        </w:rPr>
      </w:pPr>
      <w:r w:rsidRPr="008A29F7">
        <w:rPr>
          <w:rFonts w:ascii="Calibri" w:hAnsi="Calibri"/>
          <w:color w:val="7F7F7F" w:themeColor="text1" w:themeTint="80"/>
          <w:sz w:val="20"/>
          <w:szCs w:val="20"/>
        </w:rPr>
        <w:t xml:space="preserve">Median </w:t>
      </w:r>
      <w:r>
        <w:rPr>
          <w:rFonts w:ascii="Calibri" w:hAnsi="Calibri"/>
          <w:color w:val="7F7F7F" w:themeColor="text1" w:themeTint="80"/>
          <w:sz w:val="20"/>
          <w:szCs w:val="20"/>
        </w:rPr>
        <w:t>u</w:t>
      </w:r>
      <w:r w:rsidRPr="008A29F7">
        <w:rPr>
          <w:rFonts w:ascii="Calibri" w:hAnsi="Calibri"/>
          <w:color w:val="7F7F7F" w:themeColor="text1" w:themeTint="80"/>
          <w:sz w:val="20"/>
          <w:szCs w:val="20"/>
        </w:rPr>
        <w:t xml:space="preserve">nit </w:t>
      </w:r>
      <w:r>
        <w:rPr>
          <w:rFonts w:ascii="Calibri" w:hAnsi="Calibri"/>
          <w:color w:val="7F7F7F" w:themeColor="text1" w:themeTint="80"/>
          <w:sz w:val="20"/>
          <w:szCs w:val="20"/>
        </w:rPr>
        <w:t>p</w:t>
      </w:r>
      <w:r w:rsidRPr="008A29F7">
        <w:rPr>
          <w:rFonts w:ascii="Calibri" w:hAnsi="Calibri"/>
          <w:color w:val="7F7F7F" w:themeColor="text1" w:themeTint="80"/>
          <w:sz w:val="20"/>
          <w:szCs w:val="20"/>
        </w:rPr>
        <w:t xml:space="preserve">urchase </w:t>
      </w:r>
      <w:r>
        <w:rPr>
          <w:rFonts w:ascii="Calibri" w:hAnsi="Calibri"/>
          <w:color w:val="7F7F7F" w:themeColor="text1" w:themeTint="80"/>
          <w:sz w:val="20"/>
          <w:szCs w:val="20"/>
        </w:rPr>
        <w:t>c</w:t>
      </w:r>
      <w:r w:rsidRPr="008A29F7">
        <w:rPr>
          <w:rFonts w:ascii="Calibri" w:hAnsi="Calibri"/>
          <w:color w:val="7F7F7F" w:themeColor="text1" w:themeTint="80"/>
          <w:sz w:val="20"/>
          <w:szCs w:val="20"/>
        </w:rPr>
        <w:t>osts: Greater Dandenong and metropolitan Melbourne, 1985 to 2020 (adjusted for inflation)</w:t>
      </w:r>
    </w:p>
    <w:p w14:paraId="2835D6F4" w14:textId="77777777" w:rsidR="00C65183" w:rsidRPr="001436C3" w:rsidRDefault="00C65183" w:rsidP="00C65183">
      <w:pPr>
        <w:pStyle w:val="IntroParagraphtoeachChapter"/>
        <w:pBdr>
          <w:bottom w:val="none" w:sz="0" w:space="0" w:color="auto"/>
        </w:pBdr>
        <w:spacing w:before="0"/>
        <w:rPr>
          <w:rFonts w:ascii="Calibri" w:hAnsi="Calibri"/>
          <w:sz w:val="8"/>
          <w:szCs w:val="8"/>
        </w:rPr>
      </w:pPr>
    </w:p>
    <w:p w14:paraId="348418AC" w14:textId="77777777" w:rsidR="00C65183" w:rsidRDefault="00C65183" w:rsidP="00C65183">
      <w:pPr>
        <w:pStyle w:val="IntroParagraphtoeachChapter"/>
        <w:pBdr>
          <w:bottom w:val="none" w:sz="0" w:space="0" w:color="auto"/>
        </w:pBdr>
        <w:spacing w:line="360" w:lineRule="auto"/>
        <w:rPr>
          <w:rFonts w:ascii="Calibri" w:hAnsi="Calibri"/>
        </w:rPr>
      </w:pPr>
      <w:r w:rsidRPr="00E94DD1">
        <w:rPr>
          <w:rFonts w:ascii="Calibri" w:hAnsi="Calibri"/>
        </w:rPr>
        <w:t xml:space="preserve">Causes of housing price increases </w:t>
      </w:r>
      <w:r>
        <w:rPr>
          <w:rFonts w:ascii="Calibri" w:hAnsi="Calibri"/>
        </w:rPr>
        <w:t xml:space="preserve">across Australia </w:t>
      </w:r>
      <w:r w:rsidRPr="00E94DD1">
        <w:rPr>
          <w:rFonts w:ascii="Calibri" w:hAnsi="Calibri"/>
        </w:rPr>
        <w:t xml:space="preserve">during the past two decades </w:t>
      </w:r>
      <w:r>
        <w:rPr>
          <w:rFonts w:ascii="Calibri" w:hAnsi="Calibri"/>
        </w:rPr>
        <w:t xml:space="preserve">include </w:t>
      </w:r>
      <w:r w:rsidRPr="00E94DD1">
        <w:rPr>
          <w:rFonts w:ascii="Calibri" w:hAnsi="Calibri"/>
        </w:rPr>
        <w:t>declining interest rates</w:t>
      </w:r>
      <w:r>
        <w:rPr>
          <w:rFonts w:ascii="Calibri" w:hAnsi="Calibri"/>
        </w:rPr>
        <w:t xml:space="preserve">; </w:t>
      </w:r>
      <w:r w:rsidRPr="00E94DD1">
        <w:rPr>
          <w:rFonts w:ascii="Calibri" w:hAnsi="Calibri"/>
        </w:rPr>
        <w:t>economic and population growth</w:t>
      </w:r>
      <w:r>
        <w:rPr>
          <w:rFonts w:ascii="Calibri" w:hAnsi="Calibri"/>
        </w:rPr>
        <w:t xml:space="preserve">; </w:t>
      </w:r>
      <w:r w:rsidRPr="00E94DD1">
        <w:rPr>
          <w:rFonts w:ascii="Calibri" w:hAnsi="Calibri"/>
        </w:rPr>
        <w:t>s</w:t>
      </w:r>
      <w:r>
        <w:rPr>
          <w:rFonts w:ascii="Calibri" w:hAnsi="Calibri"/>
        </w:rPr>
        <w:t>upportive tax conditions such as</w:t>
      </w:r>
      <w:r w:rsidRPr="00E94DD1">
        <w:rPr>
          <w:rFonts w:ascii="Calibri" w:hAnsi="Calibri"/>
        </w:rPr>
        <w:t xml:space="preserve"> negative gearing and capital gains</w:t>
      </w:r>
      <w:r>
        <w:rPr>
          <w:rFonts w:ascii="Calibri" w:hAnsi="Calibri"/>
        </w:rPr>
        <w:t xml:space="preserve">; and </w:t>
      </w:r>
      <w:r w:rsidRPr="00E94DD1">
        <w:rPr>
          <w:rFonts w:ascii="Calibri" w:hAnsi="Calibri"/>
        </w:rPr>
        <w:t>limited growth in housing supply</w:t>
      </w:r>
      <w:r>
        <w:rPr>
          <w:rFonts w:ascii="Calibri" w:hAnsi="Calibri"/>
        </w:rPr>
        <w:t xml:space="preserve">. </w:t>
      </w:r>
      <w:r w:rsidRPr="00E94DD1">
        <w:rPr>
          <w:rFonts w:ascii="Calibri" w:hAnsi="Calibri"/>
        </w:rPr>
        <w:t xml:space="preserve">Consequences have included rising house prices and public housing waiting lists, coupled with a </w:t>
      </w:r>
      <w:r>
        <w:rPr>
          <w:rFonts w:ascii="Calibri" w:hAnsi="Calibri"/>
        </w:rPr>
        <w:t>fall</w:t>
      </w:r>
      <w:r w:rsidRPr="00E94DD1">
        <w:rPr>
          <w:rFonts w:ascii="Calibri" w:hAnsi="Calibri"/>
        </w:rPr>
        <w:t xml:space="preserve"> in vacancy rates and affordability.</w:t>
      </w:r>
    </w:p>
    <w:p w14:paraId="4AB343A5" w14:textId="77777777" w:rsidR="00C65183" w:rsidRPr="0032082F" w:rsidRDefault="00C65183" w:rsidP="00C65183">
      <w:pPr>
        <w:pStyle w:val="IntroParagraphtoeachChapter"/>
        <w:pBdr>
          <w:bottom w:val="none" w:sz="0" w:space="0" w:color="auto"/>
        </w:pBdr>
        <w:spacing w:before="0"/>
        <w:rPr>
          <w:rFonts w:ascii="Calibri" w:hAnsi="Calibri"/>
          <w:sz w:val="16"/>
          <w:szCs w:val="16"/>
        </w:rPr>
      </w:pPr>
    </w:p>
    <w:p w14:paraId="5A36DD84" w14:textId="77777777" w:rsidR="00C65183" w:rsidRPr="001436C3" w:rsidRDefault="00C65183" w:rsidP="00C65183">
      <w:pPr>
        <w:pStyle w:val="IntroParagraphtoeachChapter"/>
        <w:pBdr>
          <w:bottom w:val="none" w:sz="0" w:space="0" w:color="auto"/>
        </w:pBdr>
        <w:spacing w:line="360" w:lineRule="auto"/>
        <w:rPr>
          <w:rFonts w:ascii="Calibri" w:hAnsi="Calibri"/>
        </w:rPr>
      </w:pPr>
      <w:r>
        <w:rPr>
          <w:rFonts w:ascii="Calibri" w:hAnsi="Calibri"/>
          <w:b/>
        </w:rPr>
        <w:t xml:space="preserve">Rental </w:t>
      </w:r>
      <w:r w:rsidRPr="00E94DD1">
        <w:rPr>
          <w:rFonts w:ascii="Calibri" w:hAnsi="Calibri"/>
          <w:b/>
        </w:rPr>
        <w:t>Affordability</w:t>
      </w:r>
    </w:p>
    <w:p w14:paraId="05DD0339" w14:textId="77777777" w:rsidR="00C65183" w:rsidRDefault="00C65183" w:rsidP="00C65183">
      <w:pPr>
        <w:pStyle w:val="IntroParagraphtoeachChapter"/>
        <w:pBdr>
          <w:bottom w:val="none" w:sz="0" w:space="0" w:color="auto"/>
        </w:pBdr>
        <w:spacing w:line="360" w:lineRule="auto"/>
        <w:rPr>
          <w:rFonts w:ascii="Calibri" w:hAnsi="Calibri"/>
        </w:rPr>
      </w:pPr>
      <w:r>
        <w:rPr>
          <w:rFonts w:ascii="Calibri" w:hAnsi="Calibri"/>
          <w:b/>
          <w:noProof/>
        </w:rPr>
        <w:drawing>
          <wp:anchor distT="0" distB="0" distL="114300" distR="114300" simplePos="0" relativeHeight="251770880" behindDoc="0" locked="0" layoutInCell="1" allowOverlap="1" wp14:anchorId="385D8D5E" wp14:editId="78052E28">
            <wp:simplePos x="0" y="0"/>
            <wp:positionH relativeFrom="margin">
              <wp:posOffset>28575</wp:posOffset>
            </wp:positionH>
            <wp:positionV relativeFrom="paragraph">
              <wp:posOffset>-24447</wp:posOffset>
            </wp:positionV>
            <wp:extent cx="3623945" cy="2517140"/>
            <wp:effectExtent l="0" t="0" r="0" b="0"/>
            <wp:wrapSquare wrapText="bothSides"/>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3623945" cy="2517140"/>
                    </a:xfrm>
                    <a:prstGeom prst="rect">
                      <a:avLst/>
                    </a:prstGeom>
                    <a:noFill/>
                  </pic:spPr>
                </pic:pic>
              </a:graphicData>
            </a:graphic>
            <wp14:sizeRelH relativeFrom="page">
              <wp14:pctWidth>0</wp14:pctWidth>
            </wp14:sizeRelH>
            <wp14:sizeRelV relativeFrom="page">
              <wp14:pctHeight>0</wp14:pctHeight>
            </wp14:sizeRelV>
          </wp:anchor>
        </w:drawing>
      </w:r>
      <w:r w:rsidRPr="00481BDA">
        <w:rPr>
          <w:rFonts w:ascii="Calibri" w:hAnsi="Calibri"/>
        </w:rPr>
        <w:t xml:space="preserve">In </w:t>
      </w:r>
      <w:r>
        <w:rPr>
          <w:rFonts w:ascii="Calibri" w:hAnsi="Calibri"/>
        </w:rPr>
        <w:t xml:space="preserve">June </w:t>
      </w:r>
      <w:r w:rsidRPr="00481BDA">
        <w:rPr>
          <w:rFonts w:ascii="Calibri" w:hAnsi="Calibri"/>
        </w:rPr>
        <w:t>20</w:t>
      </w:r>
      <w:r>
        <w:rPr>
          <w:rFonts w:ascii="Calibri" w:hAnsi="Calibri"/>
        </w:rPr>
        <w:t>20</w:t>
      </w:r>
      <w:r w:rsidRPr="00481BDA">
        <w:rPr>
          <w:rFonts w:ascii="Calibri" w:hAnsi="Calibri"/>
        </w:rPr>
        <w:t>, the average cost of renting a three-bedroom house</w:t>
      </w:r>
      <w:r>
        <w:rPr>
          <w:rFonts w:ascii="Calibri" w:hAnsi="Calibri"/>
        </w:rPr>
        <w:t xml:space="preserve"> in Greater Dandenong</w:t>
      </w:r>
      <w:r w:rsidRPr="00481BDA">
        <w:rPr>
          <w:rFonts w:ascii="Calibri" w:hAnsi="Calibri"/>
        </w:rPr>
        <w:t xml:space="preserve"> was $3</w:t>
      </w:r>
      <w:r>
        <w:rPr>
          <w:rFonts w:ascii="Calibri" w:hAnsi="Calibri"/>
        </w:rPr>
        <w:t>90</w:t>
      </w:r>
      <w:r w:rsidRPr="00481BDA">
        <w:rPr>
          <w:rFonts w:ascii="Calibri" w:hAnsi="Calibri"/>
        </w:rPr>
        <w:t xml:space="preserve"> – similar to the metropolitan average of $</w:t>
      </w:r>
      <w:r>
        <w:rPr>
          <w:rFonts w:ascii="Calibri" w:hAnsi="Calibri"/>
        </w:rPr>
        <w:t>400.</w:t>
      </w:r>
      <w:r w:rsidRPr="00481BDA">
        <w:rPr>
          <w:rFonts w:ascii="Calibri" w:hAnsi="Calibri"/>
        </w:rPr>
        <w:t xml:space="preserve"> </w:t>
      </w:r>
    </w:p>
    <w:p w14:paraId="0AD15543" w14:textId="77777777" w:rsidR="00C65183" w:rsidRPr="00BC5041" w:rsidRDefault="00C65183" w:rsidP="00C65183">
      <w:pPr>
        <w:pStyle w:val="IntroParagraphtoeachChapter"/>
        <w:pBdr>
          <w:bottom w:val="none" w:sz="0" w:space="0" w:color="auto"/>
        </w:pBdr>
        <w:spacing w:before="0"/>
        <w:jc w:val="left"/>
        <w:rPr>
          <w:rFonts w:ascii="Calibri" w:hAnsi="Calibri"/>
          <w:noProof/>
          <w:color w:val="7F7F7F"/>
          <w:sz w:val="12"/>
          <w:szCs w:val="12"/>
          <w:lang w:eastAsia="en-AU"/>
        </w:rPr>
      </w:pPr>
    </w:p>
    <w:p w14:paraId="1BC09D9F" w14:textId="77777777" w:rsidR="00C65183" w:rsidRPr="00A8103D" w:rsidRDefault="00C65183" w:rsidP="00C65183">
      <w:pPr>
        <w:pStyle w:val="IntroParagraphtoeachChapter"/>
        <w:pBdr>
          <w:bottom w:val="none" w:sz="0" w:space="0" w:color="auto"/>
        </w:pBdr>
        <w:spacing w:before="0"/>
        <w:jc w:val="left"/>
        <w:rPr>
          <w:rFonts w:ascii="Calibri" w:hAnsi="Calibri"/>
          <w:noProof/>
          <w:color w:val="7F7F7F"/>
          <w:sz w:val="20"/>
          <w:szCs w:val="20"/>
          <w:lang w:eastAsia="en-AU"/>
        </w:rPr>
      </w:pPr>
      <w:r w:rsidRPr="002D75C7">
        <w:rPr>
          <w:rFonts w:ascii="Calibri" w:hAnsi="Calibri"/>
          <w:noProof/>
          <w:color w:val="7F7F7F"/>
          <w:sz w:val="20"/>
          <w:szCs w:val="20"/>
          <w:lang w:eastAsia="en-AU"/>
        </w:rPr>
        <w:t xml:space="preserve">Per cent </w:t>
      </w:r>
      <w:r>
        <w:rPr>
          <w:rFonts w:ascii="Calibri" w:hAnsi="Calibri"/>
          <w:noProof/>
          <w:color w:val="7F7F7F"/>
          <w:sz w:val="20"/>
          <w:szCs w:val="20"/>
          <w:lang w:eastAsia="en-AU"/>
        </w:rPr>
        <w:t>r</w:t>
      </w:r>
      <w:r w:rsidRPr="002D75C7">
        <w:rPr>
          <w:rFonts w:ascii="Calibri" w:hAnsi="Calibri"/>
          <w:noProof/>
          <w:color w:val="7F7F7F"/>
          <w:sz w:val="20"/>
          <w:szCs w:val="20"/>
          <w:lang w:eastAsia="en-AU"/>
        </w:rPr>
        <w:t xml:space="preserve">ental </w:t>
      </w:r>
      <w:r>
        <w:rPr>
          <w:rFonts w:ascii="Calibri" w:hAnsi="Calibri"/>
          <w:noProof/>
          <w:color w:val="7F7F7F"/>
          <w:sz w:val="20"/>
          <w:szCs w:val="20"/>
          <w:lang w:eastAsia="en-AU"/>
        </w:rPr>
        <w:t>p</w:t>
      </w:r>
      <w:r w:rsidRPr="002D75C7">
        <w:rPr>
          <w:rFonts w:ascii="Calibri" w:hAnsi="Calibri"/>
          <w:noProof/>
          <w:color w:val="7F7F7F"/>
          <w:sz w:val="20"/>
          <w:szCs w:val="20"/>
          <w:lang w:eastAsia="en-AU"/>
        </w:rPr>
        <w:t xml:space="preserve">roperties </w:t>
      </w:r>
      <w:r>
        <w:rPr>
          <w:rFonts w:ascii="Calibri" w:hAnsi="Calibri"/>
          <w:noProof/>
          <w:color w:val="7F7F7F"/>
          <w:sz w:val="20"/>
          <w:szCs w:val="20"/>
          <w:lang w:eastAsia="en-AU"/>
        </w:rPr>
        <w:t>a</w:t>
      </w:r>
      <w:r w:rsidRPr="002D75C7">
        <w:rPr>
          <w:rFonts w:ascii="Calibri" w:hAnsi="Calibri"/>
          <w:noProof/>
          <w:color w:val="7F7F7F"/>
          <w:sz w:val="20"/>
          <w:szCs w:val="20"/>
          <w:lang w:eastAsia="en-AU"/>
        </w:rPr>
        <w:t>ffordable</w:t>
      </w:r>
      <w:r>
        <w:rPr>
          <w:rFonts w:ascii="Calibri" w:hAnsi="Calibri"/>
          <w:noProof/>
          <w:color w:val="7F7F7F"/>
          <w:sz w:val="20"/>
          <w:szCs w:val="20"/>
          <w:lang w:eastAsia="en-AU"/>
        </w:rPr>
        <w:t xml:space="preserve"> to coupes on Centrelink payments:</w:t>
      </w:r>
      <w:r w:rsidRPr="002D75C7">
        <w:rPr>
          <w:rFonts w:ascii="Calibri" w:hAnsi="Calibri"/>
          <w:noProof/>
          <w:color w:val="7F7F7F"/>
          <w:sz w:val="20"/>
          <w:szCs w:val="20"/>
          <w:lang w:eastAsia="en-AU"/>
        </w:rPr>
        <w:t xml:space="preserve"> Greater Dandenong and Metropolitan Melbourne 2000-2020 </w:t>
      </w:r>
    </w:p>
    <w:p w14:paraId="476B8BAB" w14:textId="77777777" w:rsidR="00C65183" w:rsidRDefault="00C65183" w:rsidP="00C65183">
      <w:pPr>
        <w:pStyle w:val="IntroParagraphtoeachChapter"/>
        <w:pBdr>
          <w:bottom w:val="none" w:sz="0" w:space="0" w:color="auto"/>
        </w:pBdr>
        <w:spacing w:line="360" w:lineRule="auto"/>
        <w:rPr>
          <w:rFonts w:ascii="Calibri" w:hAnsi="Calibri"/>
        </w:rPr>
      </w:pPr>
      <w:r w:rsidRPr="00E94DD1">
        <w:rPr>
          <w:rFonts w:ascii="Calibri" w:hAnsi="Calibri"/>
        </w:rPr>
        <w:t xml:space="preserve">The proportion of rental properties affordable to Centrelink recipients in Greater Dandenong fell from </w:t>
      </w:r>
      <w:r>
        <w:rPr>
          <w:rFonts w:ascii="Calibri" w:hAnsi="Calibri"/>
        </w:rPr>
        <w:t>83</w:t>
      </w:r>
      <w:r w:rsidRPr="00E94DD1">
        <w:rPr>
          <w:rFonts w:ascii="Calibri" w:hAnsi="Calibri"/>
        </w:rPr>
        <w:t>%</w:t>
      </w:r>
      <w:r>
        <w:rPr>
          <w:rFonts w:ascii="Calibri" w:hAnsi="Calibri"/>
        </w:rPr>
        <w:t xml:space="preserve"> in 2001, to</w:t>
      </w:r>
      <w:r w:rsidRPr="00E94DD1">
        <w:rPr>
          <w:rFonts w:ascii="Calibri" w:hAnsi="Calibri"/>
        </w:rPr>
        <w:t xml:space="preserve"> </w:t>
      </w:r>
      <w:r>
        <w:rPr>
          <w:rFonts w:ascii="Calibri" w:hAnsi="Calibri"/>
        </w:rPr>
        <w:t>9.3</w:t>
      </w:r>
      <w:r w:rsidRPr="00E94DD1">
        <w:rPr>
          <w:rFonts w:ascii="Calibri" w:hAnsi="Calibri"/>
        </w:rPr>
        <w:t xml:space="preserve">% </w:t>
      </w:r>
      <w:r>
        <w:rPr>
          <w:rFonts w:ascii="Calibri" w:hAnsi="Calibri"/>
        </w:rPr>
        <w:t>by</w:t>
      </w:r>
      <w:r w:rsidRPr="00E94DD1">
        <w:rPr>
          <w:rFonts w:ascii="Calibri" w:hAnsi="Calibri"/>
        </w:rPr>
        <w:t xml:space="preserve"> 20</w:t>
      </w:r>
      <w:r>
        <w:rPr>
          <w:rFonts w:ascii="Calibri" w:hAnsi="Calibri"/>
        </w:rPr>
        <w:t xml:space="preserve">20 – similar to the metropolitan average </w:t>
      </w:r>
      <w:r w:rsidRPr="00E94DD1">
        <w:rPr>
          <w:rFonts w:ascii="Calibri" w:hAnsi="Calibri"/>
        </w:rPr>
        <w:t xml:space="preserve">(diagram, </w:t>
      </w:r>
      <w:r>
        <w:rPr>
          <w:rFonts w:ascii="Calibri" w:hAnsi="Calibri"/>
        </w:rPr>
        <w:t>above), thereby aggravating the financial difficulties faced by many low-income, renting households.</w:t>
      </w:r>
    </w:p>
    <w:p w14:paraId="03D9EDBA" w14:textId="77777777" w:rsidR="00C65183" w:rsidRPr="00EA12D7" w:rsidRDefault="00C65183" w:rsidP="00C65183">
      <w:pPr>
        <w:pStyle w:val="IntroParagraphtoeachChapter"/>
        <w:pBdr>
          <w:bottom w:val="none" w:sz="0" w:space="0" w:color="auto"/>
        </w:pBdr>
        <w:rPr>
          <w:rFonts w:ascii="Calibri" w:hAnsi="Calibri"/>
          <w:b/>
        </w:rPr>
      </w:pPr>
      <w:r w:rsidRPr="00EA12D7">
        <w:rPr>
          <w:rFonts w:ascii="Calibri" w:hAnsi="Calibri"/>
          <w:b/>
        </w:rPr>
        <w:lastRenderedPageBreak/>
        <w:t>Rent-related Financial Stress</w:t>
      </w:r>
    </w:p>
    <w:p w14:paraId="5A819A70" w14:textId="77777777" w:rsidR="00C65183" w:rsidRDefault="00C65183" w:rsidP="00C65183">
      <w:pPr>
        <w:pStyle w:val="IntroParagraphtoeachChapter"/>
        <w:pBdr>
          <w:bottom w:val="none" w:sz="0" w:space="0" w:color="auto"/>
        </w:pBdr>
        <w:spacing w:line="360" w:lineRule="auto"/>
        <w:rPr>
          <w:rFonts w:ascii="Calibri" w:hAnsi="Calibri"/>
          <w:noProof/>
        </w:rPr>
      </w:pPr>
      <w:r>
        <w:rPr>
          <w:rFonts w:ascii="Calibri" w:hAnsi="Calibri"/>
        </w:rPr>
        <w:t>F</w:t>
      </w:r>
      <w:r w:rsidRPr="0096701B">
        <w:rPr>
          <w:rFonts w:ascii="Calibri" w:hAnsi="Calibri"/>
          <w:noProof/>
        </w:rPr>
        <w:t>indings from the 20</w:t>
      </w:r>
      <w:r>
        <w:rPr>
          <w:rFonts w:ascii="Calibri" w:hAnsi="Calibri"/>
          <w:noProof/>
        </w:rPr>
        <w:t>16</w:t>
      </w:r>
      <w:r w:rsidRPr="0096701B">
        <w:rPr>
          <w:rFonts w:ascii="Calibri" w:hAnsi="Calibri"/>
          <w:noProof/>
        </w:rPr>
        <w:t xml:space="preserve"> C</w:t>
      </w:r>
      <w:r>
        <w:rPr>
          <w:rFonts w:ascii="Calibri" w:hAnsi="Calibri"/>
          <w:noProof/>
        </w:rPr>
        <w:t>ensus</w:t>
      </w:r>
      <w:r w:rsidRPr="0096701B">
        <w:rPr>
          <w:rFonts w:ascii="Calibri" w:hAnsi="Calibri"/>
          <w:noProof/>
        </w:rPr>
        <w:t xml:space="preserve"> concerning incomes, family structure and rental levels, </w:t>
      </w:r>
      <w:r>
        <w:rPr>
          <w:rFonts w:ascii="Calibri" w:hAnsi="Calibri"/>
          <w:noProof/>
        </w:rPr>
        <w:t>are</w:t>
      </w:r>
      <w:r w:rsidRPr="0096701B">
        <w:rPr>
          <w:rFonts w:ascii="Calibri" w:hAnsi="Calibri"/>
          <w:noProof/>
        </w:rPr>
        <w:t xml:space="preserve"> examined</w:t>
      </w:r>
      <w:r>
        <w:rPr>
          <w:rFonts w:ascii="Calibri" w:hAnsi="Calibri"/>
          <w:noProof/>
        </w:rPr>
        <w:t xml:space="preserve"> here</w:t>
      </w:r>
      <w:r w:rsidRPr="0096701B">
        <w:rPr>
          <w:rFonts w:ascii="Calibri" w:hAnsi="Calibri"/>
          <w:noProof/>
        </w:rPr>
        <w:t xml:space="preserve"> to </w:t>
      </w:r>
      <w:r>
        <w:rPr>
          <w:rFonts w:ascii="Calibri" w:hAnsi="Calibri"/>
          <w:noProof/>
        </w:rPr>
        <w:t>document</w:t>
      </w:r>
      <w:r w:rsidRPr="0096701B">
        <w:rPr>
          <w:rFonts w:ascii="Calibri" w:hAnsi="Calibri"/>
          <w:noProof/>
        </w:rPr>
        <w:t xml:space="preserve"> the extent of financial stress faced by families, after paying rent. </w:t>
      </w:r>
      <w:r w:rsidRPr="00A552DA">
        <w:rPr>
          <w:rFonts w:ascii="Calibri" w:hAnsi="Calibri"/>
          <w:noProof/>
        </w:rPr>
        <w:t>Rental costs are deducted from household incomes for various t</w:t>
      </w:r>
      <w:r>
        <w:rPr>
          <w:rFonts w:ascii="Calibri" w:hAnsi="Calibri"/>
          <w:noProof/>
        </w:rPr>
        <w:t>ypes of one-family households, t</w:t>
      </w:r>
      <w:r w:rsidRPr="00A552DA">
        <w:rPr>
          <w:rFonts w:ascii="Calibri" w:hAnsi="Calibri"/>
          <w:noProof/>
        </w:rPr>
        <w:t>hen equivalence scales applied to determine the percentage</w:t>
      </w:r>
      <w:r>
        <w:rPr>
          <w:rFonts w:ascii="Calibri" w:hAnsi="Calibri"/>
          <w:noProof/>
        </w:rPr>
        <w:t xml:space="preserve"> of households</w:t>
      </w:r>
      <w:r w:rsidRPr="00A552DA">
        <w:rPr>
          <w:rFonts w:ascii="Calibri" w:hAnsi="Calibri"/>
          <w:noProof/>
        </w:rPr>
        <w:t xml:space="preserve"> with an income, after paying rent, equivalent to a single person </w:t>
      </w:r>
      <w:r>
        <w:rPr>
          <w:rFonts w:ascii="Calibri" w:hAnsi="Calibri"/>
          <w:noProof/>
        </w:rPr>
        <w:t xml:space="preserve">on the poverty </w:t>
      </w:r>
      <w:r>
        <w:rPr>
          <w:rFonts w:ascii="Calibri" w:hAnsi="Calibri"/>
          <w:noProof/>
          <w:lang w:eastAsia="en-AU"/>
        </w:rPr>
        <w:drawing>
          <wp:anchor distT="0" distB="0" distL="114300" distR="114300" simplePos="0" relativeHeight="251774976" behindDoc="0" locked="0" layoutInCell="1" allowOverlap="1" wp14:anchorId="79C89AA8" wp14:editId="1FE20F0D">
            <wp:simplePos x="0" y="0"/>
            <wp:positionH relativeFrom="column">
              <wp:posOffset>2730500</wp:posOffset>
            </wp:positionH>
            <wp:positionV relativeFrom="line">
              <wp:posOffset>28575</wp:posOffset>
            </wp:positionV>
            <wp:extent cx="3381375" cy="2661920"/>
            <wp:effectExtent l="0" t="0" r="9525" b="5080"/>
            <wp:wrapSquare wrapText="bothSides"/>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3381375" cy="2661920"/>
                    </a:xfrm>
                    <a:prstGeom prst="rect">
                      <a:avLst/>
                    </a:prstGeom>
                    <a:noFill/>
                  </pic:spPr>
                </pic:pic>
              </a:graphicData>
            </a:graphic>
            <wp14:sizeRelH relativeFrom="page">
              <wp14:pctWidth>0</wp14:pctWidth>
            </wp14:sizeRelH>
            <wp14:sizeRelV relativeFrom="page">
              <wp14:pctHeight>0</wp14:pctHeight>
            </wp14:sizeRelV>
          </wp:anchor>
        </w:drawing>
      </w:r>
      <w:r>
        <w:rPr>
          <w:rFonts w:ascii="Calibri" w:hAnsi="Calibri"/>
          <w:noProof/>
        </w:rPr>
        <w:t>line of $354 p.w. Renting households falling below that standard of living were regarded as experiencing rent-related poverty.</w:t>
      </w:r>
    </w:p>
    <w:p w14:paraId="390E986C" w14:textId="77777777" w:rsidR="00C65183" w:rsidRPr="008A29F7" w:rsidRDefault="00C65183" w:rsidP="00C65183">
      <w:pPr>
        <w:pStyle w:val="IntroParagraphtoeachChapter"/>
        <w:pBdr>
          <w:bottom w:val="none" w:sz="0" w:space="0" w:color="auto"/>
        </w:pBdr>
        <w:spacing w:before="0"/>
        <w:rPr>
          <w:rFonts w:ascii="Calibri" w:hAnsi="Calibri"/>
          <w:noProof/>
          <w:sz w:val="8"/>
          <w:szCs w:val="8"/>
        </w:rPr>
      </w:pPr>
    </w:p>
    <w:p w14:paraId="7FFA49FC" w14:textId="77777777" w:rsidR="00C65183" w:rsidRPr="00A8103D" w:rsidRDefault="00C65183" w:rsidP="00C65183">
      <w:pPr>
        <w:pStyle w:val="IntroParagraphtoeachChapter"/>
        <w:pBdr>
          <w:bottom w:val="none" w:sz="0" w:space="0" w:color="auto"/>
        </w:pBdr>
        <w:spacing w:before="0"/>
        <w:rPr>
          <w:rFonts w:ascii="Calibri" w:hAnsi="Calibri"/>
          <w:noProof/>
          <w:color w:val="808080"/>
          <w:sz w:val="20"/>
          <w:szCs w:val="20"/>
        </w:rPr>
      </w:pPr>
      <w:r w:rsidRPr="00A8103D">
        <w:rPr>
          <w:rFonts w:ascii="Calibri" w:hAnsi="Calibri"/>
          <w:noProof/>
          <w:color w:val="808080"/>
          <w:sz w:val="20"/>
          <w:szCs w:val="20"/>
        </w:rPr>
        <w:t xml:space="preserve">Percentage of </w:t>
      </w:r>
      <w:r>
        <w:rPr>
          <w:rFonts w:ascii="Calibri" w:hAnsi="Calibri"/>
          <w:noProof/>
          <w:color w:val="808080"/>
          <w:sz w:val="20"/>
          <w:szCs w:val="20"/>
        </w:rPr>
        <w:t>re</w:t>
      </w:r>
      <w:r w:rsidRPr="00A8103D">
        <w:rPr>
          <w:rFonts w:ascii="Calibri" w:hAnsi="Calibri"/>
          <w:noProof/>
          <w:color w:val="808080"/>
          <w:sz w:val="20"/>
          <w:szCs w:val="20"/>
        </w:rPr>
        <w:t xml:space="preserve">nters in </w:t>
      </w:r>
      <w:r>
        <w:rPr>
          <w:rFonts w:ascii="Calibri" w:hAnsi="Calibri"/>
          <w:noProof/>
          <w:color w:val="808080"/>
          <w:sz w:val="20"/>
          <w:szCs w:val="20"/>
        </w:rPr>
        <w:t>p</w:t>
      </w:r>
      <w:r w:rsidRPr="00A8103D">
        <w:rPr>
          <w:rFonts w:ascii="Calibri" w:hAnsi="Calibri"/>
          <w:noProof/>
          <w:color w:val="808080"/>
          <w:sz w:val="20"/>
          <w:szCs w:val="20"/>
        </w:rPr>
        <w:t>overty,</w:t>
      </w:r>
    </w:p>
    <w:p w14:paraId="3FF5582F" w14:textId="77777777" w:rsidR="00C65183" w:rsidRPr="00A8103D" w:rsidRDefault="00C65183" w:rsidP="00C65183">
      <w:pPr>
        <w:pStyle w:val="IntroParagraphtoeachChapter"/>
        <w:pBdr>
          <w:bottom w:val="none" w:sz="0" w:space="0" w:color="auto"/>
        </w:pBdr>
        <w:spacing w:before="0" w:after="120"/>
        <w:rPr>
          <w:rFonts w:ascii="Calibri" w:hAnsi="Calibri"/>
          <w:noProof/>
          <w:color w:val="808080"/>
          <w:sz w:val="20"/>
          <w:szCs w:val="20"/>
        </w:rPr>
      </w:pPr>
      <w:r w:rsidRPr="00A8103D">
        <w:rPr>
          <w:rFonts w:ascii="Calibri" w:hAnsi="Calibri"/>
          <w:noProof/>
          <w:color w:val="808080"/>
          <w:sz w:val="20"/>
          <w:szCs w:val="20"/>
        </w:rPr>
        <w:t xml:space="preserve">by </w:t>
      </w:r>
      <w:r>
        <w:rPr>
          <w:rFonts w:ascii="Calibri" w:hAnsi="Calibri"/>
          <w:noProof/>
          <w:color w:val="808080"/>
          <w:sz w:val="20"/>
          <w:szCs w:val="20"/>
        </w:rPr>
        <w:t>h</w:t>
      </w:r>
      <w:r w:rsidRPr="00A8103D">
        <w:rPr>
          <w:rFonts w:ascii="Calibri" w:hAnsi="Calibri"/>
          <w:noProof/>
          <w:color w:val="808080"/>
          <w:sz w:val="20"/>
          <w:szCs w:val="20"/>
        </w:rPr>
        <w:t xml:space="preserve">ousehold </w:t>
      </w:r>
      <w:r>
        <w:rPr>
          <w:rFonts w:ascii="Calibri" w:hAnsi="Calibri"/>
          <w:noProof/>
          <w:color w:val="808080"/>
          <w:sz w:val="20"/>
          <w:szCs w:val="20"/>
        </w:rPr>
        <w:t>t</w:t>
      </w:r>
      <w:r w:rsidRPr="00A8103D">
        <w:rPr>
          <w:rFonts w:ascii="Calibri" w:hAnsi="Calibri"/>
          <w:noProof/>
          <w:color w:val="808080"/>
          <w:sz w:val="20"/>
          <w:szCs w:val="20"/>
        </w:rPr>
        <w:t>ype: Greater Dandenong, 2016</w:t>
      </w:r>
    </w:p>
    <w:p w14:paraId="4244E4DB" w14:textId="77777777" w:rsidR="00C65183" w:rsidRPr="008A29F7" w:rsidRDefault="00C65183" w:rsidP="00C65183">
      <w:pPr>
        <w:pStyle w:val="IntroParagraphtoeachChapter"/>
        <w:pBdr>
          <w:bottom w:val="none" w:sz="0" w:space="0" w:color="auto"/>
        </w:pBdr>
        <w:spacing w:before="0"/>
        <w:rPr>
          <w:rFonts w:ascii="Calibri" w:hAnsi="Calibri"/>
          <w:noProof/>
          <w:color w:val="808080"/>
          <w:sz w:val="8"/>
          <w:szCs w:val="8"/>
        </w:rPr>
      </w:pPr>
    </w:p>
    <w:p w14:paraId="680C80F8" w14:textId="77777777" w:rsidR="00C65183" w:rsidRDefault="00C65183" w:rsidP="00C65183">
      <w:pPr>
        <w:tabs>
          <w:tab w:val="left" w:pos="4395"/>
        </w:tabs>
        <w:spacing w:line="360" w:lineRule="auto"/>
        <w:jc w:val="both"/>
        <w:rPr>
          <w:rFonts w:ascii="Calibri" w:hAnsi="Calibri"/>
          <w:noProof/>
        </w:rPr>
      </w:pPr>
      <w:bookmarkStart w:id="7" w:name="_Toc238291994"/>
      <w:r>
        <w:rPr>
          <w:rFonts w:ascii="Calibri" w:hAnsi="Calibri"/>
          <w:noProof/>
        </w:rPr>
        <w:t>I</w:t>
      </w:r>
      <w:r w:rsidRPr="0096701B">
        <w:rPr>
          <w:rFonts w:ascii="Calibri" w:hAnsi="Calibri"/>
          <w:noProof/>
        </w:rPr>
        <w:t>n</w:t>
      </w:r>
      <w:r>
        <w:rPr>
          <w:rFonts w:ascii="Calibri" w:hAnsi="Calibri"/>
          <w:noProof/>
        </w:rPr>
        <w:t xml:space="preserve"> </w:t>
      </w:r>
      <w:r w:rsidRPr="0096701B">
        <w:rPr>
          <w:rFonts w:ascii="Calibri" w:hAnsi="Calibri"/>
          <w:noProof/>
        </w:rPr>
        <w:t>Greater</w:t>
      </w:r>
      <w:r>
        <w:rPr>
          <w:rFonts w:ascii="Calibri" w:hAnsi="Calibri"/>
          <w:noProof/>
        </w:rPr>
        <w:t xml:space="preserve"> </w:t>
      </w:r>
      <w:r w:rsidRPr="0096701B">
        <w:rPr>
          <w:rFonts w:ascii="Calibri" w:hAnsi="Calibri"/>
          <w:noProof/>
        </w:rPr>
        <w:t xml:space="preserve">Dandenong, </w:t>
      </w:r>
      <w:r>
        <w:rPr>
          <w:rFonts w:ascii="Calibri" w:hAnsi="Calibri"/>
          <w:noProof/>
        </w:rPr>
        <w:t>55</w:t>
      </w:r>
      <w:r w:rsidRPr="0096701B">
        <w:rPr>
          <w:rFonts w:ascii="Calibri" w:hAnsi="Calibri"/>
          <w:noProof/>
        </w:rPr>
        <w:t xml:space="preserve">% of </w:t>
      </w:r>
      <w:r>
        <w:rPr>
          <w:rFonts w:ascii="Calibri" w:hAnsi="Calibri"/>
          <w:noProof/>
        </w:rPr>
        <w:t>lone person households and 59% of</w:t>
      </w:r>
      <w:bookmarkEnd w:id="7"/>
      <w:r>
        <w:rPr>
          <w:rFonts w:ascii="Calibri" w:hAnsi="Calibri"/>
          <w:noProof/>
          <w:color w:val="808080"/>
          <w:sz w:val="18"/>
          <w:szCs w:val="18"/>
        </w:rPr>
        <w:t xml:space="preserve"> </w:t>
      </w:r>
      <w:r w:rsidRPr="00A06FAF">
        <w:rPr>
          <w:rFonts w:ascii="Calibri" w:hAnsi="Calibri"/>
          <w:noProof/>
        </w:rPr>
        <w:t xml:space="preserve">renting </w:t>
      </w:r>
      <w:r>
        <w:rPr>
          <w:rFonts w:ascii="Calibri" w:hAnsi="Calibri"/>
          <w:noProof/>
        </w:rPr>
        <w:t>one-parent families were living in rent-related poverty</w:t>
      </w:r>
      <w:r w:rsidRPr="0096701B">
        <w:rPr>
          <w:rFonts w:ascii="Calibri" w:hAnsi="Calibri"/>
          <w:noProof/>
        </w:rPr>
        <w:t>.</w:t>
      </w:r>
    </w:p>
    <w:p w14:paraId="42BC9B03" w14:textId="77777777" w:rsidR="00C65183" w:rsidRDefault="00C65183" w:rsidP="00C65183">
      <w:pPr>
        <w:tabs>
          <w:tab w:val="left" w:pos="4395"/>
        </w:tabs>
        <w:spacing w:line="360" w:lineRule="auto"/>
        <w:jc w:val="both"/>
        <w:rPr>
          <w:rFonts w:ascii="Calibri" w:hAnsi="Calibri"/>
          <w:noProof/>
        </w:rPr>
      </w:pPr>
      <w:r>
        <w:rPr>
          <w:rFonts w:ascii="Calibri" w:hAnsi="Calibri"/>
          <w:noProof/>
        </w:rPr>
        <w:t>By contrast, just 16% of group households faced such hardship.</w:t>
      </w:r>
    </w:p>
    <w:p w14:paraId="589391AA" w14:textId="77777777" w:rsidR="00C65183" w:rsidRDefault="00C65183" w:rsidP="00C65183">
      <w:pPr>
        <w:tabs>
          <w:tab w:val="left" w:pos="4395"/>
        </w:tabs>
        <w:spacing w:line="360" w:lineRule="auto"/>
        <w:jc w:val="both"/>
        <w:rPr>
          <w:rFonts w:ascii="Calibri" w:hAnsi="Calibri"/>
          <w:noProof/>
        </w:rPr>
      </w:pPr>
      <w:r>
        <w:rPr>
          <w:rFonts w:ascii="Calibri" w:hAnsi="Calibri"/>
          <w:noProof/>
          <w:lang w:eastAsia="en-AU"/>
        </w:rPr>
        <w:drawing>
          <wp:anchor distT="0" distB="0" distL="114300" distR="114300" simplePos="0" relativeHeight="251767808" behindDoc="0" locked="0" layoutInCell="1" allowOverlap="1" wp14:anchorId="3E682E7A" wp14:editId="3DCBE679">
            <wp:simplePos x="0" y="0"/>
            <wp:positionH relativeFrom="column">
              <wp:posOffset>32385</wp:posOffset>
            </wp:positionH>
            <wp:positionV relativeFrom="paragraph">
              <wp:posOffset>358140</wp:posOffset>
            </wp:positionV>
            <wp:extent cx="3123565" cy="4867275"/>
            <wp:effectExtent l="0" t="0" r="635" b="9525"/>
            <wp:wrapSquare wrapText="bothSides"/>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45">
                      <a:extLst>
                        <a:ext uri="{28A0092B-C50C-407E-A947-70E740481C1C}">
                          <a14:useLocalDpi xmlns:a14="http://schemas.microsoft.com/office/drawing/2010/main" val="0"/>
                        </a:ext>
                      </a:extLst>
                    </a:blip>
                    <a:srcRect r="10046" b="1208"/>
                    <a:stretch>
                      <a:fillRect/>
                    </a:stretch>
                  </pic:blipFill>
                  <pic:spPr bwMode="auto">
                    <a:xfrm>
                      <a:off x="0" y="0"/>
                      <a:ext cx="3123565" cy="4867275"/>
                    </a:xfrm>
                    <a:prstGeom prst="rect">
                      <a:avLst/>
                    </a:prstGeom>
                    <a:noFill/>
                  </pic:spPr>
                </pic:pic>
              </a:graphicData>
            </a:graphic>
            <wp14:sizeRelH relativeFrom="page">
              <wp14:pctWidth>0</wp14:pctWidth>
            </wp14:sizeRelH>
            <wp14:sizeRelV relativeFrom="page">
              <wp14:pctHeight>0</wp14:pctHeight>
            </wp14:sizeRelV>
          </wp:anchor>
        </w:drawing>
      </w:r>
      <w:r>
        <w:rPr>
          <w:rFonts w:ascii="Calibri" w:hAnsi="Calibri"/>
          <w:noProof/>
        </w:rPr>
        <w:t>Overall, 38% of renting households in Greater Dandenong faced poverty after paying their rent, the second highest level in Victoria, and in excess of the comparable State-wide average of 32%.</w:t>
      </w:r>
    </w:p>
    <w:p w14:paraId="3047FCDA" w14:textId="77777777" w:rsidR="00C65183" w:rsidRDefault="00C65183" w:rsidP="00C65183">
      <w:pPr>
        <w:pStyle w:val="IntroParagraphtoeachChapter"/>
        <w:pBdr>
          <w:bottom w:val="none" w:sz="0" w:space="0" w:color="auto"/>
        </w:pBdr>
        <w:spacing w:before="240" w:after="60"/>
        <w:rPr>
          <w:rFonts w:ascii="Calibri" w:hAnsi="Calibri"/>
          <w:b/>
        </w:rPr>
      </w:pPr>
      <w:r>
        <w:rPr>
          <w:rFonts w:ascii="Calibri" w:hAnsi="Calibri"/>
          <w:b/>
        </w:rPr>
        <w:t>Overcrowding of Private Dwellings</w:t>
      </w:r>
    </w:p>
    <w:p w14:paraId="54BC05B8" w14:textId="77777777" w:rsidR="00C65183" w:rsidRPr="00DD6DDD" w:rsidRDefault="00C65183" w:rsidP="00C65183">
      <w:pPr>
        <w:tabs>
          <w:tab w:val="left" w:pos="4395"/>
        </w:tabs>
        <w:spacing w:line="360" w:lineRule="auto"/>
        <w:jc w:val="both"/>
        <w:rPr>
          <w:rFonts w:ascii="Calibri" w:hAnsi="Calibri"/>
          <w:noProof/>
        </w:rPr>
      </w:pPr>
      <w:r w:rsidRPr="00DD6DDD">
        <w:rPr>
          <w:rFonts w:ascii="Calibri" w:hAnsi="Calibri"/>
          <w:noProof/>
        </w:rPr>
        <w:t xml:space="preserve">To </w:t>
      </w:r>
      <w:r>
        <w:rPr>
          <w:rFonts w:ascii="Calibri" w:hAnsi="Calibri"/>
          <w:noProof/>
        </w:rPr>
        <w:t>gauge</w:t>
      </w:r>
      <w:r w:rsidRPr="00DD6DDD">
        <w:rPr>
          <w:rFonts w:ascii="Calibri" w:hAnsi="Calibri"/>
          <w:noProof/>
        </w:rPr>
        <w:t xml:space="preserve"> the proportion of private dwellings that were overcrowded, </w:t>
      </w:r>
      <w:r>
        <w:rPr>
          <w:rFonts w:ascii="Calibri" w:hAnsi="Calibri"/>
          <w:noProof/>
        </w:rPr>
        <w:t>such conditions are</w:t>
      </w:r>
      <w:r w:rsidRPr="00DD6DDD">
        <w:rPr>
          <w:rFonts w:ascii="Calibri" w:hAnsi="Calibri"/>
          <w:noProof/>
        </w:rPr>
        <w:t xml:space="preserve"> defined as persons living in private dwellings where there are either:</w:t>
      </w:r>
    </w:p>
    <w:p w14:paraId="4C344B78" w14:textId="77777777" w:rsidR="00C65183" w:rsidRPr="00A8103D" w:rsidRDefault="00C65183" w:rsidP="00C65183">
      <w:pPr>
        <w:tabs>
          <w:tab w:val="left" w:pos="284"/>
          <w:tab w:val="left" w:pos="4395"/>
        </w:tabs>
        <w:jc w:val="both"/>
        <w:rPr>
          <w:rFonts w:ascii="Calibri" w:hAnsi="Calibri"/>
          <w:noProof/>
        </w:rPr>
      </w:pPr>
      <w:r w:rsidRPr="00A8103D">
        <w:rPr>
          <w:rFonts w:ascii="Calibri" w:hAnsi="Calibri"/>
          <w:noProof/>
          <w:color w:val="FFFFFF" w:themeColor="background1"/>
        </w:rPr>
        <w:t>‘</w:t>
      </w:r>
      <w:r>
        <w:rPr>
          <w:rFonts w:ascii="Calibri" w:hAnsi="Calibri"/>
          <w:noProof/>
        </w:rPr>
        <w:t xml:space="preserve">* </w:t>
      </w:r>
      <w:r w:rsidRPr="00A8103D">
        <w:rPr>
          <w:rFonts w:ascii="Calibri" w:hAnsi="Calibri"/>
          <w:noProof/>
        </w:rPr>
        <w:t>4 or more persons in a dwelling with 0 or 1 bedrooms</w:t>
      </w:r>
    </w:p>
    <w:p w14:paraId="0D401C74" w14:textId="77777777" w:rsidR="00C65183" w:rsidRDefault="00C65183" w:rsidP="00C65183">
      <w:pPr>
        <w:tabs>
          <w:tab w:val="left" w:pos="284"/>
          <w:tab w:val="left" w:pos="4395"/>
        </w:tabs>
        <w:ind w:left="284"/>
        <w:jc w:val="both"/>
        <w:rPr>
          <w:rFonts w:ascii="Calibri" w:hAnsi="Calibri"/>
          <w:noProof/>
        </w:rPr>
      </w:pPr>
      <w:r w:rsidRPr="00A8103D">
        <w:rPr>
          <w:rFonts w:ascii="Calibri" w:hAnsi="Calibri"/>
          <w:noProof/>
          <w:color w:val="FFFFFF" w:themeColor="background1"/>
        </w:rPr>
        <w:t>‘</w:t>
      </w:r>
      <w:r>
        <w:rPr>
          <w:rFonts w:ascii="Calibri" w:hAnsi="Calibri"/>
          <w:noProof/>
        </w:rPr>
        <w:t xml:space="preserve">* </w:t>
      </w:r>
      <w:r w:rsidRPr="00DD6DDD">
        <w:rPr>
          <w:rFonts w:ascii="Calibri" w:hAnsi="Calibri"/>
          <w:noProof/>
        </w:rPr>
        <w:t>6 or more persons in a dwelling of 2 bedrooms</w:t>
      </w:r>
    </w:p>
    <w:p w14:paraId="6F904A28" w14:textId="77777777" w:rsidR="00C65183" w:rsidRDefault="00C65183" w:rsidP="00C65183">
      <w:pPr>
        <w:tabs>
          <w:tab w:val="left" w:pos="993"/>
          <w:tab w:val="left" w:pos="4395"/>
        </w:tabs>
        <w:ind w:left="633"/>
        <w:jc w:val="both"/>
        <w:rPr>
          <w:rFonts w:ascii="Calibri" w:hAnsi="Calibri"/>
          <w:noProof/>
          <w:sz w:val="8"/>
          <w:szCs w:val="8"/>
        </w:rPr>
      </w:pPr>
    </w:p>
    <w:p w14:paraId="0D79CD55" w14:textId="77777777" w:rsidR="00C65183" w:rsidRPr="008A29F7" w:rsidRDefault="00C65183" w:rsidP="00C65183">
      <w:pPr>
        <w:tabs>
          <w:tab w:val="left" w:pos="993"/>
          <w:tab w:val="left" w:pos="4395"/>
        </w:tabs>
        <w:ind w:left="633"/>
        <w:jc w:val="both"/>
        <w:rPr>
          <w:rFonts w:ascii="Calibri" w:hAnsi="Calibri"/>
          <w:noProof/>
          <w:sz w:val="8"/>
          <w:szCs w:val="8"/>
        </w:rPr>
      </w:pPr>
    </w:p>
    <w:p w14:paraId="14C6DF78" w14:textId="77777777" w:rsidR="00C65183" w:rsidRPr="00CA01BE" w:rsidRDefault="00C65183" w:rsidP="00C65183">
      <w:pPr>
        <w:tabs>
          <w:tab w:val="left" w:pos="4395"/>
        </w:tabs>
        <w:jc w:val="both"/>
        <w:rPr>
          <w:rFonts w:ascii="Calibri" w:hAnsi="Calibri"/>
          <w:noProof/>
          <w:color w:val="7F7F7F"/>
          <w:sz w:val="20"/>
          <w:szCs w:val="20"/>
        </w:rPr>
      </w:pPr>
      <w:r w:rsidRPr="00CA01BE">
        <w:rPr>
          <w:rFonts w:ascii="Calibri" w:hAnsi="Calibri"/>
          <w:noProof/>
          <w:color w:val="7F7F7F"/>
          <w:sz w:val="20"/>
          <w:szCs w:val="20"/>
        </w:rPr>
        <w:t>Proportion of private dwellings that are overcrowded: metropolitan municipalities, 2016</w:t>
      </w:r>
    </w:p>
    <w:p w14:paraId="2C77AACE" w14:textId="77777777" w:rsidR="00C65183" w:rsidRDefault="00C65183" w:rsidP="00C65183">
      <w:pPr>
        <w:tabs>
          <w:tab w:val="left" w:pos="4395"/>
        </w:tabs>
        <w:jc w:val="both"/>
        <w:rPr>
          <w:rFonts w:ascii="Calibri" w:hAnsi="Calibri"/>
          <w:noProof/>
          <w:sz w:val="8"/>
          <w:szCs w:val="8"/>
        </w:rPr>
      </w:pPr>
    </w:p>
    <w:p w14:paraId="05E05AC2" w14:textId="77777777" w:rsidR="00C65183" w:rsidRPr="008A29F7" w:rsidRDefault="00C65183" w:rsidP="00C65183">
      <w:pPr>
        <w:tabs>
          <w:tab w:val="left" w:pos="4395"/>
        </w:tabs>
        <w:jc w:val="both"/>
        <w:rPr>
          <w:rFonts w:ascii="Calibri" w:hAnsi="Calibri"/>
          <w:noProof/>
          <w:sz w:val="8"/>
          <w:szCs w:val="8"/>
        </w:rPr>
      </w:pPr>
    </w:p>
    <w:p w14:paraId="0B06879E" w14:textId="77777777" w:rsidR="00C65183" w:rsidRDefault="00C65183" w:rsidP="00C65183">
      <w:pPr>
        <w:tabs>
          <w:tab w:val="left" w:pos="4395"/>
        </w:tabs>
        <w:spacing w:line="360" w:lineRule="auto"/>
        <w:jc w:val="both"/>
        <w:rPr>
          <w:rFonts w:ascii="Calibri" w:hAnsi="Calibri"/>
          <w:noProof/>
        </w:rPr>
      </w:pPr>
      <w:r>
        <w:rPr>
          <w:rFonts w:ascii="Calibri" w:hAnsi="Calibri"/>
          <w:noProof/>
        </w:rPr>
        <w:t>Based on the findings of the 2016 Census, 4.1% of private dwellings, numbering 5,720 homes, were overcrowded – the highest proportion in metropolitan Melbourne.</w:t>
      </w:r>
    </w:p>
    <w:p w14:paraId="148D6249" w14:textId="77777777" w:rsidR="00C65183" w:rsidRDefault="00C65183" w:rsidP="00C65183">
      <w:pPr>
        <w:tabs>
          <w:tab w:val="left" w:pos="4395"/>
        </w:tabs>
        <w:spacing w:line="360" w:lineRule="auto"/>
        <w:jc w:val="both"/>
        <w:rPr>
          <w:rFonts w:ascii="Calibri" w:hAnsi="Calibri"/>
          <w:noProof/>
        </w:rPr>
      </w:pPr>
      <w:r>
        <w:rPr>
          <w:rFonts w:ascii="Calibri" w:hAnsi="Calibri"/>
          <w:noProof/>
        </w:rPr>
        <w:t>Among residents in rented accommodation, 7.2% were living in such conditions, compared with 2.2% who owned or were purchasing their homes.</w:t>
      </w:r>
    </w:p>
    <w:p w14:paraId="0F00529B" w14:textId="77777777" w:rsidR="00C65183" w:rsidRPr="008A29F7" w:rsidRDefault="00C65183" w:rsidP="00C65183">
      <w:pPr>
        <w:tabs>
          <w:tab w:val="left" w:pos="4395"/>
        </w:tabs>
        <w:spacing w:line="360" w:lineRule="auto"/>
        <w:jc w:val="both"/>
        <w:rPr>
          <w:rFonts w:ascii="Calibri" w:hAnsi="Calibri"/>
          <w:noProof/>
        </w:rPr>
      </w:pPr>
      <w:r>
        <w:rPr>
          <w:rFonts w:ascii="Calibri" w:hAnsi="Calibri"/>
          <w:noProof/>
        </w:rPr>
        <w:lastRenderedPageBreak/>
        <w:t>Most people (86%) living in overcrowded accommodation were members of families. Among them, 81% were members of couple families with children, 13% members of one-parent families and 6% couples without children.</w:t>
      </w:r>
    </w:p>
    <w:p w14:paraId="1A6DADBF" w14:textId="77777777" w:rsidR="00C65183" w:rsidRDefault="00C65183" w:rsidP="00C65183">
      <w:pPr>
        <w:tabs>
          <w:tab w:val="left" w:pos="4395"/>
        </w:tabs>
        <w:jc w:val="both"/>
        <w:rPr>
          <w:rFonts w:ascii="Calibri" w:hAnsi="Calibri"/>
          <w:noProof/>
          <w:color w:val="7F7F7F"/>
          <w:sz w:val="18"/>
          <w:szCs w:val="18"/>
        </w:rPr>
      </w:pPr>
      <w:r>
        <w:rPr>
          <w:rFonts w:ascii="Calibri" w:hAnsi="Calibri"/>
          <w:noProof/>
          <w:lang w:eastAsia="en-AU"/>
        </w:rPr>
        <w:drawing>
          <wp:anchor distT="0" distB="0" distL="114300" distR="114300" simplePos="0" relativeHeight="251771904" behindDoc="0" locked="0" layoutInCell="1" allowOverlap="1" wp14:anchorId="525575DD" wp14:editId="33978B2F">
            <wp:simplePos x="0" y="0"/>
            <wp:positionH relativeFrom="column">
              <wp:posOffset>2555875</wp:posOffset>
            </wp:positionH>
            <wp:positionV relativeFrom="paragraph">
              <wp:posOffset>5715</wp:posOffset>
            </wp:positionV>
            <wp:extent cx="3547745" cy="2600325"/>
            <wp:effectExtent l="0" t="0" r="0" b="9525"/>
            <wp:wrapSquare wrapText="bothSides"/>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3547745" cy="2600325"/>
                    </a:xfrm>
                    <a:prstGeom prst="rect">
                      <a:avLst/>
                    </a:prstGeom>
                    <a:noFill/>
                  </pic:spPr>
                </pic:pic>
              </a:graphicData>
            </a:graphic>
            <wp14:sizeRelH relativeFrom="page">
              <wp14:pctWidth>0</wp14:pctWidth>
            </wp14:sizeRelH>
            <wp14:sizeRelV relativeFrom="page">
              <wp14:pctHeight>0</wp14:pctHeight>
            </wp14:sizeRelV>
          </wp:anchor>
        </w:drawing>
      </w:r>
    </w:p>
    <w:p w14:paraId="7CAF3D05" w14:textId="77777777" w:rsidR="00C65183" w:rsidRPr="00A774B1" w:rsidRDefault="00C65183" w:rsidP="00C65183">
      <w:pPr>
        <w:tabs>
          <w:tab w:val="left" w:pos="4395"/>
        </w:tabs>
        <w:jc w:val="both"/>
        <w:rPr>
          <w:rFonts w:ascii="Calibri" w:hAnsi="Calibri"/>
          <w:noProof/>
          <w:color w:val="7F7F7F"/>
          <w:sz w:val="20"/>
          <w:szCs w:val="20"/>
        </w:rPr>
      </w:pPr>
      <w:r w:rsidRPr="00A774B1">
        <w:rPr>
          <w:rFonts w:ascii="Calibri" w:hAnsi="Calibri"/>
          <w:noProof/>
          <w:color w:val="7F7F7F"/>
          <w:sz w:val="20"/>
          <w:szCs w:val="20"/>
        </w:rPr>
        <w:t xml:space="preserve">Overcrowding of dwellings: </w:t>
      </w:r>
      <w:r>
        <w:rPr>
          <w:rFonts w:ascii="Calibri" w:hAnsi="Calibri"/>
          <w:noProof/>
          <w:color w:val="7F7F7F"/>
          <w:sz w:val="20"/>
          <w:szCs w:val="20"/>
        </w:rPr>
        <w:t>s</w:t>
      </w:r>
      <w:r w:rsidRPr="00A774B1">
        <w:rPr>
          <w:rFonts w:ascii="Calibri" w:hAnsi="Calibri"/>
          <w:noProof/>
          <w:color w:val="7F7F7F"/>
          <w:sz w:val="20"/>
          <w:szCs w:val="20"/>
        </w:rPr>
        <w:t>uburbs of Greater Dandenong, 2016</w:t>
      </w:r>
    </w:p>
    <w:p w14:paraId="69C4D157" w14:textId="77777777" w:rsidR="00C65183" w:rsidRDefault="00C65183" w:rsidP="00C65183">
      <w:pPr>
        <w:tabs>
          <w:tab w:val="left" w:pos="4395"/>
        </w:tabs>
        <w:spacing w:line="360" w:lineRule="auto"/>
        <w:jc w:val="both"/>
        <w:rPr>
          <w:rFonts w:ascii="Calibri" w:hAnsi="Calibri"/>
          <w:noProof/>
        </w:rPr>
      </w:pPr>
    </w:p>
    <w:p w14:paraId="3E9FDF6E" w14:textId="77777777" w:rsidR="00C65183" w:rsidRPr="00CB4136" w:rsidRDefault="00C65183" w:rsidP="00C65183">
      <w:pPr>
        <w:tabs>
          <w:tab w:val="left" w:pos="4395"/>
        </w:tabs>
        <w:spacing w:line="360" w:lineRule="auto"/>
        <w:jc w:val="both"/>
        <w:rPr>
          <w:rFonts w:ascii="Calibri" w:hAnsi="Calibri"/>
          <w:noProof/>
        </w:rPr>
      </w:pPr>
      <w:r>
        <w:rPr>
          <w:rFonts w:ascii="Calibri" w:hAnsi="Calibri"/>
          <w:noProof/>
        </w:rPr>
        <w:t>Overcrowding</w:t>
      </w:r>
      <w:r w:rsidRPr="00CB4136">
        <w:rPr>
          <w:rFonts w:ascii="Calibri" w:hAnsi="Calibri"/>
          <w:noProof/>
        </w:rPr>
        <w:t xml:space="preserve"> was most prevalent in Springvale and Dandenong, and least common in Noble Park North and Keysborough.</w:t>
      </w:r>
    </w:p>
    <w:p w14:paraId="164B5D39" w14:textId="77777777" w:rsidR="00C65183" w:rsidRDefault="00C65183" w:rsidP="00C65183">
      <w:pPr>
        <w:pStyle w:val="IntroParagraphtoeachChapter"/>
        <w:pBdr>
          <w:bottom w:val="none" w:sz="0" w:space="0" w:color="auto"/>
        </w:pBdr>
        <w:spacing w:before="0" w:line="360" w:lineRule="auto"/>
        <w:rPr>
          <w:rFonts w:ascii="Calibri" w:hAnsi="Calibri"/>
          <w:b/>
        </w:rPr>
      </w:pPr>
    </w:p>
    <w:p w14:paraId="64441A83" w14:textId="77777777" w:rsidR="00C65183" w:rsidRDefault="00C65183" w:rsidP="00C65183">
      <w:pPr>
        <w:pStyle w:val="IntroParagraphtoeachChapter"/>
        <w:pBdr>
          <w:bottom w:val="none" w:sz="0" w:space="0" w:color="auto"/>
        </w:pBdr>
        <w:spacing w:before="0" w:line="360" w:lineRule="auto"/>
        <w:rPr>
          <w:rFonts w:ascii="Calibri" w:hAnsi="Calibri"/>
          <w:b/>
        </w:rPr>
      </w:pPr>
    </w:p>
    <w:p w14:paraId="23BA0662" w14:textId="77777777" w:rsidR="00C65183" w:rsidRDefault="00C65183" w:rsidP="00C65183">
      <w:pPr>
        <w:pStyle w:val="IntroParagraphtoeachChapter"/>
        <w:pBdr>
          <w:bottom w:val="none" w:sz="0" w:space="0" w:color="auto"/>
        </w:pBdr>
        <w:spacing w:before="0" w:line="360" w:lineRule="auto"/>
        <w:rPr>
          <w:rFonts w:ascii="Calibri" w:hAnsi="Calibri"/>
          <w:b/>
        </w:rPr>
      </w:pPr>
    </w:p>
    <w:p w14:paraId="32939B92" w14:textId="77777777" w:rsidR="00C65183" w:rsidRDefault="00C65183" w:rsidP="00C65183">
      <w:pPr>
        <w:pStyle w:val="IntroParagraphtoeachChapter"/>
        <w:pBdr>
          <w:bottom w:val="none" w:sz="0" w:space="0" w:color="auto"/>
        </w:pBdr>
        <w:spacing w:before="0" w:line="360" w:lineRule="auto"/>
        <w:rPr>
          <w:rFonts w:ascii="Calibri" w:hAnsi="Calibri"/>
          <w:b/>
        </w:rPr>
      </w:pPr>
    </w:p>
    <w:p w14:paraId="63C3EBD4" w14:textId="77777777" w:rsidR="00C65183" w:rsidRPr="008751D8" w:rsidRDefault="00C65183" w:rsidP="00C65183">
      <w:pPr>
        <w:pStyle w:val="IntroParagraphtoeachChapter"/>
        <w:pBdr>
          <w:bottom w:val="none" w:sz="0" w:space="0" w:color="auto"/>
        </w:pBdr>
        <w:spacing w:before="0" w:line="360" w:lineRule="auto"/>
        <w:rPr>
          <w:rFonts w:ascii="Calibri" w:hAnsi="Calibri"/>
          <w:color w:val="7F7F7F"/>
          <w:sz w:val="18"/>
          <w:szCs w:val="18"/>
        </w:rPr>
      </w:pPr>
      <w:r w:rsidRPr="00E94DD1">
        <w:rPr>
          <w:rFonts w:ascii="Calibri" w:hAnsi="Calibri"/>
          <w:b/>
        </w:rPr>
        <w:t>Homelessness</w:t>
      </w:r>
    </w:p>
    <w:p w14:paraId="6E3B2244" w14:textId="77777777" w:rsidR="00C65183" w:rsidRDefault="00C65183" w:rsidP="00C65183">
      <w:pPr>
        <w:pStyle w:val="IntroParagraphtoeachChapter"/>
        <w:pBdr>
          <w:bottom w:val="none" w:sz="0" w:space="0" w:color="auto"/>
        </w:pBdr>
        <w:tabs>
          <w:tab w:val="left" w:pos="6521"/>
        </w:tabs>
        <w:spacing w:before="0" w:line="360" w:lineRule="auto"/>
        <w:rPr>
          <w:rFonts w:ascii="Calibri" w:hAnsi="Calibri"/>
        </w:rPr>
      </w:pPr>
      <w:r>
        <w:rPr>
          <w:rFonts w:ascii="Calibri" w:hAnsi="Calibri"/>
        </w:rPr>
        <w:t xml:space="preserve">In 2018, the Australian Bureau of Statistics published estimates of the number of homeless people in each municipality and suburb, calculated from the results of the 2016 Census. Homelessness persons were defined as those sleeping outdoors, residing in homeless accommodation or boarding houses, living with friends temporarily, or enduring severely overcrowded conditions. </w:t>
      </w:r>
    </w:p>
    <w:p w14:paraId="6D9E8D60" w14:textId="77777777" w:rsidR="00C65183" w:rsidRDefault="00C65183" w:rsidP="00C65183">
      <w:pPr>
        <w:pStyle w:val="IntroParagraphtoeachChapter"/>
        <w:pBdr>
          <w:bottom w:val="none" w:sz="0" w:space="0" w:color="auto"/>
        </w:pBdr>
        <w:tabs>
          <w:tab w:val="left" w:pos="6521"/>
        </w:tabs>
        <w:spacing w:before="0" w:line="360" w:lineRule="auto"/>
        <w:rPr>
          <w:rFonts w:ascii="Calibri" w:hAnsi="Calibri"/>
        </w:rPr>
      </w:pPr>
      <w:r>
        <w:rPr>
          <w:rFonts w:ascii="Calibri" w:hAnsi="Calibri"/>
        </w:rPr>
        <w:t>A total of 1,942 persons in Greater Dandenong were homeless, over three-fifths (61%) of them living in overcrowded circumstances. Homeless residents accounted for 1.2% of the population of Greater Dandenong – nearly three times the Victorian level, of 0.42%, and the highest proportion in Victoria.</w:t>
      </w:r>
    </w:p>
    <w:p w14:paraId="76A293AF" w14:textId="77777777" w:rsidR="00C65183" w:rsidRDefault="00C65183" w:rsidP="00C65183">
      <w:pPr>
        <w:pStyle w:val="IntroParagraphtoeachChapter"/>
        <w:pBdr>
          <w:bottom w:val="none" w:sz="0" w:space="0" w:color="auto"/>
        </w:pBdr>
        <w:tabs>
          <w:tab w:val="left" w:pos="6521"/>
        </w:tabs>
        <w:spacing w:before="0" w:line="360" w:lineRule="auto"/>
        <w:rPr>
          <w:rFonts w:ascii="Calibri" w:hAnsi="Calibri"/>
        </w:rPr>
      </w:pPr>
      <w:r>
        <w:rPr>
          <w:rFonts w:ascii="Calibri" w:hAnsi="Calibri"/>
          <w:noProof/>
          <w:lang w:val="en-AU" w:eastAsia="en-AU"/>
        </w:rPr>
        <w:drawing>
          <wp:anchor distT="0" distB="0" distL="114300" distR="114300" simplePos="0" relativeHeight="251778048" behindDoc="0" locked="0" layoutInCell="1" allowOverlap="1" wp14:anchorId="57C35321" wp14:editId="7B58F6A5">
            <wp:simplePos x="0" y="0"/>
            <wp:positionH relativeFrom="margin">
              <wp:posOffset>5138642</wp:posOffset>
            </wp:positionH>
            <wp:positionV relativeFrom="paragraph">
              <wp:posOffset>48260</wp:posOffset>
            </wp:positionV>
            <wp:extent cx="977733" cy="823913"/>
            <wp:effectExtent l="0" t="0" r="0" b="0"/>
            <wp:wrapNone/>
            <wp:docPr id="256" name="Picture 88" descr="Homeless famil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meless family.jpg"/>
                    <pic:cNvPicPr/>
                  </pic:nvPicPr>
                  <pic:blipFill>
                    <a:blip r:embed="rId147" cstate="print"/>
                    <a:srcRect l="13580" r="16872"/>
                    <a:stretch>
                      <a:fillRect/>
                    </a:stretch>
                  </pic:blipFill>
                  <pic:spPr>
                    <a:xfrm>
                      <a:off x="0" y="0"/>
                      <a:ext cx="993703" cy="8373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rFonts w:ascii="Calibri" w:hAnsi="Calibri"/>
          <w:noProof/>
          <w:lang w:val="en-AU" w:eastAsia="en-AU"/>
        </w:rPr>
        <w:drawing>
          <wp:anchor distT="0" distB="0" distL="114300" distR="114300" simplePos="0" relativeHeight="251777024" behindDoc="0" locked="0" layoutInCell="1" allowOverlap="1" wp14:anchorId="1EFB1A18" wp14:editId="2224D1D4">
            <wp:simplePos x="0" y="0"/>
            <wp:positionH relativeFrom="margin">
              <wp:align>right</wp:align>
            </wp:positionH>
            <wp:positionV relativeFrom="line">
              <wp:posOffset>57785</wp:posOffset>
            </wp:positionV>
            <wp:extent cx="3627755" cy="2526030"/>
            <wp:effectExtent l="0" t="0" r="0" b="7620"/>
            <wp:wrapSquare wrapText="bothSides"/>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48">
                      <a:extLst>
                        <a:ext uri="{28A0092B-C50C-407E-A947-70E740481C1C}">
                          <a14:useLocalDpi xmlns:a14="http://schemas.microsoft.com/office/drawing/2010/main" val="0"/>
                        </a:ext>
                      </a:extLst>
                    </a:blip>
                    <a:srcRect t="8754" r="4469"/>
                    <a:stretch/>
                  </pic:blipFill>
                  <pic:spPr bwMode="auto">
                    <a:xfrm>
                      <a:off x="0" y="0"/>
                      <a:ext cx="3627755" cy="25260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6088B7F" w14:textId="77777777" w:rsidR="00C65183" w:rsidRPr="00A774B1" w:rsidRDefault="00C65183" w:rsidP="00C65183">
      <w:pPr>
        <w:pStyle w:val="IntroParagraphtoeachChapter"/>
        <w:pBdr>
          <w:bottom w:val="none" w:sz="0" w:space="0" w:color="auto"/>
        </w:pBdr>
        <w:tabs>
          <w:tab w:val="left" w:pos="6521"/>
        </w:tabs>
        <w:spacing w:before="120" w:after="240"/>
        <w:jc w:val="left"/>
        <w:rPr>
          <w:rFonts w:ascii="Calibri" w:hAnsi="Calibri"/>
          <w:color w:val="7F7F7F"/>
          <w:sz w:val="20"/>
          <w:szCs w:val="20"/>
        </w:rPr>
      </w:pPr>
      <w:r w:rsidRPr="00A774B1">
        <w:rPr>
          <w:rFonts w:ascii="Calibri" w:hAnsi="Calibri"/>
          <w:color w:val="7F7F7F"/>
          <w:sz w:val="20"/>
          <w:szCs w:val="20"/>
        </w:rPr>
        <w:t xml:space="preserve">Number of </w:t>
      </w:r>
      <w:r>
        <w:rPr>
          <w:rFonts w:ascii="Calibri" w:hAnsi="Calibri"/>
          <w:color w:val="7F7F7F"/>
          <w:sz w:val="20"/>
          <w:szCs w:val="20"/>
        </w:rPr>
        <w:t>h</w:t>
      </w:r>
      <w:r w:rsidRPr="00A774B1">
        <w:rPr>
          <w:rFonts w:ascii="Calibri" w:hAnsi="Calibri"/>
          <w:color w:val="7F7F7F"/>
          <w:sz w:val="20"/>
          <w:szCs w:val="20"/>
        </w:rPr>
        <w:t xml:space="preserve">omeless </w:t>
      </w:r>
      <w:r>
        <w:rPr>
          <w:rFonts w:ascii="Calibri" w:hAnsi="Calibri"/>
          <w:color w:val="7F7F7F"/>
          <w:sz w:val="20"/>
          <w:szCs w:val="20"/>
        </w:rPr>
        <w:t>p</w:t>
      </w:r>
      <w:r w:rsidRPr="00A774B1">
        <w:rPr>
          <w:rFonts w:ascii="Calibri" w:hAnsi="Calibri"/>
          <w:color w:val="7F7F7F"/>
          <w:sz w:val="20"/>
          <w:szCs w:val="20"/>
        </w:rPr>
        <w:t xml:space="preserve">ersons by </w:t>
      </w:r>
      <w:r>
        <w:rPr>
          <w:rFonts w:ascii="Calibri" w:hAnsi="Calibri"/>
          <w:color w:val="7F7F7F"/>
          <w:sz w:val="20"/>
          <w:szCs w:val="20"/>
        </w:rPr>
        <w:t>s</w:t>
      </w:r>
      <w:r w:rsidRPr="00A774B1">
        <w:rPr>
          <w:rFonts w:ascii="Calibri" w:hAnsi="Calibri"/>
          <w:color w:val="7F7F7F"/>
          <w:sz w:val="20"/>
          <w:szCs w:val="20"/>
        </w:rPr>
        <w:t>uburb: Greater Dandenong 2016</w:t>
      </w:r>
    </w:p>
    <w:p w14:paraId="20DC68C5" w14:textId="77777777" w:rsidR="00C65183" w:rsidRDefault="00C65183" w:rsidP="00C65183">
      <w:pPr>
        <w:pStyle w:val="IntroParagraphtoeachChapter"/>
        <w:pBdr>
          <w:bottom w:val="none" w:sz="0" w:space="0" w:color="auto"/>
        </w:pBdr>
        <w:tabs>
          <w:tab w:val="left" w:pos="6521"/>
        </w:tabs>
        <w:spacing w:before="0" w:line="360" w:lineRule="auto"/>
        <w:rPr>
          <w:rFonts w:ascii="Calibri" w:hAnsi="Calibri"/>
        </w:rPr>
      </w:pPr>
    </w:p>
    <w:p w14:paraId="42AC1B0B" w14:textId="77777777" w:rsidR="00C65183" w:rsidRDefault="00C65183" w:rsidP="00C65183">
      <w:pPr>
        <w:pStyle w:val="IntroParagraphtoeachChapter"/>
        <w:pBdr>
          <w:bottom w:val="none" w:sz="0" w:space="0" w:color="auto"/>
        </w:pBdr>
        <w:tabs>
          <w:tab w:val="left" w:pos="6521"/>
        </w:tabs>
        <w:spacing w:before="0" w:line="360" w:lineRule="auto"/>
        <w:rPr>
          <w:rFonts w:ascii="Calibri" w:hAnsi="Calibri"/>
        </w:rPr>
      </w:pPr>
      <w:r>
        <w:rPr>
          <w:rFonts w:ascii="Calibri" w:hAnsi="Calibri"/>
        </w:rPr>
        <w:t xml:space="preserve">Homeless residents resided largely in Dandenong, Springvale or Noble Park, with few in Keysborough, Noble Park North or Springvale South. </w:t>
      </w:r>
    </w:p>
    <w:p w14:paraId="5F9647CA" w14:textId="77777777" w:rsidR="00C65183" w:rsidRDefault="00C65183" w:rsidP="00C65183">
      <w:pPr>
        <w:pStyle w:val="IntroParagraphtoeachChapter"/>
        <w:pBdr>
          <w:bottom w:val="none" w:sz="0" w:space="0" w:color="auto"/>
        </w:pBdr>
        <w:tabs>
          <w:tab w:val="left" w:pos="6521"/>
        </w:tabs>
        <w:spacing w:before="0" w:line="360" w:lineRule="auto"/>
        <w:rPr>
          <w:rFonts w:ascii="Calibri" w:hAnsi="Calibri"/>
        </w:rPr>
      </w:pPr>
      <w:r>
        <w:rPr>
          <w:rFonts w:ascii="Calibri" w:hAnsi="Calibri"/>
        </w:rPr>
        <w:t>At 2.3%, the percentage of residents who were homeless in the suburb of Dandenong was the highest in Victoria and five times the state level.</w:t>
      </w:r>
    </w:p>
    <w:p w14:paraId="234D0593" w14:textId="77777777" w:rsidR="00C65183" w:rsidRDefault="00C65183" w:rsidP="00C65183">
      <w:pPr>
        <w:rPr>
          <w:rFonts w:asciiTheme="minorHAnsi" w:hAnsiTheme="minorHAnsi" w:cstheme="minorHAnsi"/>
        </w:rPr>
      </w:pPr>
      <w:r>
        <w:rPr>
          <w:rFonts w:asciiTheme="minorHAnsi" w:hAnsiTheme="minorHAnsi" w:cstheme="minorHAnsi"/>
        </w:rPr>
        <w:br w:type="page"/>
      </w:r>
    </w:p>
    <w:p w14:paraId="5CDB8F2C" w14:textId="77777777" w:rsidR="00C65183" w:rsidRPr="00827F47" w:rsidRDefault="00C65183" w:rsidP="00C65183">
      <w:pPr>
        <w:pBdr>
          <w:top w:val="single" w:sz="4" w:space="0" w:color="244061" w:themeColor="accent1" w:themeShade="80"/>
          <w:bottom w:val="single" w:sz="4" w:space="1" w:color="244061" w:themeColor="accent1" w:themeShade="80"/>
        </w:pBdr>
        <w:tabs>
          <w:tab w:val="center" w:pos="4678"/>
        </w:tabs>
        <w:jc w:val="center"/>
        <w:rPr>
          <w:rFonts w:ascii="Garamond" w:hAnsi="Garamond"/>
          <w:noProof/>
          <w:color w:val="244061" w:themeColor="accent1" w:themeShade="80"/>
          <w:sz w:val="34"/>
          <w:szCs w:val="34"/>
        </w:rPr>
      </w:pPr>
      <w:r w:rsidRPr="00827F47">
        <w:rPr>
          <w:rFonts w:ascii="Garamond" w:hAnsi="Garamond"/>
          <w:noProof/>
          <w:color w:val="244061" w:themeColor="accent1" w:themeShade="80"/>
          <w:sz w:val="34"/>
          <w:szCs w:val="34"/>
        </w:rPr>
        <w:lastRenderedPageBreak/>
        <w:t xml:space="preserve">Transport </w:t>
      </w:r>
    </w:p>
    <w:p w14:paraId="6E1082B8" w14:textId="77777777" w:rsidR="00C65183" w:rsidRPr="00E56B63" w:rsidRDefault="00C65183" w:rsidP="00C65183">
      <w:pPr>
        <w:rPr>
          <w:rFonts w:ascii="Calibri" w:hAnsi="Calibri"/>
          <w:lang w:val="en-US"/>
        </w:rPr>
      </w:pPr>
      <w:r>
        <w:rPr>
          <w:rFonts w:ascii="Calibri" w:hAnsi="Calibri"/>
          <w:noProof/>
          <w:sz w:val="8"/>
          <w:szCs w:val="8"/>
          <w:lang w:eastAsia="en-AU"/>
        </w:rPr>
        <w:drawing>
          <wp:anchor distT="0" distB="0" distL="114300" distR="114300" simplePos="0" relativeHeight="251785216" behindDoc="0" locked="0" layoutInCell="1" allowOverlap="1" wp14:anchorId="799273F3" wp14:editId="02772B7D">
            <wp:simplePos x="0" y="0"/>
            <wp:positionH relativeFrom="column">
              <wp:posOffset>4469765</wp:posOffset>
            </wp:positionH>
            <wp:positionV relativeFrom="paragraph">
              <wp:posOffset>158115</wp:posOffset>
            </wp:positionV>
            <wp:extent cx="1638935" cy="1228725"/>
            <wp:effectExtent l="0" t="0" r="0" b="9525"/>
            <wp:wrapSquare wrapText="bothSides"/>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port 7.jpg"/>
                    <pic:cNvPicPr/>
                  </pic:nvPicPr>
                  <pic:blipFill>
                    <a:blip r:embed="rId149" cstate="print">
                      <a:extLst>
                        <a:ext uri="{BEBA8EAE-BF5A-486C-A8C5-ECC9F3942E4B}">
                          <a14:imgProps xmlns:a14="http://schemas.microsoft.com/office/drawing/2010/main">
                            <a14:imgLayer r:embed="rId150">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1638935" cy="122872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0A73B0BA" w14:textId="77777777" w:rsidR="00C65183" w:rsidRPr="00985EBD" w:rsidRDefault="00C65183" w:rsidP="00C65183">
      <w:pPr>
        <w:spacing w:line="360" w:lineRule="auto"/>
        <w:jc w:val="both"/>
        <w:rPr>
          <w:rFonts w:ascii="Calibri" w:hAnsi="Calibri"/>
          <w:b/>
        </w:rPr>
      </w:pPr>
      <w:r w:rsidRPr="00985EBD">
        <w:rPr>
          <w:rFonts w:ascii="Calibri" w:hAnsi="Calibri"/>
          <w:b/>
        </w:rPr>
        <w:t>Car Ownership</w:t>
      </w:r>
    </w:p>
    <w:p w14:paraId="134F87FF" w14:textId="77777777" w:rsidR="00C65183" w:rsidRPr="00886AD5" w:rsidRDefault="00C65183" w:rsidP="00C65183">
      <w:pPr>
        <w:spacing w:line="360" w:lineRule="auto"/>
        <w:jc w:val="both"/>
        <w:rPr>
          <w:rFonts w:ascii="Calibri" w:hAnsi="Calibri"/>
        </w:rPr>
      </w:pPr>
      <w:r w:rsidRPr="00886AD5">
        <w:rPr>
          <w:rFonts w:ascii="Calibri" w:hAnsi="Calibri"/>
        </w:rPr>
        <w:t>Access to private transport is limited for many families, especially those with young children and rec</w:t>
      </w:r>
      <w:r>
        <w:rPr>
          <w:rFonts w:ascii="Calibri" w:hAnsi="Calibri"/>
        </w:rPr>
        <w:t>ently-arrived settlers. In 2016, 25</w:t>
      </w:r>
      <w:r w:rsidRPr="00886AD5">
        <w:rPr>
          <w:rFonts w:ascii="Calibri" w:hAnsi="Calibri"/>
        </w:rPr>
        <w:t>% of two-parent families with young children (&lt;</w:t>
      </w:r>
      <w:r>
        <w:rPr>
          <w:rFonts w:ascii="Calibri" w:hAnsi="Calibri"/>
        </w:rPr>
        <w:t>15</w:t>
      </w:r>
      <w:r w:rsidRPr="00886AD5">
        <w:rPr>
          <w:rFonts w:ascii="Calibri" w:hAnsi="Calibri"/>
        </w:rPr>
        <w:t xml:space="preserve"> years) had either one or no cars</w:t>
      </w:r>
      <w:r>
        <w:rPr>
          <w:rFonts w:ascii="Calibri" w:hAnsi="Calibri"/>
        </w:rPr>
        <w:t xml:space="preserve"> (that is, fewer cars than parents)</w:t>
      </w:r>
      <w:r w:rsidRPr="00886AD5">
        <w:rPr>
          <w:rFonts w:ascii="Calibri" w:hAnsi="Calibri"/>
        </w:rPr>
        <w:t xml:space="preserve">, compared with </w:t>
      </w:r>
      <w:r>
        <w:rPr>
          <w:rFonts w:ascii="Calibri" w:hAnsi="Calibri"/>
        </w:rPr>
        <w:t>18</w:t>
      </w:r>
      <w:r w:rsidRPr="00886AD5">
        <w:rPr>
          <w:rFonts w:ascii="Calibri" w:hAnsi="Calibri"/>
        </w:rPr>
        <w:t xml:space="preserve">% of such families across Melbourne. </w:t>
      </w:r>
      <w:r>
        <w:rPr>
          <w:rFonts w:ascii="Calibri" w:hAnsi="Calibri"/>
        </w:rPr>
        <w:t>Overall, 1.3% of two-parent families whose parents were born in Australia, had no car, compared with over 5% of those from Burma, Iran, Iraq, Sudan and Thailand.</w:t>
      </w:r>
    </w:p>
    <w:p w14:paraId="6D20EC7E" w14:textId="77777777" w:rsidR="00C65183" w:rsidRPr="00985EBD" w:rsidRDefault="00C65183" w:rsidP="00C65183">
      <w:pPr>
        <w:spacing w:line="360" w:lineRule="auto"/>
        <w:jc w:val="both"/>
        <w:rPr>
          <w:rFonts w:ascii="Calibri" w:hAnsi="Calibri"/>
          <w:sz w:val="8"/>
          <w:szCs w:val="8"/>
        </w:rPr>
      </w:pPr>
    </w:p>
    <w:p w14:paraId="231D9A15" w14:textId="77777777" w:rsidR="00C65183" w:rsidRPr="00F62786" w:rsidRDefault="00C65183" w:rsidP="00C65183">
      <w:pPr>
        <w:rPr>
          <w:rFonts w:ascii="Calibri" w:hAnsi="Calibri"/>
          <w:color w:val="808080"/>
          <w:sz w:val="20"/>
          <w:szCs w:val="20"/>
        </w:rPr>
      </w:pPr>
      <w:r w:rsidRPr="00F62786">
        <w:rPr>
          <w:rFonts w:ascii="Calibri" w:hAnsi="Calibri"/>
          <w:color w:val="808080"/>
          <w:sz w:val="20"/>
          <w:szCs w:val="20"/>
        </w:rPr>
        <w:t xml:space="preserve">Per cent of </w:t>
      </w:r>
      <w:r>
        <w:rPr>
          <w:rFonts w:ascii="Calibri" w:hAnsi="Calibri"/>
          <w:color w:val="808080"/>
          <w:sz w:val="20"/>
          <w:szCs w:val="20"/>
        </w:rPr>
        <w:t>f</w:t>
      </w:r>
      <w:r w:rsidRPr="00F62786">
        <w:rPr>
          <w:rFonts w:ascii="Calibri" w:hAnsi="Calibri"/>
          <w:color w:val="808080"/>
          <w:sz w:val="20"/>
          <w:szCs w:val="20"/>
        </w:rPr>
        <w:t xml:space="preserve">amilies with </w:t>
      </w:r>
      <w:r>
        <w:rPr>
          <w:rFonts w:ascii="Calibri" w:hAnsi="Calibri"/>
          <w:color w:val="808080"/>
          <w:sz w:val="20"/>
          <w:szCs w:val="20"/>
        </w:rPr>
        <w:t>o</w:t>
      </w:r>
      <w:r w:rsidRPr="00F62786">
        <w:rPr>
          <w:rFonts w:ascii="Calibri" w:hAnsi="Calibri"/>
          <w:color w:val="808080"/>
          <w:sz w:val="20"/>
          <w:szCs w:val="20"/>
        </w:rPr>
        <w:t xml:space="preserve">ne or </w:t>
      </w:r>
      <w:r>
        <w:rPr>
          <w:rFonts w:ascii="Calibri" w:hAnsi="Calibri"/>
          <w:color w:val="808080"/>
          <w:sz w:val="20"/>
          <w:szCs w:val="20"/>
        </w:rPr>
        <w:t>n</w:t>
      </w:r>
      <w:r w:rsidRPr="00F62786">
        <w:rPr>
          <w:rFonts w:ascii="Calibri" w:hAnsi="Calibri"/>
          <w:color w:val="808080"/>
          <w:sz w:val="20"/>
          <w:szCs w:val="20"/>
        </w:rPr>
        <w:t xml:space="preserve">o </w:t>
      </w:r>
      <w:r>
        <w:rPr>
          <w:rFonts w:ascii="Calibri" w:hAnsi="Calibri"/>
          <w:color w:val="808080"/>
          <w:sz w:val="20"/>
          <w:szCs w:val="20"/>
        </w:rPr>
        <w:t>c</w:t>
      </w:r>
      <w:r w:rsidRPr="00F62786">
        <w:rPr>
          <w:rFonts w:ascii="Calibri" w:hAnsi="Calibri"/>
          <w:color w:val="808080"/>
          <w:sz w:val="20"/>
          <w:szCs w:val="20"/>
        </w:rPr>
        <w:t xml:space="preserve">ar (two-parent) or </w:t>
      </w:r>
      <w:r>
        <w:rPr>
          <w:rFonts w:ascii="Calibri" w:hAnsi="Calibri"/>
          <w:color w:val="808080"/>
          <w:sz w:val="20"/>
          <w:szCs w:val="20"/>
        </w:rPr>
        <w:t>n</w:t>
      </w:r>
      <w:r w:rsidRPr="00F62786">
        <w:rPr>
          <w:rFonts w:ascii="Calibri" w:hAnsi="Calibri"/>
          <w:color w:val="808080"/>
          <w:sz w:val="20"/>
          <w:szCs w:val="20"/>
        </w:rPr>
        <w:t xml:space="preserve">o </w:t>
      </w:r>
      <w:r>
        <w:rPr>
          <w:rFonts w:ascii="Calibri" w:hAnsi="Calibri"/>
          <w:color w:val="808080"/>
          <w:sz w:val="20"/>
          <w:szCs w:val="20"/>
        </w:rPr>
        <w:t>c</w:t>
      </w:r>
      <w:r w:rsidRPr="00F62786">
        <w:rPr>
          <w:rFonts w:ascii="Calibri" w:hAnsi="Calibri"/>
          <w:color w:val="808080"/>
          <w:sz w:val="20"/>
          <w:szCs w:val="20"/>
        </w:rPr>
        <w:t>ar (one-parent):</w:t>
      </w:r>
    </w:p>
    <w:p w14:paraId="41ACD84B" w14:textId="77777777" w:rsidR="00C65183" w:rsidRPr="00261149" w:rsidRDefault="00C65183" w:rsidP="00C65183">
      <w:pPr>
        <w:rPr>
          <w:rFonts w:ascii="Calibri" w:hAnsi="Calibri"/>
          <w:color w:val="808080"/>
          <w:sz w:val="20"/>
          <w:szCs w:val="20"/>
        </w:rPr>
      </w:pPr>
      <w:r w:rsidRPr="00F62786">
        <w:rPr>
          <w:rFonts w:ascii="Calibri" w:hAnsi="Calibri"/>
          <w:color w:val="808080"/>
          <w:sz w:val="20"/>
          <w:szCs w:val="20"/>
        </w:rPr>
        <w:t>Greater Dandenong and metropolitan Melbourne, 20</w:t>
      </w:r>
      <w:r>
        <w:rPr>
          <w:rFonts w:ascii="Calibri" w:hAnsi="Calibri"/>
          <w:color w:val="808080"/>
          <w:sz w:val="20"/>
          <w:szCs w:val="20"/>
        </w:rPr>
        <w:t xml:space="preserve">16 </w:t>
      </w:r>
    </w:p>
    <w:p w14:paraId="1EF285B9" w14:textId="77777777" w:rsidR="00C65183" w:rsidRDefault="00C65183" w:rsidP="00C65183">
      <w:pPr>
        <w:spacing w:line="360" w:lineRule="auto"/>
        <w:ind w:left="5387"/>
        <w:jc w:val="both"/>
        <w:rPr>
          <w:rFonts w:ascii="Calibri" w:hAnsi="Calibri"/>
        </w:rPr>
      </w:pPr>
      <w:r>
        <w:rPr>
          <w:rFonts w:ascii="Calibri" w:hAnsi="Calibri"/>
          <w:noProof/>
          <w:sz w:val="10"/>
          <w:szCs w:val="10"/>
          <w:lang w:eastAsia="en-AU"/>
        </w:rPr>
        <w:drawing>
          <wp:anchor distT="0" distB="0" distL="114300" distR="114300" simplePos="0" relativeHeight="251782144" behindDoc="0" locked="0" layoutInCell="1" allowOverlap="1" wp14:anchorId="30CC17C7" wp14:editId="20B8FE12">
            <wp:simplePos x="0" y="0"/>
            <wp:positionH relativeFrom="column">
              <wp:posOffset>93980</wp:posOffset>
            </wp:positionH>
            <wp:positionV relativeFrom="paragraph">
              <wp:posOffset>71120</wp:posOffset>
            </wp:positionV>
            <wp:extent cx="4314825" cy="2600325"/>
            <wp:effectExtent l="0" t="0" r="9525" b="9525"/>
            <wp:wrapSquare wrapText="bothSides"/>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51">
                      <a:extLst>
                        <a:ext uri="{28A0092B-C50C-407E-A947-70E740481C1C}">
                          <a14:useLocalDpi xmlns:a14="http://schemas.microsoft.com/office/drawing/2010/main" val="0"/>
                        </a:ext>
                      </a:extLst>
                    </a:blip>
                    <a:srcRect l="1393" t="5208"/>
                    <a:stretch>
                      <a:fillRect/>
                    </a:stretch>
                  </pic:blipFill>
                  <pic:spPr bwMode="auto">
                    <a:xfrm>
                      <a:off x="0" y="0"/>
                      <a:ext cx="4314825" cy="2600325"/>
                    </a:xfrm>
                    <a:prstGeom prst="rect">
                      <a:avLst/>
                    </a:prstGeom>
                    <a:noFill/>
                  </pic:spPr>
                </pic:pic>
              </a:graphicData>
            </a:graphic>
            <wp14:sizeRelH relativeFrom="page">
              <wp14:pctWidth>0</wp14:pctWidth>
            </wp14:sizeRelH>
            <wp14:sizeRelV relativeFrom="page">
              <wp14:pctHeight>0</wp14:pctHeight>
            </wp14:sizeRelV>
          </wp:anchor>
        </w:drawing>
      </w:r>
    </w:p>
    <w:p w14:paraId="5900C0D4" w14:textId="77777777" w:rsidR="00C65183" w:rsidRDefault="00C65183" w:rsidP="00C65183">
      <w:pPr>
        <w:spacing w:line="360" w:lineRule="auto"/>
        <w:ind w:left="5387"/>
        <w:jc w:val="both"/>
        <w:rPr>
          <w:rFonts w:ascii="Calibri" w:hAnsi="Calibri"/>
        </w:rPr>
      </w:pPr>
      <w:r>
        <w:rPr>
          <w:rFonts w:ascii="Calibri" w:hAnsi="Calibri"/>
        </w:rPr>
        <w:t>Among</w:t>
      </w:r>
      <w:r w:rsidRPr="00886AD5">
        <w:rPr>
          <w:rFonts w:ascii="Calibri" w:hAnsi="Calibri"/>
        </w:rPr>
        <w:t xml:space="preserve"> one-parent families with children aged less than </w:t>
      </w:r>
      <w:r>
        <w:rPr>
          <w:rFonts w:ascii="Calibri" w:hAnsi="Calibri"/>
        </w:rPr>
        <w:t>15, 9.1% of those</w:t>
      </w:r>
      <w:r w:rsidRPr="00886AD5">
        <w:rPr>
          <w:rFonts w:ascii="Calibri" w:hAnsi="Calibri"/>
        </w:rPr>
        <w:t xml:space="preserve"> in Greater Dandenong, and </w:t>
      </w:r>
      <w:r>
        <w:rPr>
          <w:rFonts w:ascii="Calibri" w:hAnsi="Calibri"/>
        </w:rPr>
        <w:t>6.8</w:t>
      </w:r>
      <w:r w:rsidRPr="00886AD5">
        <w:rPr>
          <w:rFonts w:ascii="Calibri" w:hAnsi="Calibri"/>
        </w:rPr>
        <w:t>% across Melbourne</w:t>
      </w:r>
      <w:r>
        <w:rPr>
          <w:rFonts w:ascii="Calibri" w:hAnsi="Calibri"/>
        </w:rPr>
        <w:t>,</w:t>
      </w:r>
      <w:r w:rsidRPr="00886AD5">
        <w:rPr>
          <w:rFonts w:ascii="Calibri" w:hAnsi="Calibri"/>
        </w:rPr>
        <w:t xml:space="preserve"> ha</w:t>
      </w:r>
      <w:r>
        <w:rPr>
          <w:rFonts w:ascii="Calibri" w:hAnsi="Calibri"/>
        </w:rPr>
        <w:t>d</w:t>
      </w:r>
      <w:r w:rsidRPr="00886AD5">
        <w:rPr>
          <w:rFonts w:ascii="Calibri" w:hAnsi="Calibri"/>
        </w:rPr>
        <w:t xml:space="preserve"> no car. </w:t>
      </w:r>
    </w:p>
    <w:p w14:paraId="0CF26ED1" w14:textId="77777777" w:rsidR="00C65183" w:rsidRDefault="00C65183" w:rsidP="00C65183">
      <w:pPr>
        <w:spacing w:line="360" w:lineRule="auto"/>
        <w:jc w:val="both"/>
        <w:rPr>
          <w:rFonts w:ascii="Calibri" w:hAnsi="Calibri"/>
        </w:rPr>
      </w:pPr>
    </w:p>
    <w:p w14:paraId="4B920DAF" w14:textId="77777777" w:rsidR="00C65183" w:rsidRDefault="00C65183" w:rsidP="00C65183">
      <w:pPr>
        <w:spacing w:line="360" w:lineRule="auto"/>
        <w:jc w:val="both"/>
        <w:rPr>
          <w:rFonts w:ascii="Calibri" w:hAnsi="Calibri"/>
        </w:rPr>
      </w:pPr>
    </w:p>
    <w:p w14:paraId="3D23D089" w14:textId="77777777" w:rsidR="00C65183" w:rsidRDefault="00C65183" w:rsidP="00C65183">
      <w:pPr>
        <w:spacing w:line="360" w:lineRule="auto"/>
        <w:jc w:val="both"/>
        <w:rPr>
          <w:rFonts w:ascii="Calibri" w:hAnsi="Calibri"/>
        </w:rPr>
      </w:pPr>
    </w:p>
    <w:p w14:paraId="2203E912" w14:textId="77777777" w:rsidR="00C65183" w:rsidRDefault="00C65183" w:rsidP="00C65183">
      <w:pPr>
        <w:spacing w:line="360" w:lineRule="auto"/>
        <w:jc w:val="both"/>
        <w:rPr>
          <w:rFonts w:ascii="Calibri" w:hAnsi="Calibri"/>
          <w:sz w:val="12"/>
          <w:szCs w:val="12"/>
        </w:rPr>
      </w:pPr>
    </w:p>
    <w:p w14:paraId="0B110E17" w14:textId="77777777" w:rsidR="00C65183" w:rsidRDefault="00C65183" w:rsidP="00C65183">
      <w:pPr>
        <w:spacing w:line="360" w:lineRule="auto"/>
        <w:jc w:val="both"/>
        <w:rPr>
          <w:rFonts w:ascii="Calibri" w:hAnsi="Calibri"/>
          <w:sz w:val="12"/>
          <w:szCs w:val="12"/>
        </w:rPr>
      </w:pPr>
    </w:p>
    <w:p w14:paraId="285644D3" w14:textId="77777777" w:rsidR="00C65183" w:rsidRPr="00D95104" w:rsidRDefault="00C65183" w:rsidP="00C65183">
      <w:pPr>
        <w:spacing w:line="360" w:lineRule="auto"/>
        <w:jc w:val="both"/>
        <w:rPr>
          <w:rFonts w:ascii="Calibri" w:hAnsi="Calibri"/>
          <w:sz w:val="12"/>
          <w:szCs w:val="12"/>
        </w:rPr>
      </w:pPr>
    </w:p>
    <w:p w14:paraId="109B1C89" w14:textId="77777777" w:rsidR="00C65183" w:rsidRPr="00531423" w:rsidRDefault="00C65183" w:rsidP="00C65183">
      <w:pPr>
        <w:tabs>
          <w:tab w:val="left" w:pos="4395"/>
        </w:tabs>
        <w:jc w:val="both"/>
        <w:rPr>
          <w:rFonts w:ascii="Calibri" w:hAnsi="Calibri"/>
          <w:color w:val="7F7F7F"/>
          <w:sz w:val="20"/>
          <w:szCs w:val="20"/>
        </w:rPr>
      </w:pPr>
      <w:r w:rsidRPr="00F62786">
        <w:rPr>
          <w:rFonts w:ascii="Calibri" w:hAnsi="Calibri"/>
          <w:color w:val="7F7F7F"/>
          <w:sz w:val="20"/>
          <w:szCs w:val="20"/>
        </w:rPr>
        <w:t xml:space="preserve">Mode of </w:t>
      </w:r>
      <w:r>
        <w:rPr>
          <w:rFonts w:ascii="Calibri" w:hAnsi="Calibri"/>
          <w:color w:val="7F7F7F"/>
          <w:sz w:val="20"/>
          <w:szCs w:val="20"/>
        </w:rPr>
        <w:t>t</w:t>
      </w:r>
      <w:r w:rsidRPr="00F62786">
        <w:rPr>
          <w:rFonts w:ascii="Calibri" w:hAnsi="Calibri"/>
          <w:color w:val="7F7F7F"/>
          <w:sz w:val="20"/>
          <w:szCs w:val="20"/>
        </w:rPr>
        <w:t xml:space="preserve">ravel to </w:t>
      </w:r>
      <w:r>
        <w:rPr>
          <w:rFonts w:ascii="Calibri" w:hAnsi="Calibri"/>
          <w:color w:val="7F7F7F"/>
          <w:sz w:val="20"/>
          <w:szCs w:val="20"/>
        </w:rPr>
        <w:t>w</w:t>
      </w:r>
      <w:r w:rsidRPr="00F62786">
        <w:rPr>
          <w:rFonts w:ascii="Calibri" w:hAnsi="Calibri"/>
          <w:color w:val="7F7F7F"/>
          <w:sz w:val="20"/>
          <w:szCs w:val="20"/>
        </w:rPr>
        <w:t xml:space="preserve">ork: Greater Dandenong and </w:t>
      </w:r>
      <w:r>
        <w:rPr>
          <w:rFonts w:ascii="Calibri" w:hAnsi="Calibri"/>
          <w:color w:val="7F7F7F"/>
          <w:sz w:val="20"/>
          <w:szCs w:val="20"/>
        </w:rPr>
        <w:t>Victoria</w:t>
      </w:r>
      <w:r w:rsidRPr="00F62786">
        <w:rPr>
          <w:rFonts w:ascii="Calibri" w:hAnsi="Calibri"/>
          <w:color w:val="7F7F7F"/>
          <w:sz w:val="20"/>
          <w:szCs w:val="20"/>
        </w:rPr>
        <w:t>, 201</w:t>
      </w:r>
      <w:r>
        <w:rPr>
          <w:rFonts w:ascii="Calibri" w:hAnsi="Calibri"/>
          <w:color w:val="7F7F7F"/>
          <w:sz w:val="20"/>
          <w:szCs w:val="20"/>
        </w:rPr>
        <w:t xml:space="preserve">6                                      </w:t>
      </w:r>
      <w:r w:rsidRPr="00985EBD">
        <w:rPr>
          <w:rFonts w:ascii="Calibri" w:hAnsi="Calibri"/>
          <w:b/>
        </w:rPr>
        <w:t>Mode of Travel to Work</w:t>
      </w:r>
    </w:p>
    <w:p w14:paraId="29A26AFE" w14:textId="77777777" w:rsidR="00C65183" w:rsidRPr="009E38F5" w:rsidRDefault="00C65183" w:rsidP="00C65183">
      <w:pPr>
        <w:spacing w:line="360" w:lineRule="auto"/>
        <w:jc w:val="both"/>
        <w:rPr>
          <w:rFonts w:ascii="Calibri" w:hAnsi="Calibri"/>
        </w:rPr>
      </w:pPr>
      <w:r>
        <w:rPr>
          <w:rFonts w:ascii="Calibri" w:hAnsi="Calibri"/>
          <w:noProof/>
          <w:lang w:eastAsia="en-AU"/>
        </w:rPr>
        <w:drawing>
          <wp:anchor distT="0" distB="0" distL="114300" distR="114300" simplePos="0" relativeHeight="251783168" behindDoc="0" locked="0" layoutInCell="1" allowOverlap="1" wp14:anchorId="73F7BBAC" wp14:editId="01E7AC1A">
            <wp:simplePos x="0" y="0"/>
            <wp:positionH relativeFrom="column">
              <wp:posOffset>41910</wp:posOffset>
            </wp:positionH>
            <wp:positionV relativeFrom="paragraph">
              <wp:posOffset>94615</wp:posOffset>
            </wp:positionV>
            <wp:extent cx="3486150" cy="2754630"/>
            <wp:effectExtent l="0" t="0" r="0" b="7620"/>
            <wp:wrapSquare wrapText="bothSides"/>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52">
                      <a:extLst>
                        <a:ext uri="{28A0092B-C50C-407E-A947-70E740481C1C}">
                          <a14:useLocalDpi xmlns:a14="http://schemas.microsoft.com/office/drawing/2010/main" val="0"/>
                        </a:ext>
                      </a:extLst>
                    </a:blip>
                    <a:srcRect l="1303" r="3386"/>
                    <a:stretch/>
                  </pic:blipFill>
                  <pic:spPr bwMode="auto">
                    <a:xfrm>
                      <a:off x="0" y="0"/>
                      <a:ext cx="3486150" cy="27546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E38F5">
        <w:rPr>
          <w:rFonts w:ascii="Calibri" w:hAnsi="Calibri"/>
        </w:rPr>
        <w:t xml:space="preserve">The </w:t>
      </w:r>
      <w:r>
        <w:rPr>
          <w:rFonts w:ascii="Calibri" w:hAnsi="Calibri"/>
        </w:rPr>
        <w:t>2016 Censu</w:t>
      </w:r>
      <w:r w:rsidRPr="009E38F5">
        <w:rPr>
          <w:rFonts w:ascii="Calibri" w:hAnsi="Calibri"/>
        </w:rPr>
        <w:t xml:space="preserve">s found that </w:t>
      </w:r>
      <w:r>
        <w:rPr>
          <w:rFonts w:ascii="Calibri" w:hAnsi="Calibri"/>
        </w:rPr>
        <w:t>more than four-fifths</w:t>
      </w:r>
      <w:r w:rsidRPr="009E38F5">
        <w:rPr>
          <w:rFonts w:ascii="Calibri" w:hAnsi="Calibri"/>
        </w:rPr>
        <w:t xml:space="preserve"> (</w:t>
      </w:r>
      <w:r>
        <w:rPr>
          <w:rFonts w:ascii="Calibri" w:hAnsi="Calibri"/>
        </w:rPr>
        <w:t>81%</w:t>
      </w:r>
      <w:r w:rsidRPr="009E38F5">
        <w:rPr>
          <w:rFonts w:ascii="Calibri" w:hAnsi="Calibri"/>
        </w:rPr>
        <w:t xml:space="preserve">) of residents of Greater Dandenong who travel to work, </w:t>
      </w:r>
      <w:r>
        <w:rPr>
          <w:rFonts w:ascii="Calibri" w:hAnsi="Calibri"/>
        </w:rPr>
        <w:t>journeyed</w:t>
      </w:r>
      <w:r w:rsidRPr="009E38F5">
        <w:rPr>
          <w:rFonts w:ascii="Calibri" w:hAnsi="Calibri"/>
        </w:rPr>
        <w:t xml:space="preserve"> by car – either as a driver or pa</w:t>
      </w:r>
      <w:r>
        <w:rPr>
          <w:rFonts w:ascii="Calibri" w:hAnsi="Calibri"/>
        </w:rPr>
        <w:t>ssenger. A further 11% travelled</w:t>
      </w:r>
      <w:r w:rsidRPr="009E38F5">
        <w:rPr>
          <w:rFonts w:ascii="Calibri" w:hAnsi="Calibri"/>
        </w:rPr>
        <w:t xml:space="preserve"> by train, </w:t>
      </w:r>
      <w:r>
        <w:rPr>
          <w:rFonts w:ascii="Calibri" w:hAnsi="Calibri"/>
        </w:rPr>
        <w:t>4</w:t>
      </w:r>
      <w:r w:rsidRPr="009E38F5">
        <w:rPr>
          <w:rFonts w:ascii="Calibri" w:hAnsi="Calibri"/>
        </w:rPr>
        <w:t xml:space="preserve">% by bus and </w:t>
      </w:r>
      <w:r>
        <w:rPr>
          <w:rFonts w:ascii="Calibri" w:hAnsi="Calibri"/>
        </w:rPr>
        <w:t>1.4</w:t>
      </w:r>
      <w:r w:rsidRPr="009E38F5">
        <w:rPr>
          <w:rFonts w:ascii="Calibri" w:hAnsi="Calibri"/>
        </w:rPr>
        <w:t>% w</w:t>
      </w:r>
      <w:r>
        <w:rPr>
          <w:rFonts w:ascii="Calibri" w:hAnsi="Calibri"/>
        </w:rPr>
        <w:t>alked only</w:t>
      </w:r>
      <w:r w:rsidRPr="009E38F5">
        <w:rPr>
          <w:rFonts w:ascii="Calibri" w:hAnsi="Calibri"/>
        </w:rPr>
        <w:t xml:space="preserve"> to work.</w:t>
      </w:r>
      <w:r>
        <w:rPr>
          <w:rStyle w:val="FootnoteReference"/>
          <w:rFonts w:ascii="Calibri" w:hAnsi="Calibri"/>
        </w:rPr>
        <w:footnoteReference w:id="47"/>
      </w:r>
    </w:p>
    <w:p w14:paraId="56EF6717" w14:textId="77777777" w:rsidR="00C65183" w:rsidRDefault="00C65183" w:rsidP="00C65183">
      <w:pPr>
        <w:spacing w:line="360" w:lineRule="auto"/>
        <w:jc w:val="both"/>
        <w:rPr>
          <w:rFonts w:ascii="Calibri" w:hAnsi="Calibri"/>
        </w:rPr>
      </w:pPr>
      <w:r>
        <w:rPr>
          <w:rFonts w:ascii="Calibri" w:hAnsi="Calibri"/>
          <w:noProof/>
          <w:lang w:eastAsia="en-AU"/>
        </w:rPr>
        <w:drawing>
          <wp:anchor distT="0" distB="0" distL="114300" distR="114300" simplePos="0" relativeHeight="251784192" behindDoc="0" locked="0" layoutInCell="1" allowOverlap="1" wp14:anchorId="2FC2033D" wp14:editId="410311EE">
            <wp:simplePos x="0" y="0"/>
            <wp:positionH relativeFrom="column">
              <wp:posOffset>2342198</wp:posOffset>
            </wp:positionH>
            <wp:positionV relativeFrom="paragraph">
              <wp:posOffset>262764</wp:posOffset>
            </wp:positionV>
            <wp:extent cx="1090073" cy="689101"/>
            <wp:effectExtent l="0" t="0" r="0" b="0"/>
            <wp:wrapNone/>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port 1.JPG"/>
                    <pic:cNvPicPr/>
                  </pic:nvPicPr>
                  <pic:blipFill rotWithShape="1">
                    <a:blip r:embed="rId153" cstate="print">
                      <a:extLst>
                        <a:ext uri="{28A0092B-C50C-407E-A947-70E740481C1C}">
                          <a14:useLocalDpi xmlns:a14="http://schemas.microsoft.com/office/drawing/2010/main" val="0"/>
                        </a:ext>
                      </a:extLst>
                    </a:blip>
                    <a:srcRect l="19683" t="15603" r="7972" b="23404"/>
                    <a:stretch/>
                  </pic:blipFill>
                  <pic:spPr bwMode="auto">
                    <a:xfrm>
                      <a:off x="0" y="0"/>
                      <a:ext cx="1096297" cy="693036"/>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E38F5">
        <w:rPr>
          <w:rFonts w:ascii="Calibri" w:hAnsi="Calibri"/>
        </w:rPr>
        <w:t xml:space="preserve">Generally, </w:t>
      </w:r>
      <w:r>
        <w:rPr>
          <w:rFonts w:ascii="Calibri" w:hAnsi="Calibri"/>
        </w:rPr>
        <w:t>modes</w:t>
      </w:r>
      <w:r w:rsidRPr="009E38F5">
        <w:rPr>
          <w:rFonts w:ascii="Calibri" w:hAnsi="Calibri"/>
        </w:rPr>
        <w:t xml:space="preserve"> of travel to</w:t>
      </w:r>
      <w:r>
        <w:rPr>
          <w:rFonts w:ascii="Calibri" w:hAnsi="Calibri"/>
        </w:rPr>
        <w:t xml:space="preserve"> </w:t>
      </w:r>
      <w:r w:rsidRPr="009E38F5">
        <w:rPr>
          <w:rFonts w:ascii="Calibri" w:hAnsi="Calibri"/>
        </w:rPr>
        <w:t>work</w:t>
      </w:r>
      <w:r>
        <w:rPr>
          <w:rFonts w:ascii="Calibri" w:hAnsi="Calibri"/>
        </w:rPr>
        <w:t xml:space="preserve"> among Greater Dandenong residents are</w:t>
      </w:r>
      <w:r w:rsidRPr="009E38F5">
        <w:rPr>
          <w:rFonts w:ascii="Calibri" w:hAnsi="Calibri"/>
        </w:rPr>
        <w:t xml:space="preserve"> similar to those across Melbourne, though</w:t>
      </w:r>
      <w:r>
        <w:rPr>
          <w:rFonts w:ascii="Calibri" w:hAnsi="Calibri"/>
        </w:rPr>
        <w:t xml:space="preserve"> </w:t>
      </w:r>
      <w:r w:rsidRPr="009E38F5">
        <w:rPr>
          <w:rFonts w:ascii="Calibri" w:hAnsi="Calibri"/>
        </w:rPr>
        <w:t xml:space="preserve">more </w:t>
      </w:r>
      <w:r>
        <w:rPr>
          <w:rFonts w:ascii="Calibri" w:hAnsi="Calibri"/>
        </w:rPr>
        <w:t xml:space="preserve">local residents travel </w:t>
      </w:r>
      <w:r w:rsidRPr="009E38F5">
        <w:rPr>
          <w:rFonts w:ascii="Calibri" w:hAnsi="Calibri"/>
        </w:rPr>
        <w:t>by car o</w:t>
      </w:r>
      <w:r>
        <w:rPr>
          <w:rFonts w:ascii="Calibri" w:hAnsi="Calibri"/>
        </w:rPr>
        <w:t xml:space="preserve">r bus, and fewer use </w:t>
      </w:r>
      <w:r w:rsidRPr="009E38F5">
        <w:rPr>
          <w:rFonts w:ascii="Calibri" w:hAnsi="Calibri"/>
        </w:rPr>
        <w:t>other modes of transport.</w:t>
      </w:r>
    </w:p>
    <w:p w14:paraId="3952CEDF" w14:textId="77777777" w:rsidR="00C65183" w:rsidRDefault="00C65183" w:rsidP="00C65183">
      <w:pPr>
        <w:rPr>
          <w:rFonts w:ascii="Calibri" w:hAnsi="Calibri"/>
        </w:rPr>
      </w:pPr>
      <w:r>
        <w:rPr>
          <w:rFonts w:ascii="Calibri" w:hAnsi="Calibri"/>
        </w:rPr>
        <w:br w:type="page"/>
      </w:r>
    </w:p>
    <w:p w14:paraId="38D721F8" w14:textId="77777777" w:rsidR="00C65183" w:rsidRDefault="00C65183" w:rsidP="00C65183">
      <w:pPr>
        <w:jc w:val="both"/>
        <w:rPr>
          <w:rFonts w:ascii="Calibri" w:hAnsi="Calibri"/>
          <w:color w:val="7F7F7F"/>
          <w:sz w:val="20"/>
          <w:szCs w:val="20"/>
        </w:rPr>
      </w:pPr>
      <w:r w:rsidRPr="00F62786">
        <w:rPr>
          <w:rFonts w:ascii="Calibri" w:hAnsi="Calibri"/>
          <w:color w:val="7F7F7F"/>
          <w:sz w:val="20"/>
          <w:szCs w:val="20"/>
        </w:rPr>
        <w:lastRenderedPageBreak/>
        <w:t>P</w:t>
      </w:r>
      <w:r>
        <w:rPr>
          <w:rFonts w:ascii="Calibri" w:hAnsi="Calibri"/>
          <w:color w:val="7F7F7F"/>
          <w:sz w:val="20"/>
          <w:szCs w:val="20"/>
        </w:rPr>
        <w:t>er cent of residents who travell</w:t>
      </w:r>
      <w:r w:rsidRPr="00F62786">
        <w:rPr>
          <w:rFonts w:ascii="Calibri" w:hAnsi="Calibri"/>
          <w:color w:val="7F7F7F"/>
          <w:sz w:val="20"/>
          <w:szCs w:val="20"/>
        </w:rPr>
        <w:t xml:space="preserve">ed to </w:t>
      </w:r>
      <w:r>
        <w:rPr>
          <w:rFonts w:ascii="Calibri" w:hAnsi="Calibri"/>
          <w:color w:val="7F7F7F"/>
          <w:sz w:val="20"/>
          <w:szCs w:val="20"/>
        </w:rPr>
        <w:t>w</w:t>
      </w:r>
      <w:r w:rsidRPr="00F62786">
        <w:rPr>
          <w:rFonts w:ascii="Calibri" w:hAnsi="Calibri"/>
          <w:color w:val="7F7F7F"/>
          <w:sz w:val="20"/>
          <w:szCs w:val="20"/>
        </w:rPr>
        <w:t xml:space="preserve">ork </w:t>
      </w:r>
      <w:r>
        <w:rPr>
          <w:rFonts w:ascii="Calibri" w:hAnsi="Calibri"/>
          <w:color w:val="7F7F7F"/>
          <w:sz w:val="20"/>
          <w:szCs w:val="20"/>
        </w:rPr>
        <w:t xml:space="preserve">solely by </w:t>
      </w:r>
    </w:p>
    <w:p w14:paraId="303F0295" w14:textId="77777777" w:rsidR="00C65183" w:rsidRPr="00F62786" w:rsidRDefault="00C65183" w:rsidP="00C65183">
      <w:pPr>
        <w:jc w:val="both"/>
        <w:rPr>
          <w:rFonts w:ascii="Calibri" w:hAnsi="Calibri"/>
          <w:color w:val="7F7F7F"/>
          <w:sz w:val="20"/>
          <w:szCs w:val="20"/>
        </w:rPr>
      </w:pPr>
      <w:r>
        <w:rPr>
          <w:rFonts w:ascii="Calibri" w:hAnsi="Calibri"/>
          <w:color w:val="7F7F7F"/>
          <w:sz w:val="20"/>
          <w:szCs w:val="20"/>
        </w:rPr>
        <w:t>active or public transport</w:t>
      </w:r>
      <w:r w:rsidRPr="00F62786">
        <w:rPr>
          <w:rFonts w:ascii="Calibri" w:hAnsi="Calibri"/>
          <w:color w:val="7F7F7F"/>
          <w:sz w:val="20"/>
          <w:szCs w:val="20"/>
        </w:rPr>
        <w:t xml:space="preserve">: </w:t>
      </w:r>
      <w:r>
        <w:rPr>
          <w:rFonts w:ascii="Calibri" w:hAnsi="Calibri"/>
          <w:color w:val="7F7F7F"/>
          <w:sz w:val="20"/>
          <w:szCs w:val="20"/>
        </w:rPr>
        <w:t>s</w:t>
      </w:r>
      <w:r w:rsidRPr="00F62786">
        <w:rPr>
          <w:rFonts w:ascii="Calibri" w:hAnsi="Calibri"/>
          <w:color w:val="7F7F7F"/>
          <w:sz w:val="20"/>
          <w:szCs w:val="20"/>
        </w:rPr>
        <w:t>elected municipalities, 20</w:t>
      </w:r>
      <w:r>
        <w:rPr>
          <w:rFonts w:ascii="Calibri" w:hAnsi="Calibri"/>
          <w:color w:val="7F7F7F"/>
          <w:sz w:val="20"/>
          <w:szCs w:val="20"/>
        </w:rPr>
        <w:t>16</w:t>
      </w:r>
    </w:p>
    <w:p w14:paraId="7C52DFA6" w14:textId="77777777" w:rsidR="00C65183" w:rsidRPr="009E38F5" w:rsidRDefault="00C65183" w:rsidP="00C65183">
      <w:pPr>
        <w:spacing w:line="360" w:lineRule="auto"/>
        <w:jc w:val="both"/>
        <w:rPr>
          <w:rFonts w:ascii="Calibri" w:hAnsi="Calibri"/>
        </w:rPr>
      </w:pPr>
      <w:r>
        <w:rPr>
          <w:rFonts w:ascii="Calibri" w:hAnsi="Calibri"/>
          <w:noProof/>
          <w:color w:val="7F7F7F"/>
          <w:sz w:val="20"/>
          <w:szCs w:val="20"/>
          <w:lang w:eastAsia="en-AU"/>
        </w:rPr>
        <w:drawing>
          <wp:anchor distT="12192" distB="58928" distL="138684" distR="186436" simplePos="0" relativeHeight="251786240" behindDoc="0" locked="0" layoutInCell="1" allowOverlap="1" wp14:anchorId="2DD3AEFB" wp14:editId="2CEC8CA8">
            <wp:simplePos x="0" y="0"/>
            <wp:positionH relativeFrom="column">
              <wp:posOffset>2356485</wp:posOffset>
            </wp:positionH>
            <wp:positionV relativeFrom="paragraph">
              <wp:posOffset>222568</wp:posOffset>
            </wp:positionV>
            <wp:extent cx="1057275" cy="652462"/>
            <wp:effectExtent l="38100" t="38100" r="85725" b="90805"/>
            <wp:wrapNone/>
            <wp:docPr id="266" name="Picture 2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ycling to work.jpg"/>
                    <pic:cNvPicPr/>
                  </pic:nvPicPr>
                  <pic:blipFill>
                    <a:blip r:embed="rId154" cstate="print"/>
                    <a:srcRect l="8760" r="9168"/>
                    <a:stretch>
                      <a:fillRect/>
                    </a:stretch>
                  </pic:blipFill>
                  <pic:spPr>
                    <a:xfrm>
                      <a:off x="0" y="0"/>
                      <a:ext cx="1062703" cy="655812"/>
                    </a:xfrm>
                    <a:prstGeom prst="rect">
                      <a:avLst/>
                    </a:prstGeom>
                    <a:ln>
                      <a:noFill/>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Pr>
          <w:rFonts w:ascii="Calibri" w:hAnsi="Calibri"/>
          <w:noProof/>
          <w:color w:val="7F7F7F"/>
          <w:sz w:val="20"/>
          <w:szCs w:val="20"/>
          <w:lang w:eastAsia="en-AU"/>
        </w:rPr>
        <w:drawing>
          <wp:anchor distT="0" distB="0" distL="114300" distR="114300" simplePos="0" relativeHeight="251781120" behindDoc="0" locked="0" layoutInCell="1" allowOverlap="1" wp14:anchorId="09DCC8B9" wp14:editId="760D23D1">
            <wp:simplePos x="0" y="0"/>
            <wp:positionH relativeFrom="column">
              <wp:posOffset>-53340</wp:posOffset>
            </wp:positionH>
            <wp:positionV relativeFrom="paragraph">
              <wp:posOffset>39370</wp:posOffset>
            </wp:positionV>
            <wp:extent cx="3581400" cy="2387600"/>
            <wp:effectExtent l="0" t="0" r="0" b="0"/>
            <wp:wrapSquare wrapText="bothSides"/>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3581400" cy="2387600"/>
                    </a:xfrm>
                    <a:prstGeom prst="rect">
                      <a:avLst/>
                    </a:prstGeom>
                    <a:noFill/>
                  </pic:spPr>
                </pic:pic>
              </a:graphicData>
            </a:graphic>
            <wp14:sizeRelH relativeFrom="page">
              <wp14:pctWidth>0</wp14:pctWidth>
            </wp14:sizeRelH>
            <wp14:sizeRelV relativeFrom="page">
              <wp14:pctHeight>0</wp14:pctHeight>
            </wp14:sizeRelV>
          </wp:anchor>
        </w:drawing>
      </w:r>
      <w:r>
        <w:rPr>
          <w:rFonts w:ascii="Calibri" w:hAnsi="Calibri"/>
        </w:rPr>
        <w:t>The proportion of residents who journey to work solely by public transport or active means (walking only or cycling), declines steeply with distance from the CBD, from over 70% in Melbourne, to 13% in Grater Dandenong and 6.6% in outer-urban Cardinia.</w:t>
      </w:r>
    </w:p>
    <w:p w14:paraId="125AD520" w14:textId="77777777" w:rsidR="00C65183" w:rsidRDefault="00C65183" w:rsidP="00C65183">
      <w:pPr>
        <w:spacing w:line="360" w:lineRule="auto"/>
        <w:jc w:val="both"/>
        <w:rPr>
          <w:rFonts w:ascii="Calibri" w:hAnsi="Calibri"/>
        </w:rPr>
      </w:pPr>
      <w:r>
        <w:rPr>
          <w:rFonts w:ascii="Calibri" w:hAnsi="Calibri"/>
        </w:rPr>
        <w:t xml:space="preserve">Conversely, the proportion of residents who travel to work by car rises with increasing distance from central Melbourne. </w:t>
      </w:r>
    </w:p>
    <w:p w14:paraId="41AEDCCE" w14:textId="77777777" w:rsidR="00C65183" w:rsidRDefault="00C65183" w:rsidP="00C65183">
      <w:pPr>
        <w:spacing w:line="360" w:lineRule="auto"/>
        <w:jc w:val="both"/>
        <w:rPr>
          <w:rFonts w:ascii="Calibri" w:hAnsi="Calibri"/>
          <w:b/>
        </w:rPr>
      </w:pPr>
    </w:p>
    <w:p w14:paraId="6C599CCE" w14:textId="77777777" w:rsidR="00C65183" w:rsidRPr="00985EBD" w:rsidRDefault="00C65183" w:rsidP="00C65183">
      <w:pPr>
        <w:spacing w:line="360" w:lineRule="auto"/>
        <w:jc w:val="both"/>
        <w:rPr>
          <w:rFonts w:ascii="Calibri" w:hAnsi="Calibri"/>
          <w:b/>
        </w:rPr>
      </w:pPr>
      <w:r w:rsidRPr="00985EBD">
        <w:rPr>
          <w:rFonts w:ascii="Calibri" w:hAnsi="Calibri"/>
          <w:b/>
        </w:rPr>
        <w:t>Duration of Travel to Work</w:t>
      </w:r>
    </w:p>
    <w:p w14:paraId="44E18019" w14:textId="77777777" w:rsidR="00C65183" w:rsidRPr="00261149" w:rsidRDefault="00C65183" w:rsidP="00C65183">
      <w:pPr>
        <w:spacing w:line="360" w:lineRule="auto"/>
        <w:jc w:val="both"/>
        <w:rPr>
          <w:rFonts w:ascii="Calibri" w:hAnsi="Calibri"/>
        </w:rPr>
      </w:pPr>
      <w:r w:rsidRPr="00C41E59">
        <w:rPr>
          <w:rFonts w:ascii="Calibri" w:hAnsi="Calibri"/>
        </w:rPr>
        <w:t xml:space="preserve">The 2012 VicHealth Indicators Survey inquired into the amount of time required </w:t>
      </w:r>
      <w:r>
        <w:rPr>
          <w:rFonts w:ascii="Calibri" w:hAnsi="Calibri"/>
        </w:rPr>
        <w:t>by residents</w:t>
      </w:r>
      <w:r w:rsidRPr="00C41E59">
        <w:rPr>
          <w:rFonts w:ascii="Calibri" w:hAnsi="Calibri"/>
        </w:rPr>
        <w:t xml:space="preserve"> to travel to work, with the object of determining </w:t>
      </w:r>
      <w:r>
        <w:rPr>
          <w:rFonts w:ascii="Calibri" w:hAnsi="Calibri"/>
        </w:rPr>
        <w:t>how many</w:t>
      </w:r>
      <w:r w:rsidRPr="00C41E59">
        <w:rPr>
          <w:rFonts w:ascii="Calibri" w:hAnsi="Calibri"/>
        </w:rPr>
        <w:t xml:space="preserve"> were obliged to travel over 2 hours </w:t>
      </w:r>
      <w:r>
        <w:rPr>
          <w:rFonts w:ascii="Calibri" w:hAnsi="Calibri"/>
        </w:rPr>
        <w:t>a</w:t>
      </w:r>
      <w:r w:rsidRPr="00C41E59">
        <w:rPr>
          <w:rFonts w:ascii="Calibri" w:hAnsi="Calibri"/>
        </w:rPr>
        <w:t xml:space="preserve"> day.</w:t>
      </w:r>
      <w:r>
        <w:rPr>
          <w:rFonts w:ascii="Calibri" w:hAnsi="Calibri"/>
        </w:rPr>
        <w:t xml:space="preserve"> </w:t>
      </w:r>
      <w:r w:rsidRPr="00C41E59">
        <w:rPr>
          <w:rFonts w:ascii="Calibri" w:hAnsi="Calibri"/>
        </w:rPr>
        <w:t xml:space="preserve">Overall, 10.2% of </w:t>
      </w:r>
      <w:r>
        <w:rPr>
          <w:rFonts w:ascii="Calibri" w:hAnsi="Calibri"/>
        </w:rPr>
        <w:t xml:space="preserve">employed </w:t>
      </w:r>
      <w:r w:rsidRPr="00C41E59">
        <w:rPr>
          <w:rFonts w:ascii="Calibri" w:hAnsi="Calibri"/>
        </w:rPr>
        <w:t xml:space="preserve">Greater Dandenong residents </w:t>
      </w:r>
      <w:r>
        <w:rPr>
          <w:rFonts w:ascii="Calibri" w:hAnsi="Calibri"/>
        </w:rPr>
        <w:t>faced a daily commute of over</w:t>
      </w:r>
      <w:r w:rsidRPr="00C41E59">
        <w:rPr>
          <w:rFonts w:ascii="Calibri" w:hAnsi="Calibri"/>
        </w:rPr>
        <w:t xml:space="preserve"> 2 hours, compared with 11.6% of </w:t>
      </w:r>
      <w:r>
        <w:rPr>
          <w:rFonts w:ascii="Calibri" w:hAnsi="Calibri"/>
        </w:rPr>
        <w:t xml:space="preserve">employed </w:t>
      </w:r>
      <w:r w:rsidRPr="00C41E59">
        <w:rPr>
          <w:rFonts w:ascii="Calibri" w:hAnsi="Calibri"/>
        </w:rPr>
        <w:t xml:space="preserve">Victorian residents. Across Victoria, </w:t>
      </w:r>
      <w:r>
        <w:rPr>
          <w:rFonts w:ascii="Calibri" w:hAnsi="Calibri"/>
        </w:rPr>
        <w:t>people</w:t>
      </w:r>
      <w:r w:rsidRPr="00C41E59">
        <w:rPr>
          <w:rFonts w:ascii="Calibri" w:hAnsi="Calibri"/>
        </w:rPr>
        <w:t xml:space="preserve"> most likely to experience long </w:t>
      </w:r>
      <w:r>
        <w:rPr>
          <w:rFonts w:ascii="Calibri" w:hAnsi="Calibri"/>
        </w:rPr>
        <w:t>commutes</w:t>
      </w:r>
      <w:r w:rsidRPr="00C41E59">
        <w:rPr>
          <w:rFonts w:ascii="Calibri" w:hAnsi="Calibri"/>
        </w:rPr>
        <w:t xml:space="preserve"> included </w:t>
      </w:r>
      <w:r>
        <w:rPr>
          <w:rFonts w:ascii="Calibri" w:hAnsi="Calibri"/>
        </w:rPr>
        <w:t>those with higher incomes, tertiary education levels</w:t>
      </w:r>
      <w:r w:rsidRPr="00C41E59">
        <w:rPr>
          <w:rFonts w:ascii="Calibri" w:hAnsi="Calibri"/>
        </w:rPr>
        <w:t xml:space="preserve"> and</w:t>
      </w:r>
      <w:r>
        <w:rPr>
          <w:rFonts w:ascii="Calibri" w:hAnsi="Calibri"/>
        </w:rPr>
        <w:t xml:space="preserve"> those living in growth areas (18</w:t>
      </w:r>
      <w:r w:rsidRPr="00C41E59">
        <w:rPr>
          <w:rFonts w:ascii="Calibri" w:hAnsi="Calibri"/>
        </w:rPr>
        <w:t xml:space="preserve">%, compared with just 4% of inner-urban </w:t>
      </w:r>
      <w:r>
        <w:rPr>
          <w:rFonts w:ascii="Calibri" w:hAnsi="Calibri"/>
        </w:rPr>
        <w:t>residents)</w:t>
      </w:r>
      <w:r w:rsidRPr="00C41E59">
        <w:rPr>
          <w:rFonts w:ascii="Calibri" w:hAnsi="Calibri"/>
        </w:rPr>
        <w:t>.</w:t>
      </w:r>
    </w:p>
    <w:p w14:paraId="19FC2344" w14:textId="77777777" w:rsidR="00C65183" w:rsidRDefault="00C65183" w:rsidP="00C65183">
      <w:pPr>
        <w:rPr>
          <w:rFonts w:asciiTheme="minorHAnsi" w:hAnsiTheme="minorHAnsi" w:cstheme="minorHAnsi"/>
        </w:rPr>
      </w:pPr>
      <w:r>
        <w:rPr>
          <w:rFonts w:asciiTheme="minorHAnsi" w:hAnsiTheme="minorHAnsi" w:cstheme="minorHAnsi"/>
        </w:rPr>
        <w:br w:type="page"/>
      </w:r>
    </w:p>
    <w:p w14:paraId="78E1958E" w14:textId="77777777" w:rsidR="00C65183" w:rsidRPr="00827F47" w:rsidRDefault="00C65183" w:rsidP="00C65183">
      <w:pPr>
        <w:pBdr>
          <w:top w:val="single" w:sz="4" w:space="0" w:color="244061" w:themeColor="accent1" w:themeShade="80"/>
          <w:bottom w:val="single" w:sz="4" w:space="1" w:color="244061" w:themeColor="accent1" w:themeShade="80"/>
        </w:pBdr>
        <w:tabs>
          <w:tab w:val="center" w:pos="4678"/>
        </w:tabs>
        <w:jc w:val="center"/>
        <w:rPr>
          <w:rFonts w:ascii="Garamond" w:hAnsi="Garamond"/>
          <w:noProof/>
          <w:color w:val="244061" w:themeColor="accent1" w:themeShade="80"/>
          <w:sz w:val="34"/>
          <w:szCs w:val="34"/>
        </w:rPr>
      </w:pPr>
      <w:r w:rsidRPr="00827F47">
        <w:rPr>
          <w:rFonts w:ascii="Garamond" w:hAnsi="Garamond"/>
          <w:noProof/>
          <w:color w:val="244061" w:themeColor="accent1" w:themeShade="80"/>
          <w:sz w:val="34"/>
          <w:szCs w:val="34"/>
        </w:rPr>
        <w:lastRenderedPageBreak/>
        <w:t>Arts and Culture</w:t>
      </w:r>
    </w:p>
    <w:p w14:paraId="01336F16" w14:textId="77777777" w:rsidR="00C65183" w:rsidRPr="00530D97" w:rsidRDefault="00C65183" w:rsidP="00C65183">
      <w:pPr>
        <w:spacing w:line="360" w:lineRule="auto"/>
        <w:jc w:val="both"/>
        <w:rPr>
          <w:rFonts w:ascii="Calibri" w:hAnsi="Calibri"/>
          <w:b/>
          <w:sz w:val="10"/>
          <w:szCs w:val="10"/>
        </w:rPr>
      </w:pPr>
    </w:p>
    <w:p w14:paraId="2D395445" w14:textId="77777777" w:rsidR="00C65183" w:rsidRPr="00FE7400" w:rsidRDefault="00C65183" w:rsidP="00C65183">
      <w:pPr>
        <w:spacing w:line="360" w:lineRule="auto"/>
        <w:jc w:val="both"/>
        <w:rPr>
          <w:rFonts w:ascii="Calibri" w:hAnsi="Calibri"/>
          <w:b/>
        </w:rPr>
      </w:pPr>
      <w:r>
        <w:rPr>
          <w:rFonts w:ascii="Calibri" w:hAnsi="Calibri"/>
          <w:b/>
          <w:noProof/>
          <w:lang w:eastAsia="en-AU"/>
        </w:rPr>
        <w:drawing>
          <wp:anchor distT="0" distB="0" distL="114300" distR="114300" simplePos="0" relativeHeight="251789312" behindDoc="1" locked="0" layoutInCell="1" allowOverlap="1" wp14:anchorId="7123F51F" wp14:editId="0B7F8B32">
            <wp:simplePos x="0" y="0"/>
            <wp:positionH relativeFrom="column">
              <wp:posOffset>4472305</wp:posOffset>
            </wp:positionH>
            <wp:positionV relativeFrom="paragraph">
              <wp:posOffset>43180</wp:posOffset>
            </wp:positionV>
            <wp:extent cx="1757045" cy="1223010"/>
            <wp:effectExtent l="0" t="0" r="0" b="0"/>
            <wp:wrapTight wrapText="bothSides">
              <wp:wrapPolygon edited="0">
                <wp:start x="937" y="0"/>
                <wp:lineTo x="0" y="673"/>
                <wp:lineTo x="0" y="20860"/>
                <wp:lineTo x="937" y="21196"/>
                <wp:lineTo x="20374" y="21196"/>
                <wp:lineTo x="21311" y="20860"/>
                <wp:lineTo x="21311" y="673"/>
                <wp:lineTo x="20374" y="0"/>
                <wp:lineTo x="937" y="0"/>
              </wp:wrapPolygon>
            </wp:wrapTight>
            <wp:docPr id="138" name="Picture 127" descr="C:\arts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C:\arts 5.jpg"/>
                    <pic:cNvPicPr>
                      <a:picLocks noChangeAspect="1" noChangeArrowheads="1"/>
                    </pic:cNvPicPr>
                  </pic:nvPicPr>
                  <pic:blipFill>
                    <a:blip r:embed="rId156" cstate="print"/>
                    <a:srcRect/>
                    <a:stretch>
                      <a:fillRect/>
                    </a:stretch>
                  </pic:blipFill>
                  <pic:spPr bwMode="auto">
                    <a:xfrm>
                      <a:off x="0" y="0"/>
                      <a:ext cx="1757045" cy="122301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FE7400">
        <w:rPr>
          <w:rFonts w:ascii="Calibri" w:hAnsi="Calibri"/>
          <w:b/>
        </w:rPr>
        <w:t>National Participation Trends</w:t>
      </w:r>
      <w:r>
        <w:rPr>
          <w:rFonts w:ascii="Calibri" w:hAnsi="Calibri"/>
          <w:b/>
        </w:rPr>
        <w:t xml:space="preserve"> </w:t>
      </w:r>
    </w:p>
    <w:p w14:paraId="0B62942B" w14:textId="77777777" w:rsidR="00C65183" w:rsidRPr="00530D97" w:rsidRDefault="00C65183" w:rsidP="00C65183">
      <w:pPr>
        <w:spacing w:line="360" w:lineRule="auto"/>
        <w:jc w:val="both"/>
        <w:rPr>
          <w:rFonts w:ascii="Calibri" w:hAnsi="Calibri"/>
        </w:rPr>
      </w:pPr>
      <w:r>
        <w:rPr>
          <w:rFonts w:ascii="Calibri" w:hAnsi="Calibri"/>
        </w:rPr>
        <w:t xml:space="preserve">The 2017/18 </w:t>
      </w:r>
      <w:r w:rsidRPr="00530D97">
        <w:rPr>
          <w:rFonts w:ascii="Calibri" w:hAnsi="Calibri"/>
        </w:rPr>
        <w:t>Attendance at Selected Cultural Venues and Events</w:t>
      </w:r>
      <w:r>
        <w:rPr>
          <w:rFonts w:ascii="Calibri" w:hAnsi="Calibri"/>
        </w:rPr>
        <w:t xml:space="preserve"> found that c</w:t>
      </w:r>
      <w:r w:rsidRPr="00530D97">
        <w:rPr>
          <w:rFonts w:ascii="Calibri" w:hAnsi="Calibri"/>
        </w:rPr>
        <w:t>inemas and live music performances were among the more popular events, attracting over half of Australians aged 14 years or more during the previous 12 months. By contrast, fewer than 20% of Australians had attended musicals, operas, dance and theatre performances.</w:t>
      </w:r>
    </w:p>
    <w:p w14:paraId="5FDADDF8" w14:textId="77777777" w:rsidR="00C65183" w:rsidRPr="00530D97" w:rsidRDefault="00C65183" w:rsidP="00C65183">
      <w:pPr>
        <w:spacing w:line="360" w:lineRule="auto"/>
        <w:jc w:val="both"/>
        <w:rPr>
          <w:rFonts w:ascii="Calibri" w:hAnsi="Calibri"/>
        </w:rPr>
      </w:pPr>
      <w:r>
        <w:rPr>
          <w:rFonts w:ascii="Calibri" w:hAnsi="Calibri"/>
          <w:noProof/>
        </w:rPr>
        <w:drawing>
          <wp:anchor distT="0" distB="0" distL="114300" distR="114300" simplePos="0" relativeHeight="251981824" behindDoc="0" locked="0" layoutInCell="1" allowOverlap="1" wp14:anchorId="370BA40D" wp14:editId="54A16AFA">
            <wp:simplePos x="0" y="0"/>
            <wp:positionH relativeFrom="margin">
              <wp:align>left</wp:align>
            </wp:positionH>
            <wp:positionV relativeFrom="paragraph">
              <wp:posOffset>203742</wp:posOffset>
            </wp:positionV>
            <wp:extent cx="3798570" cy="2474595"/>
            <wp:effectExtent l="0" t="0" r="0" b="1905"/>
            <wp:wrapSquare wrapText="bothSides"/>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3801134" cy="2476134"/>
                    </a:xfrm>
                    <a:prstGeom prst="rect">
                      <a:avLst/>
                    </a:prstGeom>
                    <a:noFill/>
                  </pic:spPr>
                </pic:pic>
              </a:graphicData>
            </a:graphic>
            <wp14:sizeRelH relativeFrom="page">
              <wp14:pctWidth>0</wp14:pctWidth>
            </wp14:sizeRelH>
            <wp14:sizeRelV relativeFrom="page">
              <wp14:pctHeight>0</wp14:pctHeight>
            </wp14:sizeRelV>
          </wp:anchor>
        </w:drawing>
      </w:r>
      <w:r w:rsidRPr="00530D97">
        <w:rPr>
          <w:rFonts w:ascii="Calibri" w:hAnsi="Calibri"/>
        </w:rPr>
        <w:t>Women were more likely to have attended arts events and performances than men, with 85% of women aged 14 years or more attending at least one venue or event in the previous year, compared with 78% of males</w:t>
      </w:r>
      <w:r>
        <w:rPr>
          <w:rFonts w:ascii="Calibri" w:hAnsi="Calibri"/>
        </w:rPr>
        <w:t>, and</w:t>
      </w:r>
      <w:r w:rsidRPr="00530D97">
        <w:rPr>
          <w:rFonts w:ascii="Calibri" w:hAnsi="Calibri"/>
        </w:rPr>
        <w:t xml:space="preserve"> were decisively more likely to have attended lib</w:t>
      </w:r>
      <w:r>
        <w:rPr>
          <w:rFonts w:ascii="Calibri" w:hAnsi="Calibri"/>
        </w:rPr>
        <w:t>r</w:t>
      </w:r>
      <w:r w:rsidRPr="00530D97">
        <w:rPr>
          <w:rFonts w:ascii="Calibri" w:hAnsi="Calibri"/>
        </w:rPr>
        <w:t>aries (37% vs. 25% of males), and musicals (20% vs. 12%)</w:t>
      </w:r>
      <w:r>
        <w:rPr>
          <w:rFonts w:ascii="Calibri" w:hAnsi="Calibri"/>
        </w:rPr>
        <w:t>.</w:t>
      </w:r>
    </w:p>
    <w:p w14:paraId="6A8258F5" w14:textId="77777777" w:rsidR="00C65183" w:rsidRPr="003C265B" w:rsidRDefault="00C65183" w:rsidP="00C65183">
      <w:pPr>
        <w:jc w:val="both"/>
        <w:rPr>
          <w:rFonts w:ascii="Calibri" w:hAnsi="Calibri"/>
        </w:rPr>
      </w:pPr>
      <w:r w:rsidRPr="00D851ED">
        <w:rPr>
          <w:rFonts w:ascii="Calibri" w:hAnsi="Calibri"/>
          <w:color w:val="7F7F7F"/>
          <w:sz w:val="20"/>
          <w:szCs w:val="20"/>
        </w:rPr>
        <w:t xml:space="preserve">Per cent of </w:t>
      </w:r>
      <w:r>
        <w:rPr>
          <w:rFonts w:ascii="Calibri" w:hAnsi="Calibri"/>
          <w:color w:val="7F7F7F"/>
          <w:sz w:val="20"/>
          <w:szCs w:val="20"/>
        </w:rPr>
        <w:t>p</w:t>
      </w:r>
      <w:r w:rsidRPr="00D851ED">
        <w:rPr>
          <w:rFonts w:ascii="Calibri" w:hAnsi="Calibri"/>
          <w:color w:val="7F7F7F"/>
          <w:sz w:val="20"/>
          <w:szCs w:val="20"/>
        </w:rPr>
        <w:t xml:space="preserve">ersons who </w:t>
      </w:r>
      <w:r>
        <w:rPr>
          <w:rFonts w:ascii="Calibri" w:hAnsi="Calibri"/>
          <w:color w:val="7F7F7F"/>
          <w:sz w:val="20"/>
          <w:szCs w:val="20"/>
        </w:rPr>
        <w:t>a</w:t>
      </w:r>
      <w:r w:rsidRPr="00D851ED">
        <w:rPr>
          <w:rFonts w:ascii="Calibri" w:hAnsi="Calibri"/>
          <w:color w:val="7F7F7F"/>
          <w:sz w:val="20"/>
          <w:szCs w:val="20"/>
        </w:rPr>
        <w:t xml:space="preserve">ttended </w:t>
      </w:r>
      <w:r>
        <w:rPr>
          <w:rFonts w:ascii="Calibri" w:hAnsi="Calibri"/>
          <w:color w:val="7F7F7F"/>
          <w:sz w:val="20"/>
          <w:szCs w:val="20"/>
        </w:rPr>
        <w:t>s</w:t>
      </w:r>
      <w:r w:rsidRPr="00D851ED">
        <w:rPr>
          <w:rFonts w:ascii="Calibri" w:hAnsi="Calibri"/>
          <w:color w:val="7F7F7F"/>
          <w:sz w:val="20"/>
          <w:szCs w:val="20"/>
        </w:rPr>
        <w:t xml:space="preserve">elected </w:t>
      </w:r>
      <w:r>
        <w:rPr>
          <w:rFonts w:ascii="Calibri" w:hAnsi="Calibri"/>
          <w:color w:val="7F7F7F"/>
          <w:sz w:val="20"/>
          <w:szCs w:val="20"/>
        </w:rPr>
        <w:t>e</w:t>
      </w:r>
      <w:r w:rsidRPr="00D851ED">
        <w:rPr>
          <w:rFonts w:ascii="Calibri" w:hAnsi="Calibri"/>
          <w:color w:val="7F7F7F"/>
          <w:sz w:val="20"/>
          <w:szCs w:val="20"/>
        </w:rPr>
        <w:t xml:space="preserve">vents </w:t>
      </w:r>
      <w:r>
        <w:rPr>
          <w:rFonts w:ascii="Calibri" w:hAnsi="Calibri"/>
          <w:color w:val="7F7F7F"/>
          <w:sz w:val="20"/>
          <w:szCs w:val="20"/>
        </w:rPr>
        <w:t>d</w:t>
      </w:r>
      <w:r w:rsidRPr="00D851ED">
        <w:rPr>
          <w:rFonts w:ascii="Calibri" w:hAnsi="Calibri"/>
          <w:color w:val="7F7F7F"/>
          <w:sz w:val="20"/>
          <w:szCs w:val="20"/>
        </w:rPr>
        <w:t xml:space="preserve">uring the </w:t>
      </w:r>
      <w:r>
        <w:rPr>
          <w:rFonts w:ascii="Calibri" w:hAnsi="Calibri"/>
          <w:color w:val="7F7F7F"/>
          <w:sz w:val="20"/>
          <w:szCs w:val="20"/>
        </w:rPr>
        <w:t>p</w:t>
      </w:r>
      <w:r w:rsidRPr="00D851ED">
        <w:rPr>
          <w:rFonts w:ascii="Calibri" w:hAnsi="Calibri"/>
          <w:color w:val="7F7F7F"/>
          <w:sz w:val="20"/>
          <w:szCs w:val="20"/>
        </w:rPr>
        <w:t xml:space="preserve">revious </w:t>
      </w:r>
      <w:r>
        <w:rPr>
          <w:rFonts w:ascii="Calibri" w:hAnsi="Calibri"/>
          <w:color w:val="7F7F7F"/>
          <w:sz w:val="20"/>
          <w:szCs w:val="20"/>
        </w:rPr>
        <w:t>y</w:t>
      </w:r>
      <w:r w:rsidRPr="00D851ED">
        <w:rPr>
          <w:rFonts w:ascii="Calibri" w:hAnsi="Calibri"/>
          <w:color w:val="7F7F7F"/>
          <w:sz w:val="20"/>
          <w:szCs w:val="20"/>
        </w:rPr>
        <w:t xml:space="preserve">ear, by </w:t>
      </w:r>
      <w:r>
        <w:rPr>
          <w:rFonts w:ascii="Calibri" w:hAnsi="Calibri"/>
          <w:color w:val="7F7F7F"/>
          <w:sz w:val="20"/>
          <w:szCs w:val="20"/>
        </w:rPr>
        <w:t>s</w:t>
      </w:r>
      <w:r w:rsidRPr="00D851ED">
        <w:rPr>
          <w:rFonts w:ascii="Calibri" w:hAnsi="Calibri"/>
          <w:color w:val="7F7F7F"/>
          <w:sz w:val="20"/>
          <w:szCs w:val="20"/>
        </w:rPr>
        <w:t>ex: Australia, 201</w:t>
      </w:r>
      <w:r>
        <w:rPr>
          <w:rFonts w:ascii="Calibri" w:hAnsi="Calibri"/>
          <w:color w:val="7F7F7F"/>
          <w:sz w:val="20"/>
          <w:szCs w:val="20"/>
        </w:rPr>
        <w:t>7</w:t>
      </w:r>
      <w:r w:rsidRPr="00D851ED">
        <w:rPr>
          <w:rFonts w:ascii="Calibri" w:hAnsi="Calibri"/>
          <w:color w:val="7F7F7F"/>
          <w:sz w:val="20"/>
          <w:szCs w:val="20"/>
        </w:rPr>
        <w:t>/1</w:t>
      </w:r>
      <w:r>
        <w:rPr>
          <w:rFonts w:ascii="Calibri" w:hAnsi="Calibri"/>
          <w:color w:val="7F7F7F"/>
          <w:sz w:val="20"/>
          <w:szCs w:val="20"/>
        </w:rPr>
        <w:t>8</w:t>
      </w:r>
    </w:p>
    <w:p w14:paraId="259B99B4" w14:textId="77777777" w:rsidR="00C65183" w:rsidRDefault="00C65183" w:rsidP="00C65183">
      <w:pPr>
        <w:spacing w:line="360" w:lineRule="auto"/>
        <w:jc w:val="both"/>
        <w:rPr>
          <w:rFonts w:ascii="Calibri" w:hAnsi="Calibri"/>
          <w:sz w:val="10"/>
          <w:szCs w:val="10"/>
        </w:rPr>
      </w:pPr>
    </w:p>
    <w:p w14:paraId="5D645B0A" w14:textId="77777777" w:rsidR="00C65183" w:rsidRPr="00530D97" w:rsidRDefault="00C65183" w:rsidP="00C65183">
      <w:pPr>
        <w:spacing w:line="360" w:lineRule="auto"/>
        <w:jc w:val="both"/>
        <w:rPr>
          <w:rFonts w:ascii="Calibri" w:hAnsi="Calibri"/>
        </w:rPr>
      </w:pPr>
      <w:r>
        <w:rPr>
          <w:rFonts w:ascii="Calibri" w:hAnsi="Calibri"/>
          <w:noProof/>
        </w:rPr>
        <w:drawing>
          <wp:anchor distT="0" distB="0" distL="114300" distR="114300" simplePos="0" relativeHeight="251982848" behindDoc="0" locked="0" layoutInCell="1" allowOverlap="1" wp14:anchorId="4F91D402" wp14:editId="287F2CBE">
            <wp:simplePos x="0" y="0"/>
            <wp:positionH relativeFrom="margin">
              <wp:posOffset>2278380</wp:posOffset>
            </wp:positionH>
            <wp:positionV relativeFrom="paragraph">
              <wp:posOffset>1011555</wp:posOffset>
            </wp:positionV>
            <wp:extent cx="3844925" cy="2558415"/>
            <wp:effectExtent l="0" t="0" r="3175" b="0"/>
            <wp:wrapSquare wrapText="bothSides"/>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3844925" cy="2558415"/>
                    </a:xfrm>
                    <a:prstGeom prst="rect">
                      <a:avLst/>
                    </a:prstGeom>
                    <a:noFill/>
                  </pic:spPr>
                </pic:pic>
              </a:graphicData>
            </a:graphic>
            <wp14:sizeRelH relativeFrom="page">
              <wp14:pctWidth>0</wp14:pctWidth>
            </wp14:sizeRelH>
            <wp14:sizeRelV relativeFrom="page">
              <wp14:pctHeight>0</wp14:pctHeight>
            </wp14:sizeRelV>
          </wp:anchor>
        </w:drawing>
      </w:r>
      <w:r w:rsidRPr="00530D97">
        <w:rPr>
          <w:rFonts w:ascii="Calibri" w:hAnsi="Calibri"/>
        </w:rPr>
        <w:t xml:space="preserve">Levels of attendance </w:t>
      </w:r>
      <w:r>
        <w:rPr>
          <w:rFonts w:ascii="Calibri" w:hAnsi="Calibri"/>
        </w:rPr>
        <w:t>were relatively</w:t>
      </w:r>
      <w:r w:rsidRPr="00530D97">
        <w:rPr>
          <w:rFonts w:ascii="Calibri" w:hAnsi="Calibri"/>
        </w:rPr>
        <w:t xml:space="preserve"> stable throughout the lifespan, declining only among people aged 65 years or more. For example, the proportion of people attending at least one event declined gradually, from 95% among those aged 15 to 17, to 88% among 35-44 year-olds, and 56% of people aged over 75 years.</w:t>
      </w:r>
    </w:p>
    <w:p w14:paraId="6E0587DD" w14:textId="77777777" w:rsidR="00C65183" w:rsidRDefault="00C65183" w:rsidP="00C65183">
      <w:pPr>
        <w:spacing w:line="360" w:lineRule="auto"/>
        <w:jc w:val="both"/>
        <w:rPr>
          <w:rFonts w:ascii="Calibri" w:hAnsi="Calibri"/>
        </w:rPr>
      </w:pPr>
      <w:r w:rsidRPr="00530D97">
        <w:rPr>
          <w:rFonts w:ascii="Calibri" w:hAnsi="Calibri"/>
        </w:rPr>
        <w:t xml:space="preserve">Education levels </w:t>
      </w:r>
      <w:r>
        <w:rPr>
          <w:rFonts w:ascii="Calibri" w:hAnsi="Calibri"/>
        </w:rPr>
        <w:t>influenced</w:t>
      </w:r>
      <w:r w:rsidRPr="00530D97">
        <w:rPr>
          <w:rFonts w:ascii="Calibri" w:hAnsi="Calibri"/>
        </w:rPr>
        <w:t xml:space="preserve"> arts attendance, with 93% of people who hold university degrees attending an event in the previous year, compared with 65% of those with year 10 or less. </w:t>
      </w:r>
    </w:p>
    <w:p w14:paraId="653A2570" w14:textId="77777777" w:rsidR="00C65183" w:rsidRPr="00530D97" w:rsidRDefault="00C65183" w:rsidP="00C65183">
      <w:pPr>
        <w:spacing w:line="360" w:lineRule="auto"/>
        <w:jc w:val="both"/>
        <w:rPr>
          <w:rFonts w:ascii="Calibri" w:hAnsi="Calibri"/>
          <w:sz w:val="8"/>
          <w:szCs w:val="8"/>
        </w:rPr>
      </w:pPr>
    </w:p>
    <w:p w14:paraId="02BB3925" w14:textId="77777777" w:rsidR="00C65183" w:rsidRPr="00530D97" w:rsidRDefault="00C65183" w:rsidP="00C65183">
      <w:pPr>
        <w:spacing w:line="360" w:lineRule="auto"/>
        <w:jc w:val="both"/>
        <w:rPr>
          <w:rFonts w:ascii="Calibri" w:hAnsi="Calibri"/>
          <w:sz w:val="8"/>
          <w:szCs w:val="8"/>
        </w:rPr>
      </w:pPr>
    </w:p>
    <w:p w14:paraId="638BF2CB" w14:textId="77777777" w:rsidR="00C65183" w:rsidRPr="003C265B" w:rsidRDefault="00C65183" w:rsidP="00C65183">
      <w:pPr>
        <w:jc w:val="both"/>
        <w:rPr>
          <w:rFonts w:ascii="Calibri" w:hAnsi="Calibri"/>
        </w:rPr>
      </w:pPr>
      <w:r w:rsidRPr="00D851ED">
        <w:rPr>
          <w:rFonts w:ascii="Calibri" w:hAnsi="Calibri"/>
          <w:color w:val="7F7F7F"/>
          <w:sz w:val="20"/>
          <w:szCs w:val="20"/>
        </w:rPr>
        <w:t xml:space="preserve">Per cent of </w:t>
      </w:r>
      <w:r>
        <w:rPr>
          <w:rFonts w:ascii="Calibri" w:hAnsi="Calibri"/>
          <w:color w:val="7F7F7F"/>
          <w:sz w:val="20"/>
          <w:szCs w:val="20"/>
        </w:rPr>
        <w:t>p</w:t>
      </w:r>
      <w:r w:rsidRPr="00D851ED">
        <w:rPr>
          <w:rFonts w:ascii="Calibri" w:hAnsi="Calibri"/>
          <w:color w:val="7F7F7F"/>
          <w:sz w:val="20"/>
          <w:szCs w:val="20"/>
        </w:rPr>
        <w:t xml:space="preserve">ersons who </w:t>
      </w:r>
      <w:r>
        <w:rPr>
          <w:rFonts w:ascii="Calibri" w:hAnsi="Calibri"/>
          <w:color w:val="7F7F7F"/>
          <w:sz w:val="20"/>
          <w:szCs w:val="20"/>
        </w:rPr>
        <w:t>a</w:t>
      </w:r>
      <w:r w:rsidRPr="00D851ED">
        <w:rPr>
          <w:rFonts w:ascii="Calibri" w:hAnsi="Calibri"/>
          <w:color w:val="7F7F7F"/>
          <w:sz w:val="20"/>
          <w:szCs w:val="20"/>
        </w:rPr>
        <w:t xml:space="preserve">ttended </w:t>
      </w:r>
      <w:r>
        <w:rPr>
          <w:rFonts w:ascii="Calibri" w:hAnsi="Calibri"/>
          <w:color w:val="7F7F7F"/>
          <w:sz w:val="20"/>
          <w:szCs w:val="20"/>
        </w:rPr>
        <w:t>s</w:t>
      </w:r>
      <w:r w:rsidRPr="00D851ED">
        <w:rPr>
          <w:rFonts w:ascii="Calibri" w:hAnsi="Calibri"/>
          <w:color w:val="7F7F7F"/>
          <w:sz w:val="20"/>
          <w:szCs w:val="20"/>
        </w:rPr>
        <w:t xml:space="preserve">elected </w:t>
      </w:r>
      <w:r>
        <w:rPr>
          <w:rFonts w:ascii="Calibri" w:hAnsi="Calibri"/>
          <w:color w:val="7F7F7F"/>
          <w:sz w:val="20"/>
          <w:szCs w:val="20"/>
        </w:rPr>
        <w:t>e</w:t>
      </w:r>
      <w:r w:rsidRPr="00D851ED">
        <w:rPr>
          <w:rFonts w:ascii="Calibri" w:hAnsi="Calibri"/>
          <w:color w:val="7F7F7F"/>
          <w:sz w:val="20"/>
          <w:szCs w:val="20"/>
        </w:rPr>
        <w:t xml:space="preserve">vents </w:t>
      </w:r>
      <w:r>
        <w:rPr>
          <w:rFonts w:ascii="Calibri" w:hAnsi="Calibri"/>
          <w:color w:val="7F7F7F"/>
          <w:sz w:val="20"/>
          <w:szCs w:val="20"/>
        </w:rPr>
        <w:t>d</w:t>
      </w:r>
      <w:r w:rsidRPr="00D851ED">
        <w:rPr>
          <w:rFonts w:ascii="Calibri" w:hAnsi="Calibri"/>
          <w:color w:val="7F7F7F"/>
          <w:sz w:val="20"/>
          <w:szCs w:val="20"/>
        </w:rPr>
        <w:t xml:space="preserve">uring the </w:t>
      </w:r>
      <w:r>
        <w:rPr>
          <w:rFonts w:ascii="Calibri" w:hAnsi="Calibri"/>
          <w:color w:val="7F7F7F"/>
          <w:sz w:val="20"/>
          <w:szCs w:val="20"/>
        </w:rPr>
        <w:t>p</w:t>
      </w:r>
      <w:r w:rsidRPr="00D851ED">
        <w:rPr>
          <w:rFonts w:ascii="Calibri" w:hAnsi="Calibri"/>
          <w:color w:val="7F7F7F"/>
          <w:sz w:val="20"/>
          <w:szCs w:val="20"/>
        </w:rPr>
        <w:t xml:space="preserve">revious </w:t>
      </w:r>
      <w:r>
        <w:rPr>
          <w:rFonts w:ascii="Calibri" w:hAnsi="Calibri"/>
          <w:color w:val="7F7F7F"/>
          <w:sz w:val="20"/>
          <w:szCs w:val="20"/>
        </w:rPr>
        <w:t>y</w:t>
      </w:r>
      <w:r w:rsidRPr="00D851ED">
        <w:rPr>
          <w:rFonts w:ascii="Calibri" w:hAnsi="Calibri"/>
          <w:color w:val="7F7F7F"/>
          <w:sz w:val="20"/>
          <w:szCs w:val="20"/>
        </w:rPr>
        <w:t xml:space="preserve">ear, by </w:t>
      </w:r>
      <w:r>
        <w:rPr>
          <w:rFonts w:ascii="Calibri" w:hAnsi="Calibri"/>
          <w:color w:val="7F7F7F"/>
          <w:sz w:val="20"/>
          <w:szCs w:val="20"/>
        </w:rPr>
        <w:t>education level</w:t>
      </w:r>
      <w:r w:rsidRPr="00D851ED">
        <w:rPr>
          <w:rFonts w:ascii="Calibri" w:hAnsi="Calibri"/>
          <w:color w:val="7F7F7F"/>
          <w:sz w:val="20"/>
          <w:szCs w:val="20"/>
        </w:rPr>
        <w:t>: Australia, 201</w:t>
      </w:r>
      <w:r>
        <w:rPr>
          <w:rFonts w:ascii="Calibri" w:hAnsi="Calibri"/>
          <w:color w:val="7F7F7F"/>
          <w:sz w:val="20"/>
          <w:szCs w:val="20"/>
        </w:rPr>
        <w:t>7</w:t>
      </w:r>
      <w:r w:rsidRPr="00D851ED">
        <w:rPr>
          <w:rFonts w:ascii="Calibri" w:hAnsi="Calibri"/>
          <w:color w:val="7F7F7F"/>
          <w:sz w:val="20"/>
          <w:szCs w:val="20"/>
        </w:rPr>
        <w:t>/1</w:t>
      </w:r>
      <w:r>
        <w:rPr>
          <w:rFonts w:ascii="Calibri" w:hAnsi="Calibri"/>
          <w:color w:val="7F7F7F"/>
          <w:sz w:val="20"/>
          <w:szCs w:val="20"/>
        </w:rPr>
        <w:t>8</w:t>
      </w:r>
    </w:p>
    <w:p w14:paraId="0AEE31FD" w14:textId="77777777" w:rsidR="00C65183" w:rsidRPr="00530D97" w:rsidRDefault="00C65183" w:rsidP="00C65183">
      <w:pPr>
        <w:spacing w:line="360" w:lineRule="auto"/>
        <w:jc w:val="both"/>
        <w:rPr>
          <w:rFonts w:ascii="Calibri" w:hAnsi="Calibri"/>
          <w:sz w:val="8"/>
          <w:szCs w:val="8"/>
        </w:rPr>
      </w:pPr>
    </w:p>
    <w:p w14:paraId="6F007207" w14:textId="77777777" w:rsidR="00C65183" w:rsidRPr="00530D97" w:rsidRDefault="00C65183" w:rsidP="00C65183">
      <w:pPr>
        <w:spacing w:line="360" w:lineRule="auto"/>
        <w:jc w:val="both"/>
        <w:rPr>
          <w:rFonts w:ascii="Calibri" w:hAnsi="Calibri"/>
          <w:sz w:val="8"/>
          <w:szCs w:val="8"/>
        </w:rPr>
      </w:pPr>
    </w:p>
    <w:p w14:paraId="7F235C71" w14:textId="77777777" w:rsidR="00C65183" w:rsidRPr="00530D97" w:rsidRDefault="00C65183" w:rsidP="00C65183">
      <w:pPr>
        <w:spacing w:line="360" w:lineRule="auto"/>
        <w:jc w:val="both"/>
        <w:rPr>
          <w:rFonts w:ascii="Calibri" w:hAnsi="Calibri"/>
        </w:rPr>
      </w:pPr>
      <w:r w:rsidRPr="00530D97">
        <w:rPr>
          <w:rFonts w:ascii="Calibri" w:hAnsi="Calibri"/>
        </w:rPr>
        <w:t>Degree holders were three times more likely to attend art galleries, museums and musicals</w:t>
      </w:r>
      <w:r>
        <w:rPr>
          <w:rFonts w:ascii="Calibri" w:hAnsi="Calibri"/>
        </w:rPr>
        <w:t xml:space="preserve"> as</w:t>
      </w:r>
      <w:r w:rsidRPr="00530D97">
        <w:rPr>
          <w:rFonts w:ascii="Calibri" w:hAnsi="Calibri"/>
        </w:rPr>
        <w:t xml:space="preserve"> those with year 10 schooling, and twice as likely to attend other events.</w:t>
      </w:r>
    </w:p>
    <w:p w14:paraId="0A9E5C75" w14:textId="77777777" w:rsidR="00C65183" w:rsidRPr="00530D97" w:rsidRDefault="00C65183" w:rsidP="00C65183">
      <w:pPr>
        <w:spacing w:line="360" w:lineRule="auto"/>
        <w:jc w:val="both"/>
        <w:rPr>
          <w:rFonts w:ascii="Calibri" w:hAnsi="Calibri"/>
        </w:rPr>
      </w:pPr>
      <w:r w:rsidRPr="00530D97">
        <w:rPr>
          <w:rFonts w:ascii="Calibri" w:hAnsi="Calibri"/>
        </w:rPr>
        <w:t>Attendance also varied with income</w:t>
      </w:r>
      <w:r>
        <w:rPr>
          <w:rFonts w:ascii="Calibri" w:hAnsi="Calibri"/>
        </w:rPr>
        <w:t>. Members</w:t>
      </w:r>
      <w:r w:rsidRPr="00530D97">
        <w:rPr>
          <w:rFonts w:ascii="Calibri" w:hAnsi="Calibri"/>
        </w:rPr>
        <w:t xml:space="preserve"> of the highest fifth of income earning households</w:t>
      </w:r>
      <w:r>
        <w:rPr>
          <w:rFonts w:ascii="Calibri" w:hAnsi="Calibri"/>
        </w:rPr>
        <w:t xml:space="preserve"> were</w:t>
      </w:r>
      <w:r w:rsidRPr="00530D97">
        <w:rPr>
          <w:rFonts w:ascii="Calibri" w:hAnsi="Calibri"/>
        </w:rPr>
        <w:t xml:space="preserve"> three times more likely to ha</w:t>
      </w:r>
      <w:r>
        <w:rPr>
          <w:rFonts w:ascii="Calibri" w:hAnsi="Calibri"/>
        </w:rPr>
        <w:t>v</w:t>
      </w:r>
      <w:r w:rsidRPr="00530D97">
        <w:rPr>
          <w:rFonts w:ascii="Calibri" w:hAnsi="Calibri"/>
        </w:rPr>
        <w:t xml:space="preserve">e attended live music, dance, musicals and operas as those </w:t>
      </w:r>
      <w:r>
        <w:rPr>
          <w:rFonts w:ascii="Calibri" w:hAnsi="Calibri"/>
        </w:rPr>
        <w:t>in receipt of</w:t>
      </w:r>
      <w:r w:rsidRPr="00530D97">
        <w:rPr>
          <w:rFonts w:ascii="Calibri" w:hAnsi="Calibri"/>
        </w:rPr>
        <w:t xml:space="preserve"> the lowest fifth of incomes.</w:t>
      </w:r>
    </w:p>
    <w:p w14:paraId="784D9C4A" w14:textId="77777777" w:rsidR="00C65183" w:rsidRDefault="00C65183" w:rsidP="00C65183">
      <w:pPr>
        <w:jc w:val="both"/>
        <w:rPr>
          <w:rFonts w:ascii="Calibri" w:hAnsi="Calibri"/>
          <w:b/>
        </w:rPr>
      </w:pPr>
      <w:r w:rsidRPr="00FE7400">
        <w:rPr>
          <w:rFonts w:ascii="Calibri" w:hAnsi="Calibri"/>
          <w:b/>
        </w:rPr>
        <w:lastRenderedPageBreak/>
        <w:t>Local Trends</w:t>
      </w:r>
    </w:p>
    <w:p w14:paraId="5471AE08" w14:textId="77777777" w:rsidR="00C65183" w:rsidRPr="00923BF8" w:rsidRDefault="00C65183" w:rsidP="00C65183">
      <w:pPr>
        <w:spacing w:line="360" w:lineRule="auto"/>
        <w:jc w:val="both"/>
        <w:rPr>
          <w:rFonts w:asciiTheme="minorHAnsi" w:hAnsiTheme="minorHAnsi"/>
        </w:rPr>
      </w:pPr>
      <w:r w:rsidRPr="00923BF8">
        <w:rPr>
          <w:rFonts w:asciiTheme="minorHAnsi" w:hAnsiTheme="minorHAnsi"/>
        </w:rPr>
        <w:t>Of those who purchased tickets to performances at the Drum theatre in 2016/17, approximately 1,000 were residents of Greater Dandenong, representing approximately 0.6% of the population of this municipality.</w:t>
      </w:r>
    </w:p>
    <w:p w14:paraId="282E3928" w14:textId="77777777" w:rsidR="00C65183" w:rsidRPr="00B95518" w:rsidRDefault="00C65183" w:rsidP="00C65183">
      <w:pPr>
        <w:ind w:left="709"/>
        <w:jc w:val="both"/>
        <w:rPr>
          <w:rFonts w:ascii="Calibri" w:hAnsi="Calibri"/>
          <w:color w:val="7F7F7F"/>
          <w:sz w:val="20"/>
          <w:szCs w:val="20"/>
        </w:rPr>
      </w:pPr>
      <w:r w:rsidRPr="00B95518">
        <w:rPr>
          <w:rFonts w:ascii="Calibri" w:hAnsi="Calibri"/>
          <w:color w:val="7F7F7F"/>
          <w:sz w:val="20"/>
          <w:szCs w:val="20"/>
        </w:rPr>
        <w:t xml:space="preserve">Per cent of </w:t>
      </w:r>
      <w:r>
        <w:rPr>
          <w:rFonts w:ascii="Calibri" w:hAnsi="Calibri"/>
          <w:color w:val="7F7F7F"/>
          <w:sz w:val="20"/>
          <w:szCs w:val="20"/>
        </w:rPr>
        <w:t>r</w:t>
      </w:r>
      <w:r w:rsidRPr="00B95518">
        <w:rPr>
          <w:rFonts w:ascii="Calibri" w:hAnsi="Calibri"/>
          <w:color w:val="7F7F7F"/>
          <w:sz w:val="20"/>
          <w:szCs w:val="20"/>
        </w:rPr>
        <w:t xml:space="preserve">esidents who had </w:t>
      </w:r>
      <w:r>
        <w:rPr>
          <w:rFonts w:ascii="Calibri" w:hAnsi="Calibri"/>
          <w:color w:val="7F7F7F"/>
          <w:sz w:val="20"/>
          <w:szCs w:val="20"/>
        </w:rPr>
        <w:t>p</w:t>
      </w:r>
      <w:r w:rsidRPr="00B95518">
        <w:rPr>
          <w:rFonts w:ascii="Calibri" w:hAnsi="Calibri"/>
          <w:color w:val="7F7F7F"/>
          <w:sz w:val="20"/>
          <w:szCs w:val="20"/>
        </w:rPr>
        <w:t xml:space="preserve">articipated in an </w:t>
      </w:r>
    </w:p>
    <w:p w14:paraId="10537B9E" w14:textId="77777777" w:rsidR="00C65183" w:rsidRPr="00B95518" w:rsidRDefault="00C65183" w:rsidP="00C65183">
      <w:pPr>
        <w:ind w:left="709"/>
        <w:jc w:val="both"/>
        <w:rPr>
          <w:rFonts w:ascii="Calibri" w:hAnsi="Calibri"/>
          <w:color w:val="7F7F7F"/>
          <w:sz w:val="20"/>
          <w:szCs w:val="20"/>
        </w:rPr>
      </w:pPr>
      <w:r>
        <w:rPr>
          <w:rFonts w:ascii="Calibri" w:hAnsi="Calibri"/>
          <w:color w:val="7F7F7F"/>
          <w:sz w:val="20"/>
          <w:szCs w:val="20"/>
        </w:rPr>
        <w:t>a</w:t>
      </w:r>
      <w:r w:rsidRPr="00B95518">
        <w:rPr>
          <w:rFonts w:ascii="Calibri" w:hAnsi="Calibri"/>
          <w:color w:val="7F7F7F"/>
          <w:sz w:val="20"/>
          <w:szCs w:val="20"/>
        </w:rPr>
        <w:t xml:space="preserve">rts </w:t>
      </w:r>
      <w:r>
        <w:rPr>
          <w:rFonts w:ascii="Calibri" w:hAnsi="Calibri"/>
          <w:color w:val="7F7F7F"/>
          <w:sz w:val="20"/>
          <w:szCs w:val="20"/>
        </w:rPr>
        <w:t>event</w:t>
      </w:r>
      <w:r w:rsidRPr="00B95518">
        <w:rPr>
          <w:rFonts w:ascii="Calibri" w:hAnsi="Calibri"/>
          <w:color w:val="7F7F7F"/>
          <w:sz w:val="20"/>
          <w:szCs w:val="20"/>
        </w:rPr>
        <w:t xml:space="preserve"> during the </w:t>
      </w:r>
      <w:r>
        <w:rPr>
          <w:rFonts w:ascii="Calibri" w:hAnsi="Calibri"/>
          <w:color w:val="7F7F7F"/>
          <w:sz w:val="20"/>
          <w:szCs w:val="20"/>
        </w:rPr>
        <w:t>p</w:t>
      </w:r>
      <w:r w:rsidRPr="00B95518">
        <w:rPr>
          <w:rFonts w:ascii="Calibri" w:hAnsi="Calibri"/>
          <w:color w:val="7F7F7F"/>
          <w:sz w:val="20"/>
          <w:szCs w:val="20"/>
        </w:rPr>
        <w:t xml:space="preserve">revious </w:t>
      </w:r>
      <w:r>
        <w:rPr>
          <w:rFonts w:ascii="Calibri" w:hAnsi="Calibri"/>
          <w:color w:val="7F7F7F"/>
          <w:sz w:val="20"/>
          <w:szCs w:val="20"/>
        </w:rPr>
        <w:t>three months</w:t>
      </w:r>
      <w:r w:rsidRPr="00B95518">
        <w:rPr>
          <w:rFonts w:ascii="Calibri" w:hAnsi="Calibri"/>
          <w:color w:val="7F7F7F"/>
          <w:sz w:val="20"/>
          <w:szCs w:val="20"/>
        </w:rPr>
        <w:t>, 2012</w:t>
      </w:r>
    </w:p>
    <w:p w14:paraId="6DBA05D5" w14:textId="77777777" w:rsidR="00C65183" w:rsidRDefault="00C65183" w:rsidP="00C65183">
      <w:pPr>
        <w:spacing w:line="360" w:lineRule="auto"/>
        <w:jc w:val="both"/>
        <w:rPr>
          <w:rFonts w:ascii="Calibri" w:hAnsi="Calibri"/>
        </w:rPr>
      </w:pPr>
      <w:r>
        <w:rPr>
          <w:noProof/>
          <w:lang w:eastAsia="en-AU"/>
        </w:rPr>
        <w:drawing>
          <wp:anchor distT="0" distB="0" distL="114300" distR="114300" simplePos="0" relativeHeight="251787264" behindDoc="1" locked="0" layoutInCell="1" allowOverlap="1" wp14:anchorId="31E42A99" wp14:editId="1943048E">
            <wp:simplePos x="0" y="0"/>
            <wp:positionH relativeFrom="column">
              <wp:posOffset>59055</wp:posOffset>
            </wp:positionH>
            <wp:positionV relativeFrom="paragraph">
              <wp:posOffset>62865</wp:posOffset>
            </wp:positionV>
            <wp:extent cx="3098800" cy="3696970"/>
            <wp:effectExtent l="0" t="0" r="6350" b="0"/>
            <wp:wrapTight wrapText="bothSides">
              <wp:wrapPolygon edited="0">
                <wp:start x="0" y="0"/>
                <wp:lineTo x="0" y="21481"/>
                <wp:lineTo x="21511" y="21481"/>
                <wp:lineTo x="21511" y="0"/>
                <wp:lineTo x="0" y="0"/>
              </wp:wrapPolygon>
            </wp:wrapTight>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59">
                      <a:extLst>
                        <a:ext uri="{28A0092B-C50C-407E-A947-70E740481C1C}">
                          <a14:useLocalDpi xmlns:a14="http://schemas.microsoft.com/office/drawing/2010/main" val="0"/>
                        </a:ext>
                      </a:extLst>
                    </a:blip>
                    <a:srcRect l="2733" r="9338"/>
                    <a:stretch>
                      <a:fillRect/>
                    </a:stretch>
                  </pic:blipFill>
                  <pic:spPr bwMode="auto">
                    <a:xfrm>
                      <a:off x="0" y="0"/>
                      <a:ext cx="3098800" cy="369697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libri" w:hAnsi="Calibri"/>
        </w:rPr>
        <w:t>Locally, the 2012 VicHealth Indicators Survey found that levels of participation in arts activities or events were lower among residents of Greater Dandenong than the Victorian average, with 50% of residents attending arts activities or events during the previous 3 months, compared with 66% of Victorian residents. Participation levels were highest in the more affluent metropolitan localities, and lowest in rural communities and disadvantaged metropolitan areas.</w:t>
      </w:r>
    </w:p>
    <w:p w14:paraId="147EA761" w14:textId="77777777" w:rsidR="00C65183" w:rsidRDefault="00C65183" w:rsidP="00C65183">
      <w:pPr>
        <w:spacing w:line="360" w:lineRule="auto"/>
        <w:jc w:val="both"/>
        <w:rPr>
          <w:rFonts w:ascii="Calibri" w:hAnsi="Calibri"/>
        </w:rPr>
      </w:pPr>
      <w:r>
        <w:rPr>
          <w:rFonts w:ascii="Calibri" w:hAnsi="Calibri"/>
        </w:rPr>
        <w:t xml:space="preserve"> </w:t>
      </w:r>
    </w:p>
    <w:p w14:paraId="59E7F666" w14:textId="77777777" w:rsidR="00C65183" w:rsidRDefault="00C65183" w:rsidP="00C65183">
      <w:pPr>
        <w:spacing w:line="360" w:lineRule="auto"/>
        <w:jc w:val="both"/>
        <w:rPr>
          <w:rFonts w:ascii="Calibri" w:hAnsi="Calibri"/>
          <w:sz w:val="20"/>
          <w:szCs w:val="20"/>
        </w:rPr>
      </w:pPr>
      <w:r>
        <w:rPr>
          <w:rFonts w:ascii="Calibri" w:hAnsi="Calibri"/>
          <w:noProof/>
          <w:sz w:val="20"/>
          <w:szCs w:val="20"/>
          <w:lang w:eastAsia="en-AU"/>
        </w:rPr>
        <w:drawing>
          <wp:anchor distT="0" distB="0" distL="114300" distR="114300" simplePos="0" relativeHeight="251791360" behindDoc="0" locked="0" layoutInCell="1" allowOverlap="1" wp14:anchorId="3B126E50" wp14:editId="4D1ECBC7">
            <wp:simplePos x="0" y="0"/>
            <wp:positionH relativeFrom="column">
              <wp:posOffset>4918710</wp:posOffset>
            </wp:positionH>
            <wp:positionV relativeFrom="paragraph">
              <wp:posOffset>160020</wp:posOffset>
            </wp:positionV>
            <wp:extent cx="1151890" cy="758101"/>
            <wp:effectExtent l="0" t="0" r="0" b="4445"/>
            <wp:wrapNone/>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munity Ethnic 13.JPG"/>
                    <pic:cNvPicPr/>
                  </pic:nvPicPr>
                  <pic:blipFill>
                    <a:blip r:embed="rId160" cstate="print">
                      <a:extLst>
                        <a:ext uri="{28A0092B-C50C-407E-A947-70E740481C1C}">
                          <a14:useLocalDpi xmlns:a14="http://schemas.microsoft.com/office/drawing/2010/main" val="0"/>
                        </a:ext>
                      </a:extLst>
                    </a:blip>
                    <a:stretch>
                      <a:fillRect/>
                    </a:stretch>
                  </pic:blipFill>
                  <pic:spPr>
                    <a:xfrm>
                      <a:off x="0" y="0"/>
                      <a:ext cx="1165801" cy="767257"/>
                    </a:xfrm>
                    <a:prstGeom prst="rect">
                      <a:avLst/>
                    </a:prstGeom>
                    <a:ln>
                      <a:noFill/>
                    </a:ln>
                    <a:effectLst>
                      <a:softEdge rad="127000"/>
                    </a:effectLst>
                  </pic:spPr>
                </pic:pic>
              </a:graphicData>
            </a:graphic>
            <wp14:sizeRelH relativeFrom="page">
              <wp14:pctWidth>0</wp14:pctWidth>
            </wp14:sizeRelH>
            <wp14:sizeRelV relativeFrom="page">
              <wp14:pctHeight>0</wp14:pctHeight>
            </wp14:sizeRelV>
          </wp:anchor>
        </w:drawing>
      </w:r>
    </w:p>
    <w:p w14:paraId="32E48FCE" w14:textId="77777777" w:rsidR="00C65183" w:rsidRDefault="00C65183" w:rsidP="00C65183">
      <w:pPr>
        <w:spacing w:line="360" w:lineRule="auto"/>
        <w:jc w:val="both"/>
        <w:rPr>
          <w:rFonts w:ascii="Calibri" w:hAnsi="Calibri"/>
          <w:sz w:val="20"/>
          <w:szCs w:val="20"/>
        </w:rPr>
      </w:pPr>
    </w:p>
    <w:p w14:paraId="056DA922" w14:textId="77777777" w:rsidR="00C65183" w:rsidRDefault="00C65183" w:rsidP="00C65183">
      <w:pPr>
        <w:spacing w:line="360" w:lineRule="auto"/>
        <w:jc w:val="both"/>
        <w:rPr>
          <w:rFonts w:ascii="Calibri" w:hAnsi="Calibri"/>
          <w:sz w:val="20"/>
          <w:szCs w:val="20"/>
        </w:rPr>
      </w:pPr>
    </w:p>
    <w:p w14:paraId="5AFE21EA" w14:textId="77777777" w:rsidR="00C65183" w:rsidRDefault="00C65183" w:rsidP="00C65183">
      <w:pPr>
        <w:spacing w:line="360" w:lineRule="auto"/>
        <w:jc w:val="both"/>
        <w:rPr>
          <w:rFonts w:ascii="Calibri" w:hAnsi="Calibri"/>
          <w:sz w:val="20"/>
          <w:szCs w:val="20"/>
        </w:rPr>
      </w:pPr>
    </w:p>
    <w:p w14:paraId="6268006C" w14:textId="77777777" w:rsidR="00C65183" w:rsidRDefault="00C65183" w:rsidP="00C65183">
      <w:pPr>
        <w:spacing w:line="360" w:lineRule="auto"/>
        <w:jc w:val="both"/>
        <w:rPr>
          <w:rFonts w:ascii="Calibri" w:hAnsi="Calibri"/>
          <w:sz w:val="20"/>
          <w:szCs w:val="20"/>
        </w:rPr>
      </w:pPr>
    </w:p>
    <w:p w14:paraId="4AE51716" w14:textId="77777777" w:rsidR="00C65183" w:rsidRPr="004D1695" w:rsidRDefault="00C65183" w:rsidP="00C65183">
      <w:pPr>
        <w:spacing w:line="360" w:lineRule="auto"/>
        <w:jc w:val="both"/>
        <w:rPr>
          <w:rFonts w:ascii="Calibri" w:hAnsi="Calibri"/>
          <w:sz w:val="12"/>
          <w:szCs w:val="12"/>
        </w:rPr>
      </w:pPr>
    </w:p>
    <w:p w14:paraId="51B37764" w14:textId="77777777" w:rsidR="00C65183" w:rsidRPr="004D1695" w:rsidRDefault="00C65183" w:rsidP="00C65183">
      <w:pPr>
        <w:jc w:val="both"/>
        <w:rPr>
          <w:rFonts w:ascii="Calibri" w:hAnsi="Calibri"/>
          <w:sz w:val="12"/>
          <w:szCs w:val="12"/>
        </w:rPr>
      </w:pPr>
    </w:p>
    <w:p w14:paraId="6CF80D58" w14:textId="77777777" w:rsidR="00C65183" w:rsidRPr="00D851ED" w:rsidRDefault="00C65183" w:rsidP="00C65183">
      <w:pPr>
        <w:ind w:left="5387"/>
        <w:jc w:val="both"/>
        <w:rPr>
          <w:rFonts w:ascii="Calibri" w:hAnsi="Calibri"/>
          <w:color w:val="7F7F7F"/>
          <w:sz w:val="20"/>
          <w:szCs w:val="20"/>
        </w:rPr>
      </w:pPr>
      <w:r w:rsidRPr="00D851ED">
        <w:rPr>
          <w:rFonts w:ascii="Calibri" w:hAnsi="Calibri"/>
          <w:color w:val="7F7F7F"/>
          <w:sz w:val="20"/>
          <w:szCs w:val="20"/>
        </w:rPr>
        <w:t xml:space="preserve">Per cent of </w:t>
      </w:r>
      <w:r>
        <w:rPr>
          <w:rFonts w:ascii="Calibri" w:hAnsi="Calibri"/>
          <w:color w:val="7F7F7F"/>
          <w:sz w:val="20"/>
          <w:szCs w:val="20"/>
        </w:rPr>
        <w:t>r</w:t>
      </w:r>
      <w:r w:rsidRPr="00D851ED">
        <w:rPr>
          <w:rFonts w:ascii="Calibri" w:hAnsi="Calibri"/>
          <w:color w:val="7F7F7F"/>
          <w:sz w:val="20"/>
          <w:szCs w:val="20"/>
        </w:rPr>
        <w:t xml:space="preserve">esidents who </w:t>
      </w:r>
      <w:r>
        <w:rPr>
          <w:rFonts w:ascii="Calibri" w:hAnsi="Calibri"/>
          <w:color w:val="7F7F7F"/>
          <w:sz w:val="20"/>
          <w:szCs w:val="20"/>
        </w:rPr>
        <w:t xml:space="preserve">created art or craft </w:t>
      </w:r>
      <w:r w:rsidRPr="00D851ED">
        <w:rPr>
          <w:rFonts w:ascii="Calibri" w:hAnsi="Calibri"/>
          <w:color w:val="7F7F7F"/>
          <w:sz w:val="20"/>
          <w:szCs w:val="20"/>
        </w:rPr>
        <w:t xml:space="preserve">during the </w:t>
      </w:r>
      <w:r>
        <w:rPr>
          <w:rFonts w:ascii="Calibri" w:hAnsi="Calibri"/>
          <w:color w:val="7F7F7F"/>
          <w:sz w:val="20"/>
          <w:szCs w:val="20"/>
        </w:rPr>
        <w:t>p</w:t>
      </w:r>
      <w:r w:rsidRPr="00D851ED">
        <w:rPr>
          <w:rFonts w:ascii="Calibri" w:hAnsi="Calibri"/>
          <w:color w:val="7F7F7F"/>
          <w:sz w:val="20"/>
          <w:szCs w:val="20"/>
        </w:rPr>
        <w:t xml:space="preserve">revious </w:t>
      </w:r>
      <w:r>
        <w:rPr>
          <w:rFonts w:ascii="Calibri" w:hAnsi="Calibri"/>
          <w:color w:val="7F7F7F"/>
          <w:sz w:val="20"/>
          <w:szCs w:val="20"/>
        </w:rPr>
        <w:t>three months</w:t>
      </w:r>
      <w:r w:rsidRPr="00D851ED">
        <w:rPr>
          <w:rFonts w:ascii="Calibri" w:hAnsi="Calibri"/>
          <w:color w:val="7F7F7F"/>
          <w:sz w:val="20"/>
          <w:szCs w:val="20"/>
        </w:rPr>
        <w:t>, 2012</w:t>
      </w:r>
    </w:p>
    <w:p w14:paraId="0324D6E5" w14:textId="77777777" w:rsidR="00C65183" w:rsidRDefault="00C65183" w:rsidP="00C65183">
      <w:pPr>
        <w:spacing w:line="360" w:lineRule="auto"/>
        <w:jc w:val="both"/>
        <w:rPr>
          <w:rFonts w:ascii="Calibri" w:hAnsi="Calibri"/>
        </w:rPr>
      </w:pPr>
      <w:r>
        <w:rPr>
          <w:noProof/>
          <w:lang w:eastAsia="en-AU"/>
        </w:rPr>
        <w:drawing>
          <wp:anchor distT="0" distB="0" distL="114300" distR="114300" simplePos="0" relativeHeight="251788288" behindDoc="1" locked="0" layoutInCell="1" allowOverlap="1" wp14:anchorId="317C6D88" wp14:editId="0D82C4E3">
            <wp:simplePos x="0" y="0"/>
            <wp:positionH relativeFrom="column">
              <wp:posOffset>2937510</wp:posOffset>
            </wp:positionH>
            <wp:positionV relativeFrom="paragraph">
              <wp:posOffset>70485</wp:posOffset>
            </wp:positionV>
            <wp:extent cx="3209925" cy="3524250"/>
            <wp:effectExtent l="0" t="0" r="9525" b="0"/>
            <wp:wrapTight wrapText="bothSides">
              <wp:wrapPolygon edited="0">
                <wp:start x="0" y="0"/>
                <wp:lineTo x="0" y="21483"/>
                <wp:lineTo x="21536" y="21483"/>
                <wp:lineTo x="21536" y="0"/>
                <wp:lineTo x="0" y="0"/>
              </wp:wrapPolygon>
            </wp:wrapTight>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61">
                      <a:extLst>
                        <a:ext uri="{28A0092B-C50C-407E-A947-70E740481C1C}">
                          <a14:useLocalDpi xmlns:a14="http://schemas.microsoft.com/office/drawing/2010/main" val="0"/>
                        </a:ext>
                      </a:extLst>
                    </a:blip>
                    <a:srcRect t="1131" r="4556" b="1413"/>
                    <a:stretch>
                      <a:fillRect/>
                    </a:stretch>
                  </pic:blipFill>
                  <pic:spPr bwMode="auto">
                    <a:xfrm>
                      <a:off x="0" y="0"/>
                      <a:ext cx="3209925" cy="35242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754AE4A" w14:textId="77777777" w:rsidR="00C65183" w:rsidRDefault="00C65183" w:rsidP="00C65183">
      <w:pPr>
        <w:spacing w:line="360" w:lineRule="auto"/>
        <w:jc w:val="both"/>
        <w:rPr>
          <w:rFonts w:ascii="Calibri" w:hAnsi="Calibri"/>
        </w:rPr>
      </w:pPr>
      <w:r>
        <w:rPr>
          <w:rFonts w:ascii="Calibri" w:hAnsi="Calibri"/>
        </w:rPr>
        <w:t>The survey also found that 20% of residents of Greater Dandenong had created art or craft in the previous three months, compared with 35% of Victorians.</w:t>
      </w:r>
    </w:p>
    <w:p w14:paraId="46AF0EF9" w14:textId="77777777" w:rsidR="00C65183" w:rsidRDefault="00C65183" w:rsidP="00C65183">
      <w:pPr>
        <w:spacing w:line="360" w:lineRule="auto"/>
        <w:jc w:val="both"/>
        <w:rPr>
          <w:rFonts w:ascii="Calibri" w:hAnsi="Calibri"/>
        </w:rPr>
      </w:pPr>
    </w:p>
    <w:p w14:paraId="44DE38E1" w14:textId="77777777" w:rsidR="00C65183" w:rsidRDefault="00C65183" w:rsidP="00C65183">
      <w:pPr>
        <w:spacing w:line="360" w:lineRule="auto"/>
        <w:jc w:val="both"/>
        <w:rPr>
          <w:rFonts w:ascii="Calibri" w:hAnsi="Calibri"/>
        </w:rPr>
      </w:pPr>
    </w:p>
    <w:p w14:paraId="1C38E216" w14:textId="77777777" w:rsidR="00C65183" w:rsidRDefault="00C65183" w:rsidP="00C65183">
      <w:pPr>
        <w:spacing w:line="360" w:lineRule="auto"/>
        <w:jc w:val="both"/>
        <w:rPr>
          <w:rFonts w:ascii="Calibri" w:hAnsi="Calibri"/>
        </w:rPr>
      </w:pPr>
    </w:p>
    <w:p w14:paraId="4D46315F" w14:textId="77777777" w:rsidR="00C65183" w:rsidRDefault="00C65183" w:rsidP="00C65183">
      <w:pPr>
        <w:spacing w:line="360" w:lineRule="auto"/>
        <w:jc w:val="both"/>
        <w:rPr>
          <w:rFonts w:ascii="Calibri" w:hAnsi="Calibri"/>
        </w:rPr>
      </w:pPr>
      <w:r>
        <w:rPr>
          <w:noProof/>
          <w:lang w:eastAsia="en-AU"/>
        </w:rPr>
        <w:drawing>
          <wp:anchor distT="0" distB="0" distL="114300" distR="114300" simplePos="0" relativeHeight="251790336" behindDoc="0" locked="0" layoutInCell="1" allowOverlap="1" wp14:anchorId="6CC80111" wp14:editId="4FDDE9C1">
            <wp:simplePos x="0" y="0"/>
            <wp:positionH relativeFrom="margin">
              <wp:posOffset>-952</wp:posOffset>
            </wp:positionH>
            <wp:positionV relativeFrom="paragraph">
              <wp:posOffset>123190</wp:posOffset>
            </wp:positionV>
            <wp:extent cx="1188062" cy="889605"/>
            <wp:effectExtent l="0" t="0" r="0" b="6350"/>
            <wp:wrapNone/>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munity Ethnic 18.jpg"/>
                    <pic:cNvPicPr/>
                  </pic:nvPicPr>
                  <pic:blipFill>
                    <a:blip r:embed="rId162">
                      <a:extLst>
                        <a:ext uri="{28A0092B-C50C-407E-A947-70E740481C1C}">
                          <a14:useLocalDpi xmlns:a14="http://schemas.microsoft.com/office/drawing/2010/main" val="0"/>
                        </a:ext>
                      </a:extLst>
                    </a:blip>
                    <a:stretch>
                      <a:fillRect/>
                    </a:stretch>
                  </pic:blipFill>
                  <pic:spPr>
                    <a:xfrm>
                      <a:off x="0" y="0"/>
                      <a:ext cx="1200485" cy="898907"/>
                    </a:xfrm>
                    <a:prstGeom prst="rect">
                      <a:avLst/>
                    </a:prstGeom>
                    <a:ln>
                      <a:noFill/>
                    </a:ln>
                    <a:effectLst>
                      <a:softEdge rad="127000"/>
                    </a:effectLst>
                  </pic:spPr>
                </pic:pic>
              </a:graphicData>
            </a:graphic>
            <wp14:sizeRelH relativeFrom="page">
              <wp14:pctWidth>0</wp14:pctWidth>
            </wp14:sizeRelH>
            <wp14:sizeRelV relativeFrom="page">
              <wp14:pctHeight>0</wp14:pctHeight>
            </wp14:sizeRelV>
          </wp:anchor>
        </w:drawing>
      </w:r>
    </w:p>
    <w:p w14:paraId="18E0D903" w14:textId="77777777" w:rsidR="00C65183" w:rsidRDefault="00C65183" w:rsidP="00C65183">
      <w:pPr>
        <w:spacing w:line="360" w:lineRule="auto"/>
        <w:jc w:val="both"/>
        <w:rPr>
          <w:rFonts w:asciiTheme="minorHAnsi" w:hAnsiTheme="minorHAnsi" w:cstheme="minorHAnsi"/>
        </w:rPr>
      </w:pPr>
    </w:p>
    <w:p w14:paraId="04F21738" w14:textId="77777777" w:rsidR="00C65183" w:rsidRDefault="00C65183" w:rsidP="00C65183">
      <w:pPr>
        <w:spacing w:line="360" w:lineRule="auto"/>
        <w:jc w:val="both"/>
        <w:rPr>
          <w:rFonts w:asciiTheme="minorHAnsi" w:hAnsiTheme="minorHAnsi" w:cstheme="minorHAnsi"/>
        </w:rPr>
      </w:pPr>
    </w:p>
    <w:p w14:paraId="56716BA0" w14:textId="77777777" w:rsidR="00C65183" w:rsidRDefault="00C65183" w:rsidP="00C65183">
      <w:pPr>
        <w:spacing w:line="360" w:lineRule="auto"/>
        <w:jc w:val="both"/>
        <w:rPr>
          <w:rFonts w:asciiTheme="minorHAnsi" w:hAnsiTheme="minorHAnsi" w:cstheme="minorHAnsi"/>
        </w:rPr>
      </w:pPr>
    </w:p>
    <w:p w14:paraId="583AC060" w14:textId="77777777" w:rsidR="00C65183" w:rsidRDefault="00C65183" w:rsidP="00C65183">
      <w:pPr>
        <w:spacing w:line="360" w:lineRule="auto"/>
        <w:jc w:val="both"/>
        <w:rPr>
          <w:rFonts w:asciiTheme="minorHAnsi" w:hAnsiTheme="minorHAnsi" w:cstheme="minorHAnsi"/>
        </w:rPr>
      </w:pPr>
    </w:p>
    <w:p w14:paraId="60F30840" w14:textId="77777777" w:rsidR="00C65183" w:rsidRDefault="00C65183" w:rsidP="00C65183">
      <w:pPr>
        <w:rPr>
          <w:rFonts w:asciiTheme="minorHAnsi" w:hAnsiTheme="minorHAnsi" w:cstheme="minorHAnsi"/>
        </w:rPr>
      </w:pPr>
      <w:r>
        <w:rPr>
          <w:rFonts w:asciiTheme="minorHAnsi" w:hAnsiTheme="minorHAnsi" w:cstheme="minorHAnsi"/>
        </w:rPr>
        <w:br w:type="page"/>
      </w:r>
    </w:p>
    <w:p w14:paraId="6690763C" w14:textId="77777777" w:rsidR="00C65183" w:rsidRPr="00827F47" w:rsidRDefault="00C65183" w:rsidP="00C65183">
      <w:pPr>
        <w:pBdr>
          <w:top w:val="single" w:sz="4" w:space="0" w:color="244061" w:themeColor="accent1" w:themeShade="80"/>
          <w:bottom w:val="single" w:sz="4" w:space="1" w:color="244061" w:themeColor="accent1" w:themeShade="80"/>
        </w:pBdr>
        <w:tabs>
          <w:tab w:val="center" w:pos="4678"/>
        </w:tabs>
        <w:jc w:val="center"/>
        <w:rPr>
          <w:rFonts w:ascii="Garamond" w:hAnsi="Garamond"/>
          <w:noProof/>
          <w:color w:val="244061" w:themeColor="accent1" w:themeShade="80"/>
          <w:sz w:val="34"/>
          <w:szCs w:val="34"/>
        </w:rPr>
      </w:pPr>
      <w:r w:rsidRPr="00827F47">
        <w:rPr>
          <w:rFonts w:ascii="Garamond" w:hAnsi="Garamond"/>
          <w:noProof/>
          <w:color w:val="244061" w:themeColor="accent1" w:themeShade="80"/>
          <w:sz w:val="34"/>
          <w:szCs w:val="34"/>
        </w:rPr>
        <w:lastRenderedPageBreak/>
        <w:t>Volunteering</w:t>
      </w:r>
    </w:p>
    <w:p w14:paraId="4F14C6B8" w14:textId="77777777" w:rsidR="00C65183" w:rsidRDefault="00C65183" w:rsidP="00C65183">
      <w:pPr>
        <w:spacing w:line="360" w:lineRule="auto"/>
        <w:jc w:val="both"/>
        <w:rPr>
          <w:rFonts w:ascii="Calibri" w:hAnsi="Calibri"/>
        </w:rPr>
      </w:pPr>
      <w:r>
        <w:rPr>
          <w:rFonts w:ascii="Calibri" w:hAnsi="Calibri"/>
          <w:i/>
          <w:noProof/>
          <w:lang w:eastAsia="en-AU"/>
        </w:rPr>
        <w:drawing>
          <wp:anchor distT="0" distB="0" distL="114300" distR="114300" simplePos="0" relativeHeight="251794432" behindDoc="1" locked="0" layoutInCell="1" allowOverlap="1" wp14:anchorId="0F5D5F44" wp14:editId="0C1C787E">
            <wp:simplePos x="0" y="0"/>
            <wp:positionH relativeFrom="column">
              <wp:posOffset>4404360</wp:posOffset>
            </wp:positionH>
            <wp:positionV relativeFrom="paragraph">
              <wp:posOffset>10795</wp:posOffset>
            </wp:positionV>
            <wp:extent cx="1751965" cy="1247775"/>
            <wp:effectExtent l="0" t="0" r="635" b="9525"/>
            <wp:wrapTight wrapText="bothSides">
              <wp:wrapPolygon edited="0">
                <wp:start x="939" y="0"/>
                <wp:lineTo x="0" y="660"/>
                <wp:lineTo x="0" y="19786"/>
                <wp:lineTo x="235" y="21105"/>
                <wp:lineTo x="939" y="21435"/>
                <wp:lineTo x="20433" y="21435"/>
                <wp:lineTo x="21138" y="21105"/>
                <wp:lineTo x="21373" y="19786"/>
                <wp:lineTo x="21373" y="660"/>
                <wp:lineTo x="20433" y="0"/>
                <wp:lineTo x="939" y="0"/>
              </wp:wrapPolygon>
            </wp:wrapTight>
            <wp:docPr id="136" name="Picture 16" descr="Volunteers.png"/>
            <wp:cNvGraphicFramePr/>
            <a:graphic xmlns:a="http://schemas.openxmlformats.org/drawingml/2006/main">
              <a:graphicData uri="http://schemas.openxmlformats.org/drawingml/2006/picture">
                <pic:pic xmlns:pic="http://schemas.openxmlformats.org/drawingml/2006/picture">
                  <pic:nvPicPr>
                    <pic:cNvPr id="25" name="Picture 24" descr="Volunteers.png"/>
                    <pic:cNvPicPr>
                      <a:picLocks/>
                    </pic:cNvPicPr>
                  </pic:nvPicPr>
                  <pic:blipFill>
                    <a:blip r:embed="rId163" cstate="print"/>
                    <a:stretch>
                      <a:fillRect/>
                    </a:stretch>
                  </pic:blipFill>
                  <pic:spPr>
                    <a:xfrm>
                      <a:off x="0" y="0"/>
                      <a:ext cx="1751965" cy="124777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6B186266" w14:textId="77777777" w:rsidR="00C65183" w:rsidRDefault="00C65183" w:rsidP="00C65183">
      <w:pPr>
        <w:spacing w:line="360" w:lineRule="auto"/>
        <w:jc w:val="both"/>
        <w:rPr>
          <w:rFonts w:ascii="Calibri" w:hAnsi="Calibri"/>
        </w:rPr>
      </w:pPr>
      <w:r>
        <w:rPr>
          <w:rFonts w:ascii="Calibri" w:hAnsi="Calibri"/>
        </w:rPr>
        <w:t>The 2016 Census found that 12% of Greater Dandenong residents – numbering nearly 14,000 - had volunteered at some time in the previous 12 months – the lowest rate in Victoria and half the State average of 21%. The proportion of residents who volunteered is lowest among people aged 25 to 34 years and those over 80.</w:t>
      </w:r>
    </w:p>
    <w:p w14:paraId="2183CFED" w14:textId="77777777" w:rsidR="00C65183" w:rsidRDefault="00C65183" w:rsidP="00C65183">
      <w:pPr>
        <w:spacing w:line="360" w:lineRule="auto"/>
        <w:jc w:val="both"/>
        <w:rPr>
          <w:rFonts w:ascii="Calibri" w:hAnsi="Calibri"/>
        </w:rPr>
      </w:pPr>
      <w:r>
        <w:rPr>
          <w:rFonts w:ascii="Calibri" w:hAnsi="Calibri"/>
          <w:noProof/>
          <w:lang w:eastAsia="en-AU"/>
        </w:rPr>
        <w:drawing>
          <wp:anchor distT="0" distB="0" distL="114300" distR="114300" simplePos="0" relativeHeight="251792384" behindDoc="0" locked="0" layoutInCell="1" allowOverlap="1" wp14:anchorId="3B472382" wp14:editId="332A12BC">
            <wp:simplePos x="0" y="0"/>
            <wp:positionH relativeFrom="column">
              <wp:posOffset>-10795</wp:posOffset>
            </wp:positionH>
            <wp:positionV relativeFrom="paragraph">
              <wp:posOffset>139065</wp:posOffset>
            </wp:positionV>
            <wp:extent cx="4328160" cy="3071495"/>
            <wp:effectExtent l="0" t="0" r="0" b="0"/>
            <wp:wrapSquare wrapText="bothSides"/>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4328160" cy="3071495"/>
                    </a:xfrm>
                    <a:prstGeom prst="rect">
                      <a:avLst/>
                    </a:prstGeom>
                    <a:noFill/>
                  </pic:spPr>
                </pic:pic>
              </a:graphicData>
            </a:graphic>
            <wp14:sizeRelH relativeFrom="page">
              <wp14:pctWidth>0</wp14:pctWidth>
            </wp14:sizeRelH>
            <wp14:sizeRelV relativeFrom="page">
              <wp14:pctHeight>0</wp14:pctHeight>
            </wp14:sizeRelV>
          </wp:anchor>
        </w:drawing>
      </w:r>
    </w:p>
    <w:p w14:paraId="58CC8E17" w14:textId="77777777" w:rsidR="00C65183" w:rsidRDefault="00C65183" w:rsidP="00C65183">
      <w:pPr>
        <w:spacing w:line="360" w:lineRule="auto"/>
        <w:jc w:val="both"/>
        <w:rPr>
          <w:rFonts w:ascii="Calibri" w:hAnsi="Calibri"/>
        </w:rPr>
      </w:pPr>
    </w:p>
    <w:p w14:paraId="3A73DDC6" w14:textId="77777777" w:rsidR="00C65183" w:rsidRPr="00F81779" w:rsidRDefault="00C65183" w:rsidP="00C65183">
      <w:pPr>
        <w:jc w:val="both"/>
        <w:rPr>
          <w:rFonts w:ascii="Calibri" w:hAnsi="Calibri"/>
          <w:color w:val="7F7F7F" w:themeColor="text1" w:themeTint="80"/>
          <w:sz w:val="20"/>
          <w:szCs w:val="20"/>
        </w:rPr>
      </w:pPr>
      <w:r w:rsidRPr="00F81779">
        <w:rPr>
          <w:rFonts w:ascii="Calibri" w:hAnsi="Calibri"/>
          <w:color w:val="7F7F7F" w:themeColor="text1" w:themeTint="80"/>
          <w:sz w:val="20"/>
          <w:szCs w:val="20"/>
        </w:rPr>
        <w:t xml:space="preserve">Proportion of residents who volunteered in the previous year, by age and </w:t>
      </w:r>
      <w:r>
        <w:rPr>
          <w:rFonts w:ascii="Calibri" w:hAnsi="Calibri"/>
          <w:color w:val="7F7F7F" w:themeColor="text1" w:themeTint="80"/>
          <w:sz w:val="20"/>
          <w:szCs w:val="20"/>
        </w:rPr>
        <w:t>sex</w:t>
      </w:r>
      <w:r w:rsidRPr="00F81779">
        <w:rPr>
          <w:rFonts w:ascii="Calibri" w:hAnsi="Calibri"/>
          <w:color w:val="7F7F7F" w:themeColor="text1" w:themeTint="80"/>
          <w:sz w:val="20"/>
          <w:szCs w:val="20"/>
        </w:rPr>
        <w:t>: Greater Dandenong and Victoria, 2016</w:t>
      </w:r>
    </w:p>
    <w:p w14:paraId="0A0FD178" w14:textId="77777777" w:rsidR="00C65183" w:rsidRDefault="00C65183" w:rsidP="00C65183">
      <w:pPr>
        <w:spacing w:line="360" w:lineRule="auto"/>
        <w:jc w:val="both"/>
        <w:rPr>
          <w:rFonts w:ascii="Calibri" w:hAnsi="Calibri"/>
        </w:rPr>
      </w:pPr>
    </w:p>
    <w:p w14:paraId="1BE3A896" w14:textId="77777777" w:rsidR="00C65183" w:rsidRDefault="00C65183" w:rsidP="00C65183">
      <w:pPr>
        <w:spacing w:line="360" w:lineRule="auto"/>
        <w:jc w:val="both"/>
        <w:rPr>
          <w:rFonts w:ascii="Calibri" w:hAnsi="Calibri"/>
        </w:rPr>
      </w:pPr>
    </w:p>
    <w:p w14:paraId="07C73A9E" w14:textId="77777777" w:rsidR="00C65183" w:rsidRDefault="00C65183" w:rsidP="00C65183">
      <w:pPr>
        <w:spacing w:line="360" w:lineRule="auto"/>
        <w:jc w:val="both"/>
        <w:rPr>
          <w:rFonts w:ascii="Calibri" w:hAnsi="Calibri"/>
        </w:rPr>
      </w:pPr>
    </w:p>
    <w:p w14:paraId="012074C0" w14:textId="77777777" w:rsidR="00C65183" w:rsidRDefault="00C65183" w:rsidP="00C65183">
      <w:pPr>
        <w:spacing w:line="360" w:lineRule="auto"/>
        <w:jc w:val="both"/>
        <w:rPr>
          <w:rFonts w:ascii="Calibri" w:hAnsi="Calibri"/>
        </w:rPr>
      </w:pPr>
    </w:p>
    <w:p w14:paraId="552BA9D0" w14:textId="77777777" w:rsidR="00C65183" w:rsidRDefault="00C65183" w:rsidP="00C65183">
      <w:pPr>
        <w:spacing w:line="360" w:lineRule="auto"/>
        <w:jc w:val="both"/>
        <w:rPr>
          <w:rFonts w:ascii="Calibri" w:hAnsi="Calibri"/>
        </w:rPr>
      </w:pPr>
    </w:p>
    <w:p w14:paraId="071E7605" w14:textId="77777777" w:rsidR="00C65183" w:rsidRDefault="00C65183" w:rsidP="00C65183">
      <w:pPr>
        <w:spacing w:line="360" w:lineRule="auto"/>
        <w:jc w:val="both"/>
        <w:rPr>
          <w:rFonts w:ascii="Calibri" w:hAnsi="Calibri"/>
        </w:rPr>
      </w:pPr>
    </w:p>
    <w:p w14:paraId="36A25A82" w14:textId="77777777" w:rsidR="00C65183" w:rsidRDefault="00C65183" w:rsidP="00C65183">
      <w:pPr>
        <w:spacing w:line="360" w:lineRule="auto"/>
        <w:jc w:val="both"/>
        <w:rPr>
          <w:rFonts w:ascii="Calibri" w:hAnsi="Calibri"/>
        </w:rPr>
      </w:pPr>
    </w:p>
    <w:p w14:paraId="0D770C04" w14:textId="77777777" w:rsidR="00C65183" w:rsidRDefault="00C65183" w:rsidP="00C65183">
      <w:pPr>
        <w:jc w:val="both"/>
        <w:rPr>
          <w:rFonts w:ascii="Calibri" w:hAnsi="Calibri"/>
        </w:rPr>
      </w:pPr>
    </w:p>
    <w:p w14:paraId="2B14A050" w14:textId="77777777" w:rsidR="00C65183" w:rsidRDefault="00C65183" w:rsidP="00C65183">
      <w:pPr>
        <w:spacing w:line="360" w:lineRule="auto"/>
        <w:jc w:val="both"/>
        <w:rPr>
          <w:rFonts w:ascii="Calibri" w:hAnsi="Calibri"/>
          <w:color w:val="7F7F7F" w:themeColor="text1" w:themeTint="80"/>
          <w:sz w:val="20"/>
          <w:szCs w:val="20"/>
        </w:rPr>
      </w:pPr>
    </w:p>
    <w:p w14:paraId="5156F301" w14:textId="77777777" w:rsidR="00C65183" w:rsidRPr="0054583E" w:rsidRDefault="00C65183" w:rsidP="00C65183">
      <w:pPr>
        <w:spacing w:line="360" w:lineRule="auto"/>
        <w:jc w:val="both"/>
        <w:rPr>
          <w:rFonts w:ascii="Calibri" w:hAnsi="Calibri"/>
          <w:sz w:val="10"/>
          <w:szCs w:val="10"/>
        </w:rPr>
      </w:pPr>
    </w:p>
    <w:p w14:paraId="0FB55451" w14:textId="77777777" w:rsidR="00C65183" w:rsidRDefault="00C65183" w:rsidP="00C65183">
      <w:pPr>
        <w:spacing w:line="360" w:lineRule="auto"/>
        <w:jc w:val="both"/>
        <w:rPr>
          <w:rFonts w:ascii="Calibri" w:hAnsi="Calibri"/>
        </w:rPr>
      </w:pPr>
      <w:r>
        <w:rPr>
          <w:rFonts w:ascii="Calibri" w:hAnsi="Calibri"/>
        </w:rPr>
        <w:t xml:space="preserve">Australian-born residents account for approximately a third of volunteers in Greater Dandenong. Others are from countries such as India, Vietnam, Sri Lanka, Cambodia and China. </w:t>
      </w:r>
    </w:p>
    <w:p w14:paraId="3A7070EE" w14:textId="77777777" w:rsidR="00C65183" w:rsidRDefault="00C65183" w:rsidP="00C65183">
      <w:pPr>
        <w:spacing w:line="360" w:lineRule="auto"/>
        <w:jc w:val="both"/>
        <w:rPr>
          <w:rFonts w:ascii="Calibri" w:hAnsi="Calibri"/>
        </w:rPr>
      </w:pPr>
      <w:r>
        <w:rPr>
          <w:rFonts w:ascii="Calibri" w:hAnsi="Calibri"/>
        </w:rPr>
        <w:t>Educational attainment is associated with the likelihood of volunteering. In Greater Dandenong, 14% of persons with year 11 or 12 education had volunteered in the previous 12 months, compared with 8% of those who completed year 10 or less, echoing a similar trend across Victoria.</w:t>
      </w:r>
    </w:p>
    <w:p w14:paraId="06A93B92" w14:textId="77777777" w:rsidR="00C65183" w:rsidRDefault="00C65183" w:rsidP="00C65183">
      <w:pPr>
        <w:spacing w:line="360" w:lineRule="auto"/>
        <w:jc w:val="both"/>
        <w:rPr>
          <w:rFonts w:ascii="Calibri" w:hAnsi="Calibri"/>
        </w:rPr>
      </w:pPr>
    </w:p>
    <w:p w14:paraId="255F131A" w14:textId="77777777" w:rsidR="00C65183" w:rsidRPr="00755FF0" w:rsidRDefault="00C65183" w:rsidP="00C65183">
      <w:pPr>
        <w:tabs>
          <w:tab w:val="left" w:pos="284"/>
        </w:tabs>
        <w:spacing w:line="360" w:lineRule="auto"/>
        <w:jc w:val="both"/>
        <w:rPr>
          <w:rFonts w:ascii="Calibri" w:hAnsi="Calibri"/>
          <w:i/>
        </w:rPr>
      </w:pPr>
      <w:r w:rsidRPr="00755FF0">
        <w:rPr>
          <w:rFonts w:ascii="Calibri" w:hAnsi="Calibri"/>
          <w:i/>
        </w:rPr>
        <w:t>Value of unpaid productive activity</w:t>
      </w:r>
    </w:p>
    <w:p w14:paraId="4B6C95BA" w14:textId="77777777" w:rsidR="00C65183" w:rsidRPr="00F835D1" w:rsidRDefault="00C65183" w:rsidP="00C65183">
      <w:pPr>
        <w:tabs>
          <w:tab w:val="left" w:pos="284"/>
        </w:tabs>
        <w:spacing w:line="360" w:lineRule="auto"/>
        <w:jc w:val="both"/>
        <w:rPr>
          <w:rFonts w:ascii="Calibri" w:hAnsi="Calibri"/>
        </w:rPr>
      </w:pPr>
      <w:bookmarkStart w:id="8" w:name="_Hlk61254025"/>
      <w:r>
        <w:rPr>
          <w:rFonts w:ascii="Calibri" w:hAnsi="Calibri"/>
        </w:rPr>
        <w:t>Research conducted by the Adelaide University</w:t>
      </w:r>
      <w:r>
        <w:rPr>
          <w:rStyle w:val="FootnoteReference"/>
          <w:rFonts w:ascii="Calibri" w:hAnsi="Calibri"/>
        </w:rPr>
        <w:footnoteReference w:id="48"/>
      </w:r>
      <w:r>
        <w:rPr>
          <w:rFonts w:ascii="Calibri" w:hAnsi="Calibri"/>
        </w:rPr>
        <w:t xml:space="preserve"> generated estimated the value of volunteering in Australia at the equivalent of $30 billion in 2021 – equivalent to $132 million in Greater Dandenong</w:t>
      </w:r>
      <w:bookmarkEnd w:id="8"/>
      <w:r>
        <w:rPr>
          <w:rFonts w:ascii="Calibri" w:hAnsi="Calibri"/>
        </w:rPr>
        <w:t>.</w:t>
      </w:r>
    </w:p>
    <w:p w14:paraId="1FB8CCC6" w14:textId="77777777" w:rsidR="00C65183" w:rsidRDefault="00C65183" w:rsidP="00C65183">
      <w:pPr>
        <w:rPr>
          <w:rFonts w:asciiTheme="minorHAnsi" w:hAnsiTheme="minorHAnsi" w:cstheme="minorHAnsi"/>
        </w:rPr>
      </w:pPr>
      <w:r>
        <w:rPr>
          <w:rFonts w:ascii="Calibri" w:hAnsi="Calibri"/>
          <w:noProof/>
          <w:lang w:eastAsia="en-AU"/>
        </w:rPr>
        <w:drawing>
          <wp:anchor distT="0" distB="0" distL="114300" distR="114300" simplePos="0" relativeHeight="251793408" behindDoc="0" locked="0" layoutInCell="1" allowOverlap="1" wp14:anchorId="701D8E56" wp14:editId="38EA637E">
            <wp:simplePos x="0" y="0"/>
            <wp:positionH relativeFrom="margin">
              <wp:posOffset>4937807</wp:posOffset>
            </wp:positionH>
            <wp:positionV relativeFrom="paragraph">
              <wp:posOffset>248285</wp:posOffset>
            </wp:positionV>
            <wp:extent cx="1101677" cy="733207"/>
            <wp:effectExtent l="0" t="0" r="3810" b="0"/>
            <wp:wrapNone/>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munity Ethnic 20.jpg"/>
                    <pic:cNvPicPr/>
                  </pic:nvPicPr>
                  <pic:blipFill>
                    <a:blip r:embed="rId165" cstate="print">
                      <a:extLst>
                        <a:ext uri="{28A0092B-C50C-407E-A947-70E740481C1C}">
                          <a14:useLocalDpi xmlns:a14="http://schemas.microsoft.com/office/drawing/2010/main" val="0"/>
                        </a:ext>
                      </a:extLst>
                    </a:blip>
                    <a:stretch>
                      <a:fillRect/>
                    </a:stretch>
                  </pic:blipFill>
                  <pic:spPr>
                    <a:xfrm>
                      <a:off x="0" y="0"/>
                      <a:ext cx="1102600" cy="733821"/>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Pr>
          <w:rFonts w:asciiTheme="minorHAnsi" w:hAnsiTheme="minorHAnsi" w:cstheme="minorHAnsi"/>
        </w:rPr>
        <w:br w:type="page"/>
      </w:r>
    </w:p>
    <w:p w14:paraId="0F94975B" w14:textId="77777777" w:rsidR="00C65183" w:rsidRPr="00827F47" w:rsidRDefault="00C65183" w:rsidP="00C65183">
      <w:pPr>
        <w:pBdr>
          <w:top w:val="single" w:sz="4" w:space="0" w:color="244061" w:themeColor="accent1" w:themeShade="80"/>
          <w:bottom w:val="single" w:sz="4" w:space="1" w:color="244061" w:themeColor="accent1" w:themeShade="80"/>
        </w:pBdr>
        <w:tabs>
          <w:tab w:val="center" w:pos="4678"/>
        </w:tabs>
        <w:jc w:val="center"/>
        <w:rPr>
          <w:rFonts w:ascii="Garamond" w:hAnsi="Garamond"/>
          <w:noProof/>
          <w:color w:val="244061" w:themeColor="accent1" w:themeShade="80"/>
          <w:sz w:val="34"/>
          <w:szCs w:val="34"/>
        </w:rPr>
      </w:pPr>
      <w:r w:rsidRPr="00827F47">
        <w:rPr>
          <w:rFonts w:ascii="Garamond" w:hAnsi="Garamond"/>
          <w:noProof/>
          <w:color w:val="244061" w:themeColor="accent1" w:themeShade="80"/>
          <w:sz w:val="34"/>
          <w:szCs w:val="34"/>
        </w:rPr>
        <w:lastRenderedPageBreak/>
        <w:t>Social Inclusion</w:t>
      </w:r>
    </w:p>
    <w:p w14:paraId="527F4637" w14:textId="77777777" w:rsidR="00C65183" w:rsidRDefault="00C65183" w:rsidP="00C65183">
      <w:pPr>
        <w:spacing w:before="60" w:line="360" w:lineRule="auto"/>
        <w:jc w:val="both"/>
        <w:rPr>
          <w:rFonts w:ascii="Calibri" w:hAnsi="Calibri"/>
        </w:rPr>
      </w:pPr>
    </w:p>
    <w:p w14:paraId="77B582BF" w14:textId="77777777" w:rsidR="00C65183" w:rsidRDefault="00C65183" w:rsidP="00C65183">
      <w:pPr>
        <w:spacing w:before="60" w:line="360" w:lineRule="auto"/>
        <w:jc w:val="both"/>
        <w:rPr>
          <w:rFonts w:ascii="Calibri" w:hAnsi="Calibri"/>
        </w:rPr>
      </w:pPr>
      <w:r>
        <w:rPr>
          <w:rFonts w:ascii="Calibri" w:hAnsi="Calibri"/>
          <w:noProof/>
          <w:lang w:eastAsia="en-AU"/>
        </w:rPr>
        <w:drawing>
          <wp:anchor distT="0" distB="0" distL="114300" distR="114300" simplePos="0" relativeHeight="251796480" behindDoc="1" locked="0" layoutInCell="1" allowOverlap="1" wp14:anchorId="12F7A222" wp14:editId="41139F29">
            <wp:simplePos x="0" y="0"/>
            <wp:positionH relativeFrom="column">
              <wp:posOffset>4694555</wp:posOffset>
            </wp:positionH>
            <wp:positionV relativeFrom="paragraph">
              <wp:posOffset>522605</wp:posOffset>
            </wp:positionV>
            <wp:extent cx="1501775" cy="934720"/>
            <wp:effectExtent l="0" t="0" r="3175" b="0"/>
            <wp:wrapTight wrapText="bothSides">
              <wp:wrapPolygon edited="0">
                <wp:start x="274" y="0"/>
                <wp:lineTo x="0" y="1761"/>
                <wp:lineTo x="0" y="18929"/>
                <wp:lineTo x="274" y="21130"/>
                <wp:lineTo x="1096" y="21130"/>
                <wp:lineTo x="20276" y="21130"/>
                <wp:lineTo x="21372" y="20690"/>
                <wp:lineTo x="21372" y="2201"/>
                <wp:lineTo x="21098" y="0"/>
                <wp:lineTo x="274" y="0"/>
              </wp:wrapPolygon>
            </wp:wrapTight>
            <wp:docPr id="280" name="Picture 1" descr="F:\~ Photograph Database\Community Life\women in garden.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F:\~ Photograph Database\Community Life\women in garden.jpg"/>
                    <pic:cNvPicPr>
                      <a:picLocks noChangeArrowheads="1"/>
                    </pic:cNvPicPr>
                  </pic:nvPicPr>
                  <pic:blipFill rotWithShape="1">
                    <a:blip r:embed="rId166" cstate="print"/>
                    <a:srcRect l="3319" t="2805" r="9996" b="13155"/>
                    <a:stretch/>
                  </pic:blipFill>
                  <pic:spPr bwMode="auto">
                    <a:xfrm>
                      <a:off x="0" y="0"/>
                      <a:ext cx="1501775" cy="93472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Calibri" w:hAnsi="Calibri"/>
        </w:rPr>
        <w:t>In recent years, a number of surveys have examined aspects of affiliation with local communities, participation in community groups and involvement in community decision-making</w:t>
      </w:r>
    </w:p>
    <w:p w14:paraId="0965C044" w14:textId="77777777" w:rsidR="00C65183" w:rsidRPr="00E53FC0" w:rsidRDefault="00C65183" w:rsidP="00C65183">
      <w:pPr>
        <w:spacing w:before="240" w:after="60"/>
        <w:jc w:val="both"/>
        <w:rPr>
          <w:rFonts w:ascii="Calibri" w:hAnsi="Calibri"/>
          <w:b/>
        </w:rPr>
      </w:pPr>
      <w:r w:rsidRPr="00E53FC0">
        <w:rPr>
          <w:rFonts w:ascii="Calibri" w:hAnsi="Calibri"/>
          <w:b/>
        </w:rPr>
        <w:t>Wellbeing</w:t>
      </w:r>
    </w:p>
    <w:p w14:paraId="1F8DB351" w14:textId="77777777" w:rsidR="00C65183" w:rsidRPr="00E53FC0" w:rsidRDefault="00C65183" w:rsidP="00C65183">
      <w:pPr>
        <w:spacing w:line="360" w:lineRule="auto"/>
        <w:jc w:val="both"/>
        <w:rPr>
          <w:rFonts w:ascii="Calibri" w:hAnsi="Calibri"/>
        </w:rPr>
      </w:pPr>
      <w:r w:rsidRPr="00E53FC0">
        <w:rPr>
          <w:rFonts w:ascii="Calibri" w:hAnsi="Calibri"/>
        </w:rPr>
        <w:t>The 2015 VicHealth Indicators Survey measured wellbeing through a sequence of questions concerning standard of living, achievements in life, community connection, personal relationships, safety and future security. The survey recorded an index of</w:t>
      </w:r>
      <w:r>
        <w:rPr>
          <w:rFonts w:ascii="Calibri" w:hAnsi="Calibri"/>
        </w:rPr>
        <w:t xml:space="preserve"> wellbeing of</w:t>
      </w:r>
      <w:r w:rsidRPr="00E53FC0">
        <w:rPr>
          <w:rFonts w:ascii="Calibri" w:hAnsi="Calibri"/>
        </w:rPr>
        <w:t xml:space="preserve"> 75 for Greater Dandenong residents</w:t>
      </w:r>
      <w:r>
        <w:rPr>
          <w:rFonts w:ascii="Calibri" w:hAnsi="Calibri"/>
        </w:rPr>
        <w:t xml:space="preserve"> -</w:t>
      </w:r>
      <w:r w:rsidRPr="00E53FC0">
        <w:rPr>
          <w:rFonts w:ascii="Calibri" w:hAnsi="Calibri"/>
        </w:rPr>
        <w:t xml:space="preserve"> the third lowest level in Victoria.</w:t>
      </w:r>
    </w:p>
    <w:p w14:paraId="1A24F043" w14:textId="77777777" w:rsidR="00C65183" w:rsidRPr="00E53FC0" w:rsidRDefault="00C65183" w:rsidP="00C65183">
      <w:pPr>
        <w:spacing w:line="360" w:lineRule="auto"/>
        <w:jc w:val="both"/>
        <w:rPr>
          <w:rFonts w:ascii="Calibri" w:hAnsi="Calibri"/>
        </w:rPr>
      </w:pPr>
      <w:r w:rsidRPr="00E53FC0">
        <w:rPr>
          <w:rFonts w:ascii="Calibri" w:hAnsi="Calibri"/>
        </w:rPr>
        <w:t xml:space="preserve">Victorian results differed little with age or </w:t>
      </w:r>
      <w:r>
        <w:rPr>
          <w:rFonts w:ascii="Calibri" w:hAnsi="Calibri"/>
        </w:rPr>
        <w:t>sex</w:t>
      </w:r>
      <w:r w:rsidRPr="00E53FC0">
        <w:rPr>
          <w:rFonts w:ascii="Calibri" w:hAnsi="Calibri"/>
        </w:rPr>
        <w:t xml:space="preserve">, though residents who were born overseas, </w:t>
      </w:r>
      <w:r>
        <w:rPr>
          <w:rFonts w:ascii="Calibri" w:hAnsi="Calibri"/>
        </w:rPr>
        <w:t>A</w:t>
      </w:r>
      <w:r w:rsidRPr="00E53FC0">
        <w:rPr>
          <w:rFonts w:ascii="Calibri" w:hAnsi="Calibri"/>
        </w:rPr>
        <w:t xml:space="preserve">boriginal, unemployed, sole parents or single-person households, </w:t>
      </w:r>
      <w:r>
        <w:rPr>
          <w:rFonts w:ascii="Calibri" w:hAnsi="Calibri"/>
        </w:rPr>
        <w:t>same-sex attracted</w:t>
      </w:r>
      <w:r w:rsidRPr="00E53FC0">
        <w:rPr>
          <w:rFonts w:ascii="Calibri" w:hAnsi="Calibri"/>
        </w:rPr>
        <w:t>, on low incomes, disabled or socio-economically disadvantaged record</w:t>
      </w:r>
      <w:r>
        <w:rPr>
          <w:rFonts w:ascii="Calibri" w:hAnsi="Calibri"/>
        </w:rPr>
        <w:t>ed</w:t>
      </w:r>
      <w:r w:rsidRPr="00E53FC0">
        <w:rPr>
          <w:rFonts w:ascii="Calibri" w:hAnsi="Calibri"/>
        </w:rPr>
        <w:t xml:space="preserve"> lower-than-average scores.</w:t>
      </w:r>
    </w:p>
    <w:p w14:paraId="1621F8E8" w14:textId="77777777" w:rsidR="00C65183" w:rsidRPr="00E53FC0" w:rsidRDefault="00C65183" w:rsidP="00C65183">
      <w:pPr>
        <w:spacing w:before="240" w:after="60"/>
        <w:jc w:val="both"/>
        <w:rPr>
          <w:rFonts w:ascii="Calibri" w:hAnsi="Calibri"/>
          <w:b/>
        </w:rPr>
      </w:pPr>
      <w:r w:rsidRPr="00E53FC0">
        <w:rPr>
          <w:rFonts w:ascii="Calibri" w:hAnsi="Calibri"/>
          <w:b/>
        </w:rPr>
        <w:t>Satisfaction in Life</w:t>
      </w:r>
    </w:p>
    <w:p w14:paraId="3056A975" w14:textId="77777777" w:rsidR="00C65183" w:rsidRPr="00877847" w:rsidRDefault="00C65183" w:rsidP="00C65183">
      <w:pPr>
        <w:spacing w:line="360" w:lineRule="auto"/>
        <w:jc w:val="both"/>
        <w:rPr>
          <w:rFonts w:ascii="Calibri" w:hAnsi="Calibri"/>
          <w:color w:val="000000"/>
        </w:rPr>
      </w:pPr>
      <w:r w:rsidRPr="00877847">
        <w:rPr>
          <w:rFonts w:ascii="Calibri" w:hAnsi="Calibri"/>
          <w:color w:val="000000"/>
        </w:rPr>
        <w:t>Satisfaction with life was also recorded in the 2015 VicHealth Survey</w:t>
      </w:r>
      <w:r>
        <w:rPr>
          <w:rFonts w:ascii="Calibri" w:hAnsi="Calibri"/>
          <w:color w:val="000000"/>
        </w:rPr>
        <w:t>, registering a score of 7.6 for Greater Dandenong</w:t>
      </w:r>
      <w:r w:rsidRPr="00877847">
        <w:rPr>
          <w:rFonts w:ascii="Calibri" w:hAnsi="Calibri"/>
          <w:color w:val="000000"/>
        </w:rPr>
        <w:t xml:space="preserve"> [in the range 0 to 10</w:t>
      </w:r>
      <w:r>
        <w:rPr>
          <w:rFonts w:ascii="Calibri" w:hAnsi="Calibri"/>
          <w:color w:val="000000"/>
        </w:rPr>
        <w:t>]</w:t>
      </w:r>
      <w:r w:rsidRPr="00877847">
        <w:rPr>
          <w:rFonts w:ascii="Calibri" w:hAnsi="Calibri"/>
          <w:color w:val="000000"/>
        </w:rPr>
        <w:t xml:space="preserve"> compared with 7.8 across Melbourne. The results </w:t>
      </w:r>
      <w:r>
        <w:rPr>
          <w:rFonts w:ascii="Calibri" w:hAnsi="Calibri"/>
          <w:color w:val="000000"/>
        </w:rPr>
        <w:t>exhibited</w:t>
      </w:r>
      <w:r w:rsidRPr="00877847">
        <w:rPr>
          <w:rFonts w:ascii="Calibri" w:hAnsi="Calibri"/>
          <w:color w:val="000000"/>
        </w:rPr>
        <w:t xml:space="preserve"> little variation with age and </w:t>
      </w:r>
      <w:r>
        <w:rPr>
          <w:rFonts w:ascii="Calibri" w:hAnsi="Calibri"/>
          <w:color w:val="000000"/>
        </w:rPr>
        <w:t>sex</w:t>
      </w:r>
      <w:r w:rsidRPr="00877847">
        <w:rPr>
          <w:rFonts w:ascii="Calibri" w:hAnsi="Calibri"/>
          <w:color w:val="000000"/>
        </w:rPr>
        <w:t xml:space="preserve">, </w:t>
      </w:r>
      <w:r>
        <w:rPr>
          <w:rFonts w:ascii="Calibri" w:hAnsi="Calibri"/>
          <w:color w:val="000000"/>
        </w:rPr>
        <w:t>but were lowest among</w:t>
      </w:r>
      <w:r w:rsidRPr="00877847">
        <w:rPr>
          <w:rFonts w:ascii="Calibri" w:hAnsi="Calibri"/>
          <w:color w:val="000000"/>
        </w:rPr>
        <w:t xml:space="preserve"> people living in conditions of economic disadvantage, those with disabilities, single parents </w:t>
      </w:r>
      <w:r>
        <w:rPr>
          <w:rFonts w:ascii="Calibri" w:hAnsi="Calibri"/>
          <w:color w:val="000000"/>
        </w:rPr>
        <w:t>i</w:t>
      </w:r>
      <w:r w:rsidRPr="00877847">
        <w:rPr>
          <w:rFonts w:ascii="Calibri" w:hAnsi="Calibri"/>
          <w:color w:val="000000"/>
        </w:rPr>
        <w:t>n lone-person households.</w:t>
      </w:r>
    </w:p>
    <w:p w14:paraId="07AFCACB" w14:textId="77777777" w:rsidR="00C65183" w:rsidRPr="00A74CC3" w:rsidRDefault="00C65183" w:rsidP="00C65183">
      <w:pPr>
        <w:spacing w:before="240" w:after="60"/>
        <w:jc w:val="both"/>
        <w:rPr>
          <w:rFonts w:ascii="Calibri" w:hAnsi="Calibri"/>
          <w:b/>
        </w:rPr>
      </w:pPr>
      <w:r w:rsidRPr="00A74CC3">
        <w:rPr>
          <w:rFonts w:ascii="Calibri" w:hAnsi="Calibri"/>
          <w:b/>
        </w:rPr>
        <w:t>Social Capital</w:t>
      </w:r>
    </w:p>
    <w:p w14:paraId="7E0386B0" w14:textId="77777777" w:rsidR="00C65183" w:rsidRPr="00877847" w:rsidRDefault="00C65183" w:rsidP="00C65183">
      <w:pPr>
        <w:spacing w:line="360" w:lineRule="auto"/>
        <w:jc w:val="both"/>
        <w:rPr>
          <w:rFonts w:ascii="Calibri" w:hAnsi="Calibri"/>
          <w:color w:val="000000"/>
        </w:rPr>
      </w:pPr>
      <w:r w:rsidRPr="00877847">
        <w:rPr>
          <w:rFonts w:ascii="Calibri" w:hAnsi="Calibri"/>
          <w:color w:val="000000"/>
        </w:rPr>
        <w:t>The 2015 VicHealth Indicators Survey</w:t>
      </w:r>
      <w:r>
        <w:rPr>
          <w:rFonts w:ascii="Calibri" w:hAnsi="Calibri"/>
          <w:color w:val="000000"/>
        </w:rPr>
        <w:t xml:space="preserve"> also</w:t>
      </w:r>
      <w:r w:rsidRPr="00877847">
        <w:rPr>
          <w:rFonts w:ascii="Calibri" w:hAnsi="Calibri"/>
          <w:color w:val="000000"/>
        </w:rPr>
        <w:t xml:space="preserve"> featured questions about “concepts of trust, social connection and social cohesion…” </w:t>
      </w:r>
      <w:r>
        <w:rPr>
          <w:rFonts w:ascii="Calibri" w:hAnsi="Calibri"/>
          <w:color w:val="000000"/>
        </w:rPr>
        <w:t>focused upon</w:t>
      </w:r>
      <w:r w:rsidRPr="00877847">
        <w:rPr>
          <w:rFonts w:ascii="Calibri" w:hAnsi="Calibri"/>
          <w:color w:val="000000"/>
        </w:rPr>
        <w:t xml:space="preserve"> respondents’ affiliation with their neighbourhoods.</w:t>
      </w:r>
    </w:p>
    <w:p w14:paraId="68530FF0" w14:textId="77777777" w:rsidR="00C65183" w:rsidRPr="00877847" w:rsidRDefault="00C65183" w:rsidP="00C65183">
      <w:pPr>
        <w:spacing w:line="360" w:lineRule="auto"/>
        <w:jc w:val="both"/>
        <w:rPr>
          <w:rFonts w:ascii="Calibri" w:hAnsi="Calibri"/>
          <w:color w:val="000000"/>
        </w:rPr>
      </w:pPr>
      <w:r w:rsidRPr="00877847">
        <w:rPr>
          <w:rFonts w:ascii="Calibri" w:hAnsi="Calibri"/>
          <w:color w:val="000000"/>
        </w:rPr>
        <w:t xml:space="preserve">Among </w:t>
      </w:r>
      <w:r>
        <w:rPr>
          <w:rFonts w:ascii="Calibri" w:hAnsi="Calibri"/>
          <w:color w:val="000000"/>
        </w:rPr>
        <w:t>residents from</w:t>
      </w:r>
      <w:r w:rsidRPr="00877847">
        <w:rPr>
          <w:rFonts w:ascii="Calibri" w:hAnsi="Calibri"/>
          <w:color w:val="000000"/>
        </w:rPr>
        <w:t xml:space="preserve"> Greater Dandenong, 67% agreed that people are willing to assist others in their neighbourhood, slightly </w:t>
      </w:r>
      <w:r>
        <w:rPr>
          <w:rFonts w:ascii="Calibri" w:hAnsi="Calibri"/>
          <w:color w:val="000000"/>
        </w:rPr>
        <w:t>less</w:t>
      </w:r>
      <w:r w:rsidRPr="00877847">
        <w:rPr>
          <w:rFonts w:ascii="Calibri" w:hAnsi="Calibri"/>
          <w:color w:val="000000"/>
        </w:rPr>
        <w:t xml:space="preserve"> than the metropolitan proportion of 73%. </w:t>
      </w:r>
    </w:p>
    <w:p w14:paraId="559749B8" w14:textId="77777777" w:rsidR="00C65183" w:rsidRPr="00877847" w:rsidRDefault="00C65183" w:rsidP="00C65183">
      <w:pPr>
        <w:spacing w:line="360" w:lineRule="auto"/>
        <w:jc w:val="both"/>
        <w:rPr>
          <w:rFonts w:ascii="Calibri" w:hAnsi="Calibri"/>
          <w:color w:val="000000"/>
        </w:rPr>
      </w:pPr>
      <w:r w:rsidRPr="00877847">
        <w:rPr>
          <w:rFonts w:ascii="Calibri" w:hAnsi="Calibri"/>
          <w:color w:val="000000"/>
        </w:rPr>
        <w:t xml:space="preserve">The proportion of Greater Dandenong residents who </w:t>
      </w:r>
      <w:r>
        <w:rPr>
          <w:rFonts w:ascii="Calibri" w:hAnsi="Calibri"/>
          <w:color w:val="000000"/>
        </w:rPr>
        <w:t>concurred</w:t>
      </w:r>
      <w:r w:rsidRPr="00877847">
        <w:rPr>
          <w:rFonts w:ascii="Calibri" w:hAnsi="Calibri"/>
          <w:color w:val="000000"/>
        </w:rPr>
        <w:t xml:space="preserve"> that people in their neighbourhood could be trusted was also lower than the metropolitan average (68% in CGD vs. 71% for Melbourne).</w:t>
      </w:r>
    </w:p>
    <w:p w14:paraId="27F40863" w14:textId="77777777" w:rsidR="00C65183" w:rsidRPr="00877847" w:rsidRDefault="00C65183" w:rsidP="00C65183">
      <w:pPr>
        <w:spacing w:line="360" w:lineRule="auto"/>
        <w:jc w:val="both"/>
        <w:rPr>
          <w:rFonts w:ascii="Calibri" w:hAnsi="Calibri"/>
          <w:color w:val="000000"/>
        </w:rPr>
      </w:pPr>
      <w:r w:rsidRPr="00877847">
        <w:rPr>
          <w:rFonts w:ascii="Calibri" w:hAnsi="Calibri"/>
          <w:color w:val="000000"/>
        </w:rPr>
        <w:t>By contrast 61% of Greater Dandenong residents affirmed that theirs was a ‘close-knit’ neighbourhood</w:t>
      </w:r>
      <w:r>
        <w:rPr>
          <w:rFonts w:ascii="Calibri" w:hAnsi="Calibri"/>
          <w:color w:val="000000"/>
        </w:rPr>
        <w:t>, slightly more</w:t>
      </w:r>
      <w:r w:rsidRPr="00877847">
        <w:rPr>
          <w:rFonts w:ascii="Calibri" w:hAnsi="Calibri"/>
          <w:color w:val="000000"/>
        </w:rPr>
        <w:t xml:space="preserve"> than the corresponding metropolitan proportion, of 57%.</w:t>
      </w:r>
    </w:p>
    <w:p w14:paraId="57F2910F" w14:textId="77777777" w:rsidR="00C65183" w:rsidRDefault="00C65183" w:rsidP="00C65183">
      <w:pPr>
        <w:spacing w:line="360" w:lineRule="auto"/>
        <w:jc w:val="both"/>
        <w:rPr>
          <w:rFonts w:ascii="Calibri" w:hAnsi="Calibri"/>
          <w:color w:val="000000"/>
        </w:rPr>
      </w:pPr>
      <w:r>
        <w:rPr>
          <w:rFonts w:ascii="Calibri" w:hAnsi="Calibri"/>
          <w:color w:val="000000"/>
        </w:rPr>
        <w:t>Across Victoria, these measures</w:t>
      </w:r>
      <w:r w:rsidRPr="00877847">
        <w:rPr>
          <w:rFonts w:ascii="Calibri" w:hAnsi="Calibri"/>
          <w:color w:val="000000"/>
        </w:rPr>
        <w:t xml:space="preserve"> were lower among those on lower incomes, unemployed people, disabled residents, LGBTI, or those from non-English-speaking countries. </w:t>
      </w:r>
    </w:p>
    <w:p w14:paraId="0FB3D726" w14:textId="77777777" w:rsidR="00C65183" w:rsidRPr="00FF3A88" w:rsidRDefault="00C65183" w:rsidP="00C65183">
      <w:pPr>
        <w:tabs>
          <w:tab w:val="left" w:pos="4678"/>
        </w:tabs>
        <w:spacing w:before="240" w:after="60"/>
        <w:jc w:val="both"/>
        <w:rPr>
          <w:rFonts w:ascii="Calibri" w:hAnsi="Calibri"/>
          <w:color w:val="7F7F7F"/>
        </w:rPr>
      </w:pPr>
      <w:r w:rsidRPr="00F848F2">
        <w:rPr>
          <w:rFonts w:ascii="Calibri" w:hAnsi="Calibri"/>
          <w:b/>
        </w:rPr>
        <w:t>Participation in Community Groups</w:t>
      </w:r>
      <w:r>
        <w:rPr>
          <w:rFonts w:ascii="Calibri" w:hAnsi="Calibri"/>
          <w:b/>
        </w:rPr>
        <w:t xml:space="preserve"> </w:t>
      </w:r>
    </w:p>
    <w:p w14:paraId="01519976" w14:textId="77777777" w:rsidR="00C65183" w:rsidRDefault="00C65183" w:rsidP="00C65183">
      <w:pPr>
        <w:spacing w:line="360" w:lineRule="auto"/>
        <w:jc w:val="both"/>
        <w:rPr>
          <w:rFonts w:ascii="Calibri" w:hAnsi="Calibri"/>
        </w:rPr>
      </w:pPr>
      <w:r>
        <w:rPr>
          <w:rFonts w:ascii="Calibri" w:hAnsi="Calibri"/>
        </w:rPr>
        <w:t xml:space="preserve">Several recent surveys have inquired about participation in social groups within the community. </w:t>
      </w:r>
    </w:p>
    <w:p w14:paraId="3278F060" w14:textId="77777777" w:rsidR="00C65183" w:rsidRPr="00651DDD" w:rsidRDefault="00C65183" w:rsidP="00C65183">
      <w:pPr>
        <w:spacing w:line="360" w:lineRule="auto"/>
        <w:jc w:val="both"/>
        <w:rPr>
          <w:rFonts w:ascii="Calibri" w:hAnsi="Calibri"/>
        </w:rPr>
      </w:pPr>
      <w:r>
        <w:rPr>
          <w:rFonts w:ascii="Calibri" w:hAnsi="Calibri"/>
        </w:rPr>
        <w:t>Their findings are summarised here.</w:t>
      </w:r>
    </w:p>
    <w:p w14:paraId="64AA68AB" w14:textId="77777777" w:rsidR="00C65183" w:rsidRDefault="00C65183" w:rsidP="00C65183">
      <w:pPr>
        <w:spacing w:before="120" w:line="360" w:lineRule="auto"/>
        <w:jc w:val="both"/>
        <w:rPr>
          <w:rFonts w:ascii="Calibri" w:hAnsi="Calibri"/>
        </w:rPr>
      </w:pPr>
      <w:r w:rsidRPr="00AB47FC">
        <w:rPr>
          <w:rFonts w:ascii="Calibri" w:hAnsi="Calibri"/>
          <w:i/>
        </w:rPr>
        <w:t>Membership of Community Organisations</w:t>
      </w:r>
      <w:r>
        <w:rPr>
          <w:rFonts w:ascii="Calibri" w:hAnsi="Calibri"/>
        </w:rPr>
        <w:t xml:space="preserve">: </w:t>
      </w:r>
      <w:r w:rsidRPr="00877847">
        <w:rPr>
          <w:rFonts w:ascii="Calibri" w:hAnsi="Calibri"/>
          <w:color w:val="000000"/>
        </w:rPr>
        <w:t>The 2015 VicHealth Indicators Survey</w:t>
      </w:r>
      <w:r>
        <w:rPr>
          <w:rFonts w:ascii="Calibri" w:hAnsi="Calibri"/>
          <w:color w:val="000000"/>
        </w:rPr>
        <w:t xml:space="preserve"> </w:t>
      </w:r>
      <w:r>
        <w:rPr>
          <w:rFonts w:ascii="Calibri" w:hAnsi="Calibri"/>
        </w:rPr>
        <w:t xml:space="preserve">also determined that 49% of Greater Dandenong residents were members of such organisations, compared with 64% across Victoria – </w:t>
      </w:r>
      <w:r>
        <w:rPr>
          <w:rFonts w:ascii="Calibri" w:hAnsi="Calibri"/>
        </w:rPr>
        <w:lastRenderedPageBreak/>
        <w:t>the second lowest proportion in Victoria. Just over a third (37%) of residents had attended a local event in the previous 6 months, compared with 61% across Victoria.</w:t>
      </w:r>
    </w:p>
    <w:p w14:paraId="787E4CA2" w14:textId="77777777" w:rsidR="00C65183" w:rsidRDefault="00C65183" w:rsidP="00C65183">
      <w:pPr>
        <w:spacing w:line="360" w:lineRule="auto"/>
        <w:jc w:val="both"/>
        <w:rPr>
          <w:rFonts w:ascii="Calibri" w:hAnsi="Calibri"/>
        </w:rPr>
      </w:pPr>
      <w:r w:rsidRPr="00AB47FC">
        <w:rPr>
          <w:rFonts w:ascii="Calibri" w:hAnsi="Calibri"/>
          <w:i/>
        </w:rPr>
        <w:t>Participation in Decision-making</w:t>
      </w:r>
      <w:r>
        <w:rPr>
          <w:rFonts w:ascii="Calibri" w:hAnsi="Calibri"/>
          <w:b/>
        </w:rPr>
        <w:t xml:space="preserve">: </w:t>
      </w:r>
      <w:r>
        <w:rPr>
          <w:rFonts w:ascii="Calibri" w:hAnsi="Calibri"/>
        </w:rPr>
        <w:t xml:space="preserve"> The earlier, 2012 VicHealth survey found that 27% of Greater Dandenong residents, and 51% of those across Victoria had been involved in ‘citizen engagement in the past year’.</w:t>
      </w:r>
    </w:p>
    <w:p w14:paraId="204EE993" w14:textId="77777777" w:rsidR="00C65183" w:rsidRDefault="00C65183" w:rsidP="00C65183">
      <w:pPr>
        <w:spacing w:line="360" w:lineRule="auto"/>
        <w:jc w:val="both"/>
        <w:rPr>
          <w:rFonts w:ascii="Calibri" w:hAnsi="Calibri"/>
        </w:rPr>
      </w:pPr>
      <w:r w:rsidRPr="00AB47FC">
        <w:rPr>
          <w:rFonts w:ascii="Calibri" w:hAnsi="Calibri"/>
          <w:i/>
        </w:rPr>
        <w:t>Influence upon Important Issues</w:t>
      </w:r>
      <w:r>
        <w:rPr>
          <w:rFonts w:ascii="Calibri" w:hAnsi="Calibri"/>
        </w:rPr>
        <w:t xml:space="preserve">: </w:t>
      </w:r>
      <w:r w:rsidRPr="002D4447">
        <w:rPr>
          <w:rFonts w:ascii="Calibri" w:hAnsi="Calibri"/>
        </w:rPr>
        <w:t>The 2014 General Social Survey</w:t>
      </w:r>
      <w:r>
        <w:rPr>
          <w:rFonts w:ascii="Calibri" w:hAnsi="Calibri"/>
        </w:rPr>
        <w:t>, a national investigation rather than a local survey,</w:t>
      </w:r>
      <w:r w:rsidRPr="002D4447">
        <w:rPr>
          <w:rFonts w:ascii="Calibri" w:hAnsi="Calibri"/>
        </w:rPr>
        <w:t xml:space="preserve"> found that 47% of respondents felt that they were seldom or never able to </w:t>
      </w:r>
      <w:r>
        <w:rPr>
          <w:rFonts w:ascii="Calibri" w:hAnsi="Calibri"/>
        </w:rPr>
        <w:t>“…</w:t>
      </w:r>
      <w:r w:rsidRPr="002D4447">
        <w:rPr>
          <w:rFonts w:ascii="Calibri" w:hAnsi="Calibri"/>
        </w:rPr>
        <w:t>hav</w:t>
      </w:r>
      <w:r>
        <w:rPr>
          <w:rFonts w:ascii="Calibri" w:hAnsi="Calibri"/>
        </w:rPr>
        <w:t xml:space="preserve">e a say </w:t>
      </w:r>
      <w:r w:rsidRPr="002D4447">
        <w:rPr>
          <w:rFonts w:ascii="Calibri" w:hAnsi="Calibri"/>
        </w:rPr>
        <w:t>within the community on important issues” – a proportion which ranged from 54% among people with incomplete secondary education to 39% among those with a degree. At 45%, women were slightly less likely to feel that they had little influence upon important issues than men (49%). Survey findings on this question differed little with age.</w:t>
      </w:r>
    </w:p>
    <w:p w14:paraId="0E6376A9" w14:textId="77777777" w:rsidR="00C65183" w:rsidRPr="009957B7" w:rsidRDefault="00C65183" w:rsidP="00C65183">
      <w:pPr>
        <w:spacing w:before="120" w:line="360" w:lineRule="auto"/>
        <w:jc w:val="both"/>
        <w:rPr>
          <w:rFonts w:ascii="Calibri" w:hAnsi="Calibri"/>
          <w:b/>
        </w:rPr>
      </w:pPr>
      <w:r w:rsidRPr="009957B7">
        <w:rPr>
          <w:rFonts w:ascii="Calibri" w:hAnsi="Calibri"/>
          <w:b/>
        </w:rPr>
        <w:t>Acceptance of Cultural Diversity</w:t>
      </w:r>
    </w:p>
    <w:p w14:paraId="18CBE519" w14:textId="77777777" w:rsidR="00C65183" w:rsidRDefault="00C65183" w:rsidP="00C65183">
      <w:pPr>
        <w:spacing w:line="360" w:lineRule="auto"/>
        <w:jc w:val="both"/>
        <w:rPr>
          <w:rFonts w:ascii="Calibri" w:hAnsi="Calibri"/>
        </w:rPr>
      </w:pPr>
      <w:r>
        <w:rPr>
          <w:rFonts w:ascii="Calibri" w:hAnsi="Calibri"/>
        </w:rPr>
        <w:t xml:space="preserve">In response to an inquiry in a 2012 VicHealth survey, 51% of Greater Dandenong respondents expressed acceptance of diverse cultures. Highest levels of acceptance of cultural diversity were recorded in inner-urban localities such as Yarra, where 78% of respondents recorded their support for cultural diversity. Attitudes favourable to cultural diversity were generally associated with higher incomes, educational attainments and levels of employment in managerial or professional occupations.  </w:t>
      </w:r>
    </w:p>
    <w:p w14:paraId="6120B04B" w14:textId="77777777" w:rsidR="00C65183" w:rsidRPr="00C03D7C" w:rsidRDefault="00C65183" w:rsidP="00C65183">
      <w:pPr>
        <w:spacing w:before="120" w:line="360" w:lineRule="auto"/>
        <w:jc w:val="both"/>
        <w:rPr>
          <w:rFonts w:ascii="Calibri" w:hAnsi="Calibri"/>
          <w:b/>
        </w:rPr>
      </w:pPr>
      <w:r w:rsidRPr="00C03D7C">
        <w:rPr>
          <w:rFonts w:ascii="Calibri" w:hAnsi="Calibri"/>
          <w:b/>
        </w:rPr>
        <w:t>Discrimination</w:t>
      </w:r>
    </w:p>
    <w:p w14:paraId="3E1820A3" w14:textId="77777777" w:rsidR="00C65183" w:rsidRDefault="00C65183" w:rsidP="00C65183">
      <w:pPr>
        <w:spacing w:line="360" w:lineRule="auto"/>
        <w:jc w:val="both"/>
        <w:rPr>
          <w:rFonts w:ascii="Calibri" w:hAnsi="Calibri"/>
        </w:rPr>
      </w:pPr>
      <w:r w:rsidRPr="00C03D7C">
        <w:rPr>
          <w:rFonts w:ascii="Calibri" w:hAnsi="Calibri"/>
        </w:rPr>
        <w:t xml:space="preserve">A matter of </w:t>
      </w:r>
      <w:r>
        <w:rPr>
          <w:rFonts w:ascii="Calibri" w:hAnsi="Calibri"/>
        </w:rPr>
        <w:t>wide concern</w:t>
      </w:r>
      <w:r w:rsidRPr="00C03D7C">
        <w:rPr>
          <w:rFonts w:ascii="Calibri" w:hAnsi="Calibri"/>
        </w:rPr>
        <w:t xml:space="preserve"> is the prevalence of discrimination toward people on the basis of their ethnicity, spoken language or faith</w:t>
      </w:r>
      <w:r>
        <w:rPr>
          <w:rFonts w:ascii="Calibri" w:hAnsi="Calibri"/>
        </w:rPr>
        <w:t>.</w:t>
      </w:r>
      <w:r w:rsidRPr="00C03D7C">
        <w:rPr>
          <w:rFonts w:ascii="Calibri" w:hAnsi="Calibri"/>
        </w:rPr>
        <w:t xml:space="preserve"> </w:t>
      </w:r>
      <w:r>
        <w:rPr>
          <w:rFonts w:ascii="Calibri" w:hAnsi="Calibri"/>
        </w:rPr>
        <w:t xml:space="preserve">The ‘Mapping Social Cohesion Survey’ published by the Scanlon Foundation, found that the proportion of Australians who stated that they had </w:t>
      </w:r>
      <w:r w:rsidRPr="00605517">
        <w:rPr>
          <w:rFonts w:ascii="Calibri" w:hAnsi="Calibri"/>
        </w:rPr>
        <w:t>experience</w:t>
      </w:r>
      <w:r>
        <w:rPr>
          <w:rFonts w:ascii="Calibri" w:hAnsi="Calibri"/>
        </w:rPr>
        <w:t>d</w:t>
      </w:r>
      <w:r w:rsidRPr="00605517">
        <w:rPr>
          <w:rFonts w:ascii="Calibri" w:hAnsi="Calibri"/>
        </w:rPr>
        <w:t xml:space="preserve"> discrimination due to skin colour, ethnic origin or religion</w:t>
      </w:r>
      <w:r>
        <w:rPr>
          <w:rFonts w:ascii="Calibri" w:hAnsi="Calibri"/>
        </w:rPr>
        <w:t xml:space="preserve"> had</w:t>
      </w:r>
      <w:r w:rsidRPr="00605517">
        <w:rPr>
          <w:rFonts w:ascii="Calibri" w:hAnsi="Calibri"/>
        </w:rPr>
        <w:t xml:space="preserve"> </w:t>
      </w:r>
      <w:r>
        <w:rPr>
          <w:rFonts w:ascii="Calibri" w:hAnsi="Calibri"/>
        </w:rPr>
        <w:t>risen</w:t>
      </w:r>
      <w:r w:rsidRPr="00605517">
        <w:rPr>
          <w:rFonts w:ascii="Calibri" w:hAnsi="Calibri"/>
        </w:rPr>
        <w:t xml:space="preserve"> from 9% in 2007 to 19% in 2018</w:t>
      </w:r>
      <w:r>
        <w:rPr>
          <w:rFonts w:ascii="Calibri" w:hAnsi="Calibri"/>
        </w:rPr>
        <w:t>/</w:t>
      </w:r>
      <w:r w:rsidRPr="00605517">
        <w:rPr>
          <w:rFonts w:ascii="Calibri" w:hAnsi="Calibri"/>
        </w:rPr>
        <w:t xml:space="preserve">19. </w:t>
      </w:r>
    </w:p>
    <w:p w14:paraId="3EA8DC90" w14:textId="77777777" w:rsidR="00C65183" w:rsidRPr="00DE2B01" w:rsidRDefault="00C65183" w:rsidP="00C65183">
      <w:pPr>
        <w:spacing w:before="120" w:after="240"/>
        <w:jc w:val="both"/>
        <w:rPr>
          <w:rFonts w:ascii="Calibri" w:hAnsi="Calibri"/>
          <w:color w:val="7F7F7F" w:themeColor="text1" w:themeTint="80"/>
          <w:sz w:val="20"/>
          <w:szCs w:val="20"/>
        </w:rPr>
      </w:pPr>
      <w:r>
        <w:rPr>
          <w:noProof/>
          <w:lang w:eastAsia="en-AU"/>
        </w:rPr>
        <w:drawing>
          <wp:anchor distT="0" distB="0" distL="114300" distR="114300" simplePos="0" relativeHeight="251795456" behindDoc="1" locked="0" layoutInCell="1" allowOverlap="1" wp14:anchorId="28CDB333" wp14:editId="7660740E">
            <wp:simplePos x="0" y="0"/>
            <wp:positionH relativeFrom="column">
              <wp:posOffset>2752090</wp:posOffset>
            </wp:positionH>
            <wp:positionV relativeFrom="paragraph">
              <wp:posOffset>82550</wp:posOffset>
            </wp:positionV>
            <wp:extent cx="3477895" cy="2324735"/>
            <wp:effectExtent l="0" t="0" r="8255" b="0"/>
            <wp:wrapTight wrapText="bothSides">
              <wp:wrapPolygon edited="0">
                <wp:start x="0" y="0"/>
                <wp:lineTo x="0" y="21417"/>
                <wp:lineTo x="21533" y="21417"/>
                <wp:lineTo x="21533" y="0"/>
                <wp:lineTo x="0" y="0"/>
              </wp:wrapPolygon>
            </wp:wrapTight>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7">
                      <a:extLst>
                        <a:ext uri="{28A0092B-C50C-407E-A947-70E740481C1C}">
                          <a14:useLocalDpi xmlns:a14="http://schemas.microsoft.com/office/drawing/2010/main" val="0"/>
                        </a:ext>
                      </a:extLst>
                    </a:blip>
                    <a:srcRect l="2606" r="1341" b="8319"/>
                    <a:stretch>
                      <a:fillRect/>
                    </a:stretch>
                  </pic:blipFill>
                  <pic:spPr bwMode="auto">
                    <a:xfrm>
                      <a:off x="0" y="0"/>
                      <a:ext cx="3477895" cy="23247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E2B01">
        <w:rPr>
          <w:rFonts w:ascii="Calibri" w:hAnsi="Calibri"/>
          <w:color w:val="7F7F7F" w:themeColor="text1" w:themeTint="80"/>
          <w:sz w:val="20"/>
          <w:szCs w:val="20"/>
        </w:rPr>
        <w:t>Per cent of persons who experienced discrimination by pretext of discrimination: Australia, 2018/19</w:t>
      </w:r>
    </w:p>
    <w:p w14:paraId="6F2267DC" w14:textId="77777777" w:rsidR="00C65183" w:rsidRPr="008A29F7" w:rsidRDefault="00C65183" w:rsidP="00C65183">
      <w:pPr>
        <w:spacing w:line="360" w:lineRule="auto"/>
        <w:jc w:val="both"/>
        <w:rPr>
          <w:rFonts w:ascii="Calibri" w:hAnsi="Calibri"/>
        </w:rPr>
      </w:pPr>
      <w:r>
        <w:rPr>
          <w:rFonts w:ascii="Calibri" w:hAnsi="Calibri"/>
        </w:rPr>
        <w:t>Such experiences were most common among</w:t>
      </w:r>
      <w:r w:rsidRPr="00605517">
        <w:rPr>
          <w:rFonts w:ascii="Calibri" w:hAnsi="Calibri"/>
        </w:rPr>
        <w:t xml:space="preserve"> young people, </w:t>
      </w:r>
      <w:r>
        <w:rPr>
          <w:rFonts w:ascii="Calibri" w:hAnsi="Calibri"/>
        </w:rPr>
        <w:t>(</w:t>
      </w:r>
      <w:r w:rsidRPr="00605517">
        <w:rPr>
          <w:rFonts w:ascii="Calibri" w:hAnsi="Calibri"/>
        </w:rPr>
        <w:t>averaging 28% among those aged 25-34 years during the past four surveys</w:t>
      </w:r>
      <w:r>
        <w:rPr>
          <w:rFonts w:ascii="Calibri" w:hAnsi="Calibri"/>
        </w:rPr>
        <w:t>) and</w:t>
      </w:r>
      <w:r w:rsidRPr="00605517">
        <w:rPr>
          <w:rFonts w:ascii="Calibri" w:hAnsi="Calibri"/>
        </w:rPr>
        <w:t xml:space="preserve"> people of non-Christian faiths, with 42% of Muslims reporting discrimination, compared with 38% among those of the Hindu faith, 24% of Buddhists, and 15% or less among those of major Christian faith groups.</w:t>
      </w:r>
      <w:r w:rsidRPr="00D022EC">
        <w:rPr>
          <w:rStyle w:val="FootnoteReference"/>
          <w:rFonts w:ascii="Calibri" w:hAnsi="Calibri"/>
        </w:rPr>
        <w:t xml:space="preserve"> </w:t>
      </w:r>
      <w:r>
        <w:rPr>
          <w:rStyle w:val="FootnoteReference"/>
          <w:rFonts w:ascii="Calibri" w:hAnsi="Calibri"/>
        </w:rPr>
        <w:footnoteReference w:id="49"/>
      </w:r>
    </w:p>
    <w:p w14:paraId="15F7642D" w14:textId="77777777" w:rsidR="00C65183" w:rsidRDefault="00C65183" w:rsidP="00C65183">
      <w:pPr>
        <w:rPr>
          <w:rFonts w:asciiTheme="minorHAnsi" w:hAnsiTheme="minorHAnsi" w:cstheme="minorHAnsi"/>
        </w:rPr>
      </w:pPr>
      <w:r>
        <w:rPr>
          <w:rFonts w:asciiTheme="minorHAnsi" w:hAnsiTheme="minorHAnsi" w:cstheme="minorHAnsi"/>
        </w:rPr>
        <w:br w:type="page"/>
      </w:r>
    </w:p>
    <w:p w14:paraId="4ECAD290" w14:textId="77777777" w:rsidR="00C65183" w:rsidRPr="00827F47" w:rsidRDefault="00C65183" w:rsidP="00C65183">
      <w:pPr>
        <w:pBdr>
          <w:top w:val="single" w:sz="4" w:space="0" w:color="244061" w:themeColor="accent1" w:themeShade="80"/>
          <w:bottom w:val="single" w:sz="4" w:space="1" w:color="244061" w:themeColor="accent1" w:themeShade="80"/>
        </w:pBdr>
        <w:tabs>
          <w:tab w:val="center" w:pos="4678"/>
        </w:tabs>
        <w:jc w:val="center"/>
        <w:rPr>
          <w:rFonts w:ascii="Garamond" w:hAnsi="Garamond"/>
          <w:noProof/>
          <w:color w:val="244061" w:themeColor="accent1" w:themeShade="80"/>
          <w:sz w:val="34"/>
          <w:szCs w:val="34"/>
        </w:rPr>
      </w:pPr>
      <w:bookmarkStart w:id="9" w:name="_Hlk495575778"/>
      <w:r w:rsidRPr="00827F47">
        <w:rPr>
          <w:rFonts w:ascii="Garamond" w:hAnsi="Garamond"/>
          <w:noProof/>
          <w:color w:val="244061" w:themeColor="accent1" w:themeShade="80"/>
          <w:sz w:val="34"/>
          <w:szCs w:val="34"/>
        </w:rPr>
        <w:lastRenderedPageBreak/>
        <w:t>Crime and Safety</w:t>
      </w:r>
    </w:p>
    <w:bookmarkEnd w:id="9"/>
    <w:p w14:paraId="55FCAB56" w14:textId="77777777" w:rsidR="00C65183" w:rsidRPr="00F50828" w:rsidRDefault="00C65183" w:rsidP="00C65183">
      <w:pPr>
        <w:jc w:val="both"/>
        <w:rPr>
          <w:b/>
          <w:sz w:val="16"/>
          <w:szCs w:val="16"/>
        </w:rPr>
      </w:pPr>
    </w:p>
    <w:p w14:paraId="5945F7F4" w14:textId="77777777" w:rsidR="00C65183" w:rsidRPr="003D43E8" w:rsidRDefault="00C65183" w:rsidP="00C65183">
      <w:pPr>
        <w:spacing w:line="360" w:lineRule="auto"/>
        <w:jc w:val="both"/>
        <w:rPr>
          <w:rFonts w:ascii="Calibri" w:hAnsi="Calibri"/>
          <w:b/>
        </w:rPr>
      </w:pPr>
      <w:r>
        <w:rPr>
          <w:rFonts w:ascii="Calibri" w:hAnsi="Calibri"/>
          <w:b/>
          <w:noProof/>
        </w:rPr>
        <w:drawing>
          <wp:anchor distT="0" distB="0" distL="114300" distR="114300" simplePos="0" relativeHeight="251797504" behindDoc="1" locked="0" layoutInCell="1" allowOverlap="1" wp14:anchorId="6D5136B1" wp14:editId="5FAC1D02">
            <wp:simplePos x="0" y="0"/>
            <wp:positionH relativeFrom="column">
              <wp:posOffset>4518025</wp:posOffset>
            </wp:positionH>
            <wp:positionV relativeFrom="paragraph">
              <wp:posOffset>19685</wp:posOffset>
            </wp:positionV>
            <wp:extent cx="1828165" cy="1323975"/>
            <wp:effectExtent l="0" t="0" r="635" b="9525"/>
            <wp:wrapTight wrapText="bothSides">
              <wp:wrapPolygon edited="0">
                <wp:start x="2926" y="0"/>
                <wp:lineTo x="1350" y="311"/>
                <wp:lineTo x="0" y="2486"/>
                <wp:lineTo x="0" y="17404"/>
                <wp:lineTo x="225" y="19891"/>
                <wp:lineTo x="1125" y="21445"/>
                <wp:lineTo x="21382" y="21445"/>
                <wp:lineTo x="21382" y="311"/>
                <wp:lineTo x="19357" y="0"/>
                <wp:lineTo x="2926" y="0"/>
              </wp:wrapPolygon>
            </wp:wrapTight>
            <wp:docPr id="282" name="Picture 3" descr="Crime 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Crime 1.jpg"/>
                    <pic:cNvPicPr>
                      <a:picLocks noChangeArrowheads="1"/>
                    </pic:cNvPicPr>
                  </pic:nvPicPr>
                  <pic:blipFill>
                    <a:blip r:embed="rId168" cstate="print">
                      <a:extLst>
                        <a:ext uri="{28A0092B-C50C-407E-A947-70E740481C1C}">
                          <a14:useLocalDpi xmlns:a14="http://schemas.microsoft.com/office/drawing/2010/main" val="0"/>
                        </a:ext>
                      </a:extLst>
                    </a:blip>
                    <a:srcRect r="4694" b="4396"/>
                    <a:stretch>
                      <a:fillRect/>
                    </a:stretch>
                  </pic:blipFill>
                  <pic:spPr bwMode="auto">
                    <a:xfrm>
                      <a:off x="0" y="0"/>
                      <a:ext cx="1828165" cy="13239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D43E8">
        <w:rPr>
          <w:rFonts w:ascii="Calibri" w:hAnsi="Calibri"/>
          <w:b/>
        </w:rPr>
        <w:t>Rate Comparison</w:t>
      </w:r>
    </w:p>
    <w:p w14:paraId="6C463330" w14:textId="77777777" w:rsidR="00C65183" w:rsidRPr="00AE310B" w:rsidRDefault="00C65183" w:rsidP="00C65183">
      <w:pPr>
        <w:spacing w:line="360" w:lineRule="auto"/>
        <w:jc w:val="both"/>
        <w:rPr>
          <w:rFonts w:ascii="Calibri" w:hAnsi="Calibri"/>
        </w:rPr>
      </w:pPr>
      <w:r>
        <w:rPr>
          <w:rFonts w:ascii="Calibri" w:hAnsi="Calibri"/>
        </w:rPr>
        <w:t>The rate of alleged offences</w:t>
      </w:r>
      <w:r w:rsidRPr="00ED6D7F">
        <w:rPr>
          <w:rFonts w:ascii="Calibri" w:hAnsi="Calibri"/>
        </w:rPr>
        <w:t xml:space="preserve"> </w:t>
      </w:r>
      <w:r>
        <w:rPr>
          <w:rFonts w:ascii="Calibri" w:hAnsi="Calibri"/>
        </w:rPr>
        <w:t>in Greater Dandenong declined 14%</w:t>
      </w:r>
      <w:r w:rsidRPr="00ED6D7F">
        <w:rPr>
          <w:rFonts w:ascii="Calibri" w:hAnsi="Calibri"/>
        </w:rPr>
        <w:t xml:space="preserve"> in the </w:t>
      </w:r>
      <w:r>
        <w:rPr>
          <w:rFonts w:ascii="Calibri" w:hAnsi="Calibri"/>
        </w:rPr>
        <w:t>four</w:t>
      </w:r>
      <w:r w:rsidRPr="00ED6D7F">
        <w:rPr>
          <w:rFonts w:ascii="Calibri" w:hAnsi="Calibri"/>
        </w:rPr>
        <w:t xml:space="preserve"> years to 201</w:t>
      </w:r>
      <w:r>
        <w:rPr>
          <w:rFonts w:ascii="Calibri" w:hAnsi="Calibri"/>
        </w:rPr>
        <w:t>9</w:t>
      </w:r>
      <w:r w:rsidRPr="00ED6D7F">
        <w:rPr>
          <w:rFonts w:ascii="Calibri" w:hAnsi="Calibri"/>
        </w:rPr>
        <w:t>/</w:t>
      </w:r>
      <w:r>
        <w:rPr>
          <w:rFonts w:ascii="Calibri" w:hAnsi="Calibri"/>
        </w:rPr>
        <w:t>20, including a 15% reduction in the rate of</w:t>
      </w:r>
      <w:r w:rsidRPr="00ED6D7F">
        <w:rPr>
          <w:rFonts w:ascii="Calibri" w:hAnsi="Calibri"/>
        </w:rPr>
        <w:t xml:space="preserve"> </w:t>
      </w:r>
      <w:r>
        <w:rPr>
          <w:rFonts w:ascii="Calibri" w:hAnsi="Calibri"/>
        </w:rPr>
        <w:t>violent offences and 18% fall in property offences. During the same period, drug offence rates rose 3%.</w:t>
      </w:r>
    </w:p>
    <w:p w14:paraId="5C26B9B0" w14:textId="77777777" w:rsidR="00C65183" w:rsidRPr="00D27CC5" w:rsidRDefault="00C65183" w:rsidP="00C65183">
      <w:pPr>
        <w:spacing w:line="360" w:lineRule="auto"/>
        <w:jc w:val="both"/>
        <w:rPr>
          <w:rFonts w:ascii="Calibri" w:hAnsi="Calibri"/>
        </w:rPr>
      </w:pPr>
      <w:bookmarkStart w:id="10" w:name="_Hlk61254711"/>
      <w:r>
        <w:rPr>
          <w:rFonts w:ascii="Calibri" w:hAnsi="Calibri"/>
        </w:rPr>
        <w:t xml:space="preserve">Despite these declines, </w:t>
      </w:r>
      <w:r w:rsidRPr="00D27CC5">
        <w:rPr>
          <w:rFonts w:ascii="Calibri" w:hAnsi="Calibri"/>
        </w:rPr>
        <w:t>201</w:t>
      </w:r>
      <w:r>
        <w:rPr>
          <w:rFonts w:ascii="Calibri" w:hAnsi="Calibri"/>
        </w:rPr>
        <w:t>9</w:t>
      </w:r>
      <w:r w:rsidRPr="00D27CC5">
        <w:rPr>
          <w:rFonts w:ascii="Calibri" w:hAnsi="Calibri"/>
        </w:rPr>
        <w:t>/</w:t>
      </w:r>
      <w:r>
        <w:rPr>
          <w:rFonts w:ascii="Calibri" w:hAnsi="Calibri"/>
        </w:rPr>
        <w:t>20</w:t>
      </w:r>
      <w:r w:rsidRPr="00D27CC5">
        <w:rPr>
          <w:rFonts w:ascii="Calibri" w:hAnsi="Calibri"/>
        </w:rPr>
        <w:t xml:space="preserve"> </w:t>
      </w:r>
      <w:r>
        <w:rPr>
          <w:rFonts w:ascii="Calibri" w:hAnsi="Calibri"/>
        </w:rPr>
        <w:t>alleged offences</w:t>
      </w:r>
      <w:r w:rsidRPr="00D27CC5">
        <w:rPr>
          <w:rFonts w:ascii="Calibri" w:hAnsi="Calibri"/>
        </w:rPr>
        <w:t xml:space="preserve"> rates in Greater Dandenong, compared with </w:t>
      </w:r>
      <w:r>
        <w:rPr>
          <w:rFonts w:ascii="Calibri" w:hAnsi="Calibri"/>
        </w:rPr>
        <w:t>metropolitan</w:t>
      </w:r>
      <w:r w:rsidRPr="00D27CC5">
        <w:rPr>
          <w:rFonts w:ascii="Calibri" w:hAnsi="Calibri"/>
        </w:rPr>
        <w:t xml:space="preserve"> </w:t>
      </w:r>
      <w:r>
        <w:rPr>
          <w:rFonts w:ascii="Calibri" w:hAnsi="Calibri"/>
        </w:rPr>
        <w:t xml:space="preserve">Melbourne, </w:t>
      </w:r>
      <w:r w:rsidRPr="00D27CC5">
        <w:rPr>
          <w:rFonts w:ascii="Calibri" w:hAnsi="Calibri"/>
        </w:rPr>
        <w:t>were:</w:t>
      </w:r>
    </w:p>
    <w:p w14:paraId="54AE7B83" w14:textId="77777777" w:rsidR="00C65183" w:rsidRPr="00D27CC5" w:rsidRDefault="00C65183" w:rsidP="00C65183">
      <w:pPr>
        <w:numPr>
          <w:ilvl w:val="0"/>
          <w:numId w:val="12"/>
        </w:numPr>
        <w:spacing w:line="360" w:lineRule="auto"/>
        <w:jc w:val="both"/>
        <w:rPr>
          <w:rFonts w:ascii="Calibri" w:hAnsi="Calibri"/>
        </w:rPr>
      </w:pPr>
      <w:r>
        <w:rPr>
          <w:rFonts w:ascii="Calibri" w:hAnsi="Calibri"/>
        </w:rPr>
        <w:t>50</w:t>
      </w:r>
      <w:r w:rsidRPr="00D27CC5">
        <w:rPr>
          <w:rFonts w:ascii="Calibri" w:hAnsi="Calibri"/>
        </w:rPr>
        <w:t>% higher for violent offences</w:t>
      </w:r>
    </w:p>
    <w:p w14:paraId="44C543FB" w14:textId="77777777" w:rsidR="00C65183" w:rsidRPr="00D27CC5" w:rsidRDefault="00C65183" w:rsidP="00C65183">
      <w:pPr>
        <w:numPr>
          <w:ilvl w:val="0"/>
          <w:numId w:val="12"/>
        </w:numPr>
        <w:spacing w:line="360" w:lineRule="auto"/>
        <w:jc w:val="both"/>
        <w:rPr>
          <w:rFonts w:ascii="Calibri" w:hAnsi="Calibri"/>
        </w:rPr>
      </w:pPr>
      <w:r>
        <w:rPr>
          <w:rFonts w:ascii="Calibri" w:hAnsi="Calibri"/>
        </w:rPr>
        <w:t>27% higher for property offences</w:t>
      </w:r>
    </w:p>
    <w:p w14:paraId="5ECDC388" w14:textId="77777777" w:rsidR="00C65183" w:rsidRDefault="00C65183" w:rsidP="00C65183">
      <w:pPr>
        <w:numPr>
          <w:ilvl w:val="0"/>
          <w:numId w:val="12"/>
        </w:numPr>
        <w:spacing w:line="360" w:lineRule="auto"/>
        <w:jc w:val="both"/>
        <w:rPr>
          <w:rFonts w:ascii="Calibri" w:hAnsi="Calibri"/>
        </w:rPr>
      </w:pPr>
      <w:bookmarkStart w:id="11" w:name="_Hlk61254687"/>
      <w:r>
        <w:rPr>
          <w:rFonts w:ascii="Calibri" w:hAnsi="Calibri"/>
        </w:rPr>
        <w:t>62</w:t>
      </w:r>
      <w:r w:rsidRPr="00D27CC5">
        <w:rPr>
          <w:rFonts w:ascii="Calibri" w:hAnsi="Calibri"/>
        </w:rPr>
        <w:t>% higher for drug offences</w:t>
      </w:r>
      <w:r>
        <w:rPr>
          <w:rFonts w:ascii="Calibri" w:hAnsi="Calibri"/>
        </w:rPr>
        <w:t xml:space="preserve"> and</w:t>
      </w:r>
    </w:p>
    <w:bookmarkEnd w:id="11"/>
    <w:p w14:paraId="16D31FF6" w14:textId="77777777" w:rsidR="00C65183" w:rsidRPr="00D27CC5" w:rsidRDefault="00C65183" w:rsidP="00C65183">
      <w:pPr>
        <w:numPr>
          <w:ilvl w:val="0"/>
          <w:numId w:val="12"/>
        </w:numPr>
        <w:spacing w:line="360" w:lineRule="auto"/>
        <w:jc w:val="both"/>
        <w:rPr>
          <w:rFonts w:ascii="Calibri" w:hAnsi="Calibri"/>
        </w:rPr>
      </w:pPr>
      <w:r>
        <w:rPr>
          <w:rFonts w:ascii="Calibri" w:hAnsi="Calibri"/>
        </w:rPr>
        <w:t>42% higher for overall offences</w:t>
      </w:r>
      <w:r w:rsidRPr="00D27CC5">
        <w:rPr>
          <w:rFonts w:ascii="Calibri" w:hAnsi="Calibri"/>
        </w:rPr>
        <w:t>.</w:t>
      </w:r>
      <w:r>
        <w:rPr>
          <w:rFonts w:ascii="Calibri" w:hAnsi="Calibri"/>
        </w:rPr>
        <w:t xml:space="preserve"> (diagram below)</w:t>
      </w:r>
    </w:p>
    <w:p w14:paraId="3C7DD4E4" w14:textId="77777777" w:rsidR="00C65183" w:rsidRPr="00255D01" w:rsidRDefault="00C65183" w:rsidP="00C65183">
      <w:pPr>
        <w:spacing w:line="360" w:lineRule="auto"/>
        <w:jc w:val="both"/>
        <w:rPr>
          <w:rFonts w:ascii="Calibri" w:hAnsi="Calibri"/>
        </w:rPr>
      </w:pPr>
      <w:r>
        <w:rPr>
          <w:rFonts w:ascii="Calibri" w:hAnsi="Calibri"/>
          <w:noProof/>
        </w:rPr>
        <w:drawing>
          <wp:anchor distT="0" distB="0" distL="114300" distR="114300" simplePos="0" relativeHeight="251976704" behindDoc="0" locked="0" layoutInCell="1" allowOverlap="1" wp14:anchorId="68E1C78A" wp14:editId="38B0F5F7">
            <wp:simplePos x="0" y="0"/>
            <wp:positionH relativeFrom="margin">
              <wp:align>right</wp:align>
            </wp:positionH>
            <wp:positionV relativeFrom="paragraph">
              <wp:posOffset>85090</wp:posOffset>
            </wp:positionV>
            <wp:extent cx="3837940" cy="2390775"/>
            <wp:effectExtent l="0" t="0" r="0" b="9525"/>
            <wp:wrapSquare wrapText="bothSides"/>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3839647" cy="2391838"/>
                    </a:xfrm>
                    <a:prstGeom prst="rect">
                      <a:avLst/>
                    </a:prstGeom>
                    <a:noFill/>
                  </pic:spPr>
                </pic:pic>
              </a:graphicData>
            </a:graphic>
            <wp14:sizeRelH relativeFrom="page">
              <wp14:pctWidth>0</wp14:pctWidth>
            </wp14:sizeRelH>
            <wp14:sizeRelV relativeFrom="page">
              <wp14:pctHeight>0</wp14:pctHeight>
            </wp14:sizeRelV>
          </wp:anchor>
        </w:drawing>
      </w:r>
    </w:p>
    <w:p w14:paraId="425D1555" w14:textId="77777777" w:rsidR="00C65183" w:rsidRPr="00255D01" w:rsidRDefault="00C65183" w:rsidP="00C65183">
      <w:pPr>
        <w:jc w:val="both"/>
        <w:rPr>
          <w:rFonts w:ascii="Calibri" w:hAnsi="Calibri"/>
          <w:color w:val="7F7F7F"/>
          <w:sz w:val="20"/>
          <w:szCs w:val="20"/>
        </w:rPr>
      </w:pPr>
      <w:r w:rsidRPr="00255D01">
        <w:rPr>
          <w:rFonts w:ascii="Calibri" w:hAnsi="Calibri"/>
          <w:color w:val="7F7F7F"/>
          <w:sz w:val="20"/>
          <w:szCs w:val="20"/>
        </w:rPr>
        <w:t>Crime Rates: Greater Dandenong and metropolitan Melbourne, 2019/20</w:t>
      </w:r>
    </w:p>
    <w:p w14:paraId="080823F1" w14:textId="77777777" w:rsidR="00C65183" w:rsidRPr="00255D01" w:rsidRDefault="00C65183" w:rsidP="00C65183">
      <w:pPr>
        <w:spacing w:line="360" w:lineRule="auto"/>
        <w:jc w:val="both"/>
        <w:rPr>
          <w:rFonts w:ascii="Calibri" w:hAnsi="Calibri"/>
        </w:rPr>
      </w:pPr>
    </w:p>
    <w:p w14:paraId="3B5781A9" w14:textId="77777777" w:rsidR="00C65183" w:rsidRDefault="00C65183" w:rsidP="00C65183">
      <w:pPr>
        <w:spacing w:line="360" w:lineRule="auto"/>
        <w:jc w:val="both"/>
        <w:rPr>
          <w:rFonts w:ascii="Calibri" w:hAnsi="Calibri"/>
        </w:rPr>
      </w:pPr>
    </w:p>
    <w:p w14:paraId="2715F136" w14:textId="77777777" w:rsidR="00C65183" w:rsidRDefault="00C65183" w:rsidP="00C65183">
      <w:pPr>
        <w:spacing w:line="360" w:lineRule="auto"/>
        <w:jc w:val="both"/>
        <w:rPr>
          <w:rFonts w:ascii="Calibri" w:hAnsi="Calibri"/>
        </w:rPr>
      </w:pPr>
      <w:r>
        <w:rPr>
          <w:rFonts w:ascii="Calibri" w:hAnsi="Calibri"/>
        </w:rPr>
        <w:t>The local rates of violent and drug offences were</w:t>
      </w:r>
      <w:r w:rsidRPr="00D27CC5">
        <w:rPr>
          <w:rFonts w:ascii="Calibri" w:hAnsi="Calibri"/>
        </w:rPr>
        <w:t xml:space="preserve"> the hi</w:t>
      </w:r>
      <w:r>
        <w:rPr>
          <w:rFonts w:ascii="Calibri" w:hAnsi="Calibri"/>
        </w:rPr>
        <w:t>ghest in the metropolitan area, outside the CBD, while the overall crime rate was the second highest in Melbourne</w:t>
      </w:r>
      <w:r w:rsidRPr="00D27CC5">
        <w:rPr>
          <w:rFonts w:ascii="Calibri" w:hAnsi="Calibri"/>
        </w:rPr>
        <w:t>.</w:t>
      </w:r>
    </w:p>
    <w:p w14:paraId="0FD35CAB" w14:textId="77777777" w:rsidR="00C65183" w:rsidRDefault="00C65183" w:rsidP="00C65183">
      <w:pPr>
        <w:spacing w:line="360" w:lineRule="auto"/>
        <w:jc w:val="both"/>
        <w:rPr>
          <w:rFonts w:ascii="Calibri" w:hAnsi="Calibri"/>
        </w:rPr>
      </w:pPr>
    </w:p>
    <w:p w14:paraId="3A96BA81" w14:textId="77777777" w:rsidR="00C65183" w:rsidRDefault="00C65183" w:rsidP="00C65183">
      <w:pPr>
        <w:jc w:val="both"/>
        <w:rPr>
          <w:rFonts w:ascii="Calibri" w:hAnsi="Calibri"/>
        </w:rPr>
      </w:pPr>
    </w:p>
    <w:p w14:paraId="437DAB0C" w14:textId="77777777" w:rsidR="00C65183" w:rsidRDefault="00C65183" w:rsidP="00C65183">
      <w:pPr>
        <w:jc w:val="both"/>
        <w:rPr>
          <w:rFonts w:ascii="Calibri" w:hAnsi="Calibri"/>
        </w:rPr>
      </w:pPr>
    </w:p>
    <w:bookmarkEnd w:id="10"/>
    <w:p w14:paraId="4717D070" w14:textId="77777777" w:rsidR="00C65183" w:rsidRPr="00382E60" w:rsidRDefault="00C65183" w:rsidP="00C65183">
      <w:pPr>
        <w:jc w:val="both"/>
        <w:rPr>
          <w:rFonts w:ascii="Calibri" w:hAnsi="Calibri"/>
          <w:color w:val="7F7F7F"/>
          <w:sz w:val="20"/>
          <w:szCs w:val="20"/>
        </w:rPr>
      </w:pPr>
      <w:r>
        <w:rPr>
          <w:rFonts w:ascii="Calibri" w:hAnsi="Calibri"/>
          <w:color w:val="7F7F7F"/>
          <w:sz w:val="20"/>
          <w:szCs w:val="20"/>
        </w:rPr>
        <w:t>Overall</w:t>
      </w:r>
      <w:r w:rsidRPr="00382E60">
        <w:rPr>
          <w:rFonts w:ascii="Calibri" w:hAnsi="Calibri"/>
          <w:color w:val="7F7F7F"/>
          <w:sz w:val="20"/>
          <w:szCs w:val="20"/>
        </w:rPr>
        <w:t xml:space="preserve"> </w:t>
      </w:r>
      <w:r>
        <w:rPr>
          <w:rFonts w:ascii="Calibri" w:hAnsi="Calibri"/>
          <w:color w:val="7F7F7F"/>
          <w:sz w:val="20"/>
          <w:szCs w:val="20"/>
        </w:rPr>
        <w:t>c</w:t>
      </w:r>
      <w:r w:rsidRPr="00382E60">
        <w:rPr>
          <w:rFonts w:ascii="Calibri" w:hAnsi="Calibri"/>
          <w:color w:val="7F7F7F"/>
          <w:sz w:val="20"/>
          <w:szCs w:val="20"/>
        </w:rPr>
        <w:t xml:space="preserve">rime </w:t>
      </w:r>
      <w:r>
        <w:rPr>
          <w:rFonts w:ascii="Calibri" w:hAnsi="Calibri"/>
          <w:color w:val="7F7F7F"/>
          <w:sz w:val="20"/>
          <w:szCs w:val="20"/>
        </w:rPr>
        <w:t>r</w:t>
      </w:r>
      <w:r w:rsidRPr="00382E60">
        <w:rPr>
          <w:rFonts w:ascii="Calibri" w:hAnsi="Calibri"/>
          <w:color w:val="7F7F7F"/>
          <w:sz w:val="20"/>
          <w:szCs w:val="20"/>
        </w:rPr>
        <w:t xml:space="preserve">ates: Greater Dandenong </w:t>
      </w:r>
      <w:r>
        <w:rPr>
          <w:rFonts w:ascii="Calibri" w:hAnsi="Calibri"/>
          <w:color w:val="7F7F7F"/>
          <w:sz w:val="20"/>
          <w:szCs w:val="20"/>
        </w:rPr>
        <w:t>suburbs</w:t>
      </w:r>
      <w:r w:rsidRPr="00382E60">
        <w:rPr>
          <w:rFonts w:ascii="Calibri" w:hAnsi="Calibri"/>
          <w:color w:val="7F7F7F"/>
          <w:sz w:val="20"/>
          <w:szCs w:val="20"/>
        </w:rPr>
        <w:t>, 20</w:t>
      </w:r>
      <w:r>
        <w:rPr>
          <w:rFonts w:ascii="Calibri" w:hAnsi="Calibri"/>
          <w:color w:val="7F7F7F"/>
          <w:sz w:val="20"/>
          <w:szCs w:val="20"/>
        </w:rPr>
        <w:t>19</w:t>
      </w:r>
      <w:r w:rsidRPr="00382E60">
        <w:rPr>
          <w:rFonts w:ascii="Calibri" w:hAnsi="Calibri"/>
          <w:color w:val="7F7F7F"/>
          <w:sz w:val="20"/>
          <w:szCs w:val="20"/>
        </w:rPr>
        <w:t>/</w:t>
      </w:r>
      <w:r>
        <w:rPr>
          <w:rFonts w:ascii="Calibri" w:hAnsi="Calibri"/>
          <w:color w:val="7F7F7F"/>
          <w:sz w:val="20"/>
          <w:szCs w:val="20"/>
        </w:rPr>
        <w:t>20</w:t>
      </w:r>
    </w:p>
    <w:p w14:paraId="77A433CC" w14:textId="77777777" w:rsidR="00C65183" w:rsidRDefault="00C65183" w:rsidP="00C65183">
      <w:pPr>
        <w:spacing w:line="360" w:lineRule="auto"/>
        <w:jc w:val="both"/>
        <w:rPr>
          <w:rFonts w:ascii="Calibri" w:hAnsi="Calibri"/>
        </w:rPr>
      </w:pPr>
      <w:r>
        <w:rPr>
          <w:rFonts w:ascii="Calibri" w:hAnsi="Calibri"/>
          <w:noProof/>
        </w:rPr>
        <w:drawing>
          <wp:anchor distT="0" distB="0" distL="114300" distR="114300" simplePos="0" relativeHeight="251799552" behindDoc="0" locked="0" layoutInCell="1" allowOverlap="1" wp14:anchorId="77D8CFBB" wp14:editId="53A63251">
            <wp:simplePos x="0" y="0"/>
            <wp:positionH relativeFrom="column">
              <wp:posOffset>-952</wp:posOffset>
            </wp:positionH>
            <wp:positionV relativeFrom="paragraph">
              <wp:posOffset>635</wp:posOffset>
            </wp:positionV>
            <wp:extent cx="3878985" cy="2711768"/>
            <wp:effectExtent l="0" t="0" r="7620" b="0"/>
            <wp:wrapSquare wrapText="bothSides"/>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3878985" cy="2711768"/>
                    </a:xfrm>
                    <a:prstGeom prst="rect">
                      <a:avLst/>
                    </a:prstGeom>
                    <a:noFill/>
                  </pic:spPr>
                </pic:pic>
              </a:graphicData>
            </a:graphic>
            <wp14:sizeRelH relativeFrom="page">
              <wp14:pctWidth>0</wp14:pctWidth>
            </wp14:sizeRelH>
            <wp14:sizeRelV relativeFrom="page">
              <wp14:pctHeight>0</wp14:pctHeight>
            </wp14:sizeRelV>
          </wp:anchor>
        </w:drawing>
      </w:r>
    </w:p>
    <w:p w14:paraId="71641483" w14:textId="77777777" w:rsidR="00C65183" w:rsidRDefault="00C65183" w:rsidP="00C65183">
      <w:pPr>
        <w:spacing w:line="360" w:lineRule="auto"/>
        <w:jc w:val="both"/>
        <w:rPr>
          <w:rFonts w:ascii="Calibri" w:hAnsi="Calibri"/>
        </w:rPr>
      </w:pPr>
      <w:r w:rsidRPr="00BD45CC">
        <w:rPr>
          <w:rFonts w:ascii="Calibri" w:hAnsi="Calibri"/>
        </w:rPr>
        <w:t xml:space="preserve">Crime rates vary widely </w:t>
      </w:r>
      <w:r>
        <w:rPr>
          <w:rFonts w:ascii="Calibri" w:hAnsi="Calibri"/>
        </w:rPr>
        <w:t xml:space="preserve">within </w:t>
      </w:r>
      <w:r w:rsidRPr="00BD45CC">
        <w:rPr>
          <w:rFonts w:ascii="Calibri" w:hAnsi="Calibri"/>
        </w:rPr>
        <w:t>Greater Dandenong.</w:t>
      </w:r>
    </w:p>
    <w:p w14:paraId="2773EC17" w14:textId="77777777" w:rsidR="00C65183" w:rsidRDefault="00C65183" w:rsidP="00C65183">
      <w:pPr>
        <w:spacing w:line="360" w:lineRule="auto"/>
        <w:jc w:val="both"/>
        <w:rPr>
          <w:rFonts w:ascii="Calibri" w:hAnsi="Calibri"/>
        </w:rPr>
      </w:pPr>
      <w:r>
        <w:rPr>
          <w:rFonts w:ascii="Calibri" w:hAnsi="Calibri"/>
        </w:rPr>
        <w:t>Rates of violent offences</w:t>
      </w:r>
      <w:r w:rsidRPr="00BD45CC">
        <w:rPr>
          <w:rFonts w:ascii="Calibri" w:hAnsi="Calibri"/>
        </w:rPr>
        <w:t xml:space="preserve"> for example, were </w:t>
      </w:r>
      <w:r>
        <w:rPr>
          <w:rFonts w:ascii="Calibri" w:hAnsi="Calibri"/>
        </w:rPr>
        <w:t>almost twice as high in Dandenong in 2019/20 as the municipal average</w:t>
      </w:r>
      <w:r w:rsidRPr="00BD45CC">
        <w:rPr>
          <w:rFonts w:ascii="Calibri" w:hAnsi="Calibri"/>
        </w:rPr>
        <w:t xml:space="preserve"> and </w:t>
      </w:r>
      <w:r>
        <w:rPr>
          <w:rFonts w:ascii="Calibri" w:hAnsi="Calibri"/>
        </w:rPr>
        <w:t>nearly four times the level in</w:t>
      </w:r>
      <w:r w:rsidRPr="00BD45CC">
        <w:rPr>
          <w:rFonts w:ascii="Calibri" w:hAnsi="Calibri"/>
        </w:rPr>
        <w:t xml:space="preserve"> </w:t>
      </w:r>
      <w:r>
        <w:rPr>
          <w:rFonts w:ascii="Calibri" w:hAnsi="Calibri"/>
        </w:rPr>
        <w:t>Keysborough</w:t>
      </w:r>
      <w:r w:rsidRPr="00BD45CC">
        <w:rPr>
          <w:rFonts w:ascii="Calibri" w:hAnsi="Calibri"/>
        </w:rPr>
        <w:t xml:space="preserve"> (</w:t>
      </w:r>
      <w:r>
        <w:rPr>
          <w:rFonts w:ascii="Calibri" w:hAnsi="Calibri"/>
        </w:rPr>
        <w:t>d</w:t>
      </w:r>
      <w:r w:rsidRPr="00BD45CC">
        <w:rPr>
          <w:rFonts w:ascii="Calibri" w:hAnsi="Calibri"/>
        </w:rPr>
        <w:t xml:space="preserve">iagram </w:t>
      </w:r>
      <w:r>
        <w:rPr>
          <w:rFonts w:ascii="Calibri" w:hAnsi="Calibri"/>
        </w:rPr>
        <w:t>left</w:t>
      </w:r>
      <w:r w:rsidRPr="00BD45CC">
        <w:rPr>
          <w:rFonts w:ascii="Calibri" w:hAnsi="Calibri"/>
        </w:rPr>
        <w:t>).</w:t>
      </w:r>
    </w:p>
    <w:p w14:paraId="2534E3A2" w14:textId="77777777" w:rsidR="00C65183" w:rsidRDefault="00C65183" w:rsidP="00C65183">
      <w:pPr>
        <w:spacing w:line="360" w:lineRule="auto"/>
        <w:jc w:val="both"/>
        <w:rPr>
          <w:rFonts w:ascii="Calibri" w:hAnsi="Calibri"/>
        </w:rPr>
      </w:pPr>
    </w:p>
    <w:p w14:paraId="790D76F2" w14:textId="77777777" w:rsidR="00C65183" w:rsidRDefault="00C65183" w:rsidP="00C65183">
      <w:pPr>
        <w:spacing w:line="360" w:lineRule="auto"/>
        <w:jc w:val="both"/>
        <w:rPr>
          <w:rFonts w:ascii="Calibri" w:hAnsi="Calibri"/>
        </w:rPr>
      </w:pPr>
    </w:p>
    <w:p w14:paraId="14990B7E" w14:textId="77777777" w:rsidR="00C65183" w:rsidRPr="007D3C87" w:rsidRDefault="00C65183" w:rsidP="00C65183">
      <w:pPr>
        <w:spacing w:line="360" w:lineRule="auto"/>
        <w:jc w:val="both"/>
        <w:rPr>
          <w:rFonts w:ascii="Calibri" w:hAnsi="Calibri"/>
          <w:b/>
        </w:rPr>
      </w:pPr>
      <w:r w:rsidRPr="007D3C87">
        <w:rPr>
          <w:rFonts w:ascii="Calibri" w:hAnsi="Calibri"/>
          <w:b/>
        </w:rPr>
        <w:lastRenderedPageBreak/>
        <w:t>Crime Trends</w:t>
      </w:r>
      <w:r>
        <w:rPr>
          <w:rFonts w:ascii="Calibri" w:hAnsi="Calibri"/>
          <w:b/>
        </w:rPr>
        <w:t xml:space="preserve"> </w:t>
      </w:r>
    </w:p>
    <w:p w14:paraId="4E5A91B3" w14:textId="77777777" w:rsidR="00C65183" w:rsidRDefault="00C65183" w:rsidP="00C65183">
      <w:pPr>
        <w:spacing w:line="360" w:lineRule="auto"/>
        <w:jc w:val="both"/>
        <w:rPr>
          <w:rFonts w:ascii="Calibri" w:hAnsi="Calibri"/>
        </w:rPr>
      </w:pPr>
      <w:r>
        <w:rPr>
          <w:rFonts w:ascii="Calibri" w:hAnsi="Calibri"/>
          <w:noProof/>
        </w:rPr>
        <w:drawing>
          <wp:anchor distT="0" distB="0" distL="114300" distR="114300" simplePos="0" relativeHeight="251798528" behindDoc="0" locked="0" layoutInCell="1" allowOverlap="1" wp14:anchorId="29E53128" wp14:editId="589B9C4E">
            <wp:simplePos x="0" y="0"/>
            <wp:positionH relativeFrom="margin">
              <wp:posOffset>5075555</wp:posOffset>
            </wp:positionH>
            <wp:positionV relativeFrom="paragraph">
              <wp:posOffset>137795</wp:posOffset>
            </wp:positionV>
            <wp:extent cx="1035685" cy="842645"/>
            <wp:effectExtent l="0" t="0" r="0" b="0"/>
            <wp:wrapSquare wrapText="bothSides"/>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munity Unhappy 3.jpg"/>
                    <pic:cNvPicPr/>
                  </pic:nvPicPr>
                  <pic:blipFill>
                    <a:blip r:embed="rId171" cstate="print">
                      <a:extLst>
                        <a:ext uri="{28A0092B-C50C-407E-A947-70E740481C1C}">
                          <a14:useLocalDpi xmlns:a14="http://schemas.microsoft.com/office/drawing/2010/main" val="0"/>
                        </a:ext>
                      </a:extLst>
                    </a:blip>
                    <a:stretch>
                      <a:fillRect/>
                    </a:stretch>
                  </pic:blipFill>
                  <pic:spPr>
                    <a:xfrm>
                      <a:off x="0" y="0"/>
                      <a:ext cx="1035685" cy="84264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rFonts w:ascii="Calibri" w:hAnsi="Calibri"/>
        </w:rPr>
        <w:t>The decline in crime rates in Greater Dandenong during the past four years, reverses a trend of increasing crime rates in the decade to 2014/15, during which overall offence rate rose by 19% and violent offences by 74%.</w:t>
      </w:r>
    </w:p>
    <w:p w14:paraId="03947153" w14:textId="77777777" w:rsidR="00C65183" w:rsidRDefault="00C65183" w:rsidP="00C65183">
      <w:pPr>
        <w:spacing w:line="360" w:lineRule="auto"/>
        <w:jc w:val="both"/>
        <w:rPr>
          <w:rFonts w:ascii="Calibri" w:hAnsi="Calibri"/>
        </w:rPr>
      </w:pPr>
      <w:r>
        <w:rPr>
          <w:rFonts w:ascii="Calibri" w:hAnsi="Calibri"/>
        </w:rPr>
        <w:t>Changes in rates of violent crime and drug offences in Greater Dandenong and metropolitan Melbourne, during the period 2004/5 to 2019/20, are illustrated below.</w:t>
      </w:r>
    </w:p>
    <w:p w14:paraId="70CC22D7" w14:textId="77777777" w:rsidR="00C65183" w:rsidRPr="00FC562B" w:rsidRDefault="00C65183" w:rsidP="00C65183">
      <w:pPr>
        <w:tabs>
          <w:tab w:val="left" w:pos="6237"/>
        </w:tabs>
        <w:jc w:val="both"/>
        <w:rPr>
          <w:rFonts w:ascii="Calibri" w:hAnsi="Calibri"/>
          <w:i/>
          <w:sz w:val="20"/>
          <w:szCs w:val="20"/>
        </w:rPr>
      </w:pPr>
      <w:r w:rsidRPr="00FC562B">
        <w:rPr>
          <w:rFonts w:ascii="Calibri" w:hAnsi="Calibri"/>
          <w:i/>
          <w:sz w:val="20"/>
          <w:szCs w:val="20"/>
        </w:rPr>
        <w:t xml:space="preserve">                    </w:t>
      </w:r>
      <w:r>
        <w:rPr>
          <w:rFonts w:ascii="Calibri" w:hAnsi="Calibri"/>
          <w:i/>
          <w:sz w:val="20"/>
          <w:szCs w:val="20"/>
        </w:rPr>
        <w:t xml:space="preserve">    Violent Crime Rate: 2004/5-2019/20</w:t>
      </w:r>
      <w:r>
        <w:rPr>
          <w:rFonts w:ascii="Calibri" w:hAnsi="Calibri"/>
          <w:i/>
          <w:sz w:val="20"/>
          <w:szCs w:val="20"/>
        </w:rPr>
        <w:tab/>
        <w:t>Drug Crime Rate: 2004/5-2019/20</w:t>
      </w:r>
    </w:p>
    <w:p w14:paraId="626179F4" w14:textId="77777777" w:rsidR="00C65183" w:rsidRPr="00E30620" w:rsidRDefault="00C65183" w:rsidP="00C65183">
      <w:pPr>
        <w:spacing w:after="120"/>
        <w:jc w:val="both"/>
      </w:pPr>
      <w:r>
        <w:rPr>
          <w:noProof/>
        </w:rPr>
        <w:drawing>
          <wp:inline distT="0" distB="0" distL="0" distR="0" wp14:anchorId="64C82ED4" wp14:editId="6EB97AB1">
            <wp:extent cx="2981049" cy="2330608"/>
            <wp:effectExtent l="0" t="0" r="0" b="0"/>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3003556" cy="2348204"/>
                    </a:xfrm>
                    <a:prstGeom prst="rect">
                      <a:avLst/>
                    </a:prstGeom>
                    <a:noFill/>
                  </pic:spPr>
                </pic:pic>
              </a:graphicData>
            </a:graphic>
          </wp:inline>
        </w:drawing>
      </w:r>
      <w:r>
        <w:rPr>
          <w:noProof/>
        </w:rPr>
        <w:drawing>
          <wp:inline distT="0" distB="0" distL="0" distR="0" wp14:anchorId="5CA4C5EB" wp14:editId="3849BEAF">
            <wp:extent cx="2954870" cy="2420076"/>
            <wp:effectExtent l="0" t="0" r="0" b="0"/>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2989946" cy="2448803"/>
                    </a:xfrm>
                    <a:prstGeom prst="rect">
                      <a:avLst/>
                    </a:prstGeom>
                    <a:noFill/>
                  </pic:spPr>
                </pic:pic>
              </a:graphicData>
            </a:graphic>
          </wp:inline>
        </w:drawing>
      </w:r>
    </w:p>
    <w:p w14:paraId="50907C8D" w14:textId="77777777" w:rsidR="00C65183" w:rsidRPr="00434F97" w:rsidRDefault="00C65183" w:rsidP="00C65183">
      <w:pPr>
        <w:spacing w:before="120" w:line="360" w:lineRule="auto"/>
        <w:jc w:val="both"/>
        <w:rPr>
          <w:rFonts w:ascii="Calibri" w:hAnsi="Calibri"/>
          <w:b/>
          <w:sz w:val="8"/>
          <w:szCs w:val="8"/>
        </w:rPr>
      </w:pPr>
    </w:p>
    <w:p w14:paraId="5207112D" w14:textId="77777777" w:rsidR="00C65183" w:rsidRDefault="00C65183" w:rsidP="00C65183">
      <w:pPr>
        <w:spacing w:before="120" w:line="360" w:lineRule="auto"/>
        <w:jc w:val="both"/>
        <w:rPr>
          <w:rFonts w:ascii="Calibri" w:hAnsi="Calibri"/>
          <w:b/>
        </w:rPr>
      </w:pPr>
      <w:r>
        <w:rPr>
          <w:rFonts w:ascii="Calibri" w:hAnsi="Calibri"/>
          <w:noProof/>
        </w:rPr>
        <w:drawing>
          <wp:anchor distT="0" distB="0" distL="114300" distR="114300" simplePos="0" relativeHeight="251969536" behindDoc="0" locked="0" layoutInCell="1" allowOverlap="1" wp14:anchorId="00251226" wp14:editId="2935F5BA">
            <wp:simplePos x="0" y="0"/>
            <wp:positionH relativeFrom="margin">
              <wp:posOffset>1983105</wp:posOffset>
            </wp:positionH>
            <wp:positionV relativeFrom="paragraph">
              <wp:posOffset>88900</wp:posOffset>
            </wp:positionV>
            <wp:extent cx="4114800" cy="2814955"/>
            <wp:effectExtent l="0" t="0" r="0" b="4445"/>
            <wp:wrapSquare wrapText="bothSides"/>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74" cstate="print">
                      <a:extLst>
                        <a:ext uri="{28A0092B-C50C-407E-A947-70E740481C1C}">
                          <a14:useLocalDpi xmlns:a14="http://schemas.microsoft.com/office/drawing/2010/main" val="0"/>
                        </a:ext>
                      </a:extLst>
                    </a:blip>
                    <a:srcRect l="2247" t="3525" r="7853"/>
                    <a:stretch/>
                  </pic:blipFill>
                  <pic:spPr bwMode="auto">
                    <a:xfrm>
                      <a:off x="0" y="0"/>
                      <a:ext cx="4114800" cy="28149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E2F60">
        <w:rPr>
          <w:rFonts w:ascii="Calibri" w:hAnsi="Calibri"/>
          <w:b/>
        </w:rPr>
        <w:t>Personal Safety</w:t>
      </w:r>
    </w:p>
    <w:p w14:paraId="742AD106" w14:textId="77777777" w:rsidR="00C65183" w:rsidRDefault="00C65183" w:rsidP="00C65183">
      <w:pPr>
        <w:spacing w:line="360" w:lineRule="auto"/>
        <w:jc w:val="both"/>
        <w:rPr>
          <w:rFonts w:ascii="Calibri" w:hAnsi="Calibri"/>
        </w:rPr>
      </w:pPr>
      <w:bookmarkStart w:id="12" w:name="_Hlk61255053"/>
      <w:r w:rsidRPr="00916B2D">
        <w:rPr>
          <w:rFonts w:ascii="Calibri" w:hAnsi="Calibri"/>
        </w:rPr>
        <w:t xml:space="preserve">The 2015 VicHealth Indicators Survey found that </w:t>
      </w:r>
      <w:r>
        <w:rPr>
          <w:rFonts w:ascii="Calibri" w:hAnsi="Calibri"/>
        </w:rPr>
        <w:t>36</w:t>
      </w:r>
      <w:r w:rsidRPr="00916B2D">
        <w:rPr>
          <w:rFonts w:ascii="Calibri" w:hAnsi="Calibri"/>
        </w:rPr>
        <w:t xml:space="preserve">% of Greater Dandenong residents felt safe walking alone in their neighborhoods at night – </w:t>
      </w:r>
      <w:r>
        <w:rPr>
          <w:rFonts w:ascii="Calibri" w:hAnsi="Calibri"/>
        </w:rPr>
        <w:t>less</w:t>
      </w:r>
      <w:r w:rsidRPr="00916B2D">
        <w:rPr>
          <w:rFonts w:ascii="Calibri" w:hAnsi="Calibri"/>
        </w:rPr>
        <w:t xml:space="preserve"> than the metropolitan percentage of </w:t>
      </w:r>
      <w:r>
        <w:rPr>
          <w:rFonts w:ascii="Calibri" w:hAnsi="Calibri"/>
        </w:rPr>
        <w:t>55</w:t>
      </w:r>
      <w:r w:rsidRPr="00916B2D">
        <w:rPr>
          <w:rFonts w:ascii="Calibri" w:hAnsi="Calibri"/>
        </w:rPr>
        <w:t>%</w:t>
      </w:r>
      <w:r>
        <w:rPr>
          <w:rFonts w:ascii="Calibri" w:hAnsi="Calibri"/>
        </w:rPr>
        <w:t>,</w:t>
      </w:r>
      <w:r w:rsidRPr="00916B2D">
        <w:rPr>
          <w:rFonts w:ascii="Calibri" w:hAnsi="Calibri"/>
        </w:rPr>
        <w:t xml:space="preserve"> and the </w:t>
      </w:r>
      <w:r>
        <w:rPr>
          <w:rFonts w:ascii="Calibri" w:hAnsi="Calibri"/>
        </w:rPr>
        <w:t>lowest</w:t>
      </w:r>
      <w:r w:rsidRPr="00916B2D">
        <w:rPr>
          <w:rFonts w:ascii="Calibri" w:hAnsi="Calibri"/>
        </w:rPr>
        <w:t xml:space="preserve"> level in Victoria. </w:t>
      </w:r>
    </w:p>
    <w:p w14:paraId="29A1BFAD" w14:textId="77777777" w:rsidR="00C65183" w:rsidRPr="006E57DA" w:rsidRDefault="00C65183" w:rsidP="00C65183">
      <w:pPr>
        <w:spacing w:before="120" w:after="120"/>
        <w:jc w:val="both"/>
        <w:rPr>
          <w:rFonts w:ascii="Calibri" w:hAnsi="Calibri"/>
          <w:bCs/>
          <w:color w:val="7F7F7F"/>
          <w:sz w:val="18"/>
          <w:szCs w:val="18"/>
        </w:rPr>
      </w:pPr>
      <w:r w:rsidRPr="006E57DA">
        <w:rPr>
          <w:rFonts w:ascii="Calibri" w:hAnsi="Calibri"/>
          <w:bCs/>
          <w:color w:val="7F7F7F"/>
          <w:sz w:val="18"/>
          <w:szCs w:val="18"/>
        </w:rPr>
        <w:t>Percentage of people who feel safe walking at night in their neighborhood by selected characteristics: Victoria, 2015</w:t>
      </w:r>
    </w:p>
    <w:p w14:paraId="3D432A49" w14:textId="77777777" w:rsidR="00C65183" w:rsidRPr="006D17AE" w:rsidRDefault="00C65183" w:rsidP="00C65183">
      <w:pPr>
        <w:jc w:val="center"/>
        <w:rPr>
          <w:rFonts w:ascii="Calibri" w:hAnsi="Calibri"/>
          <w:sz w:val="6"/>
          <w:szCs w:val="6"/>
        </w:rPr>
      </w:pPr>
    </w:p>
    <w:p w14:paraId="54BA1593" w14:textId="77777777" w:rsidR="00C65183" w:rsidRDefault="00C65183" w:rsidP="00C65183">
      <w:pPr>
        <w:spacing w:line="360" w:lineRule="auto"/>
        <w:jc w:val="both"/>
        <w:rPr>
          <w:rFonts w:ascii="Calibri" w:hAnsi="Calibri"/>
        </w:rPr>
      </w:pPr>
      <w:r>
        <w:rPr>
          <w:rFonts w:ascii="Calibri" w:hAnsi="Calibri"/>
        </w:rPr>
        <w:t>The survey found that people in inner metropolitan and regional areas, those with high incomes and members of couple households, were more likely to feel safe at night.</w:t>
      </w:r>
    </w:p>
    <w:p w14:paraId="01DA8731" w14:textId="77777777" w:rsidR="00C65183" w:rsidRDefault="00C65183" w:rsidP="00C65183">
      <w:pPr>
        <w:spacing w:line="360" w:lineRule="auto"/>
        <w:jc w:val="both"/>
        <w:rPr>
          <w:rFonts w:ascii="Calibri" w:hAnsi="Calibri"/>
        </w:rPr>
      </w:pPr>
      <w:r>
        <w:rPr>
          <w:rFonts w:ascii="Calibri" w:hAnsi="Calibri"/>
        </w:rPr>
        <w:t xml:space="preserve">A separate survey found that 46% of women in Greater Dandenong and 20% of men felt </w:t>
      </w:r>
      <w:r w:rsidRPr="00514B9C">
        <w:rPr>
          <w:rFonts w:ascii="Calibri" w:hAnsi="Calibri"/>
          <w:i/>
          <w:iCs/>
        </w:rPr>
        <w:t>unsafe</w:t>
      </w:r>
      <w:r>
        <w:rPr>
          <w:rFonts w:ascii="Calibri" w:hAnsi="Calibri"/>
        </w:rPr>
        <w:t xml:space="preserve"> walking alone in their local area. Concerns for personal safety also rose with age, with 19% of residents aged 18-34 feeling unsafe, compared with 44% of those aged 5-64 years.</w:t>
      </w:r>
      <w:r>
        <w:rPr>
          <w:rStyle w:val="FootnoteReference"/>
        </w:rPr>
        <w:footnoteReference w:id="50"/>
      </w:r>
      <w:r>
        <w:rPr>
          <w:rFonts w:ascii="Calibri" w:hAnsi="Calibri"/>
        </w:rPr>
        <w:t xml:space="preserve"> </w:t>
      </w:r>
    </w:p>
    <w:bookmarkEnd w:id="12"/>
    <w:p w14:paraId="37810DA9" w14:textId="77777777" w:rsidR="00C65183" w:rsidRDefault="00C65183" w:rsidP="00C65183">
      <w:pPr>
        <w:rPr>
          <w:rFonts w:asciiTheme="minorHAnsi" w:hAnsiTheme="minorHAnsi" w:cstheme="minorHAnsi"/>
        </w:rPr>
      </w:pPr>
      <w:r>
        <w:rPr>
          <w:rFonts w:asciiTheme="minorHAnsi" w:hAnsiTheme="minorHAnsi" w:cstheme="minorHAnsi"/>
        </w:rPr>
        <w:br w:type="page"/>
      </w:r>
    </w:p>
    <w:p w14:paraId="6CF5E256" w14:textId="77777777" w:rsidR="00C65183" w:rsidRPr="00827F47" w:rsidRDefault="00C65183" w:rsidP="00C65183">
      <w:pPr>
        <w:pBdr>
          <w:top w:val="single" w:sz="4" w:space="0" w:color="244061" w:themeColor="accent1" w:themeShade="80"/>
          <w:bottom w:val="single" w:sz="4" w:space="1" w:color="244061" w:themeColor="accent1" w:themeShade="80"/>
        </w:pBdr>
        <w:tabs>
          <w:tab w:val="center" w:pos="4678"/>
        </w:tabs>
        <w:jc w:val="center"/>
        <w:rPr>
          <w:rFonts w:ascii="Garamond" w:hAnsi="Garamond"/>
          <w:noProof/>
          <w:color w:val="244061" w:themeColor="accent1" w:themeShade="80"/>
          <w:sz w:val="34"/>
          <w:szCs w:val="34"/>
        </w:rPr>
      </w:pPr>
      <w:bookmarkStart w:id="13" w:name="_Hlk23172095"/>
      <w:r w:rsidRPr="00827F47">
        <w:rPr>
          <w:rFonts w:ascii="Garamond" w:hAnsi="Garamond"/>
          <w:noProof/>
          <w:color w:val="244061" w:themeColor="accent1" w:themeShade="80"/>
          <w:sz w:val="34"/>
          <w:szCs w:val="34"/>
        </w:rPr>
        <w:lastRenderedPageBreak/>
        <w:t>Family Violence</w:t>
      </w:r>
    </w:p>
    <w:p w14:paraId="2FF8FB33" w14:textId="77777777" w:rsidR="00C65183" w:rsidRDefault="00C65183" w:rsidP="00C65183">
      <w:pPr>
        <w:tabs>
          <w:tab w:val="left" w:pos="284"/>
        </w:tabs>
        <w:spacing w:line="360" w:lineRule="auto"/>
        <w:jc w:val="both"/>
        <w:rPr>
          <w:b/>
          <w:noProof/>
        </w:rPr>
      </w:pPr>
    </w:p>
    <w:p w14:paraId="7DC9940A" w14:textId="77777777" w:rsidR="00C65183" w:rsidRDefault="00C65183" w:rsidP="00C65183">
      <w:pPr>
        <w:tabs>
          <w:tab w:val="left" w:pos="284"/>
        </w:tabs>
        <w:spacing w:line="360" w:lineRule="auto"/>
        <w:jc w:val="both"/>
        <w:rPr>
          <w:rFonts w:ascii="Calibri" w:hAnsi="Calibri"/>
          <w:noProof/>
        </w:rPr>
      </w:pPr>
      <w:r>
        <w:rPr>
          <w:rFonts w:ascii="Calibri" w:hAnsi="Calibri"/>
          <w:noProof/>
          <w:color w:val="7F7F7F"/>
          <w:lang w:eastAsia="en-AU"/>
        </w:rPr>
        <w:drawing>
          <wp:anchor distT="0" distB="0" distL="114300" distR="114300" simplePos="0" relativeHeight="251800576" behindDoc="0" locked="0" layoutInCell="1" allowOverlap="1" wp14:anchorId="1620A3B6" wp14:editId="7D353563">
            <wp:simplePos x="0" y="0"/>
            <wp:positionH relativeFrom="column">
              <wp:posOffset>4594860</wp:posOffset>
            </wp:positionH>
            <wp:positionV relativeFrom="paragraph">
              <wp:posOffset>10160</wp:posOffset>
            </wp:positionV>
            <wp:extent cx="1543050" cy="1028700"/>
            <wp:effectExtent l="0" t="0" r="0" b="0"/>
            <wp:wrapSquare wrapText="bothSides"/>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mily 9.jpg"/>
                    <pic:cNvPicPr/>
                  </pic:nvPicPr>
                  <pic:blipFill>
                    <a:blip r:embed="rId175" cstate="print">
                      <a:extLst>
                        <a:ext uri="{28A0092B-C50C-407E-A947-70E740481C1C}">
                          <a14:useLocalDpi xmlns:a14="http://schemas.microsoft.com/office/drawing/2010/main" val="0"/>
                        </a:ext>
                      </a:extLst>
                    </a:blip>
                    <a:stretch>
                      <a:fillRect/>
                    </a:stretch>
                  </pic:blipFill>
                  <pic:spPr>
                    <a:xfrm>
                      <a:off x="0" y="0"/>
                      <a:ext cx="1543050" cy="102870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C649A2">
        <w:rPr>
          <w:rFonts w:ascii="Calibri" w:hAnsi="Calibri"/>
          <w:noProof/>
        </w:rPr>
        <w:t xml:space="preserve">Violence within families, including the abuse of children, </w:t>
      </w:r>
      <w:r>
        <w:rPr>
          <w:rFonts w:ascii="Calibri" w:hAnsi="Calibri"/>
          <w:noProof/>
        </w:rPr>
        <w:t>is difficult to measure</w:t>
      </w:r>
      <w:r w:rsidRPr="00C649A2">
        <w:rPr>
          <w:rFonts w:ascii="Calibri" w:hAnsi="Calibri"/>
          <w:noProof/>
        </w:rPr>
        <w:t xml:space="preserve"> with accuracy. </w:t>
      </w:r>
      <w:r>
        <w:rPr>
          <w:rFonts w:ascii="Calibri" w:hAnsi="Calibri"/>
          <w:noProof/>
        </w:rPr>
        <w:t>However, random</w:t>
      </w:r>
      <w:r w:rsidRPr="00412A77">
        <w:rPr>
          <w:rFonts w:ascii="Calibri" w:hAnsi="Calibri"/>
          <w:noProof/>
        </w:rPr>
        <w:t xml:space="preserve"> su</w:t>
      </w:r>
      <w:r>
        <w:rPr>
          <w:rFonts w:ascii="Calibri" w:hAnsi="Calibri"/>
          <w:noProof/>
        </w:rPr>
        <w:t>rveys of the general population</w:t>
      </w:r>
      <w:r w:rsidRPr="00412A77">
        <w:rPr>
          <w:rFonts w:ascii="Calibri" w:hAnsi="Calibri"/>
          <w:noProof/>
        </w:rPr>
        <w:t xml:space="preserve"> offer </w:t>
      </w:r>
      <w:r>
        <w:rPr>
          <w:rFonts w:ascii="Calibri" w:hAnsi="Calibri"/>
          <w:noProof/>
        </w:rPr>
        <w:t>the most effective, available means to gauge</w:t>
      </w:r>
      <w:r w:rsidRPr="00412A77">
        <w:rPr>
          <w:rFonts w:ascii="Calibri" w:hAnsi="Calibri"/>
          <w:noProof/>
        </w:rPr>
        <w:t xml:space="preserve"> the prevalence of the </w:t>
      </w:r>
      <w:r>
        <w:rPr>
          <w:rFonts w:ascii="Calibri" w:hAnsi="Calibri"/>
          <w:noProof/>
        </w:rPr>
        <w:t>such violence</w:t>
      </w:r>
      <w:r w:rsidRPr="00412A77">
        <w:rPr>
          <w:rFonts w:ascii="Calibri" w:hAnsi="Calibri"/>
          <w:noProof/>
        </w:rPr>
        <w:t xml:space="preserve">. </w:t>
      </w:r>
    </w:p>
    <w:p w14:paraId="39412C88" w14:textId="77777777" w:rsidR="00C65183" w:rsidRPr="00DD518A" w:rsidRDefault="00C65183" w:rsidP="00C65183">
      <w:pPr>
        <w:tabs>
          <w:tab w:val="left" w:pos="284"/>
        </w:tabs>
        <w:spacing w:line="360" w:lineRule="auto"/>
        <w:jc w:val="both"/>
        <w:rPr>
          <w:rFonts w:ascii="Calibri" w:hAnsi="Calibri"/>
          <w:noProof/>
        </w:rPr>
      </w:pPr>
      <w:r w:rsidRPr="00412A77">
        <w:rPr>
          <w:rFonts w:ascii="Calibri" w:hAnsi="Calibri"/>
          <w:noProof/>
        </w:rPr>
        <w:t>One of the most important of these surveys in recent times was the 201</w:t>
      </w:r>
      <w:r>
        <w:rPr>
          <w:rFonts w:ascii="Calibri" w:hAnsi="Calibri"/>
          <w:noProof/>
        </w:rPr>
        <w:t>6</w:t>
      </w:r>
      <w:r w:rsidRPr="00412A77">
        <w:rPr>
          <w:rFonts w:ascii="Calibri" w:hAnsi="Calibri"/>
          <w:noProof/>
        </w:rPr>
        <w:t xml:space="preserve"> Personal Safety Survey</w:t>
      </w:r>
      <w:r>
        <w:rPr>
          <w:rFonts w:ascii="Calibri" w:hAnsi="Calibri"/>
          <w:noProof/>
        </w:rPr>
        <w:t xml:space="preserve">, </w:t>
      </w:r>
      <w:r w:rsidRPr="00DD518A">
        <w:rPr>
          <w:rFonts w:ascii="Calibri" w:hAnsi="Calibri"/>
        </w:rPr>
        <w:t>conducted among 21,000 Australian adult women and men</w:t>
      </w:r>
      <w:r>
        <w:rPr>
          <w:rFonts w:ascii="Calibri" w:hAnsi="Calibri"/>
        </w:rPr>
        <w:t>. Survey p</w:t>
      </w:r>
      <w:r w:rsidRPr="00DD518A">
        <w:rPr>
          <w:rFonts w:ascii="Calibri" w:hAnsi="Calibri"/>
        </w:rPr>
        <w:t>articipants</w:t>
      </w:r>
      <w:r>
        <w:rPr>
          <w:rFonts w:ascii="Calibri" w:hAnsi="Calibri"/>
        </w:rPr>
        <w:t xml:space="preserve"> were</w:t>
      </w:r>
      <w:r w:rsidRPr="00DD518A">
        <w:rPr>
          <w:rFonts w:ascii="Calibri" w:hAnsi="Calibri"/>
        </w:rPr>
        <w:t xml:space="preserve"> asked about their experience of physical or sexual assault and violence (assault or threats of assault) since the age of 15 and in the past 12 months. The findings of this survey provide an important glimpse of the extent and nature of violence within families and intimate relationships.</w:t>
      </w:r>
    </w:p>
    <w:p w14:paraId="145642A3" w14:textId="77777777" w:rsidR="00C65183" w:rsidRDefault="00C65183" w:rsidP="00C65183">
      <w:pPr>
        <w:contextualSpacing/>
        <w:jc w:val="both"/>
      </w:pPr>
    </w:p>
    <w:p w14:paraId="4C4729E7" w14:textId="77777777" w:rsidR="00C65183" w:rsidRDefault="00C65183" w:rsidP="00C65183">
      <w:pPr>
        <w:contextualSpacing/>
        <w:jc w:val="both"/>
      </w:pPr>
    </w:p>
    <w:p w14:paraId="611F4FB8" w14:textId="77777777" w:rsidR="00C65183" w:rsidRPr="00467C0E" w:rsidRDefault="00C65183" w:rsidP="00C65183">
      <w:pPr>
        <w:spacing w:before="120" w:after="120" w:line="360" w:lineRule="auto"/>
        <w:contextualSpacing/>
        <w:jc w:val="both"/>
        <w:rPr>
          <w:rFonts w:asciiTheme="minorHAnsi" w:hAnsiTheme="minorHAnsi"/>
          <w:b/>
          <w:color w:val="000000" w:themeColor="text1"/>
        </w:rPr>
      </w:pPr>
      <w:r w:rsidRPr="00467C0E">
        <w:rPr>
          <w:rFonts w:asciiTheme="minorHAnsi" w:hAnsiTheme="minorHAnsi"/>
          <w:b/>
          <w:color w:val="000000" w:themeColor="text1"/>
        </w:rPr>
        <w:t>Intimate Partner Violence</w:t>
      </w:r>
    </w:p>
    <w:p w14:paraId="094226A8" w14:textId="77777777" w:rsidR="00C65183" w:rsidRPr="00DD518A" w:rsidRDefault="00C65183" w:rsidP="00C65183">
      <w:pPr>
        <w:tabs>
          <w:tab w:val="left" w:pos="360"/>
        </w:tabs>
        <w:spacing w:before="60" w:line="360" w:lineRule="auto"/>
        <w:jc w:val="both"/>
        <w:rPr>
          <w:rFonts w:ascii="Calibri" w:hAnsi="Calibri"/>
        </w:rPr>
      </w:pPr>
      <w:r w:rsidRPr="00DD518A">
        <w:rPr>
          <w:rFonts w:ascii="Calibri" w:hAnsi="Calibri"/>
          <w:noProof/>
        </w:rPr>
        <w:t xml:space="preserve">Approximately 22% of women and 7% of men </w:t>
      </w:r>
      <w:r>
        <w:rPr>
          <w:rFonts w:ascii="Calibri" w:hAnsi="Calibri"/>
          <w:noProof/>
        </w:rPr>
        <w:t>had been</w:t>
      </w:r>
      <w:r w:rsidRPr="00DD518A">
        <w:rPr>
          <w:rFonts w:ascii="Calibri" w:hAnsi="Calibri"/>
          <w:noProof/>
        </w:rPr>
        <w:t xml:space="preserve"> assaulted by a partner since the age of 15</w:t>
      </w:r>
      <w:r w:rsidRPr="00DD518A">
        <w:rPr>
          <w:rFonts w:ascii="Calibri" w:hAnsi="Calibri"/>
        </w:rPr>
        <w:t>.</w:t>
      </w:r>
    </w:p>
    <w:p w14:paraId="49D1A238" w14:textId="77777777" w:rsidR="00C65183" w:rsidRPr="00DD518A" w:rsidRDefault="00C65183" w:rsidP="00C65183">
      <w:pPr>
        <w:tabs>
          <w:tab w:val="left" w:pos="360"/>
        </w:tabs>
        <w:spacing w:line="360" w:lineRule="auto"/>
        <w:jc w:val="both"/>
        <w:rPr>
          <w:rFonts w:ascii="Calibri" w:hAnsi="Calibri"/>
        </w:rPr>
      </w:pPr>
      <w:r>
        <w:rPr>
          <w:b/>
          <w:noProof/>
          <w:color w:val="17365D" w:themeColor="text2" w:themeShade="BF"/>
          <w:lang w:eastAsia="en-AU"/>
        </w:rPr>
        <w:drawing>
          <wp:anchor distT="0" distB="0" distL="114300" distR="114300" simplePos="0" relativeHeight="251801600" behindDoc="1" locked="0" layoutInCell="1" allowOverlap="1" wp14:anchorId="7D4E009C" wp14:editId="347A655F">
            <wp:simplePos x="0" y="0"/>
            <wp:positionH relativeFrom="margin">
              <wp:posOffset>2141220</wp:posOffset>
            </wp:positionH>
            <wp:positionV relativeFrom="paragraph">
              <wp:posOffset>6350</wp:posOffset>
            </wp:positionV>
            <wp:extent cx="3979545" cy="2194560"/>
            <wp:effectExtent l="0" t="0" r="1905" b="0"/>
            <wp:wrapTight wrapText="bothSides">
              <wp:wrapPolygon edited="0">
                <wp:start x="0" y="0"/>
                <wp:lineTo x="0" y="21375"/>
                <wp:lineTo x="21507" y="21375"/>
                <wp:lineTo x="21507" y="0"/>
                <wp:lineTo x="0" y="0"/>
              </wp:wrapPolygon>
            </wp:wrapTight>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76">
                      <a:extLst>
                        <a:ext uri="{28A0092B-C50C-407E-A947-70E740481C1C}">
                          <a14:useLocalDpi xmlns:a14="http://schemas.microsoft.com/office/drawing/2010/main" val="0"/>
                        </a:ext>
                      </a:extLst>
                    </a:blip>
                    <a:srcRect l="4207" t="20978" b="12100"/>
                    <a:stretch/>
                  </pic:blipFill>
                  <pic:spPr bwMode="auto">
                    <a:xfrm>
                      <a:off x="0" y="0"/>
                      <a:ext cx="3979545" cy="21945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D518A">
        <w:rPr>
          <w:rFonts w:ascii="Calibri" w:hAnsi="Calibri"/>
        </w:rPr>
        <w:t xml:space="preserve">Women </w:t>
      </w:r>
      <w:r>
        <w:rPr>
          <w:rFonts w:ascii="Calibri" w:hAnsi="Calibri"/>
        </w:rPr>
        <w:t>were</w:t>
      </w:r>
      <w:r w:rsidRPr="00DD518A">
        <w:rPr>
          <w:rFonts w:ascii="Calibri" w:hAnsi="Calibri"/>
        </w:rPr>
        <w:t xml:space="preserve"> three times as likely to have been physically assaulted by a partner as men, and nearly eight times more likely to have been sexually assaulted</w:t>
      </w:r>
      <w:r>
        <w:rPr>
          <w:rFonts w:ascii="Calibri" w:hAnsi="Calibri"/>
        </w:rPr>
        <w:t xml:space="preserve"> by a partner</w:t>
      </w:r>
      <w:r w:rsidRPr="00DD518A">
        <w:rPr>
          <w:rFonts w:ascii="Calibri" w:hAnsi="Calibri"/>
        </w:rPr>
        <w:t xml:space="preserve"> (diagram, </w:t>
      </w:r>
      <w:r>
        <w:rPr>
          <w:rFonts w:ascii="Calibri" w:hAnsi="Calibri"/>
        </w:rPr>
        <w:t>right</w:t>
      </w:r>
      <w:r w:rsidRPr="00DD518A">
        <w:rPr>
          <w:rFonts w:ascii="Calibri" w:hAnsi="Calibri"/>
        </w:rPr>
        <w:t>).</w:t>
      </w:r>
    </w:p>
    <w:p w14:paraId="0A49181D" w14:textId="77777777" w:rsidR="00C65183" w:rsidRPr="00826B83" w:rsidRDefault="00C65183" w:rsidP="00C65183">
      <w:pPr>
        <w:contextualSpacing/>
        <w:jc w:val="both"/>
        <w:rPr>
          <w:sz w:val="14"/>
          <w:szCs w:val="14"/>
        </w:rPr>
      </w:pPr>
    </w:p>
    <w:p w14:paraId="312EB4E0" w14:textId="77777777" w:rsidR="00C65183" w:rsidRPr="00DD518A" w:rsidRDefault="00C65183" w:rsidP="00C65183">
      <w:pPr>
        <w:contextualSpacing/>
        <w:jc w:val="both"/>
        <w:rPr>
          <w:rFonts w:asciiTheme="minorHAnsi" w:hAnsiTheme="minorHAnsi"/>
          <w:color w:val="7F7F7F" w:themeColor="text1" w:themeTint="80"/>
          <w:sz w:val="20"/>
          <w:szCs w:val="20"/>
        </w:rPr>
      </w:pPr>
      <w:r w:rsidRPr="00DD518A">
        <w:rPr>
          <w:rFonts w:asciiTheme="minorHAnsi" w:hAnsiTheme="minorHAnsi"/>
          <w:color w:val="7F7F7F" w:themeColor="text1" w:themeTint="80"/>
          <w:sz w:val="20"/>
          <w:szCs w:val="20"/>
        </w:rPr>
        <w:t xml:space="preserve">Per cent of persons who been assaulted by an intimate partner since aged 15, by </w:t>
      </w:r>
      <w:r>
        <w:rPr>
          <w:rFonts w:asciiTheme="minorHAnsi" w:hAnsiTheme="minorHAnsi"/>
          <w:color w:val="7F7F7F" w:themeColor="text1" w:themeTint="80"/>
          <w:sz w:val="20"/>
          <w:szCs w:val="20"/>
        </w:rPr>
        <w:t>sex</w:t>
      </w:r>
      <w:r w:rsidRPr="00DD518A">
        <w:rPr>
          <w:rFonts w:asciiTheme="minorHAnsi" w:hAnsiTheme="minorHAnsi"/>
          <w:color w:val="7F7F7F" w:themeColor="text1" w:themeTint="80"/>
          <w:sz w:val="20"/>
          <w:szCs w:val="20"/>
        </w:rPr>
        <w:t xml:space="preserve"> of victim and type of assault</w:t>
      </w:r>
      <w:r>
        <w:rPr>
          <w:rFonts w:asciiTheme="minorHAnsi" w:hAnsiTheme="minorHAnsi"/>
          <w:color w:val="7F7F7F" w:themeColor="text1" w:themeTint="80"/>
          <w:sz w:val="20"/>
          <w:szCs w:val="20"/>
        </w:rPr>
        <w:t>: Australia, 2016</w:t>
      </w:r>
    </w:p>
    <w:p w14:paraId="67DDD2E2" w14:textId="77777777" w:rsidR="00C65183" w:rsidRDefault="00C65183" w:rsidP="00C65183">
      <w:pPr>
        <w:contextualSpacing/>
        <w:rPr>
          <w:sz w:val="14"/>
          <w:szCs w:val="14"/>
        </w:rPr>
      </w:pPr>
    </w:p>
    <w:p w14:paraId="43F01C51" w14:textId="77777777" w:rsidR="00C65183" w:rsidRDefault="00C65183" w:rsidP="00C65183">
      <w:pPr>
        <w:contextualSpacing/>
        <w:rPr>
          <w:sz w:val="14"/>
          <w:szCs w:val="14"/>
        </w:rPr>
      </w:pPr>
    </w:p>
    <w:p w14:paraId="6D7B1EB3" w14:textId="77777777" w:rsidR="00C65183" w:rsidRDefault="00C65183" w:rsidP="00C65183">
      <w:pPr>
        <w:contextualSpacing/>
        <w:rPr>
          <w:sz w:val="14"/>
          <w:szCs w:val="14"/>
        </w:rPr>
      </w:pPr>
    </w:p>
    <w:p w14:paraId="2755999D" w14:textId="77777777" w:rsidR="00C65183" w:rsidRPr="00467C0E" w:rsidRDefault="00C65183" w:rsidP="00C65183">
      <w:pPr>
        <w:spacing w:before="120" w:after="120" w:line="360" w:lineRule="auto"/>
        <w:contextualSpacing/>
        <w:jc w:val="both"/>
        <w:rPr>
          <w:rFonts w:asciiTheme="minorHAnsi" w:hAnsiTheme="minorHAnsi"/>
          <w:b/>
          <w:color w:val="000000" w:themeColor="text1"/>
        </w:rPr>
      </w:pPr>
      <w:r w:rsidRPr="00467C0E">
        <w:rPr>
          <w:rFonts w:asciiTheme="minorHAnsi" w:hAnsiTheme="minorHAnsi"/>
          <w:b/>
          <w:color w:val="000000" w:themeColor="text1"/>
        </w:rPr>
        <w:t>Involvement of Children and Pregnancy</w:t>
      </w:r>
    </w:p>
    <w:p w14:paraId="19F2D4C2" w14:textId="77777777" w:rsidR="00C65183" w:rsidRPr="00DD518A" w:rsidRDefault="00C65183" w:rsidP="00C65183">
      <w:pPr>
        <w:tabs>
          <w:tab w:val="left" w:pos="360"/>
        </w:tabs>
        <w:spacing w:line="360" w:lineRule="auto"/>
        <w:jc w:val="both"/>
        <w:rPr>
          <w:rFonts w:ascii="Calibri" w:hAnsi="Calibri"/>
        </w:rPr>
      </w:pPr>
      <w:r w:rsidRPr="00DD518A">
        <w:rPr>
          <w:rFonts w:ascii="Calibri" w:hAnsi="Calibri"/>
        </w:rPr>
        <w:t>Where women had children in their care when violence occurred, at some time since the age of 15, 31% of those who experienced violence from a former partner, and 23% of those who experienced violence from a current partner, stated that the children had seen or heard the violence.</w:t>
      </w:r>
    </w:p>
    <w:p w14:paraId="13D8DD36" w14:textId="77777777" w:rsidR="00C65183" w:rsidRPr="00DD518A" w:rsidRDefault="00C65183" w:rsidP="00C65183">
      <w:pPr>
        <w:tabs>
          <w:tab w:val="left" w:pos="360"/>
        </w:tabs>
        <w:spacing w:line="360" w:lineRule="auto"/>
        <w:jc w:val="both"/>
        <w:rPr>
          <w:rFonts w:ascii="Calibri" w:hAnsi="Calibri"/>
        </w:rPr>
      </w:pPr>
      <w:r w:rsidRPr="00DD518A">
        <w:rPr>
          <w:rFonts w:ascii="Calibri" w:hAnsi="Calibri"/>
        </w:rPr>
        <w:t>Eighteen per cent of women who had experienced violence from a current partner since the age of 15, and were pregnant during the relationship, were pregnant when the violence occurred - 5% of them stating that this was their first experience of such violence from their partner.</w:t>
      </w:r>
    </w:p>
    <w:p w14:paraId="01AB2614" w14:textId="77777777" w:rsidR="00C65183" w:rsidRDefault="00C65183" w:rsidP="00C65183">
      <w:pPr>
        <w:spacing w:line="360" w:lineRule="auto"/>
        <w:contextualSpacing/>
        <w:jc w:val="both"/>
        <w:rPr>
          <w:rFonts w:asciiTheme="minorHAnsi" w:hAnsiTheme="minorHAnsi"/>
        </w:rPr>
      </w:pPr>
    </w:p>
    <w:p w14:paraId="1DE08F5B" w14:textId="77777777" w:rsidR="00C65183" w:rsidRPr="00467C0E" w:rsidRDefault="00C65183" w:rsidP="00C65183">
      <w:pPr>
        <w:spacing w:before="120" w:after="120" w:line="360" w:lineRule="auto"/>
        <w:contextualSpacing/>
        <w:jc w:val="both"/>
        <w:rPr>
          <w:rFonts w:asciiTheme="minorHAnsi" w:hAnsiTheme="minorHAnsi"/>
          <w:b/>
          <w:color w:val="000000" w:themeColor="text1"/>
        </w:rPr>
      </w:pPr>
      <w:r w:rsidRPr="00467C0E">
        <w:rPr>
          <w:rFonts w:asciiTheme="minorHAnsi" w:hAnsiTheme="minorHAnsi"/>
          <w:b/>
          <w:color w:val="000000" w:themeColor="text1"/>
        </w:rPr>
        <w:t>Police and Court Involvement</w:t>
      </w:r>
    </w:p>
    <w:p w14:paraId="4AE8517B" w14:textId="77777777" w:rsidR="00C65183" w:rsidRPr="00DD518A" w:rsidRDefault="00C65183" w:rsidP="00C65183">
      <w:pPr>
        <w:tabs>
          <w:tab w:val="left" w:pos="360"/>
        </w:tabs>
        <w:spacing w:line="360" w:lineRule="auto"/>
        <w:jc w:val="both"/>
        <w:rPr>
          <w:rFonts w:ascii="Calibri" w:hAnsi="Calibri"/>
        </w:rPr>
      </w:pPr>
      <w:r w:rsidRPr="00DD518A">
        <w:rPr>
          <w:rFonts w:ascii="Calibri" w:hAnsi="Calibri"/>
        </w:rPr>
        <w:t xml:space="preserve">Police became involved in approximately one in six (17%) of incidents of violence by a current partner among women, and in one in twenty five (4%) instances of current partner violence against men. </w:t>
      </w:r>
    </w:p>
    <w:p w14:paraId="4D8AA7BC" w14:textId="77777777" w:rsidR="00C65183" w:rsidRDefault="00C65183" w:rsidP="00C65183">
      <w:pPr>
        <w:spacing w:line="360" w:lineRule="auto"/>
        <w:contextualSpacing/>
        <w:jc w:val="both"/>
        <w:rPr>
          <w:rFonts w:ascii="Calibri" w:hAnsi="Calibri"/>
        </w:rPr>
      </w:pPr>
      <w:r w:rsidRPr="00DD518A">
        <w:rPr>
          <w:rFonts w:ascii="Calibri" w:hAnsi="Calibri"/>
        </w:rPr>
        <w:t>Police were contacted in a higher proportion of instances of violence involving a previous partner (table below).</w:t>
      </w:r>
    </w:p>
    <w:p w14:paraId="5B51BF25" w14:textId="77777777" w:rsidR="00C65183" w:rsidRPr="00DD518A" w:rsidRDefault="00C65183" w:rsidP="00C65183">
      <w:pPr>
        <w:tabs>
          <w:tab w:val="left" w:pos="360"/>
        </w:tabs>
        <w:spacing w:line="360" w:lineRule="auto"/>
        <w:jc w:val="both"/>
        <w:rPr>
          <w:rFonts w:ascii="Calibri" w:hAnsi="Calibri"/>
        </w:rPr>
      </w:pPr>
      <w:r w:rsidRPr="00DD518A">
        <w:rPr>
          <w:rFonts w:ascii="Calibri" w:hAnsi="Calibri"/>
        </w:rPr>
        <w:lastRenderedPageBreak/>
        <w:t xml:space="preserve">Among females, the proportion of the most recent instances of assault by a male perpetrator which resulted in charges being heard in a court, was 3% for sexual assault and 12% of physical assaults. </w:t>
      </w:r>
    </w:p>
    <w:p w14:paraId="6A1EE533" w14:textId="77777777" w:rsidR="00C65183" w:rsidRPr="00DD518A" w:rsidRDefault="00C65183" w:rsidP="00C65183">
      <w:pPr>
        <w:tabs>
          <w:tab w:val="left" w:pos="360"/>
        </w:tabs>
        <w:spacing w:line="360" w:lineRule="auto"/>
        <w:jc w:val="both"/>
        <w:rPr>
          <w:rFonts w:ascii="Calibri" w:hAnsi="Calibri"/>
        </w:rPr>
      </w:pPr>
      <w:r w:rsidRPr="00DD518A">
        <w:rPr>
          <w:rFonts w:ascii="Calibri" w:hAnsi="Calibri"/>
        </w:rPr>
        <w:t>Among men, 8% of the most recent incidents of assault by another male resulted in a court appearance.</w:t>
      </w:r>
    </w:p>
    <w:p w14:paraId="3E4BD1E9" w14:textId="77777777" w:rsidR="00C65183" w:rsidRPr="00DD518A" w:rsidRDefault="00C65183" w:rsidP="00C65183">
      <w:pPr>
        <w:tabs>
          <w:tab w:val="left" w:pos="360"/>
        </w:tabs>
        <w:spacing w:line="360" w:lineRule="auto"/>
        <w:jc w:val="both"/>
        <w:rPr>
          <w:rFonts w:ascii="Calibri" w:hAnsi="Calibri"/>
        </w:rPr>
      </w:pPr>
      <w:r w:rsidRPr="00DD518A">
        <w:rPr>
          <w:rFonts w:ascii="Calibri" w:hAnsi="Calibri"/>
        </w:rPr>
        <w:t>Nearly a quarter (24%) of women who experienced violence from a previous partner obtained a restraining order, with half (51%) of these women reporting that further instances of violence occurred after the order was obtained.</w:t>
      </w:r>
    </w:p>
    <w:p w14:paraId="7DC09F33" w14:textId="77777777" w:rsidR="00C65183" w:rsidRDefault="00C65183" w:rsidP="00C65183">
      <w:pPr>
        <w:contextualSpacing/>
        <w:jc w:val="both"/>
        <w:rPr>
          <w:sz w:val="10"/>
          <w:szCs w:val="10"/>
        </w:rPr>
      </w:pPr>
    </w:p>
    <w:p w14:paraId="61A85346" w14:textId="77777777" w:rsidR="00C65183" w:rsidRDefault="00C65183" w:rsidP="00C65183">
      <w:pPr>
        <w:contextualSpacing/>
        <w:jc w:val="both"/>
        <w:rPr>
          <w:sz w:val="10"/>
          <w:szCs w:val="10"/>
        </w:rPr>
      </w:pPr>
    </w:p>
    <w:p w14:paraId="118F8610" w14:textId="77777777" w:rsidR="00C65183" w:rsidRDefault="00C65183" w:rsidP="00C65183">
      <w:pPr>
        <w:contextualSpacing/>
        <w:jc w:val="both"/>
        <w:rPr>
          <w:sz w:val="10"/>
          <w:szCs w:val="10"/>
        </w:rPr>
      </w:pPr>
    </w:p>
    <w:p w14:paraId="4A16E14A" w14:textId="77777777" w:rsidR="00C65183" w:rsidRPr="001B483B" w:rsidRDefault="00C65183" w:rsidP="00C65183">
      <w:pPr>
        <w:contextualSpacing/>
        <w:jc w:val="both"/>
        <w:rPr>
          <w:sz w:val="10"/>
          <w:szCs w:val="10"/>
        </w:rPr>
      </w:pPr>
    </w:p>
    <w:p w14:paraId="6ACDA6AD" w14:textId="77777777" w:rsidR="00C65183" w:rsidRPr="00467C0E" w:rsidRDefault="00C65183" w:rsidP="00C65183">
      <w:pPr>
        <w:spacing w:before="120" w:after="120" w:line="360" w:lineRule="auto"/>
        <w:contextualSpacing/>
        <w:jc w:val="both"/>
        <w:rPr>
          <w:rFonts w:asciiTheme="minorHAnsi" w:hAnsiTheme="minorHAnsi"/>
          <w:b/>
          <w:color w:val="000000" w:themeColor="text1"/>
        </w:rPr>
      </w:pPr>
      <w:r w:rsidRPr="00467C0E">
        <w:rPr>
          <w:rFonts w:asciiTheme="minorHAnsi" w:hAnsiTheme="minorHAnsi"/>
          <w:b/>
          <w:color w:val="000000" w:themeColor="text1"/>
        </w:rPr>
        <w:t>Children as Witnesses to Partner Violence</w:t>
      </w:r>
    </w:p>
    <w:p w14:paraId="6E803008" w14:textId="77777777" w:rsidR="00C65183" w:rsidRPr="00DD518A" w:rsidRDefault="00C65183" w:rsidP="00C65183">
      <w:pPr>
        <w:tabs>
          <w:tab w:val="left" w:pos="360"/>
        </w:tabs>
        <w:spacing w:before="60" w:line="360" w:lineRule="auto"/>
        <w:jc w:val="both"/>
        <w:rPr>
          <w:rFonts w:ascii="Calibri" w:hAnsi="Calibri"/>
        </w:rPr>
      </w:pPr>
      <w:r>
        <w:rPr>
          <w:noProof/>
          <w:lang w:eastAsia="en-AU"/>
        </w:rPr>
        <w:drawing>
          <wp:anchor distT="0" distB="0" distL="114300" distR="114300" simplePos="0" relativeHeight="251977728" behindDoc="0" locked="0" layoutInCell="1" allowOverlap="1" wp14:anchorId="568FBB5C" wp14:editId="6313AE0F">
            <wp:simplePos x="0" y="0"/>
            <wp:positionH relativeFrom="column">
              <wp:posOffset>2712720</wp:posOffset>
            </wp:positionH>
            <wp:positionV relativeFrom="paragraph">
              <wp:posOffset>592455</wp:posOffset>
            </wp:positionV>
            <wp:extent cx="3452495" cy="2276475"/>
            <wp:effectExtent l="0" t="0" r="0" b="9525"/>
            <wp:wrapSquare wrapText="bothSides"/>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7" cstate="print">
                      <a:extLst>
                        <a:ext uri="{28A0092B-C50C-407E-A947-70E740481C1C}">
                          <a14:useLocalDpi xmlns:a14="http://schemas.microsoft.com/office/drawing/2010/main" val="0"/>
                        </a:ext>
                      </a:extLst>
                    </a:blip>
                    <a:srcRect l="11598" t="9295"/>
                    <a:stretch>
                      <a:fillRect/>
                    </a:stretch>
                  </pic:blipFill>
                  <pic:spPr bwMode="auto">
                    <a:xfrm>
                      <a:off x="0" y="0"/>
                      <a:ext cx="3452495" cy="2276475"/>
                    </a:xfrm>
                    <a:prstGeom prst="rect">
                      <a:avLst/>
                    </a:prstGeom>
                    <a:noFill/>
                  </pic:spPr>
                </pic:pic>
              </a:graphicData>
            </a:graphic>
            <wp14:sizeRelH relativeFrom="page">
              <wp14:pctWidth>0</wp14:pctWidth>
            </wp14:sizeRelH>
            <wp14:sizeRelV relativeFrom="page">
              <wp14:pctHeight>0</wp14:pctHeight>
            </wp14:sizeRelV>
          </wp:anchor>
        </w:drawing>
      </w:r>
      <w:r w:rsidRPr="00DD518A">
        <w:rPr>
          <w:rFonts w:ascii="Calibri" w:hAnsi="Calibri"/>
        </w:rPr>
        <w:t xml:space="preserve">Approximately one in ten (11%) Australian adults had witnessed violence inflicted upon their mother by a partner before the age of 18, and one in twenty-five (4.5%) had experienced violence by their mother toward her partner. </w:t>
      </w:r>
    </w:p>
    <w:p w14:paraId="46BFA668" w14:textId="77777777" w:rsidR="00C65183" w:rsidRPr="00F1013F" w:rsidRDefault="00C65183" w:rsidP="00C65183">
      <w:pPr>
        <w:contextualSpacing/>
        <w:jc w:val="both"/>
        <w:rPr>
          <w:sz w:val="14"/>
          <w:szCs w:val="14"/>
        </w:rPr>
      </w:pPr>
    </w:p>
    <w:p w14:paraId="415FB53B" w14:textId="77777777" w:rsidR="00C65183" w:rsidRPr="00DD518A" w:rsidRDefault="00C65183" w:rsidP="00C65183">
      <w:pPr>
        <w:contextualSpacing/>
        <w:jc w:val="both"/>
        <w:rPr>
          <w:rFonts w:asciiTheme="minorHAnsi" w:hAnsiTheme="minorHAnsi"/>
          <w:color w:val="7F7F7F" w:themeColor="text1" w:themeTint="80"/>
          <w:sz w:val="20"/>
          <w:szCs w:val="20"/>
        </w:rPr>
      </w:pPr>
      <w:r w:rsidRPr="00DD518A">
        <w:rPr>
          <w:rFonts w:asciiTheme="minorHAnsi" w:hAnsiTheme="minorHAnsi"/>
          <w:color w:val="7F7F7F" w:themeColor="text1" w:themeTint="80"/>
          <w:sz w:val="20"/>
          <w:szCs w:val="20"/>
        </w:rPr>
        <w:t>Per cent of persons who had witnessed violence between their parents during childhood, by gender of person and category of violence</w:t>
      </w:r>
    </w:p>
    <w:p w14:paraId="0FB85CEC" w14:textId="77777777" w:rsidR="00C65183" w:rsidRPr="00F1013F" w:rsidRDefault="00C65183" w:rsidP="00C65183">
      <w:pPr>
        <w:contextualSpacing/>
        <w:jc w:val="both"/>
        <w:rPr>
          <w:sz w:val="14"/>
          <w:szCs w:val="14"/>
        </w:rPr>
      </w:pPr>
    </w:p>
    <w:p w14:paraId="2ED17DF6" w14:textId="77777777" w:rsidR="00C65183" w:rsidRDefault="00C65183" w:rsidP="00C65183">
      <w:pPr>
        <w:tabs>
          <w:tab w:val="left" w:pos="360"/>
        </w:tabs>
        <w:spacing w:line="360" w:lineRule="auto"/>
        <w:jc w:val="both"/>
      </w:pPr>
      <w:r w:rsidRPr="00DD518A">
        <w:rPr>
          <w:rFonts w:ascii="Calibri" w:hAnsi="Calibri"/>
        </w:rPr>
        <w:t>Notably, those adults who had witnessed partner violence before the age of 15 were over twice as likely to have experienced partner violence in adulthood (26%) as those who had not witnessed such violence (12%).</w:t>
      </w:r>
    </w:p>
    <w:p w14:paraId="35DA10FF" w14:textId="77777777" w:rsidR="00C65183" w:rsidRDefault="00C65183" w:rsidP="00C65183">
      <w:pPr>
        <w:contextualSpacing/>
        <w:jc w:val="both"/>
        <w:rPr>
          <w:sz w:val="10"/>
          <w:szCs w:val="10"/>
        </w:rPr>
      </w:pPr>
    </w:p>
    <w:p w14:paraId="09CADD2F" w14:textId="77777777" w:rsidR="00C65183" w:rsidRDefault="00C65183" w:rsidP="00C65183">
      <w:pPr>
        <w:contextualSpacing/>
        <w:jc w:val="both"/>
        <w:rPr>
          <w:sz w:val="10"/>
          <w:szCs w:val="10"/>
        </w:rPr>
      </w:pPr>
    </w:p>
    <w:p w14:paraId="4693FFAF" w14:textId="77777777" w:rsidR="00C65183" w:rsidRDefault="00C65183" w:rsidP="00C65183">
      <w:pPr>
        <w:contextualSpacing/>
        <w:jc w:val="both"/>
        <w:rPr>
          <w:sz w:val="10"/>
          <w:szCs w:val="10"/>
        </w:rPr>
      </w:pPr>
    </w:p>
    <w:p w14:paraId="36C4AB79" w14:textId="77777777" w:rsidR="00C65183" w:rsidRDefault="00C65183" w:rsidP="00C65183">
      <w:pPr>
        <w:contextualSpacing/>
        <w:jc w:val="both"/>
        <w:rPr>
          <w:sz w:val="10"/>
          <w:szCs w:val="10"/>
        </w:rPr>
      </w:pPr>
    </w:p>
    <w:p w14:paraId="31F32510" w14:textId="77777777" w:rsidR="00C65183" w:rsidRDefault="00C65183" w:rsidP="00C65183">
      <w:pPr>
        <w:contextualSpacing/>
        <w:jc w:val="both"/>
        <w:rPr>
          <w:sz w:val="10"/>
          <w:szCs w:val="10"/>
        </w:rPr>
      </w:pPr>
    </w:p>
    <w:p w14:paraId="57E1A410" w14:textId="77777777" w:rsidR="00C65183" w:rsidRPr="001B483B" w:rsidRDefault="00C65183" w:rsidP="00C65183">
      <w:pPr>
        <w:contextualSpacing/>
        <w:jc w:val="both"/>
        <w:rPr>
          <w:sz w:val="10"/>
          <w:szCs w:val="10"/>
        </w:rPr>
      </w:pPr>
    </w:p>
    <w:p w14:paraId="065FDE12" w14:textId="77777777" w:rsidR="00C65183" w:rsidRPr="00DD518A" w:rsidRDefault="00C65183" w:rsidP="00C65183">
      <w:pPr>
        <w:spacing w:line="360" w:lineRule="auto"/>
        <w:contextualSpacing/>
        <w:jc w:val="both"/>
        <w:rPr>
          <w:rFonts w:asciiTheme="minorHAnsi" w:hAnsiTheme="minorHAnsi"/>
          <w:color w:val="7F7F7F" w:themeColor="text1" w:themeTint="80"/>
          <w:sz w:val="20"/>
          <w:szCs w:val="20"/>
        </w:rPr>
      </w:pPr>
      <w:r w:rsidRPr="00467C0E">
        <w:rPr>
          <w:rFonts w:asciiTheme="minorHAnsi" w:hAnsiTheme="minorHAnsi"/>
          <w:b/>
          <w:color w:val="000000" w:themeColor="text1"/>
        </w:rPr>
        <w:t>Child Abuse</w:t>
      </w:r>
      <w:r w:rsidRPr="00F1013F">
        <w:rPr>
          <w:i/>
          <w:color w:val="000000" w:themeColor="text1"/>
        </w:rPr>
        <w:t xml:space="preserve">                                </w:t>
      </w:r>
      <w:r w:rsidRPr="00DD518A">
        <w:rPr>
          <w:rFonts w:asciiTheme="minorHAnsi" w:hAnsiTheme="minorHAnsi"/>
          <w:color w:val="7F7F7F" w:themeColor="text1" w:themeTint="80"/>
          <w:sz w:val="20"/>
          <w:szCs w:val="20"/>
        </w:rPr>
        <w:t>Per cent of adults abused in childhood, by gender of victim and type of abuse</w:t>
      </w:r>
    </w:p>
    <w:p w14:paraId="26D70D5E" w14:textId="77777777" w:rsidR="00C65183" w:rsidRPr="00DD518A" w:rsidRDefault="00C65183" w:rsidP="00C65183">
      <w:pPr>
        <w:tabs>
          <w:tab w:val="left" w:pos="360"/>
        </w:tabs>
        <w:spacing w:before="60" w:line="360" w:lineRule="auto"/>
        <w:jc w:val="both"/>
        <w:rPr>
          <w:rFonts w:ascii="Calibri" w:hAnsi="Calibri"/>
        </w:rPr>
      </w:pPr>
      <w:r>
        <w:rPr>
          <w:noProof/>
          <w:lang w:eastAsia="en-AU"/>
        </w:rPr>
        <w:drawing>
          <wp:anchor distT="0" distB="0" distL="114300" distR="114300" simplePos="0" relativeHeight="251978752" behindDoc="0" locked="0" layoutInCell="1" allowOverlap="1" wp14:anchorId="05095609" wp14:editId="52364FEA">
            <wp:simplePos x="0" y="0"/>
            <wp:positionH relativeFrom="column">
              <wp:posOffset>2616835</wp:posOffset>
            </wp:positionH>
            <wp:positionV relativeFrom="paragraph">
              <wp:posOffset>19685</wp:posOffset>
            </wp:positionV>
            <wp:extent cx="3340735" cy="2033270"/>
            <wp:effectExtent l="0" t="0" r="0" b="5080"/>
            <wp:wrapSquare wrapText="bothSides"/>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78">
                      <a:extLst>
                        <a:ext uri="{28A0092B-C50C-407E-A947-70E740481C1C}">
                          <a14:useLocalDpi xmlns:a14="http://schemas.microsoft.com/office/drawing/2010/main" val="0"/>
                        </a:ext>
                      </a:extLst>
                    </a:blip>
                    <a:srcRect t="13695" r="2592" b="10761"/>
                    <a:stretch/>
                  </pic:blipFill>
                  <pic:spPr bwMode="auto">
                    <a:xfrm>
                      <a:off x="0" y="0"/>
                      <a:ext cx="3340735" cy="20332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D518A">
        <w:rPr>
          <w:rFonts w:ascii="Calibri" w:hAnsi="Calibri"/>
        </w:rPr>
        <w:t xml:space="preserve">Approximately one in six (16%) females and one in ten (11%) males were abused before the age of 15. </w:t>
      </w:r>
    </w:p>
    <w:p w14:paraId="232884CD" w14:textId="77777777" w:rsidR="00C65183" w:rsidRPr="00DD518A" w:rsidRDefault="00C65183" w:rsidP="00C65183">
      <w:pPr>
        <w:tabs>
          <w:tab w:val="left" w:pos="360"/>
        </w:tabs>
        <w:spacing w:line="360" w:lineRule="auto"/>
        <w:jc w:val="both"/>
        <w:rPr>
          <w:rFonts w:ascii="Calibri" w:hAnsi="Calibri"/>
        </w:rPr>
      </w:pPr>
      <w:r w:rsidRPr="00DD518A">
        <w:rPr>
          <w:rFonts w:ascii="Calibri" w:hAnsi="Calibri"/>
        </w:rPr>
        <w:t xml:space="preserve">Among women, 11% had been physically abused and 10% sexually abused. </w:t>
      </w:r>
    </w:p>
    <w:p w14:paraId="647B620B" w14:textId="77777777" w:rsidR="00C65183" w:rsidRPr="00DD518A" w:rsidRDefault="00C65183" w:rsidP="00C65183">
      <w:pPr>
        <w:tabs>
          <w:tab w:val="left" w:pos="360"/>
        </w:tabs>
        <w:spacing w:line="360" w:lineRule="auto"/>
        <w:jc w:val="both"/>
        <w:rPr>
          <w:rFonts w:ascii="Calibri" w:hAnsi="Calibri"/>
        </w:rPr>
      </w:pPr>
      <w:r>
        <w:rPr>
          <w:rFonts w:ascii="Calibri" w:hAnsi="Calibri"/>
        </w:rPr>
        <w:t>Five per cent</w:t>
      </w:r>
      <w:r w:rsidRPr="00DD518A">
        <w:rPr>
          <w:rFonts w:ascii="Calibri" w:hAnsi="Calibri"/>
        </w:rPr>
        <w:t xml:space="preserve"> of men had been sexually abused in childhood and 8% physically abused.</w:t>
      </w:r>
    </w:p>
    <w:p w14:paraId="6C6D3B53" w14:textId="77777777" w:rsidR="00C65183" w:rsidRDefault="00C65183" w:rsidP="00C65183">
      <w:pPr>
        <w:spacing w:line="360" w:lineRule="auto"/>
        <w:contextualSpacing/>
        <w:jc w:val="both"/>
        <w:rPr>
          <w:rFonts w:asciiTheme="minorHAnsi" w:hAnsiTheme="minorHAnsi"/>
        </w:rPr>
      </w:pPr>
    </w:p>
    <w:p w14:paraId="3589DE9B" w14:textId="77777777" w:rsidR="00C65183" w:rsidRDefault="00C65183" w:rsidP="00C65183">
      <w:pPr>
        <w:spacing w:line="360" w:lineRule="auto"/>
        <w:contextualSpacing/>
        <w:jc w:val="both"/>
        <w:rPr>
          <w:rFonts w:asciiTheme="minorHAnsi" w:hAnsiTheme="minorHAnsi"/>
          <w:sz w:val="16"/>
          <w:szCs w:val="16"/>
        </w:rPr>
      </w:pPr>
      <w:r w:rsidRPr="00F1013F">
        <w:rPr>
          <w:rFonts w:asciiTheme="minorHAnsi" w:hAnsiTheme="minorHAnsi"/>
        </w:rPr>
        <w:t xml:space="preserve">Detailed tables of findings from the 2016 Personal Safety Survey, published by the Australian Bureau of Statistics, are available </w:t>
      </w:r>
      <w:hyperlink r:id="rId179" w:history="1">
        <w:r w:rsidRPr="00F1013F">
          <w:rPr>
            <w:rStyle w:val="Hyperlink"/>
            <w:rFonts w:asciiTheme="minorHAnsi" w:hAnsiTheme="minorHAnsi"/>
          </w:rPr>
          <w:t>here</w:t>
        </w:r>
      </w:hyperlink>
      <w:r w:rsidRPr="00F1013F">
        <w:rPr>
          <w:rFonts w:asciiTheme="minorHAnsi" w:hAnsiTheme="minorHAnsi"/>
        </w:rPr>
        <w:t xml:space="preserve"> or at: </w:t>
      </w:r>
      <w:hyperlink r:id="rId180" w:history="1">
        <w:r w:rsidRPr="00361CA2">
          <w:rPr>
            <w:rStyle w:val="Hyperlink"/>
            <w:rFonts w:asciiTheme="minorHAnsi" w:hAnsiTheme="minorHAnsi"/>
            <w:sz w:val="16"/>
            <w:szCs w:val="16"/>
          </w:rPr>
          <w:t>http://www.abs.gov.au/AUSSTATS/abs@.nsf/DetailsPage/4906.02016?OpenDocument</w:t>
        </w:r>
      </w:hyperlink>
    </w:p>
    <w:p w14:paraId="052DB91A" w14:textId="77777777" w:rsidR="00C65183" w:rsidRDefault="00C65183" w:rsidP="00C65183">
      <w:pPr>
        <w:spacing w:line="360" w:lineRule="auto"/>
        <w:contextualSpacing/>
        <w:jc w:val="both"/>
        <w:rPr>
          <w:rFonts w:asciiTheme="minorHAnsi" w:hAnsiTheme="minorHAnsi"/>
          <w:sz w:val="16"/>
          <w:szCs w:val="16"/>
        </w:rPr>
      </w:pPr>
    </w:p>
    <w:p w14:paraId="4622D749" w14:textId="77777777" w:rsidR="00C65183" w:rsidRDefault="00C65183" w:rsidP="00C65183">
      <w:pPr>
        <w:spacing w:line="360" w:lineRule="auto"/>
        <w:contextualSpacing/>
        <w:jc w:val="both"/>
        <w:rPr>
          <w:rFonts w:asciiTheme="minorHAnsi" w:hAnsiTheme="minorHAnsi"/>
          <w:sz w:val="16"/>
          <w:szCs w:val="16"/>
        </w:rPr>
      </w:pPr>
    </w:p>
    <w:p w14:paraId="41A9F83E" w14:textId="77777777" w:rsidR="00C65183" w:rsidRDefault="00C65183" w:rsidP="00C65183">
      <w:pPr>
        <w:rPr>
          <w:rFonts w:asciiTheme="minorHAnsi" w:hAnsiTheme="minorHAnsi"/>
          <w:sz w:val="16"/>
          <w:szCs w:val="16"/>
        </w:rPr>
      </w:pPr>
      <w:r>
        <w:rPr>
          <w:rFonts w:asciiTheme="minorHAnsi" w:hAnsiTheme="minorHAnsi"/>
          <w:sz w:val="16"/>
          <w:szCs w:val="16"/>
        </w:rPr>
        <w:br w:type="page"/>
      </w:r>
    </w:p>
    <w:p w14:paraId="30A52B81" w14:textId="77777777" w:rsidR="00C65183" w:rsidRPr="00467C0E" w:rsidRDefault="00C65183" w:rsidP="00C65183">
      <w:pPr>
        <w:contextualSpacing/>
        <w:jc w:val="both"/>
        <w:rPr>
          <w:rFonts w:asciiTheme="minorHAnsi" w:hAnsiTheme="minorHAnsi"/>
          <w:b/>
          <w:color w:val="000000" w:themeColor="text1"/>
        </w:rPr>
      </w:pPr>
      <w:r w:rsidRPr="00467C0E">
        <w:rPr>
          <w:rFonts w:asciiTheme="minorHAnsi" w:hAnsiTheme="minorHAnsi"/>
          <w:b/>
          <w:color w:val="000000" w:themeColor="text1"/>
        </w:rPr>
        <w:lastRenderedPageBreak/>
        <w:t>Local Measures of the Incidence of Family Violence</w:t>
      </w:r>
      <w:r>
        <w:rPr>
          <w:rFonts w:asciiTheme="minorHAnsi" w:hAnsiTheme="minorHAnsi"/>
          <w:b/>
          <w:color w:val="000000" w:themeColor="text1"/>
        </w:rPr>
        <w:t xml:space="preserve"> </w:t>
      </w:r>
    </w:p>
    <w:p w14:paraId="4B82CA8E" w14:textId="77777777" w:rsidR="00C65183" w:rsidRDefault="00C65183" w:rsidP="00C65183">
      <w:pPr>
        <w:tabs>
          <w:tab w:val="left" w:pos="360"/>
        </w:tabs>
        <w:spacing w:before="120" w:line="360" w:lineRule="auto"/>
        <w:jc w:val="both"/>
        <w:rPr>
          <w:rFonts w:ascii="Calibri" w:hAnsi="Calibri"/>
        </w:rPr>
      </w:pPr>
      <w:r>
        <w:rPr>
          <w:rFonts w:asciiTheme="minorHAnsi" w:hAnsiTheme="minorHAnsi"/>
          <w:noProof/>
        </w:rPr>
        <w:drawing>
          <wp:anchor distT="0" distB="0" distL="114300" distR="114300" simplePos="0" relativeHeight="251802624" behindDoc="0" locked="0" layoutInCell="1" allowOverlap="1" wp14:anchorId="08A4AA24" wp14:editId="301FCA4C">
            <wp:simplePos x="0" y="0"/>
            <wp:positionH relativeFrom="margin">
              <wp:align>right</wp:align>
            </wp:positionH>
            <wp:positionV relativeFrom="paragraph">
              <wp:posOffset>92075</wp:posOffset>
            </wp:positionV>
            <wp:extent cx="3661410" cy="5795010"/>
            <wp:effectExtent l="0" t="0" r="0" b="0"/>
            <wp:wrapSquare wrapText="bothSides"/>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81">
                      <a:extLst>
                        <a:ext uri="{28A0092B-C50C-407E-A947-70E740481C1C}">
                          <a14:useLocalDpi xmlns:a14="http://schemas.microsoft.com/office/drawing/2010/main" val="0"/>
                        </a:ext>
                      </a:extLst>
                    </a:blip>
                    <a:srcRect r="7907" b="26745"/>
                    <a:stretch/>
                  </pic:blipFill>
                  <pic:spPr bwMode="auto">
                    <a:xfrm>
                      <a:off x="0" y="0"/>
                      <a:ext cx="3661410" cy="57950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649A2">
        <w:rPr>
          <w:rFonts w:ascii="Calibri" w:hAnsi="Calibri"/>
        </w:rPr>
        <w:t xml:space="preserve">Local measures of the incidence of family violence and child abuse are less reliable, since they only reflect those instances of violence which reach the attention of responsible agencies, such as the police, the courts and </w:t>
      </w:r>
      <w:r>
        <w:rPr>
          <w:rFonts w:ascii="Calibri" w:hAnsi="Calibri"/>
        </w:rPr>
        <w:t>child protection authorities</w:t>
      </w:r>
      <w:r w:rsidRPr="00C649A2">
        <w:rPr>
          <w:rFonts w:ascii="Calibri" w:hAnsi="Calibri"/>
        </w:rPr>
        <w:t xml:space="preserve">. </w:t>
      </w:r>
    </w:p>
    <w:p w14:paraId="73A1897E" w14:textId="77777777" w:rsidR="00C65183" w:rsidRPr="00463717" w:rsidRDefault="00C65183" w:rsidP="00C65183">
      <w:pPr>
        <w:tabs>
          <w:tab w:val="left" w:pos="2127"/>
        </w:tabs>
        <w:jc w:val="both"/>
        <w:rPr>
          <w:rFonts w:asciiTheme="minorHAnsi" w:hAnsiTheme="minorHAnsi"/>
          <w:i/>
          <w:color w:val="000000" w:themeColor="text1"/>
          <w:sz w:val="10"/>
          <w:szCs w:val="10"/>
        </w:rPr>
      </w:pPr>
    </w:p>
    <w:p w14:paraId="172493CC" w14:textId="77777777" w:rsidR="00C65183" w:rsidRDefault="00C65183" w:rsidP="00C65183">
      <w:pPr>
        <w:tabs>
          <w:tab w:val="left" w:pos="2127"/>
        </w:tabs>
        <w:jc w:val="both"/>
        <w:rPr>
          <w:rFonts w:ascii="Calibri" w:hAnsi="Calibri"/>
          <w:color w:val="7F7F7F"/>
          <w:sz w:val="20"/>
          <w:szCs w:val="20"/>
        </w:rPr>
      </w:pPr>
      <w:r w:rsidRPr="00863372">
        <w:rPr>
          <w:rFonts w:ascii="Calibri" w:hAnsi="Calibri"/>
          <w:color w:val="7F7F7F"/>
          <w:sz w:val="20"/>
          <w:szCs w:val="20"/>
        </w:rPr>
        <w:t xml:space="preserve">Family-related </w:t>
      </w:r>
      <w:r>
        <w:rPr>
          <w:rFonts w:ascii="Calibri" w:hAnsi="Calibri"/>
          <w:color w:val="7F7F7F"/>
          <w:sz w:val="20"/>
          <w:szCs w:val="20"/>
        </w:rPr>
        <w:t>a</w:t>
      </w:r>
      <w:r w:rsidRPr="00863372">
        <w:rPr>
          <w:rFonts w:ascii="Calibri" w:hAnsi="Calibri"/>
          <w:color w:val="7F7F7F"/>
          <w:sz w:val="20"/>
          <w:szCs w:val="20"/>
        </w:rPr>
        <w:t xml:space="preserve">lleged </w:t>
      </w:r>
      <w:r>
        <w:rPr>
          <w:rFonts w:ascii="Calibri" w:hAnsi="Calibri"/>
          <w:color w:val="7F7F7F"/>
          <w:sz w:val="20"/>
          <w:szCs w:val="20"/>
        </w:rPr>
        <w:t>v</w:t>
      </w:r>
      <w:r w:rsidRPr="00863372">
        <w:rPr>
          <w:rFonts w:ascii="Calibri" w:hAnsi="Calibri"/>
          <w:color w:val="7F7F7F"/>
          <w:sz w:val="20"/>
          <w:szCs w:val="20"/>
        </w:rPr>
        <w:t xml:space="preserve">iolent </w:t>
      </w:r>
      <w:r>
        <w:rPr>
          <w:rFonts w:ascii="Calibri" w:hAnsi="Calibri"/>
          <w:color w:val="7F7F7F"/>
          <w:sz w:val="20"/>
          <w:szCs w:val="20"/>
        </w:rPr>
        <w:t>o</w:t>
      </w:r>
      <w:r w:rsidRPr="00863372">
        <w:rPr>
          <w:rFonts w:ascii="Calibri" w:hAnsi="Calibri"/>
          <w:color w:val="7F7F7F"/>
          <w:sz w:val="20"/>
          <w:szCs w:val="20"/>
        </w:rPr>
        <w:t>ffences</w:t>
      </w:r>
      <w:r>
        <w:rPr>
          <w:rFonts w:ascii="Calibri" w:hAnsi="Calibri"/>
          <w:color w:val="7F7F7F"/>
          <w:sz w:val="20"/>
          <w:szCs w:val="20"/>
        </w:rPr>
        <w:t xml:space="preserve"> </w:t>
      </w:r>
      <w:r w:rsidRPr="00863372">
        <w:rPr>
          <w:rFonts w:ascii="Calibri" w:hAnsi="Calibri"/>
          <w:color w:val="7F7F7F"/>
          <w:sz w:val="20"/>
          <w:szCs w:val="20"/>
        </w:rPr>
        <w:t>[per 100,000 residents]</w:t>
      </w:r>
      <w:r>
        <w:rPr>
          <w:rFonts w:ascii="Calibri" w:hAnsi="Calibri"/>
          <w:color w:val="7F7F7F"/>
          <w:sz w:val="20"/>
          <w:szCs w:val="20"/>
        </w:rPr>
        <w:t>, by municipality: Victorian municipalities, 2019/20</w:t>
      </w:r>
    </w:p>
    <w:p w14:paraId="7146B7AC" w14:textId="77777777" w:rsidR="00C65183" w:rsidRPr="00463717" w:rsidRDefault="00C65183" w:rsidP="00C65183">
      <w:pPr>
        <w:tabs>
          <w:tab w:val="left" w:pos="2127"/>
        </w:tabs>
        <w:jc w:val="both"/>
        <w:rPr>
          <w:rFonts w:ascii="Calibri" w:hAnsi="Calibri"/>
          <w:color w:val="7F7F7F"/>
          <w:sz w:val="10"/>
          <w:szCs w:val="10"/>
        </w:rPr>
      </w:pPr>
    </w:p>
    <w:p w14:paraId="41013506" w14:textId="77777777" w:rsidR="00C65183" w:rsidRDefault="00C65183" w:rsidP="00C65183">
      <w:pPr>
        <w:spacing w:before="120" w:line="360" w:lineRule="auto"/>
        <w:jc w:val="both"/>
        <w:rPr>
          <w:rFonts w:ascii="Calibri" w:hAnsi="Calibri"/>
        </w:rPr>
      </w:pPr>
      <w:r w:rsidRPr="003D43E8">
        <w:rPr>
          <w:rFonts w:ascii="Calibri" w:hAnsi="Calibri"/>
        </w:rPr>
        <w:t xml:space="preserve">The </w:t>
      </w:r>
      <w:r>
        <w:rPr>
          <w:rFonts w:ascii="Calibri" w:hAnsi="Calibri"/>
        </w:rPr>
        <w:t>rate</w:t>
      </w:r>
      <w:r w:rsidRPr="003D43E8">
        <w:rPr>
          <w:rFonts w:ascii="Calibri" w:hAnsi="Calibri"/>
        </w:rPr>
        <w:t xml:space="preserve"> of </w:t>
      </w:r>
      <w:r w:rsidRPr="00863372">
        <w:rPr>
          <w:rFonts w:ascii="Calibri" w:hAnsi="Calibri"/>
        </w:rPr>
        <w:t xml:space="preserve">family-related </w:t>
      </w:r>
      <w:r>
        <w:rPr>
          <w:rFonts w:ascii="Calibri" w:hAnsi="Calibri"/>
        </w:rPr>
        <w:t>a</w:t>
      </w:r>
      <w:r w:rsidRPr="00863372">
        <w:rPr>
          <w:rFonts w:ascii="Calibri" w:hAnsi="Calibri"/>
        </w:rPr>
        <w:t xml:space="preserve">lleged </w:t>
      </w:r>
      <w:r>
        <w:rPr>
          <w:rFonts w:ascii="Calibri" w:hAnsi="Calibri"/>
        </w:rPr>
        <w:t>v</w:t>
      </w:r>
      <w:r w:rsidRPr="00863372">
        <w:rPr>
          <w:rFonts w:ascii="Calibri" w:hAnsi="Calibri"/>
        </w:rPr>
        <w:t xml:space="preserve">iolent </w:t>
      </w:r>
      <w:r>
        <w:rPr>
          <w:rFonts w:ascii="Calibri" w:hAnsi="Calibri"/>
        </w:rPr>
        <w:t>o</w:t>
      </w:r>
      <w:r w:rsidRPr="00863372">
        <w:rPr>
          <w:rFonts w:ascii="Calibri" w:hAnsi="Calibri"/>
        </w:rPr>
        <w:t xml:space="preserve">ffences </w:t>
      </w:r>
      <w:r>
        <w:rPr>
          <w:rFonts w:ascii="Calibri" w:hAnsi="Calibri"/>
        </w:rPr>
        <w:t>(</w:t>
      </w:r>
      <w:r w:rsidRPr="00863372">
        <w:rPr>
          <w:rFonts w:ascii="Calibri" w:hAnsi="Calibri"/>
        </w:rPr>
        <w:t>per 100,000 residents</w:t>
      </w:r>
      <w:r>
        <w:rPr>
          <w:rFonts w:ascii="Calibri" w:hAnsi="Calibri"/>
        </w:rPr>
        <w:t>) in Greater Dandenong</w:t>
      </w:r>
      <w:r w:rsidRPr="003D43E8">
        <w:rPr>
          <w:rFonts w:ascii="Calibri" w:hAnsi="Calibri"/>
        </w:rPr>
        <w:t xml:space="preserve">, documented by Victoria Police, </w:t>
      </w:r>
      <w:r>
        <w:rPr>
          <w:rFonts w:ascii="Calibri" w:hAnsi="Calibri"/>
        </w:rPr>
        <w:t>stood at</w:t>
      </w:r>
      <w:r w:rsidRPr="003D43E8">
        <w:rPr>
          <w:rFonts w:ascii="Calibri" w:hAnsi="Calibri"/>
        </w:rPr>
        <w:t xml:space="preserve"> </w:t>
      </w:r>
      <w:r>
        <w:rPr>
          <w:rFonts w:ascii="Calibri" w:hAnsi="Calibri"/>
        </w:rPr>
        <w:t>694</w:t>
      </w:r>
      <w:r w:rsidRPr="003D43E8">
        <w:rPr>
          <w:rFonts w:ascii="Calibri" w:hAnsi="Calibri"/>
        </w:rPr>
        <w:t xml:space="preserve"> per 100,000 residents in 201</w:t>
      </w:r>
      <w:r>
        <w:rPr>
          <w:rFonts w:ascii="Calibri" w:hAnsi="Calibri"/>
        </w:rPr>
        <w:t>9</w:t>
      </w:r>
      <w:r w:rsidRPr="003D43E8">
        <w:rPr>
          <w:rFonts w:ascii="Calibri" w:hAnsi="Calibri"/>
        </w:rPr>
        <w:t>/</w:t>
      </w:r>
      <w:r>
        <w:rPr>
          <w:rFonts w:ascii="Calibri" w:hAnsi="Calibri"/>
        </w:rPr>
        <w:t>20</w:t>
      </w:r>
      <w:r w:rsidRPr="003D43E8">
        <w:rPr>
          <w:rFonts w:ascii="Calibri" w:hAnsi="Calibri"/>
        </w:rPr>
        <w:t xml:space="preserve"> – </w:t>
      </w:r>
      <w:r>
        <w:rPr>
          <w:rFonts w:ascii="Calibri" w:hAnsi="Calibri"/>
        </w:rPr>
        <w:t>the fifth highest rate in metropolitan Melbourne and 19</w:t>
      </w:r>
      <w:r w:rsidRPr="003D43E8">
        <w:rPr>
          <w:rFonts w:ascii="Calibri" w:hAnsi="Calibri"/>
        </w:rPr>
        <w:t xml:space="preserve">% higher than the </w:t>
      </w:r>
      <w:r>
        <w:rPr>
          <w:rFonts w:ascii="Calibri" w:hAnsi="Calibri"/>
        </w:rPr>
        <w:t>Victorian level</w:t>
      </w:r>
      <w:r w:rsidRPr="003D43E8">
        <w:rPr>
          <w:rFonts w:ascii="Calibri" w:hAnsi="Calibri"/>
        </w:rPr>
        <w:t xml:space="preserve">. </w:t>
      </w:r>
      <w:r>
        <w:rPr>
          <w:rFonts w:ascii="Calibri" w:hAnsi="Calibri"/>
        </w:rPr>
        <w:t>Women accounted for 78% of alleged incidences of violence within families.</w:t>
      </w:r>
    </w:p>
    <w:p w14:paraId="665C049D" w14:textId="77777777" w:rsidR="00C65183" w:rsidRDefault="00C65183" w:rsidP="00C65183">
      <w:pPr>
        <w:spacing w:before="120" w:line="360" w:lineRule="auto"/>
        <w:jc w:val="both"/>
        <w:rPr>
          <w:rFonts w:ascii="Calibri" w:hAnsi="Calibri"/>
        </w:rPr>
      </w:pPr>
    </w:p>
    <w:p w14:paraId="7329E847" w14:textId="77777777" w:rsidR="00C65183" w:rsidRDefault="00C65183" w:rsidP="00C65183">
      <w:pPr>
        <w:spacing w:before="120" w:line="360" w:lineRule="auto"/>
        <w:jc w:val="both"/>
        <w:rPr>
          <w:rFonts w:ascii="Calibri" w:hAnsi="Calibri"/>
        </w:rPr>
      </w:pPr>
    </w:p>
    <w:p w14:paraId="29C0E58E" w14:textId="77777777" w:rsidR="00C65183" w:rsidRDefault="00C65183" w:rsidP="00C65183">
      <w:pPr>
        <w:spacing w:before="120" w:line="360" w:lineRule="auto"/>
        <w:jc w:val="both"/>
        <w:rPr>
          <w:rFonts w:ascii="Calibri" w:hAnsi="Calibri"/>
        </w:rPr>
      </w:pPr>
    </w:p>
    <w:p w14:paraId="68333281" w14:textId="77777777" w:rsidR="00C65183" w:rsidRDefault="00C65183" w:rsidP="00C65183">
      <w:pPr>
        <w:spacing w:before="120" w:line="360" w:lineRule="auto"/>
        <w:jc w:val="both"/>
        <w:rPr>
          <w:rFonts w:ascii="Calibri" w:hAnsi="Calibri"/>
        </w:rPr>
      </w:pPr>
    </w:p>
    <w:p w14:paraId="0F25685E" w14:textId="77777777" w:rsidR="00C65183" w:rsidRDefault="00C65183" w:rsidP="00C65183">
      <w:pPr>
        <w:spacing w:before="120" w:line="360" w:lineRule="auto"/>
        <w:jc w:val="both"/>
        <w:rPr>
          <w:rFonts w:ascii="Calibri" w:hAnsi="Calibri"/>
        </w:rPr>
      </w:pPr>
      <w:r w:rsidRPr="00F83CF8">
        <w:rPr>
          <w:rFonts w:asciiTheme="minorHAnsi" w:hAnsiTheme="minorHAnsi"/>
          <w:noProof/>
          <w:color w:val="7F7F7F" w:themeColor="text1" w:themeTint="80"/>
          <w:sz w:val="8"/>
          <w:szCs w:val="8"/>
        </w:rPr>
        <w:drawing>
          <wp:anchor distT="0" distB="0" distL="114300" distR="114300" simplePos="0" relativeHeight="251803648" behindDoc="0" locked="0" layoutInCell="1" allowOverlap="1" wp14:anchorId="4EA08752" wp14:editId="7F743A17">
            <wp:simplePos x="0" y="0"/>
            <wp:positionH relativeFrom="margin">
              <wp:posOffset>45720</wp:posOffset>
            </wp:positionH>
            <wp:positionV relativeFrom="paragraph">
              <wp:posOffset>12065</wp:posOffset>
            </wp:positionV>
            <wp:extent cx="3680460" cy="2761615"/>
            <wp:effectExtent l="0" t="0" r="0" b="635"/>
            <wp:wrapSquare wrapText="bothSides"/>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3680460" cy="2761615"/>
                    </a:xfrm>
                    <a:prstGeom prst="rect">
                      <a:avLst/>
                    </a:prstGeom>
                    <a:noFill/>
                  </pic:spPr>
                </pic:pic>
              </a:graphicData>
            </a:graphic>
            <wp14:sizeRelH relativeFrom="page">
              <wp14:pctWidth>0</wp14:pctWidth>
            </wp14:sizeRelH>
            <wp14:sizeRelV relativeFrom="page">
              <wp14:pctHeight>0</wp14:pctHeight>
            </wp14:sizeRelV>
          </wp:anchor>
        </w:drawing>
      </w:r>
    </w:p>
    <w:p w14:paraId="29218809" w14:textId="77777777" w:rsidR="00C65183" w:rsidRDefault="00C65183" w:rsidP="00C65183">
      <w:pPr>
        <w:spacing w:before="120" w:line="360" w:lineRule="auto"/>
        <w:jc w:val="both"/>
        <w:rPr>
          <w:rFonts w:ascii="Calibri" w:hAnsi="Calibri"/>
        </w:rPr>
      </w:pPr>
      <w:r w:rsidRPr="006E5703">
        <w:rPr>
          <w:rFonts w:ascii="Calibri" w:hAnsi="Calibri"/>
        </w:rPr>
        <w:t>The rate of such recorded violent family offences has declined in Greater Dandenong by 19% since 2016/17, while remaining unchanged across Victoria during this period</w:t>
      </w:r>
      <w:r>
        <w:rPr>
          <w:rFonts w:ascii="Calibri" w:hAnsi="Calibri"/>
        </w:rPr>
        <w:t>.</w:t>
      </w:r>
    </w:p>
    <w:bookmarkEnd w:id="13"/>
    <w:p w14:paraId="066C895B" w14:textId="77777777" w:rsidR="00C65183" w:rsidRDefault="00C65183" w:rsidP="00C65183">
      <w:pPr>
        <w:contextualSpacing/>
        <w:jc w:val="both"/>
        <w:rPr>
          <w:rFonts w:asciiTheme="minorHAnsi" w:hAnsiTheme="minorHAnsi"/>
          <w:color w:val="7F7F7F" w:themeColor="text1" w:themeTint="80"/>
          <w:sz w:val="8"/>
          <w:szCs w:val="8"/>
        </w:rPr>
      </w:pPr>
    </w:p>
    <w:p w14:paraId="0CDE117F" w14:textId="77777777" w:rsidR="00C65183" w:rsidRPr="00F83CF8" w:rsidRDefault="00C65183" w:rsidP="00C65183">
      <w:pPr>
        <w:contextualSpacing/>
        <w:jc w:val="both"/>
        <w:rPr>
          <w:rFonts w:asciiTheme="minorHAnsi" w:hAnsiTheme="minorHAnsi"/>
          <w:color w:val="7F7F7F" w:themeColor="text1" w:themeTint="80"/>
          <w:sz w:val="8"/>
          <w:szCs w:val="8"/>
        </w:rPr>
      </w:pPr>
    </w:p>
    <w:p w14:paraId="3E51F9C5" w14:textId="77777777" w:rsidR="00C65183" w:rsidRPr="00845F9C" w:rsidRDefault="00C65183" w:rsidP="00C65183">
      <w:pPr>
        <w:contextualSpacing/>
        <w:jc w:val="both"/>
        <w:rPr>
          <w:rFonts w:asciiTheme="minorHAnsi" w:hAnsiTheme="minorHAnsi"/>
          <w:color w:val="7F7F7F" w:themeColor="text1" w:themeTint="80"/>
          <w:sz w:val="20"/>
          <w:szCs w:val="20"/>
        </w:rPr>
      </w:pPr>
      <w:r>
        <w:rPr>
          <w:rFonts w:asciiTheme="minorHAnsi" w:hAnsiTheme="minorHAnsi"/>
          <w:color w:val="7F7F7F" w:themeColor="text1" w:themeTint="80"/>
          <w:sz w:val="20"/>
          <w:szCs w:val="20"/>
        </w:rPr>
        <w:t>Rate of alleged violent offences,</w:t>
      </w:r>
      <w:r w:rsidRPr="00845F9C">
        <w:rPr>
          <w:rFonts w:asciiTheme="minorHAnsi" w:hAnsiTheme="minorHAnsi"/>
          <w:color w:val="7F7F7F" w:themeColor="text1" w:themeTint="80"/>
          <w:sz w:val="20"/>
          <w:szCs w:val="20"/>
        </w:rPr>
        <w:t xml:space="preserve"> per 100,000 population: Greater Dandenong and Metro. Melbourne, 201</w:t>
      </w:r>
      <w:r>
        <w:rPr>
          <w:rFonts w:asciiTheme="minorHAnsi" w:hAnsiTheme="minorHAnsi"/>
          <w:color w:val="7F7F7F" w:themeColor="text1" w:themeTint="80"/>
          <w:sz w:val="20"/>
          <w:szCs w:val="20"/>
        </w:rPr>
        <w:t>9</w:t>
      </w:r>
      <w:r w:rsidRPr="00845F9C">
        <w:rPr>
          <w:rFonts w:asciiTheme="minorHAnsi" w:hAnsiTheme="minorHAnsi"/>
          <w:color w:val="7F7F7F" w:themeColor="text1" w:themeTint="80"/>
          <w:sz w:val="20"/>
          <w:szCs w:val="20"/>
        </w:rPr>
        <w:t>/</w:t>
      </w:r>
      <w:r>
        <w:rPr>
          <w:rFonts w:asciiTheme="minorHAnsi" w:hAnsiTheme="minorHAnsi"/>
          <w:color w:val="7F7F7F" w:themeColor="text1" w:themeTint="80"/>
          <w:sz w:val="20"/>
          <w:szCs w:val="20"/>
        </w:rPr>
        <w:t>20</w:t>
      </w:r>
    </w:p>
    <w:p w14:paraId="69E7E317" w14:textId="77777777" w:rsidR="00C65183" w:rsidRDefault="00C65183" w:rsidP="00C65183">
      <w:pPr>
        <w:tabs>
          <w:tab w:val="left" w:pos="2127"/>
        </w:tabs>
        <w:jc w:val="both"/>
        <w:rPr>
          <w:rFonts w:ascii="Calibri" w:hAnsi="Calibri"/>
          <w:color w:val="7F7F7F"/>
          <w:sz w:val="8"/>
          <w:szCs w:val="8"/>
        </w:rPr>
      </w:pPr>
    </w:p>
    <w:p w14:paraId="7FFFD21A" w14:textId="77777777" w:rsidR="00C65183" w:rsidRPr="00F83CF8" w:rsidRDefault="00C65183" w:rsidP="00C65183">
      <w:pPr>
        <w:tabs>
          <w:tab w:val="left" w:pos="2127"/>
        </w:tabs>
        <w:jc w:val="both"/>
        <w:rPr>
          <w:rFonts w:ascii="Calibri" w:hAnsi="Calibri"/>
          <w:color w:val="7F7F7F"/>
          <w:sz w:val="8"/>
          <w:szCs w:val="8"/>
        </w:rPr>
      </w:pPr>
    </w:p>
    <w:p w14:paraId="142C2D1A" w14:textId="77777777" w:rsidR="00C65183" w:rsidRDefault="00C65183" w:rsidP="00C65183">
      <w:pPr>
        <w:rPr>
          <w:rFonts w:asciiTheme="minorHAnsi" w:hAnsiTheme="minorHAnsi" w:cstheme="minorHAnsi"/>
        </w:rPr>
      </w:pPr>
      <w:r>
        <w:rPr>
          <w:rFonts w:asciiTheme="minorHAnsi" w:hAnsiTheme="minorHAnsi" w:cstheme="minorHAnsi"/>
        </w:rPr>
        <w:br w:type="page"/>
      </w:r>
    </w:p>
    <w:p w14:paraId="7DCB0972" w14:textId="77777777" w:rsidR="00C65183" w:rsidRPr="00827F47" w:rsidRDefault="00C65183" w:rsidP="00C65183">
      <w:pPr>
        <w:pBdr>
          <w:top w:val="single" w:sz="4" w:space="0" w:color="244061" w:themeColor="accent1" w:themeShade="80"/>
          <w:bottom w:val="single" w:sz="4" w:space="1" w:color="244061" w:themeColor="accent1" w:themeShade="80"/>
        </w:pBdr>
        <w:tabs>
          <w:tab w:val="center" w:pos="4678"/>
        </w:tabs>
        <w:jc w:val="center"/>
        <w:rPr>
          <w:rFonts w:ascii="Garamond" w:hAnsi="Garamond"/>
          <w:noProof/>
          <w:color w:val="244061" w:themeColor="accent1" w:themeShade="80"/>
          <w:sz w:val="34"/>
          <w:szCs w:val="34"/>
        </w:rPr>
      </w:pPr>
      <w:r w:rsidRPr="00827F47">
        <w:rPr>
          <w:rFonts w:ascii="Garamond" w:hAnsi="Garamond"/>
          <w:noProof/>
          <w:color w:val="244061" w:themeColor="accent1" w:themeShade="80"/>
          <w:sz w:val="34"/>
          <w:szCs w:val="34"/>
        </w:rPr>
        <w:lastRenderedPageBreak/>
        <w:t>Gender Differences in Social Conditions and Outcomes</w:t>
      </w:r>
    </w:p>
    <w:p w14:paraId="713653CC" w14:textId="77777777" w:rsidR="00C65183" w:rsidRDefault="00C65183" w:rsidP="00C65183">
      <w:pPr>
        <w:rPr>
          <w:rFonts w:asciiTheme="minorHAnsi" w:hAnsiTheme="minorHAnsi"/>
        </w:rPr>
      </w:pPr>
    </w:p>
    <w:p w14:paraId="4C399CD7" w14:textId="77777777" w:rsidR="00C65183" w:rsidRPr="005D37BE" w:rsidRDefault="00C65183" w:rsidP="00C65183">
      <w:pPr>
        <w:rPr>
          <w:rFonts w:asciiTheme="minorHAnsi" w:hAnsiTheme="minorHAnsi"/>
        </w:rPr>
      </w:pPr>
    </w:p>
    <w:p w14:paraId="5942B4F4" w14:textId="77777777" w:rsidR="00C65183" w:rsidRPr="005D37BE" w:rsidRDefault="00C65183" w:rsidP="00C65183">
      <w:pPr>
        <w:rPr>
          <w:rFonts w:asciiTheme="minorHAnsi" w:hAnsiTheme="minorHAnsi"/>
          <w:b/>
          <w:color w:val="0F243E" w:themeColor="text2" w:themeShade="80"/>
          <w:sz w:val="26"/>
          <w:szCs w:val="26"/>
        </w:rPr>
      </w:pPr>
      <w:r>
        <w:rPr>
          <w:rFonts w:asciiTheme="minorHAnsi" w:hAnsiTheme="minorHAnsi"/>
          <w:noProof/>
        </w:rPr>
        <w:drawing>
          <wp:anchor distT="0" distB="0" distL="114300" distR="114300" simplePos="0" relativeHeight="251843584" behindDoc="0" locked="0" layoutInCell="1" allowOverlap="1" wp14:anchorId="28E57460" wp14:editId="05AE4FA2">
            <wp:simplePos x="0" y="0"/>
            <wp:positionH relativeFrom="column">
              <wp:posOffset>67310</wp:posOffset>
            </wp:positionH>
            <wp:positionV relativeFrom="paragraph">
              <wp:posOffset>48260</wp:posOffset>
            </wp:positionV>
            <wp:extent cx="3548380" cy="2343150"/>
            <wp:effectExtent l="0" t="0" r="0" b="0"/>
            <wp:wrapSquare wrapText="bothSides"/>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83">
                      <a:extLst>
                        <a:ext uri="{28A0092B-C50C-407E-A947-70E740481C1C}">
                          <a14:useLocalDpi xmlns:a14="http://schemas.microsoft.com/office/drawing/2010/main" val="0"/>
                        </a:ext>
                      </a:extLst>
                    </a:blip>
                    <a:srcRect t="13382" r="2384"/>
                    <a:stretch/>
                  </pic:blipFill>
                  <pic:spPr bwMode="auto">
                    <a:xfrm>
                      <a:off x="0" y="0"/>
                      <a:ext cx="3548380" cy="23431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D37BE">
        <w:rPr>
          <w:rFonts w:asciiTheme="minorHAnsi" w:hAnsiTheme="minorHAnsi"/>
          <w:b/>
          <w:color w:val="0F243E" w:themeColor="text2" w:themeShade="80"/>
          <w:sz w:val="26"/>
          <w:szCs w:val="26"/>
        </w:rPr>
        <w:t>Early Child</w:t>
      </w:r>
      <w:r>
        <w:rPr>
          <w:rFonts w:asciiTheme="minorHAnsi" w:hAnsiTheme="minorHAnsi"/>
          <w:b/>
          <w:color w:val="0F243E" w:themeColor="text2" w:themeShade="80"/>
          <w:sz w:val="26"/>
          <w:szCs w:val="26"/>
        </w:rPr>
        <w:t>b</w:t>
      </w:r>
      <w:r w:rsidRPr="005D37BE">
        <w:rPr>
          <w:rFonts w:asciiTheme="minorHAnsi" w:hAnsiTheme="minorHAnsi"/>
          <w:b/>
          <w:color w:val="0F243E" w:themeColor="text2" w:themeShade="80"/>
          <w:sz w:val="26"/>
          <w:szCs w:val="26"/>
        </w:rPr>
        <w:t>irth</w:t>
      </w:r>
    </w:p>
    <w:p w14:paraId="6F24CE1A" w14:textId="77777777" w:rsidR="00C65183" w:rsidRPr="005D37BE" w:rsidRDefault="00C65183" w:rsidP="00C65183">
      <w:pPr>
        <w:rPr>
          <w:rFonts w:asciiTheme="minorHAnsi" w:hAnsiTheme="minorHAnsi"/>
          <w:color w:val="7F7F7F" w:themeColor="text1" w:themeTint="80"/>
          <w:sz w:val="20"/>
          <w:szCs w:val="20"/>
        </w:rPr>
      </w:pPr>
      <w:r>
        <w:rPr>
          <w:rFonts w:asciiTheme="minorHAnsi" w:hAnsiTheme="minorHAnsi"/>
          <w:color w:val="7F7F7F" w:themeColor="text1" w:themeTint="80"/>
          <w:sz w:val="20"/>
          <w:szCs w:val="20"/>
        </w:rPr>
        <w:t>Birth Rates (births per 1,000 women) by age</w:t>
      </w:r>
      <w:r w:rsidRPr="005D37BE">
        <w:rPr>
          <w:rFonts w:asciiTheme="minorHAnsi" w:hAnsiTheme="minorHAnsi"/>
          <w:color w:val="7F7F7F" w:themeColor="text1" w:themeTint="80"/>
          <w:sz w:val="20"/>
          <w:szCs w:val="20"/>
        </w:rPr>
        <w:t xml:space="preserve">: </w:t>
      </w:r>
    </w:p>
    <w:p w14:paraId="7203B700" w14:textId="77777777" w:rsidR="00C65183" w:rsidRPr="005D37BE" w:rsidRDefault="00C65183" w:rsidP="00C65183">
      <w:pPr>
        <w:rPr>
          <w:rFonts w:asciiTheme="minorHAnsi" w:hAnsiTheme="minorHAnsi"/>
          <w:color w:val="7F7F7F" w:themeColor="text1" w:themeTint="80"/>
          <w:sz w:val="20"/>
          <w:szCs w:val="20"/>
        </w:rPr>
      </w:pPr>
      <w:r>
        <w:rPr>
          <w:rFonts w:asciiTheme="minorHAnsi" w:hAnsiTheme="minorHAnsi"/>
          <w:noProof/>
          <w:lang w:eastAsia="en-AU"/>
        </w:rPr>
        <w:drawing>
          <wp:anchor distT="0" distB="0" distL="114300" distR="114300" simplePos="0" relativeHeight="251857920" behindDoc="0" locked="0" layoutInCell="1" allowOverlap="1" wp14:anchorId="0B31BBA4" wp14:editId="0DF8487D">
            <wp:simplePos x="0" y="0"/>
            <wp:positionH relativeFrom="column">
              <wp:posOffset>356236</wp:posOffset>
            </wp:positionH>
            <wp:positionV relativeFrom="paragraph">
              <wp:posOffset>42864</wp:posOffset>
            </wp:positionV>
            <wp:extent cx="628650" cy="628650"/>
            <wp:effectExtent l="0" t="0" r="0" b="0"/>
            <wp:wrapNone/>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ildren 6.jpg"/>
                    <pic:cNvPicPr/>
                  </pic:nvPicPr>
                  <pic:blipFill>
                    <a:blip r:embed="rId184" cstate="print">
                      <a:extLst>
                        <a:ext uri="{28A0092B-C50C-407E-A947-70E740481C1C}">
                          <a14:useLocalDpi xmlns:a14="http://schemas.microsoft.com/office/drawing/2010/main" val="0"/>
                        </a:ext>
                      </a:extLst>
                    </a:blip>
                    <a:stretch>
                      <a:fillRect/>
                    </a:stretch>
                  </pic:blipFill>
                  <pic:spPr>
                    <a:xfrm>
                      <a:off x="0" y="0"/>
                      <a:ext cx="632082" cy="632082"/>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5D37BE">
        <w:rPr>
          <w:rFonts w:asciiTheme="minorHAnsi" w:hAnsiTheme="minorHAnsi"/>
          <w:color w:val="7F7F7F" w:themeColor="text1" w:themeTint="80"/>
          <w:sz w:val="20"/>
          <w:szCs w:val="20"/>
        </w:rPr>
        <w:t>Metropolitan Melbourne and Greater Dandenong, 201</w:t>
      </w:r>
      <w:r>
        <w:rPr>
          <w:rFonts w:asciiTheme="minorHAnsi" w:hAnsiTheme="minorHAnsi"/>
          <w:color w:val="7F7F7F" w:themeColor="text1" w:themeTint="80"/>
          <w:sz w:val="20"/>
          <w:szCs w:val="20"/>
        </w:rPr>
        <w:t>8</w:t>
      </w:r>
    </w:p>
    <w:p w14:paraId="13906913" w14:textId="77777777" w:rsidR="00C65183" w:rsidRPr="005D37BE" w:rsidRDefault="00C65183" w:rsidP="00C65183">
      <w:pPr>
        <w:rPr>
          <w:rFonts w:asciiTheme="minorHAnsi" w:hAnsiTheme="minorHAnsi"/>
        </w:rPr>
      </w:pPr>
    </w:p>
    <w:p w14:paraId="261BAAF0" w14:textId="77777777" w:rsidR="00C65183" w:rsidRPr="005D37BE" w:rsidRDefault="00C65183" w:rsidP="00C65183">
      <w:pPr>
        <w:rPr>
          <w:rFonts w:asciiTheme="minorHAnsi" w:hAnsiTheme="minorHAnsi"/>
        </w:rPr>
      </w:pPr>
      <w:r w:rsidRPr="005D37BE">
        <w:rPr>
          <w:rFonts w:asciiTheme="minorHAnsi" w:hAnsiTheme="minorHAnsi"/>
          <w:noProof/>
          <w:lang w:eastAsia="en-AU"/>
        </w:rPr>
        <mc:AlternateContent>
          <mc:Choice Requires="wps">
            <w:drawing>
              <wp:anchor distT="0" distB="0" distL="114300" distR="114300" simplePos="0" relativeHeight="251805696" behindDoc="0" locked="0" layoutInCell="1" allowOverlap="1" wp14:anchorId="0901A8F3" wp14:editId="1FBB14F9">
                <wp:simplePos x="0" y="0"/>
                <wp:positionH relativeFrom="column">
                  <wp:posOffset>3703320</wp:posOffset>
                </wp:positionH>
                <wp:positionV relativeFrom="paragraph">
                  <wp:posOffset>16510</wp:posOffset>
                </wp:positionV>
                <wp:extent cx="2477135" cy="1211580"/>
                <wp:effectExtent l="0" t="0" r="0" b="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7135" cy="1211580"/>
                        </a:xfrm>
                        <a:prstGeom prst="rect">
                          <a:avLst/>
                        </a:prstGeom>
                        <a:noFill/>
                        <a:ln w="9525">
                          <a:noFill/>
                          <a:miter lim="800000"/>
                          <a:headEnd/>
                          <a:tailEnd/>
                        </a:ln>
                      </wps:spPr>
                      <wps:txbx>
                        <w:txbxContent>
                          <w:p w14:paraId="04B4AD99" w14:textId="77777777" w:rsidR="00C65183" w:rsidRDefault="00C65183" w:rsidP="00C65183">
                            <w:pPr>
                              <w:jc w:val="both"/>
                              <w:rPr>
                                <w:rFonts w:asciiTheme="minorHAnsi" w:hAnsiTheme="minorHAnsi"/>
                                <w:sz w:val="20"/>
                                <w:szCs w:val="20"/>
                              </w:rPr>
                            </w:pPr>
                            <w:r>
                              <w:rPr>
                                <w:rFonts w:asciiTheme="minorHAnsi" w:hAnsiTheme="minorHAnsi"/>
                                <w:sz w:val="20"/>
                                <w:szCs w:val="20"/>
                              </w:rPr>
                              <w:t xml:space="preserve">Birth rates among younger women are higher </w:t>
                            </w:r>
                            <w:r w:rsidRPr="009D25F7">
                              <w:rPr>
                                <w:rFonts w:asciiTheme="minorHAnsi" w:hAnsiTheme="minorHAnsi"/>
                                <w:sz w:val="20"/>
                                <w:szCs w:val="20"/>
                              </w:rPr>
                              <w:t xml:space="preserve">in </w:t>
                            </w:r>
                            <w:r>
                              <w:rPr>
                                <w:rFonts w:asciiTheme="minorHAnsi" w:hAnsiTheme="minorHAnsi"/>
                                <w:sz w:val="20"/>
                                <w:szCs w:val="20"/>
                              </w:rPr>
                              <w:t>Greater Dandenong than in Melbourne.</w:t>
                            </w:r>
                            <w:r w:rsidRPr="009D25F7">
                              <w:rPr>
                                <w:rFonts w:asciiTheme="minorHAnsi" w:hAnsiTheme="minorHAnsi"/>
                                <w:sz w:val="20"/>
                                <w:szCs w:val="20"/>
                              </w:rPr>
                              <w:t xml:space="preserve"> </w:t>
                            </w:r>
                          </w:p>
                          <w:p w14:paraId="227471AB" w14:textId="77777777" w:rsidR="00C65183" w:rsidRPr="009D25F7" w:rsidRDefault="00C65183" w:rsidP="00C65183">
                            <w:pPr>
                              <w:jc w:val="both"/>
                              <w:rPr>
                                <w:rFonts w:asciiTheme="minorHAnsi" w:hAnsiTheme="minorHAnsi"/>
                                <w:sz w:val="20"/>
                                <w:szCs w:val="20"/>
                              </w:rPr>
                            </w:pPr>
                            <w:r>
                              <w:rPr>
                                <w:rFonts w:asciiTheme="minorHAnsi" w:hAnsiTheme="minorHAnsi"/>
                                <w:sz w:val="20"/>
                                <w:szCs w:val="20"/>
                              </w:rPr>
                              <w:t>For some young women, e</w:t>
                            </w:r>
                            <w:r w:rsidRPr="009D25F7">
                              <w:rPr>
                                <w:rFonts w:asciiTheme="minorHAnsi" w:hAnsiTheme="minorHAnsi"/>
                                <w:sz w:val="20"/>
                                <w:szCs w:val="20"/>
                              </w:rPr>
                              <w:t xml:space="preserve">arly child birth is </w:t>
                            </w:r>
                            <w:r>
                              <w:rPr>
                                <w:rFonts w:asciiTheme="minorHAnsi" w:hAnsiTheme="minorHAnsi"/>
                                <w:sz w:val="20"/>
                                <w:szCs w:val="20"/>
                              </w:rPr>
                              <w:t>either</w:t>
                            </w:r>
                            <w:r w:rsidRPr="009D25F7">
                              <w:rPr>
                                <w:rFonts w:asciiTheme="minorHAnsi" w:hAnsiTheme="minorHAnsi"/>
                                <w:sz w:val="20"/>
                                <w:szCs w:val="20"/>
                              </w:rPr>
                              <w:t xml:space="preserve"> a consequence </w:t>
                            </w:r>
                            <w:r>
                              <w:rPr>
                                <w:rFonts w:asciiTheme="minorHAnsi" w:hAnsiTheme="minorHAnsi"/>
                                <w:sz w:val="20"/>
                                <w:szCs w:val="20"/>
                              </w:rPr>
                              <w:t>or a</w:t>
                            </w:r>
                            <w:r w:rsidRPr="009D25F7">
                              <w:rPr>
                                <w:rFonts w:asciiTheme="minorHAnsi" w:hAnsiTheme="minorHAnsi"/>
                                <w:sz w:val="20"/>
                                <w:szCs w:val="20"/>
                              </w:rPr>
                              <w:t xml:space="preserve"> cause of limited educational and vocational </w:t>
                            </w:r>
                            <w:r>
                              <w:rPr>
                                <w:rFonts w:asciiTheme="minorHAnsi" w:hAnsiTheme="minorHAnsi"/>
                                <w:sz w:val="20"/>
                                <w:szCs w:val="20"/>
                              </w:rPr>
                              <w:t>opportunities</w:t>
                            </w:r>
                            <w:r w:rsidRPr="009D25F7">
                              <w:rPr>
                                <w:rFonts w:asciiTheme="minorHAnsi" w:hAnsiTheme="minorHAnsi"/>
                                <w:sz w:val="20"/>
                                <w:szCs w:val="2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901A8F3" id="_x0000_s1027" type="#_x0000_t202" style="position:absolute;margin-left:291.6pt;margin-top:1.3pt;width:195.05pt;height:95.4pt;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" filled="f" stroked="f">
                <v:textbox>
                  <w:txbxContent>
                    <w:p w14:paraId="04B4AD99" w14:textId="77777777" w:rsidR="00C65183" w:rsidRDefault="00C65183" w:rsidP="00C65183">
                      <w:pPr>
                        <w:jc w:val="both"/>
                        <w:rPr>
                          <w:rFonts w:asciiTheme="minorHAnsi" w:hAnsiTheme="minorHAnsi"/>
                          <w:sz w:val="20"/>
                          <w:szCs w:val="20"/>
                        </w:rPr>
                      </w:pPr>
                      <w:r>
                        <w:rPr>
                          <w:rFonts w:asciiTheme="minorHAnsi" w:hAnsiTheme="minorHAnsi"/>
                          <w:sz w:val="20"/>
                          <w:szCs w:val="20"/>
                        </w:rPr>
                        <w:t xml:space="preserve">Birth rates among younger women are higher </w:t>
                      </w:r>
                      <w:r w:rsidRPr="009D25F7">
                        <w:rPr>
                          <w:rFonts w:asciiTheme="minorHAnsi" w:hAnsiTheme="minorHAnsi"/>
                          <w:sz w:val="20"/>
                          <w:szCs w:val="20"/>
                        </w:rPr>
                        <w:t xml:space="preserve">in </w:t>
                      </w:r>
                      <w:r>
                        <w:rPr>
                          <w:rFonts w:asciiTheme="minorHAnsi" w:hAnsiTheme="minorHAnsi"/>
                          <w:sz w:val="20"/>
                          <w:szCs w:val="20"/>
                        </w:rPr>
                        <w:t>Greater Dandenong than in Melbourne.</w:t>
                      </w:r>
                      <w:r w:rsidRPr="009D25F7">
                        <w:rPr>
                          <w:rFonts w:asciiTheme="minorHAnsi" w:hAnsiTheme="minorHAnsi"/>
                          <w:sz w:val="20"/>
                          <w:szCs w:val="20"/>
                        </w:rPr>
                        <w:t xml:space="preserve"> </w:t>
                      </w:r>
                    </w:p>
                    <w:p w14:paraId="227471AB" w14:textId="77777777" w:rsidR="00C65183" w:rsidRPr="009D25F7" w:rsidRDefault="00C65183" w:rsidP="00C65183">
                      <w:pPr>
                        <w:jc w:val="both"/>
                        <w:rPr>
                          <w:rFonts w:asciiTheme="minorHAnsi" w:hAnsiTheme="minorHAnsi"/>
                          <w:sz w:val="20"/>
                          <w:szCs w:val="20"/>
                        </w:rPr>
                      </w:pPr>
                      <w:r>
                        <w:rPr>
                          <w:rFonts w:asciiTheme="minorHAnsi" w:hAnsiTheme="minorHAnsi"/>
                          <w:sz w:val="20"/>
                          <w:szCs w:val="20"/>
                        </w:rPr>
                        <w:t>For some young women, e</w:t>
                      </w:r>
                      <w:r w:rsidRPr="009D25F7">
                        <w:rPr>
                          <w:rFonts w:asciiTheme="minorHAnsi" w:hAnsiTheme="minorHAnsi"/>
                          <w:sz w:val="20"/>
                          <w:szCs w:val="20"/>
                        </w:rPr>
                        <w:t xml:space="preserve">arly child birth is </w:t>
                      </w:r>
                      <w:r>
                        <w:rPr>
                          <w:rFonts w:asciiTheme="minorHAnsi" w:hAnsiTheme="minorHAnsi"/>
                          <w:sz w:val="20"/>
                          <w:szCs w:val="20"/>
                        </w:rPr>
                        <w:t>either</w:t>
                      </w:r>
                      <w:r w:rsidRPr="009D25F7">
                        <w:rPr>
                          <w:rFonts w:asciiTheme="minorHAnsi" w:hAnsiTheme="minorHAnsi"/>
                          <w:sz w:val="20"/>
                          <w:szCs w:val="20"/>
                        </w:rPr>
                        <w:t xml:space="preserve"> a consequence </w:t>
                      </w:r>
                      <w:r>
                        <w:rPr>
                          <w:rFonts w:asciiTheme="minorHAnsi" w:hAnsiTheme="minorHAnsi"/>
                          <w:sz w:val="20"/>
                          <w:szCs w:val="20"/>
                        </w:rPr>
                        <w:t>or a</w:t>
                      </w:r>
                      <w:r w:rsidRPr="009D25F7">
                        <w:rPr>
                          <w:rFonts w:asciiTheme="minorHAnsi" w:hAnsiTheme="minorHAnsi"/>
                          <w:sz w:val="20"/>
                          <w:szCs w:val="20"/>
                        </w:rPr>
                        <w:t xml:space="preserve"> cause of limited educational and vocational </w:t>
                      </w:r>
                      <w:r>
                        <w:rPr>
                          <w:rFonts w:asciiTheme="minorHAnsi" w:hAnsiTheme="minorHAnsi"/>
                          <w:sz w:val="20"/>
                          <w:szCs w:val="20"/>
                        </w:rPr>
                        <w:t>opportunities</w:t>
                      </w:r>
                      <w:r w:rsidRPr="009D25F7">
                        <w:rPr>
                          <w:rFonts w:asciiTheme="minorHAnsi" w:hAnsiTheme="minorHAnsi"/>
                          <w:sz w:val="20"/>
                          <w:szCs w:val="20"/>
                        </w:rPr>
                        <w:t>.</w:t>
                      </w:r>
                    </w:p>
                  </w:txbxContent>
                </v:textbox>
              </v:shape>
            </w:pict>
          </mc:Fallback>
        </mc:AlternateContent>
      </w:r>
    </w:p>
    <w:p w14:paraId="0E797309" w14:textId="77777777" w:rsidR="00C65183" w:rsidRPr="005D37BE" w:rsidRDefault="00C65183" w:rsidP="00C65183">
      <w:pPr>
        <w:rPr>
          <w:rFonts w:asciiTheme="minorHAnsi" w:hAnsiTheme="minorHAnsi"/>
        </w:rPr>
      </w:pPr>
    </w:p>
    <w:p w14:paraId="643EDC6F" w14:textId="77777777" w:rsidR="00C65183" w:rsidRPr="005D37BE" w:rsidRDefault="00C65183" w:rsidP="00C65183">
      <w:pPr>
        <w:rPr>
          <w:rFonts w:asciiTheme="minorHAnsi" w:hAnsiTheme="minorHAnsi"/>
        </w:rPr>
      </w:pPr>
    </w:p>
    <w:p w14:paraId="5A9B890E" w14:textId="77777777" w:rsidR="00C65183" w:rsidRPr="005D37BE" w:rsidRDefault="00C65183" w:rsidP="00C65183">
      <w:pPr>
        <w:rPr>
          <w:rFonts w:asciiTheme="minorHAnsi" w:hAnsiTheme="minorHAnsi"/>
        </w:rPr>
      </w:pPr>
    </w:p>
    <w:p w14:paraId="1BE5CC28" w14:textId="77777777" w:rsidR="00C65183" w:rsidRPr="005D37BE" w:rsidRDefault="00C65183" w:rsidP="00C65183">
      <w:pPr>
        <w:rPr>
          <w:rFonts w:asciiTheme="minorHAnsi" w:hAnsiTheme="minorHAnsi"/>
        </w:rPr>
      </w:pPr>
    </w:p>
    <w:p w14:paraId="59D5EDDA" w14:textId="77777777" w:rsidR="00C65183" w:rsidRPr="005D37BE" w:rsidRDefault="00C65183" w:rsidP="00C65183">
      <w:pPr>
        <w:rPr>
          <w:rFonts w:asciiTheme="minorHAnsi" w:hAnsiTheme="minorHAnsi"/>
        </w:rPr>
      </w:pPr>
    </w:p>
    <w:p w14:paraId="7F129D6E" w14:textId="77777777" w:rsidR="00C65183" w:rsidRPr="005D37BE" w:rsidRDefault="00C65183" w:rsidP="00C65183">
      <w:pPr>
        <w:rPr>
          <w:rFonts w:asciiTheme="minorHAnsi" w:hAnsiTheme="minorHAnsi"/>
        </w:rPr>
      </w:pPr>
    </w:p>
    <w:p w14:paraId="082E91FB" w14:textId="77777777" w:rsidR="00C65183" w:rsidRPr="005D37BE" w:rsidRDefault="00C65183" w:rsidP="00C65183">
      <w:pPr>
        <w:rPr>
          <w:rFonts w:asciiTheme="minorHAnsi" w:hAnsiTheme="minorHAnsi"/>
        </w:rPr>
      </w:pPr>
    </w:p>
    <w:p w14:paraId="7DA2F7F6" w14:textId="77777777" w:rsidR="00C65183" w:rsidRPr="005D37BE" w:rsidRDefault="00C65183" w:rsidP="00C65183">
      <w:pPr>
        <w:rPr>
          <w:rFonts w:asciiTheme="minorHAnsi" w:hAnsiTheme="minorHAnsi"/>
        </w:rPr>
      </w:pPr>
    </w:p>
    <w:p w14:paraId="700F97E4" w14:textId="77777777" w:rsidR="00C65183" w:rsidRPr="005D37BE" w:rsidRDefault="00C65183" w:rsidP="00C65183">
      <w:pPr>
        <w:rPr>
          <w:rFonts w:asciiTheme="minorHAnsi" w:hAnsiTheme="minorHAnsi"/>
        </w:rPr>
      </w:pPr>
    </w:p>
    <w:p w14:paraId="21430C07" w14:textId="77777777" w:rsidR="00C65183" w:rsidRPr="005D37BE" w:rsidRDefault="00C65183" w:rsidP="00C65183">
      <w:pPr>
        <w:rPr>
          <w:rFonts w:asciiTheme="minorHAnsi" w:hAnsiTheme="minorHAnsi"/>
        </w:rPr>
      </w:pPr>
    </w:p>
    <w:p w14:paraId="2431284F" w14:textId="77777777" w:rsidR="00C65183" w:rsidRDefault="00C65183" w:rsidP="00C65183">
      <w:pPr>
        <w:rPr>
          <w:rFonts w:asciiTheme="minorHAnsi" w:hAnsiTheme="minorHAnsi"/>
        </w:rPr>
      </w:pPr>
      <w:r>
        <w:rPr>
          <w:rFonts w:asciiTheme="minorHAnsi" w:hAnsiTheme="minorHAnsi"/>
          <w:b/>
          <w:noProof/>
          <w:color w:val="0F243E" w:themeColor="text2" w:themeShade="80"/>
          <w:sz w:val="26"/>
          <w:szCs w:val="26"/>
          <w:lang w:eastAsia="en-AU"/>
        </w:rPr>
        <w:drawing>
          <wp:anchor distT="0" distB="0" distL="114300" distR="114300" simplePos="0" relativeHeight="251830272" behindDoc="0" locked="0" layoutInCell="1" allowOverlap="1" wp14:anchorId="67204BC1" wp14:editId="5D0706E6">
            <wp:simplePos x="0" y="0"/>
            <wp:positionH relativeFrom="column">
              <wp:posOffset>5018722</wp:posOffset>
            </wp:positionH>
            <wp:positionV relativeFrom="paragraph">
              <wp:posOffset>158115</wp:posOffset>
            </wp:positionV>
            <wp:extent cx="833437" cy="781347"/>
            <wp:effectExtent l="0" t="0" r="5080" b="0"/>
            <wp:wrapNone/>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ducation 11.jpg"/>
                    <pic:cNvPicPr/>
                  </pic:nvPicPr>
                  <pic:blipFill>
                    <a:blip r:embed="rId185" cstate="print">
                      <a:extLst>
                        <a:ext uri="{28A0092B-C50C-407E-A947-70E740481C1C}">
                          <a14:useLocalDpi xmlns:a14="http://schemas.microsoft.com/office/drawing/2010/main" val="0"/>
                        </a:ext>
                      </a:extLst>
                    </a:blip>
                    <a:stretch>
                      <a:fillRect/>
                    </a:stretch>
                  </pic:blipFill>
                  <pic:spPr>
                    <a:xfrm>
                      <a:off x="0" y="0"/>
                      <a:ext cx="840132" cy="787623"/>
                    </a:xfrm>
                    <a:prstGeom prst="rect">
                      <a:avLst/>
                    </a:prstGeom>
                    <a:ln>
                      <a:noFill/>
                    </a:ln>
                    <a:effectLst>
                      <a:softEdge rad="127000"/>
                    </a:effectLst>
                  </pic:spPr>
                </pic:pic>
              </a:graphicData>
            </a:graphic>
            <wp14:sizeRelH relativeFrom="page">
              <wp14:pctWidth>0</wp14:pctWidth>
            </wp14:sizeRelH>
            <wp14:sizeRelV relativeFrom="page">
              <wp14:pctHeight>0</wp14:pctHeight>
            </wp14:sizeRelV>
          </wp:anchor>
        </w:drawing>
      </w:r>
    </w:p>
    <w:p w14:paraId="0CE42848" w14:textId="77777777" w:rsidR="00C65183" w:rsidRDefault="00C65183" w:rsidP="00C65183">
      <w:pPr>
        <w:rPr>
          <w:rFonts w:asciiTheme="minorHAnsi" w:hAnsiTheme="minorHAnsi"/>
        </w:rPr>
      </w:pPr>
    </w:p>
    <w:p w14:paraId="27EA13DF" w14:textId="77777777" w:rsidR="00C65183" w:rsidRPr="005D37BE" w:rsidRDefault="00C65183" w:rsidP="00C65183">
      <w:pPr>
        <w:rPr>
          <w:rFonts w:asciiTheme="minorHAnsi" w:hAnsiTheme="minorHAnsi"/>
        </w:rPr>
      </w:pPr>
    </w:p>
    <w:p w14:paraId="5A0910F3" w14:textId="77777777" w:rsidR="00C65183" w:rsidRPr="005D37BE" w:rsidRDefault="00C65183" w:rsidP="00C65183">
      <w:pPr>
        <w:rPr>
          <w:rFonts w:asciiTheme="minorHAnsi" w:hAnsiTheme="minorHAnsi"/>
          <w:b/>
          <w:color w:val="0F243E" w:themeColor="text2" w:themeShade="80"/>
          <w:sz w:val="26"/>
          <w:szCs w:val="26"/>
        </w:rPr>
      </w:pPr>
      <w:r w:rsidRPr="005D37BE">
        <w:rPr>
          <w:rFonts w:asciiTheme="minorHAnsi" w:hAnsiTheme="minorHAnsi"/>
          <w:b/>
          <w:color w:val="0F243E" w:themeColor="text2" w:themeShade="80"/>
          <w:sz w:val="26"/>
          <w:szCs w:val="26"/>
        </w:rPr>
        <w:t>Early School Leaving</w:t>
      </w:r>
    </w:p>
    <w:p w14:paraId="28DC2A4C" w14:textId="77777777" w:rsidR="00C65183" w:rsidRPr="005D37BE" w:rsidRDefault="00C65183" w:rsidP="00C65183">
      <w:pPr>
        <w:rPr>
          <w:rFonts w:asciiTheme="minorHAnsi" w:hAnsiTheme="minorHAnsi"/>
          <w:color w:val="7F7F7F" w:themeColor="text1" w:themeTint="80"/>
          <w:sz w:val="20"/>
          <w:szCs w:val="20"/>
        </w:rPr>
      </w:pPr>
    </w:p>
    <w:p w14:paraId="214F6E4B" w14:textId="77777777" w:rsidR="00C65183" w:rsidRPr="005D37BE" w:rsidRDefault="00C65183" w:rsidP="00C65183">
      <w:pPr>
        <w:rPr>
          <w:rFonts w:asciiTheme="minorHAnsi" w:hAnsiTheme="minorHAnsi"/>
          <w:color w:val="7F7F7F" w:themeColor="text1" w:themeTint="80"/>
          <w:sz w:val="20"/>
          <w:szCs w:val="20"/>
        </w:rPr>
      </w:pPr>
      <w:r>
        <w:rPr>
          <w:rFonts w:asciiTheme="minorHAnsi" w:hAnsiTheme="minorHAnsi"/>
          <w:noProof/>
          <w:lang w:eastAsia="en-AU"/>
        </w:rPr>
        <w:drawing>
          <wp:anchor distT="0" distB="0" distL="114300" distR="114300" simplePos="0" relativeHeight="251806720" behindDoc="0" locked="0" layoutInCell="1" allowOverlap="1" wp14:anchorId="71A092F3" wp14:editId="3832559C">
            <wp:simplePos x="0" y="0"/>
            <wp:positionH relativeFrom="column">
              <wp:posOffset>3115310</wp:posOffset>
            </wp:positionH>
            <wp:positionV relativeFrom="paragraph">
              <wp:posOffset>1270</wp:posOffset>
            </wp:positionV>
            <wp:extent cx="3060065" cy="2114550"/>
            <wp:effectExtent l="0" t="0" r="6985" b="0"/>
            <wp:wrapSquare wrapText="bothSides"/>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3060065" cy="2114550"/>
                    </a:xfrm>
                    <a:prstGeom prst="rect">
                      <a:avLst/>
                    </a:prstGeom>
                    <a:noFill/>
                  </pic:spPr>
                </pic:pic>
              </a:graphicData>
            </a:graphic>
            <wp14:sizeRelH relativeFrom="page">
              <wp14:pctWidth>0</wp14:pctWidth>
            </wp14:sizeRelH>
            <wp14:sizeRelV relativeFrom="page">
              <wp14:pctHeight>0</wp14:pctHeight>
            </wp14:sizeRelV>
          </wp:anchor>
        </w:drawing>
      </w:r>
      <w:r w:rsidRPr="005D37BE">
        <w:rPr>
          <w:rFonts w:asciiTheme="minorHAnsi" w:hAnsiTheme="minorHAnsi"/>
          <w:color w:val="7F7F7F" w:themeColor="text1" w:themeTint="80"/>
          <w:sz w:val="20"/>
          <w:szCs w:val="20"/>
        </w:rPr>
        <w:t xml:space="preserve">Per cent of persons aged 20 to 24 years, who had left school before completing year 11, by </w:t>
      </w:r>
      <w:r>
        <w:rPr>
          <w:rFonts w:asciiTheme="minorHAnsi" w:hAnsiTheme="minorHAnsi"/>
          <w:color w:val="7F7F7F" w:themeColor="text1" w:themeTint="80"/>
          <w:sz w:val="20"/>
          <w:szCs w:val="20"/>
        </w:rPr>
        <w:t>sex</w:t>
      </w:r>
      <w:r w:rsidRPr="005D37BE">
        <w:rPr>
          <w:rFonts w:asciiTheme="minorHAnsi" w:hAnsiTheme="minorHAnsi"/>
          <w:color w:val="7F7F7F" w:themeColor="text1" w:themeTint="80"/>
          <w:sz w:val="20"/>
          <w:szCs w:val="20"/>
        </w:rPr>
        <w:t>: Greater Dandenong, 2016</w:t>
      </w:r>
    </w:p>
    <w:p w14:paraId="7F46EE10" w14:textId="77777777" w:rsidR="00C65183" w:rsidRPr="00EF61F8" w:rsidRDefault="00C65183" w:rsidP="00C65183">
      <w:pPr>
        <w:ind w:left="4962"/>
        <w:rPr>
          <w:rFonts w:asciiTheme="minorHAnsi" w:hAnsiTheme="minorHAnsi"/>
          <w:color w:val="7F7F7F" w:themeColor="text1" w:themeTint="80"/>
          <w:sz w:val="20"/>
          <w:szCs w:val="20"/>
        </w:rPr>
      </w:pPr>
      <w:r w:rsidRPr="005D37BE">
        <w:rPr>
          <w:rFonts w:asciiTheme="minorHAnsi" w:hAnsiTheme="minorHAnsi"/>
          <w:noProof/>
          <w:lang w:eastAsia="en-AU"/>
        </w:rPr>
        <mc:AlternateContent>
          <mc:Choice Requires="wps">
            <w:drawing>
              <wp:anchor distT="0" distB="0" distL="114300" distR="114300" simplePos="0" relativeHeight="251808768" behindDoc="0" locked="0" layoutInCell="1" allowOverlap="1" wp14:anchorId="7E0B19B6" wp14:editId="0AE6455E">
                <wp:simplePos x="0" y="0"/>
                <wp:positionH relativeFrom="column">
                  <wp:posOffset>-110490</wp:posOffset>
                </wp:positionH>
                <wp:positionV relativeFrom="paragraph">
                  <wp:posOffset>31115</wp:posOffset>
                </wp:positionV>
                <wp:extent cx="3209925" cy="1403985"/>
                <wp:effectExtent l="0" t="0" r="0" b="0"/>
                <wp:wrapNone/>
                <wp:docPr id="13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9925" cy="1403985"/>
                        </a:xfrm>
                        <a:prstGeom prst="rect">
                          <a:avLst/>
                        </a:prstGeom>
                        <a:noFill/>
                        <a:ln w="9525">
                          <a:noFill/>
                          <a:miter lim="800000"/>
                          <a:headEnd/>
                          <a:tailEnd/>
                        </a:ln>
                      </wps:spPr>
                      <wps:txbx>
                        <w:txbxContent>
                          <w:p w14:paraId="6839719A" w14:textId="77777777" w:rsidR="00C65183" w:rsidRDefault="00C65183" w:rsidP="00C65183">
                            <w:pPr>
                              <w:jc w:val="both"/>
                              <w:rPr>
                                <w:rFonts w:asciiTheme="minorHAnsi" w:hAnsiTheme="minorHAnsi"/>
                                <w:sz w:val="20"/>
                                <w:szCs w:val="20"/>
                              </w:rPr>
                            </w:pPr>
                            <w:r w:rsidRPr="001176C0">
                              <w:rPr>
                                <w:rFonts w:asciiTheme="minorHAnsi" w:hAnsiTheme="minorHAnsi"/>
                                <w:sz w:val="20"/>
                                <w:szCs w:val="20"/>
                              </w:rPr>
                              <w:t>Young men in Greater Dandenong are mo</w:t>
                            </w:r>
                            <w:r>
                              <w:rPr>
                                <w:rFonts w:asciiTheme="minorHAnsi" w:hAnsiTheme="minorHAnsi"/>
                                <w:sz w:val="20"/>
                                <w:szCs w:val="20"/>
                              </w:rPr>
                              <w:t>re likely to leave school early</w:t>
                            </w:r>
                            <w:r w:rsidRPr="001176C0">
                              <w:rPr>
                                <w:rFonts w:asciiTheme="minorHAnsi" w:hAnsiTheme="minorHAnsi"/>
                                <w:sz w:val="20"/>
                                <w:szCs w:val="20"/>
                              </w:rPr>
                              <w:t xml:space="preserve"> than women of the same age. </w:t>
                            </w:r>
                          </w:p>
                          <w:p w14:paraId="7EC821E5" w14:textId="77777777" w:rsidR="00C65183" w:rsidRPr="001176C0" w:rsidRDefault="00C65183" w:rsidP="00C65183">
                            <w:pPr>
                              <w:jc w:val="both"/>
                              <w:rPr>
                                <w:rFonts w:asciiTheme="minorHAnsi" w:hAnsiTheme="minorHAnsi"/>
                                <w:sz w:val="20"/>
                                <w:szCs w:val="20"/>
                              </w:rPr>
                            </w:pPr>
                            <w:r w:rsidRPr="001176C0">
                              <w:rPr>
                                <w:rFonts w:asciiTheme="minorHAnsi" w:hAnsiTheme="minorHAnsi"/>
                                <w:sz w:val="20"/>
                                <w:szCs w:val="20"/>
                              </w:rPr>
                              <w:t xml:space="preserve">Early school leaving rates in Greater Dandenong vary widely with birthplace, with women from Somalia, Macedonia, Turkey, Afghanistan and Cambodia </w:t>
                            </w:r>
                            <w:r>
                              <w:rPr>
                                <w:rFonts w:asciiTheme="minorHAnsi" w:hAnsiTheme="minorHAnsi"/>
                                <w:sz w:val="20"/>
                                <w:szCs w:val="20"/>
                              </w:rPr>
                              <w:t>recording</w:t>
                            </w:r>
                            <w:r w:rsidRPr="001176C0">
                              <w:rPr>
                                <w:rFonts w:asciiTheme="minorHAnsi" w:hAnsiTheme="minorHAnsi"/>
                                <w:sz w:val="20"/>
                                <w:szCs w:val="20"/>
                              </w:rPr>
                              <w:t xml:space="preserve"> early leaving rates in excess of 80% in 2016.</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E0B19B6" id="_x0000_s1028" type="#_x0000_t202" style="position:absolute;left:0;text-align:left;margin-left:-8.7pt;margin-top:2.45pt;width:252.75pt;height:110.55pt;z-index:25180876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" filled="f" stroked="f">
                <v:textbox style="mso-fit-shape-to-text:t">
                  <w:txbxContent>
                    <w:p w14:paraId="6839719A" w14:textId="77777777" w:rsidR="00C65183" w:rsidRDefault="00C65183" w:rsidP="00C65183">
                      <w:pPr>
                        <w:jc w:val="both"/>
                        <w:rPr>
                          <w:rFonts w:asciiTheme="minorHAnsi" w:hAnsiTheme="minorHAnsi"/>
                          <w:sz w:val="20"/>
                          <w:szCs w:val="20"/>
                        </w:rPr>
                      </w:pPr>
                      <w:r w:rsidRPr="001176C0">
                        <w:rPr>
                          <w:rFonts w:asciiTheme="minorHAnsi" w:hAnsiTheme="minorHAnsi"/>
                          <w:sz w:val="20"/>
                          <w:szCs w:val="20"/>
                        </w:rPr>
                        <w:t>Young men in Greater Dandenong are mo</w:t>
                      </w:r>
                      <w:r>
                        <w:rPr>
                          <w:rFonts w:asciiTheme="minorHAnsi" w:hAnsiTheme="minorHAnsi"/>
                          <w:sz w:val="20"/>
                          <w:szCs w:val="20"/>
                        </w:rPr>
                        <w:t>re likely to leave school early</w:t>
                      </w:r>
                      <w:r w:rsidRPr="001176C0">
                        <w:rPr>
                          <w:rFonts w:asciiTheme="minorHAnsi" w:hAnsiTheme="minorHAnsi"/>
                          <w:sz w:val="20"/>
                          <w:szCs w:val="20"/>
                        </w:rPr>
                        <w:t xml:space="preserve"> than women of the same age. </w:t>
                      </w:r>
                    </w:p>
                    <w:p w14:paraId="7EC821E5" w14:textId="77777777" w:rsidR="00C65183" w:rsidRPr="001176C0" w:rsidRDefault="00C65183" w:rsidP="00C65183">
                      <w:pPr>
                        <w:jc w:val="both"/>
                        <w:rPr>
                          <w:rFonts w:asciiTheme="minorHAnsi" w:hAnsiTheme="minorHAnsi"/>
                          <w:sz w:val="20"/>
                          <w:szCs w:val="20"/>
                        </w:rPr>
                      </w:pPr>
                      <w:r w:rsidRPr="001176C0">
                        <w:rPr>
                          <w:rFonts w:asciiTheme="minorHAnsi" w:hAnsiTheme="minorHAnsi"/>
                          <w:sz w:val="20"/>
                          <w:szCs w:val="20"/>
                        </w:rPr>
                        <w:t xml:space="preserve">Early school leaving rates in Greater Dandenong vary widely with birthplace, with women from Somalia, Macedonia, Turkey, Afghanistan and Cambodia </w:t>
                      </w:r>
                      <w:r>
                        <w:rPr>
                          <w:rFonts w:asciiTheme="minorHAnsi" w:hAnsiTheme="minorHAnsi"/>
                          <w:sz w:val="20"/>
                          <w:szCs w:val="20"/>
                        </w:rPr>
                        <w:t>recording</w:t>
                      </w:r>
                      <w:r w:rsidRPr="001176C0">
                        <w:rPr>
                          <w:rFonts w:asciiTheme="minorHAnsi" w:hAnsiTheme="minorHAnsi"/>
                          <w:sz w:val="20"/>
                          <w:szCs w:val="20"/>
                        </w:rPr>
                        <w:t xml:space="preserve"> early leaving rates in excess of 80% in 2016.</w:t>
                      </w:r>
                    </w:p>
                  </w:txbxContent>
                </v:textbox>
              </v:shape>
            </w:pict>
          </mc:Fallback>
        </mc:AlternateContent>
      </w:r>
    </w:p>
    <w:p w14:paraId="5F27CC34" w14:textId="77777777" w:rsidR="00C65183" w:rsidRDefault="00C65183" w:rsidP="00C65183">
      <w:pPr>
        <w:rPr>
          <w:rFonts w:asciiTheme="minorHAnsi" w:hAnsiTheme="minorHAnsi"/>
        </w:rPr>
      </w:pPr>
      <w:r>
        <w:rPr>
          <w:rFonts w:ascii="Calibri" w:hAnsi="Calibri"/>
          <w:noProof/>
          <w:lang w:eastAsia="en-AU"/>
        </w:rPr>
        <w:drawing>
          <wp:anchor distT="0" distB="0" distL="114300" distR="114300" simplePos="0" relativeHeight="251858944" behindDoc="0" locked="0" layoutInCell="1" allowOverlap="1" wp14:anchorId="3EFFF081" wp14:editId="7BBA5808">
            <wp:simplePos x="0" y="0"/>
            <wp:positionH relativeFrom="column">
              <wp:posOffset>1699260</wp:posOffset>
            </wp:positionH>
            <wp:positionV relativeFrom="paragraph">
              <wp:posOffset>100648</wp:posOffset>
            </wp:positionV>
            <wp:extent cx="919480" cy="685800"/>
            <wp:effectExtent l="0" t="0" r="0" b="0"/>
            <wp:wrapNone/>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ildren 31.jp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922314" cy="687914"/>
                    </a:xfrm>
                    <a:prstGeom prst="rect">
                      <a:avLst/>
                    </a:prstGeom>
                    <a:ln>
                      <a:noFill/>
                    </a:ln>
                    <a:effectLst>
                      <a:softEdge rad="127000"/>
                    </a:effectLst>
                  </pic:spPr>
                </pic:pic>
              </a:graphicData>
            </a:graphic>
            <wp14:sizeRelH relativeFrom="page">
              <wp14:pctWidth>0</wp14:pctWidth>
            </wp14:sizeRelH>
            <wp14:sizeRelV relativeFrom="page">
              <wp14:pctHeight>0</wp14:pctHeight>
            </wp14:sizeRelV>
          </wp:anchor>
        </w:drawing>
      </w:r>
    </w:p>
    <w:p w14:paraId="14D1D26A" w14:textId="77777777" w:rsidR="00C65183" w:rsidRPr="005D37BE" w:rsidRDefault="00C65183" w:rsidP="00C65183">
      <w:pPr>
        <w:rPr>
          <w:rFonts w:asciiTheme="minorHAnsi" w:hAnsiTheme="minorHAnsi"/>
          <w:b/>
          <w:color w:val="0F243E" w:themeColor="text2" w:themeShade="80"/>
          <w:sz w:val="26"/>
          <w:szCs w:val="26"/>
        </w:rPr>
      </w:pPr>
      <w:r>
        <w:rPr>
          <w:rFonts w:asciiTheme="minorHAnsi" w:hAnsiTheme="minorHAnsi"/>
          <w:b/>
          <w:color w:val="0F243E" w:themeColor="text2" w:themeShade="80"/>
          <w:sz w:val="26"/>
          <w:szCs w:val="26"/>
        </w:rPr>
        <w:t>English Literacy</w:t>
      </w:r>
    </w:p>
    <w:p w14:paraId="5081F915" w14:textId="77777777" w:rsidR="00C65183" w:rsidRDefault="00C65183" w:rsidP="00C65183">
      <w:pPr>
        <w:rPr>
          <w:rFonts w:asciiTheme="minorHAnsi" w:hAnsiTheme="minorHAnsi"/>
        </w:rPr>
      </w:pPr>
      <w:r>
        <w:rPr>
          <w:rFonts w:asciiTheme="minorHAnsi" w:hAnsiTheme="minorHAnsi"/>
          <w:noProof/>
          <w:lang w:eastAsia="en-AU"/>
        </w:rPr>
        <w:drawing>
          <wp:anchor distT="0" distB="0" distL="114300" distR="114300" simplePos="0" relativeHeight="251847680" behindDoc="0" locked="0" layoutInCell="1" allowOverlap="1" wp14:anchorId="36D01C93" wp14:editId="68E4FC01">
            <wp:simplePos x="0" y="0"/>
            <wp:positionH relativeFrom="margin">
              <wp:align>left</wp:align>
            </wp:positionH>
            <wp:positionV relativeFrom="paragraph">
              <wp:posOffset>121285</wp:posOffset>
            </wp:positionV>
            <wp:extent cx="3095625" cy="2128520"/>
            <wp:effectExtent l="0" t="0" r="9525" b="5080"/>
            <wp:wrapSquare wrapText="bothSides"/>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3095625" cy="2128520"/>
                    </a:xfrm>
                    <a:prstGeom prst="rect">
                      <a:avLst/>
                    </a:prstGeom>
                    <a:noFill/>
                  </pic:spPr>
                </pic:pic>
              </a:graphicData>
            </a:graphic>
            <wp14:sizeRelH relativeFrom="page">
              <wp14:pctWidth>0</wp14:pctWidth>
            </wp14:sizeRelH>
            <wp14:sizeRelV relativeFrom="page">
              <wp14:pctHeight>0</wp14:pctHeight>
            </wp14:sizeRelV>
          </wp:anchor>
        </w:drawing>
      </w:r>
    </w:p>
    <w:p w14:paraId="253D8CE6" w14:textId="77777777" w:rsidR="00C65183" w:rsidRDefault="00C65183" w:rsidP="00C65183">
      <w:pPr>
        <w:rPr>
          <w:rFonts w:asciiTheme="minorHAnsi" w:hAnsiTheme="minorHAnsi"/>
        </w:rPr>
      </w:pPr>
    </w:p>
    <w:p w14:paraId="4553071B" w14:textId="77777777" w:rsidR="00C65183" w:rsidRDefault="00C65183" w:rsidP="00C65183">
      <w:pPr>
        <w:rPr>
          <w:rFonts w:asciiTheme="minorHAnsi" w:hAnsiTheme="minorHAnsi"/>
        </w:rPr>
      </w:pPr>
    </w:p>
    <w:p w14:paraId="1D446F74" w14:textId="77777777" w:rsidR="00C65183" w:rsidRPr="005D37BE" w:rsidRDefault="00C65183" w:rsidP="00C65183">
      <w:pPr>
        <w:rPr>
          <w:rFonts w:asciiTheme="minorHAnsi" w:hAnsiTheme="minorHAnsi"/>
          <w:color w:val="7F7F7F" w:themeColor="text1" w:themeTint="80"/>
          <w:sz w:val="20"/>
          <w:szCs w:val="20"/>
        </w:rPr>
      </w:pPr>
      <w:r w:rsidRPr="005D37BE">
        <w:rPr>
          <w:rFonts w:asciiTheme="minorHAnsi" w:hAnsiTheme="minorHAnsi"/>
          <w:color w:val="7F7F7F" w:themeColor="text1" w:themeTint="80"/>
          <w:sz w:val="20"/>
          <w:szCs w:val="20"/>
        </w:rPr>
        <w:t xml:space="preserve">Per cent of persons aged 20 to 24 years, </w:t>
      </w:r>
      <w:r>
        <w:rPr>
          <w:rFonts w:asciiTheme="minorHAnsi" w:hAnsiTheme="minorHAnsi"/>
          <w:color w:val="7F7F7F" w:themeColor="text1" w:themeTint="80"/>
          <w:sz w:val="20"/>
          <w:szCs w:val="20"/>
        </w:rPr>
        <w:t>with limited English literacy, by sex: Australia, 2011/12</w:t>
      </w:r>
    </w:p>
    <w:p w14:paraId="6574640B" w14:textId="77777777" w:rsidR="00C65183" w:rsidRPr="005D37BE" w:rsidRDefault="00C65183" w:rsidP="00C65183">
      <w:pPr>
        <w:ind w:left="4962"/>
        <w:rPr>
          <w:rFonts w:asciiTheme="minorHAnsi" w:hAnsiTheme="minorHAnsi"/>
          <w:color w:val="7F7F7F" w:themeColor="text1" w:themeTint="80"/>
          <w:sz w:val="20"/>
          <w:szCs w:val="20"/>
        </w:rPr>
      </w:pPr>
    </w:p>
    <w:p w14:paraId="3D2EEEF6" w14:textId="77777777" w:rsidR="00C65183" w:rsidRPr="005D37BE" w:rsidRDefault="00C65183" w:rsidP="00C65183">
      <w:pPr>
        <w:ind w:left="4962"/>
        <w:rPr>
          <w:rFonts w:asciiTheme="minorHAnsi" w:hAnsiTheme="minorHAnsi"/>
          <w:color w:val="7F7F7F" w:themeColor="text1" w:themeTint="80"/>
          <w:sz w:val="20"/>
          <w:szCs w:val="20"/>
        </w:rPr>
      </w:pPr>
      <w:r w:rsidRPr="005D37BE">
        <w:rPr>
          <w:rFonts w:asciiTheme="minorHAnsi" w:hAnsiTheme="minorHAnsi"/>
          <w:noProof/>
          <w:lang w:eastAsia="en-AU"/>
        </w:rPr>
        <mc:AlternateContent>
          <mc:Choice Requires="wps">
            <w:drawing>
              <wp:anchor distT="0" distB="0" distL="114300" distR="114300" simplePos="0" relativeHeight="251807744" behindDoc="0" locked="0" layoutInCell="1" allowOverlap="1" wp14:anchorId="33A4B2F1" wp14:editId="507195B3">
                <wp:simplePos x="0" y="0"/>
                <wp:positionH relativeFrom="margin">
                  <wp:align>right</wp:align>
                </wp:positionH>
                <wp:positionV relativeFrom="paragraph">
                  <wp:posOffset>59055</wp:posOffset>
                </wp:positionV>
                <wp:extent cx="3005137" cy="1403985"/>
                <wp:effectExtent l="0" t="0" r="0" b="0"/>
                <wp:wrapNone/>
                <wp:docPr id="29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05137" cy="1403985"/>
                        </a:xfrm>
                        <a:prstGeom prst="rect">
                          <a:avLst/>
                        </a:prstGeom>
                        <a:noFill/>
                        <a:ln w="9525">
                          <a:noFill/>
                          <a:miter lim="800000"/>
                          <a:headEnd/>
                          <a:tailEnd/>
                        </a:ln>
                      </wps:spPr>
                      <wps:txbx>
                        <w:txbxContent>
                          <w:p w14:paraId="5EC93F2F" w14:textId="77777777" w:rsidR="00C65183" w:rsidRPr="002757AB" w:rsidRDefault="00C65183" w:rsidP="00C65183">
                            <w:pPr>
                              <w:jc w:val="both"/>
                              <w:rPr>
                                <w:rFonts w:asciiTheme="minorHAnsi" w:hAnsiTheme="minorHAnsi"/>
                                <w:sz w:val="20"/>
                                <w:szCs w:val="20"/>
                              </w:rPr>
                            </w:pPr>
                            <w:r w:rsidRPr="002757AB">
                              <w:rPr>
                                <w:rFonts w:ascii="Calibri" w:hAnsi="Calibri"/>
                                <w:sz w:val="20"/>
                                <w:szCs w:val="20"/>
                                <w:lang w:val="en-US"/>
                              </w:rPr>
                              <w:t>The Programme for the International Assessment of Adult Competencies,</w:t>
                            </w:r>
                            <w:r>
                              <w:rPr>
                                <w:rFonts w:ascii="Calibri" w:hAnsi="Calibri"/>
                                <w:sz w:val="20"/>
                                <w:szCs w:val="20"/>
                                <w:lang w:val="en-US"/>
                              </w:rPr>
                              <w:t xml:space="preserve"> found that among Australians aged 20-24 years, 12.8% of males and 7.5% of females had an English literacy level of, or below, Level One Literacy, the lowest levels on the scale of literacy</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3A4B2F1" id="_x0000_s1029" type="#_x0000_t202" style="position:absolute;left:0;text-align:left;margin-left:185.4pt;margin-top:4.65pt;width:236.6pt;height:110.55pt;z-index:251807744;visibility:visible;mso-wrap-style:square;mso-width-percent:0;mso-height-percent:200;mso-wrap-distance-left:9pt;mso-wrap-distance-top:0;mso-wrap-distance-right:9pt;mso-wrap-distance-bottom:0;mso-position-horizontal:righ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" filled="f" stroked="f">
                <v:textbox style="mso-fit-shape-to-text:t">
                  <w:txbxContent>
                    <w:p w14:paraId="5EC93F2F" w14:textId="77777777" w:rsidR="00C65183" w:rsidRPr="002757AB" w:rsidRDefault="00C65183" w:rsidP="00C65183">
                      <w:pPr>
                        <w:jc w:val="both"/>
                        <w:rPr>
                          <w:rFonts w:asciiTheme="minorHAnsi" w:hAnsiTheme="minorHAnsi"/>
                          <w:sz w:val="20"/>
                          <w:szCs w:val="20"/>
                        </w:rPr>
                      </w:pPr>
                      <w:r w:rsidRPr="002757AB">
                        <w:rPr>
                          <w:rFonts w:ascii="Calibri" w:hAnsi="Calibri"/>
                          <w:sz w:val="20"/>
                          <w:szCs w:val="20"/>
                          <w:lang w:val="en-US"/>
                        </w:rPr>
                        <w:t>The Programme for the International Assessment of Adult Competencies,</w:t>
                      </w:r>
                      <w:r>
                        <w:rPr>
                          <w:rFonts w:ascii="Calibri" w:hAnsi="Calibri"/>
                          <w:sz w:val="20"/>
                          <w:szCs w:val="20"/>
                          <w:lang w:val="en-US"/>
                        </w:rPr>
                        <w:t xml:space="preserve"> found that among Australians aged 20-24 years, 12.8% of males and 7.5% of females had an English literacy level of, or below, Level One Literacy, the lowest levels on the scale of literacy</w:t>
                      </w:r>
                    </w:p>
                  </w:txbxContent>
                </v:textbox>
                <w10:wrap anchorx="margin"/>
              </v:shape>
            </w:pict>
          </mc:Fallback>
        </mc:AlternateContent>
      </w:r>
    </w:p>
    <w:p w14:paraId="4C921B99" w14:textId="77777777" w:rsidR="00C65183" w:rsidRPr="005D37BE" w:rsidRDefault="00C65183" w:rsidP="00C65183">
      <w:pPr>
        <w:rPr>
          <w:rFonts w:asciiTheme="minorHAnsi" w:hAnsiTheme="minorHAnsi"/>
        </w:rPr>
      </w:pPr>
    </w:p>
    <w:p w14:paraId="1C399A52" w14:textId="77777777" w:rsidR="00C65183" w:rsidRPr="005D37BE" w:rsidRDefault="00C65183" w:rsidP="00C65183">
      <w:pPr>
        <w:rPr>
          <w:rFonts w:asciiTheme="minorHAnsi" w:hAnsiTheme="minorHAnsi"/>
        </w:rPr>
      </w:pPr>
    </w:p>
    <w:p w14:paraId="68E1F82E" w14:textId="77777777" w:rsidR="00C65183" w:rsidRPr="005D37BE" w:rsidRDefault="00C65183" w:rsidP="00C65183">
      <w:pPr>
        <w:rPr>
          <w:rFonts w:asciiTheme="minorHAnsi" w:hAnsiTheme="minorHAnsi"/>
        </w:rPr>
      </w:pPr>
    </w:p>
    <w:p w14:paraId="3FFAE5FC" w14:textId="77777777" w:rsidR="00C65183" w:rsidRDefault="00C65183" w:rsidP="00C65183">
      <w:pPr>
        <w:rPr>
          <w:rFonts w:asciiTheme="minorHAnsi" w:hAnsiTheme="minorHAnsi"/>
        </w:rPr>
      </w:pPr>
    </w:p>
    <w:p w14:paraId="1755D642" w14:textId="77777777" w:rsidR="00C65183" w:rsidRDefault="00C65183" w:rsidP="00C65183">
      <w:pPr>
        <w:rPr>
          <w:rFonts w:asciiTheme="minorHAnsi" w:hAnsiTheme="minorHAnsi"/>
        </w:rPr>
      </w:pPr>
    </w:p>
    <w:p w14:paraId="5309500E" w14:textId="77777777" w:rsidR="00C65183" w:rsidRDefault="00C65183" w:rsidP="00C65183">
      <w:pPr>
        <w:rPr>
          <w:rFonts w:asciiTheme="minorHAnsi" w:hAnsiTheme="minorHAnsi"/>
        </w:rPr>
      </w:pPr>
    </w:p>
    <w:p w14:paraId="27511E20" w14:textId="77777777" w:rsidR="00C65183" w:rsidRDefault="00C65183" w:rsidP="00C65183">
      <w:pPr>
        <w:rPr>
          <w:rFonts w:asciiTheme="minorHAnsi" w:hAnsiTheme="minorHAnsi"/>
        </w:rPr>
      </w:pPr>
    </w:p>
    <w:p w14:paraId="6DFD80D2" w14:textId="77777777" w:rsidR="00C65183" w:rsidRPr="005D37BE" w:rsidRDefault="00C65183" w:rsidP="00C65183">
      <w:pPr>
        <w:rPr>
          <w:rFonts w:asciiTheme="minorHAnsi" w:hAnsiTheme="minorHAnsi"/>
          <w:b/>
          <w:color w:val="0F243E" w:themeColor="text2" w:themeShade="80"/>
          <w:sz w:val="26"/>
          <w:szCs w:val="26"/>
        </w:rPr>
      </w:pPr>
      <w:r w:rsidRPr="005D37BE">
        <w:rPr>
          <w:rFonts w:asciiTheme="minorHAnsi" w:hAnsiTheme="minorHAnsi"/>
          <w:b/>
          <w:color w:val="0F243E" w:themeColor="text2" w:themeShade="80"/>
          <w:sz w:val="26"/>
          <w:szCs w:val="26"/>
        </w:rPr>
        <w:lastRenderedPageBreak/>
        <w:t xml:space="preserve">Tertiary Qualifications </w:t>
      </w:r>
    </w:p>
    <w:p w14:paraId="3143F845" w14:textId="77777777" w:rsidR="00C65183" w:rsidRPr="005D37BE" w:rsidRDefault="00C65183" w:rsidP="00C65183">
      <w:pPr>
        <w:jc w:val="both"/>
        <w:rPr>
          <w:rFonts w:asciiTheme="minorHAnsi" w:hAnsiTheme="minorHAnsi"/>
          <w:sz w:val="20"/>
          <w:szCs w:val="20"/>
        </w:rPr>
      </w:pPr>
      <w:r>
        <w:rPr>
          <w:rFonts w:asciiTheme="minorHAnsi" w:hAnsiTheme="minorHAnsi"/>
          <w:noProof/>
          <w:color w:val="7F7F7F" w:themeColor="text1" w:themeTint="80"/>
          <w:sz w:val="20"/>
          <w:szCs w:val="20"/>
          <w:lang w:eastAsia="en-AU"/>
        </w:rPr>
        <w:drawing>
          <wp:anchor distT="0" distB="0" distL="114300" distR="114300" simplePos="0" relativeHeight="251823104" behindDoc="0" locked="0" layoutInCell="1" allowOverlap="1" wp14:anchorId="3088DF2D" wp14:editId="0DE69173">
            <wp:simplePos x="0" y="0"/>
            <wp:positionH relativeFrom="margin">
              <wp:posOffset>1781175</wp:posOffset>
            </wp:positionH>
            <wp:positionV relativeFrom="paragraph">
              <wp:posOffset>261620</wp:posOffset>
            </wp:positionV>
            <wp:extent cx="4343400" cy="3053715"/>
            <wp:effectExtent l="0" t="0" r="0" b="0"/>
            <wp:wrapSquare wrapText="bothSides"/>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4343400" cy="3053715"/>
                    </a:xfrm>
                    <a:prstGeom prst="rect">
                      <a:avLst/>
                    </a:prstGeom>
                    <a:noFill/>
                  </pic:spPr>
                </pic:pic>
              </a:graphicData>
            </a:graphic>
            <wp14:sizeRelH relativeFrom="page">
              <wp14:pctWidth>0</wp14:pctWidth>
            </wp14:sizeRelH>
            <wp14:sizeRelV relativeFrom="page">
              <wp14:pctHeight>0</wp14:pctHeight>
            </wp14:sizeRelV>
          </wp:anchor>
        </w:drawing>
      </w:r>
      <w:r w:rsidRPr="005D37BE">
        <w:rPr>
          <w:rFonts w:asciiTheme="minorHAnsi" w:hAnsiTheme="minorHAnsi"/>
          <w:sz w:val="20"/>
          <w:szCs w:val="20"/>
        </w:rPr>
        <w:t>The 201</w:t>
      </w:r>
      <w:r>
        <w:rPr>
          <w:rFonts w:asciiTheme="minorHAnsi" w:hAnsiTheme="minorHAnsi"/>
          <w:sz w:val="20"/>
          <w:szCs w:val="20"/>
        </w:rPr>
        <w:t xml:space="preserve">6 </w:t>
      </w:r>
      <w:r w:rsidRPr="005D37BE">
        <w:rPr>
          <w:rFonts w:asciiTheme="minorHAnsi" w:hAnsiTheme="minorHAnsi"/>
          <w:sz w:val="20"/>
          <w:szCs w:val="20"/>
        </w:rPr>
        <w:t>Census found that, among 25-</w:t>
      </w:r>
      <w:r>
        <w:rPr>
          <w:rFonts w:asciiTheme="minorHAnsi" w:hAnsiTheme="minorHAnsi"/>
          <w:sz w:val="20"/>
          <w:szCs w:val="20"/>
        </w:rPr>
        <w:t>29</w:t>
      </w:r>
      <w:r w:rsidRPr="005D37BE">
        <w:rPr>
          <w:rFonts w:asciiTheme="minorHAnsi" w:hAnsiTheme="minorHAnsi"/>
          <w:sz w:val="20"/>
          <w:szCs w:val="20"/>
        </w:rPr>
        <w:t xml:space="preserve"> year-old residents, </w:t>
      </w:r>
      <w:r>
        <w:rPr>
          <w:rFonts w:asciiTheme="minorHAnsi" w:hAnsiTheme="minorHAnsi"/>
          <w:sz w:val="20"/>
          <w:szCs w:val="20"/>
        </w:rPr>
        <w:t>31</w:t>
      </w:r>
      <w:r w:rsidRPr="005D37BE">
        <w:rPr>
          <w:rFonts w:asciiTheme="minorHAnsi" w:hAnsiTheme="minorHAnsi"/>
          <w:sz w:val="20"/>
          <w:szCs w:val="20"/>
        </w:rPr>
        <w:t xml:space="preserve">% of </w:t>
      </w:r>
      <w:r>
        <w:rPr>
          <w:rFonts w:asciiTheme="minorHAnsi" w:hAnsiTheme="minorHAnsi"/>
          <w:sz w:val="20"/>
          <w:szCs w:val="20"/>
        </w:rPr>
        <w:t>men</w:t>
      </w:r>
      <w:r w:rsidRPr="005D37BE">
        <w:rPr>
          <w:rFonts w:asciiTheme="minorHAnsi" w:hAnsiTheme="minorHAnsi"/>
          <w:sz w:val="20"/>
          <w:szCs w:val="20"/>
        </w:rPr>
        <w:t xml:space="preserve"> and </w:t>
      </w:r>
      <w:r>
        <w:rPr>
          <w:rFonts w:asciiTheme="minorHAnsi" w:hAnsiTheme="minorHAnsi"/>
          <w:sz w:val="20"/>
          <w:szCs w:val="20"/>
        </w:rPr>
        <w:t>42</w:t>
      </w:r>
      <w:r w:rsidRPr="005D37BE">
        <w:rPr>
          <w:rFonts w:asciiTheme="minorHAnsi" w:hAnsiTheme="minorHAnsi"/>
          <w:sz w:val="20"/>
          <w:szCs w:val="20"/>
        </w:rPr>
        <w:t>% of women had attained a university degree.</w:t>
      </w:r>
      <w:r>
        <w:rPr>
          <w:rFonts w:asciiTheme="minorHAnsi" w:hAnsiTheme="minorHAnsi"/>
          <w:sz w:val="20"/>
          <w:szCs w:val="20"/>
        </w:rPr>
        <w:t xml:space="preserve"> </w:t>
      </w:r>
    </w:p>
    <w:p w14:paraId="17982BD6" w14:textId="77777777" w:rsidR="00C65183" w:rsidRPr="005D37BE" w:rsidRDefault="00C65183" w:rsidP="00C65183">
      <w:pPr>
        <w:rPr>
          <w:rFonts w:asciiTheme="minorHAnsi" w:hAnsiTheme="minorHAnsi"/>
          <w:color w:val="7F7F7F" w:themeColor="text1" w:themeTint="80"/>
          <w:sz w:val="20"/>
          <w:szCs w:val="20"/>
        </w:rPr>
      </w:pPr>
    </w:p>
    <w:p w14:paraId="43D67022" w14:textId="77777777" w:rsidR="00C65183" w:rsidRPr="005D37BE" w:rsidRDefault="00C65183" w:rsidP="00C65183">
      <w:pPr>
        <w:rPr>
          <w:rFonts w:asciiTheme="minorHAnsi" w:hAnsiTheme="minorHAnsi"/>
          <w:color w:val="7F7F7F" w:themeColor="text1" w:themeTint="80"/>
          <w:sz w:val="20"/>
          <w:szCs w:val="20"/>
        </w:rPr>
      </w:pPr>
      <w:r>
        <w:rPr>
          <w:rFonts w:asciiTheme="minorHAnsi" w:hAnsiTheme="minorHAnsi"/>
          <w:noProof/>
          <w:lang w:eastAsia="en-AU"/>
        </w:rPr>
        <w:drawing>
          <wp:anchor distT="0" distB="0" distL="114300" distR="114300" simplePos="0" relativeHeight="251821056" behindDoc="0" locked="0" layoutInCell="1" allowOverlap="1" wp14:anchorId="6166A2EC" wp14:editId="39850FC7">
            <wp:simplePos x="0" y="0"/>
            <wp:positionH relativeFrom="column">
              <wp:posOffset>-3648075</wp:posOffset>
            </wp:positionH>
            <wp:positionV relativeFrom="paragraph">
              <wp:posOffset>27940</wp:posOffset>
            </wp:positionV>
            <wp:extent cx="1038225" cy="1038225"/>
            <wp:effectExtent l="0" t="0" r="9525" b="9525"/>
            <wp:wrapNone/>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ducation 3.jpg"/>
                    <pic:cNvPicPr/>
                  </pic:nvPicPr>
                  <pic:blipFill>
                    <a:blip r:embed="rId189">
                      <a:extLst>
                        <a:ext uri="{28A0092B-C50C-407E-A947-70E740481C1C}">
                          <a14:useLocalDpi xmlns:a14="http://schemas.microsoft.com/office/drawing/2010/main" val="0"/>
                        </a:ext>
                      </a:extLst>
                    </a:blip>
                    <a:stretch>
                      <a:fillRect/>
                    </a:stretch>
                  </pic:blipFill>
                  <pic:spPr>
                    <a:xfrm>
                      <a:off x="0" y="0"/>
                      <a:ext cx="1038225" cy="1038225"/>
                    </a:xfrm>
                    <a:prstGeom prst="rect">
                      <a:avLst/>
                    </a:prstGeom>
                  </pic:spPr>
                </pic:pic>
              </a:graphicData>
            </a:graphic>
            <wp14:sizeRelH relativeFrom="page">
              <wp14:pctWidth>0</wp14:pctWidth>
            </wp14:sizeRelH>
            <wp14:sizeRelV relativeFrom="page">
              <wp14:pctHeight>0</wp14:pctHeight>
            </wp14:sizeRelV>
          </wp:anchor>
        </w:drawing>
      </w:r>
      <w:r w:rsidRPr="005D37BE">
        <w:rPr>
          <w:rFonts w:asciiTheme="minorHAnsi" w:hAnsiTheme="minorHAnsi"/>
          <w:color w:val="7F7F7F" w:themeColor="text1" w:themeTint="80"/>
          <w:sz w:val="20"/>
          <w:szCs w:val="20"/>
        </w:rPr>
        <w:t xml:space="preserve">Per cent of persons who hold a tertiary qualification, by </w:t>
      </w:r>
      <w:r>
        <w:rPr>
          <w:rFonts w:asciiTheme="minorHAnsi" w:hAnsiTheme="minorHAnsi"/>
          <w:color w:val="7F7F7F" w:themeColor="text1" w:themeTint="80"/>
          <w:sz w:val="20"/>
          <w:szCs w:val="20"/>
        </w:rPr>
        <w:t>sex</w:t>
      </w:r>
      <w:r w:rsidRPr="005D37BE">
        <w:rPr>
          <w:rFonts w:asciiTheme="minorHAnsi" w:hAnsiTheme="minorHAnsi"/>
          <w:color w:val="7F7F7F" w:themeColor="text1" w:themeTint="80"/>
          <w:sz w:val="20"/>
          <w:szCs w:val="20"/>
        </w:rPr>
        <w:t xml:space="preserve"> and </w:t>
      </w:r>
      <w:r>
        <w:rPr>
          <w:rFonts w:asciiTheme="minorHAnsi" w:hAnsiTheme="minorHAnsi"/>
          <w:color w:val="7F7F7F" w:themeColor="text1" w:themeTint="80"/>
          <w:sz w:val="20"/>
          <w:szCs w:val="20"/>
        </w:rPr>
        <w:t>age</w:t>
      </w:r>
      <w:r w:rsidRPr="005D37BE">
        <w:rPr>
          <w:rFonts w:asciiTheme="minorHAnsi" w:hAnsiTheme="minorHAnsi"/>
          <w:color w:val="7F7F7F" w:themeColor="text1" w:themeTint="80"/>
          <w:sz w:val="20"/>
          <w:szCs w:val="20"/>
        </w:rPr>
        <w:t xml:space="preserve">: </w:t>
      </w:r>
      <w:r>
        <w:rPr>
          <w:rFonts w:asciiTheme="minorHAnsi" w:hAnsiTheme="minorHAnsi"/>
          <w:color w:val="7F7F7F" w:themeColor="text1" w:themeTint="80"/>
          <w:sz w:val="20"/>
          <w:szCs w:val="20"/>
        </w:rPr>
        <w:t>Greater Dandenong</w:t>
      </w:r>
      <w:r w:rsidRPr="005D37BE">
        <w:rPr>
          <w:rFonts w:asciiTheme="minorHAnsi" w:hAnsiTheme="minorHAnsi"/>
          <w:color w:val="7F7F7F" w:themeColor="text1" w:themeTint="80"/>
          <w:sz w:val="20"/>
          <w:szCs w:val="20"/>
        </w:rPr>
        <w:t>, 201</w:t>
      </w:r>
      <w:r>
        <w:rPr>
          <w:rFonts w:asciiTheme="minorHAnsi" w:hAnsiTheme="minorHAnsi"/>
          <w:color w:val="7F7F7F" w:themeColor="text1" w:themeTint="80"/>
          <w:sz w:val="20"/>
          <w:szCs w:val="20"/>
        </w:rPr>
        <w:t>6</w:t>
      </w:r>
    </w:p>
    <w:p w14:paraId="14989575" w14:textId="77777777" w:rsidR="00C65183" w:rsidRPr="005D37BE" w:rsidRDefault="00C65183" w:rsidP="00C65183">
      <w:pPr>
        <w:rPr>
          <w:rFonts w:asciiTheme="minorHAnsi" w:hAnsiTheme="minorHAnsi"/>
          <w:sz w:val="20"/>
          <w:szCs w:val="20"/>
        </w:rPr>
      </w:pPr>
      <w:r w:rsidRPr="005D37BE">
        <w:rPr>
          <w:rFonts w:asciiTheme="minorHAnsi" w:hAnsiTheme="minorHAnsi"/>
          <w:noProof/>
          <w:lang w:eastAsia="en-AU"/>
        </w:rPr>
        <mc:AlternateContent>
          <mc:Choice Requires="wps">
            <w:drawing>
              <wp:anchor distT="0" distB="0" distL="114300" distR="114300" simplePos="0" relativeHeight="251809792" behindDoc="0" locked="0" layoutInCell="1" allowOverlap="1" wp14:anchorId="40BB092E" wp14:editId="625BF2EA">
                <wp:simplePos x="0" y="0"/>
                <wp:positionH relativeFrom="column">
                  <wp:posOffset>-67627</wp:posOffset>
                </wp:positionH>
                <wp:positionV relativeFrom="paragraph">
                  <wp:posOffset>71438</wp:posOffset>
                </wp:positionV>
                <wp:extent cx="1847850" cy="1962150"/>
                <wp:effectExtent l="0" t="0" r="0" b="0"/>
                <wp:wrapNone/>
                <wp:docPr id="13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7850" cy="1962150"/>
                        </a:xfrm>
                        <a:prstGeom prst="rect">
                          <a:avLst/>
                        </a:prstGeom>
                        <a:noFill/>
                        <a:ln w="9525">
                          <a:noFill/>
                          <a:miter lim="800000"/>
                          <a:headEnd/>
                          <a:tailEnd/>
                        </a:ln>
                      </wps:spPr>
                      <wps:txbx>
                        <w:txbxContent>
                          <w:p w14:paraId="6989C49D" w14:textId="77777777" w:rsidR="00C65183" w:rsidRPr="001176C0" w:rsidRDefault="00C65183" w:rsidP="00C65183">
                            <w:pPr>
                              <w:jc w:val="both"/>
                              <w:rPr>
                                <w:rFonts w:asciiTheme="minorHAnsi" w:hAnsiTheme="minorHAnsi"/>
                                <w:sz w:val="20"/>
                                <w:szCs w:val="20"/>
                              </w:rPr>
                            </w:pPr>
                            <w:r w:rsidRPr="001176C0">
                              <w:rPr>
                                <w:rFonts w:asciiTheme="minorHAnsi" w:hAnsiTheme="minorHAnsi"/>
                                <w:sz w:val="20"/>
                                <w:szCs w:val="20"/>
                              </w:rPr>
                              <w:t>The 201</w:t>
                            </w:r>
                            <w:r>
                              <w:rPr>
                                <w:rFonts w:asciiTheme="minorHAnsi" w:hAnsiTheme="minorHAnsi"/>
                                <w:sz w:val="20"/>
                                <w:szCs w:val="20"/>
                              </w:rPr>
                              <w:t>6</w:t>
                            </w:r>
                            <w:r w:rsidRPr="001176C0">
                              <w:rPr>
                                <w:rFonts w:asciiTheme="minorHAnsi" w:hAnsiTheme="minorHAnsi"/>
                                <w:sz w:val="20"/>
                                <w:szCs w:val="20"/>
                              </w:rPr>
                              <w:t xml:space="preserve"> Census revealed that </w:t>
                            </w:r>
                            <w:r>
                              <w:rPr>
                                <w:rFonts w:asciiTheme="minorHAnsi" w:hAnsiTheme="minorHAnsi"/>
                                <w:sz w:val="20"/>
                                <w:szCs w:val="20"/>
                              </w:rPr>
                              <w:t>younger women</w:t>
                            </w:r>
                            <w:r w:rsidRPr="001176C0">
                              <w:rPr>
                                <w:rFonts w:asciiTheme="minorHAnsi" w:hAnsiTheme="minorHAnsi"/>
                                <w:sz w:val="20"/>
                                <w:szCs w:val="20"/>
                              </w:rPr>
                              <w:t xml:space="preserve"> were more likely than </w:t>
                            </w:r>
                            <w:r>
                              <w:rPr>
                                <w:rFonts w:asciiTheme="minorHAnsi" w:hAnsiTheme="minorHAnsi"/>
                                <w:sz w:val="20"/>
                                <w:szCs w:val="20"/>
                              </w:rPr>
                              <w:t>older women</w:t>
                            </w:r>
                            <w:r w:rsidRPr="001176C0">
                              <w:rPr>
                                <w:rFonts w:asciiTheme="minorHAnsi" w:hAnsiTheme="minorHAnsi"/>
                                <w:sz w:val="20"/>
                                <w:szCs w:val="20"/>
                              </w:rPr>
                              <w:t xml:space="preserve"> to hold a tertiary qualification. </w:t>
                            </w:r>
                            <w:r>
                              <w:rPr>
                                <w:rFonts w:asciiTheme="minorHAnsi" w:hAnsiTheme="minorHAnsi"/>
                                <w:sz w:val="20"/>
                                <w:szCs w:val="20"/>
                              </w:rPr>
                              <w:t>For example,</w:t>
                            </w:r>
                            <w:r w:rsidRPr="001176C0">
                              <w:rPr>
                                <w:rFonts w:asciiTheme="minorHAnsi" w:hAnsiTheme="minorHAnsi"/>
                                <w:sz w:val="20"/>
                                <w:szCs w:val="20"/>
                              </w:rPr>
                              <w:t xml:space="preserve"> women </w:t>
                            </w:r>
                            <w:r>
                              <w:rPr>
                                <w:rFonts w:asciiTheme="minorHAnsi" w:hAnsiTheme="minorHAnsi"/>
                                <w:sz w:val="20"/>
                                <w:szCs w:val="20"/>
                              </w:rPr>
                              <w:t xml:space="preserve">aged 25-29 years </w:t>
                            </w:r>
                            <w:r w:rsidRPr="001176C0">
                              <w:rPr>
                                <w:rFonts w:asciiTheme="minorHAnsi" w:hAnsiTheme="minorHAnsi"/>
                                <w:sz w:val="20"/>
                                <w:szCs w:val="20"/>
                              </w:rPr>
                              <w:t xml:space="preserve">were </w:t>
                            </w:r>
                            <w:r>
                              <w:rPr>
                                <w:rFonts w:asciiTheme="minorHAnsi" w:hAnsiTheme="minorHAnsi"/>
                                <w:sz w:val="20"/>
                                <w:szCs w:val="20"/>
                              </w:rPr>
                              <w:t>more than</w:t>
                            </w:r>
                            <w:r w:rsidRPr="001176C0">
                              <w:rPr>
                                <w:rFonts w:asciiTheme="minorHAnsi" w:hAnsiTheme="minorHAnsi"/>
                                <w:sz w:val="20"/>
                                <w:szCs w:val="20"/>
                              </w:rPr>
                              <w:t xml:space="preserve"> ten times more likely to hold a tertiary qualification than those born </w:t>
                            </w:r>
                            <w:r>
                              <w:rPr>
                                <w:rFonts w:asciiTheme="minorHAnsi" w:hAnsiTheme="minorHAnsi"/>
                                <w:sz w:val="20"/>
                                <w:szCs w:val="20"/>
                              </w:rPr>
                              <w:t>sixty</w:t>
                            </w:r>
                            <w:r w:rsidRPr="001176C0">
                              <w:rPr>
                                <w:rFonts w:asciiTheme="minorHAnsi" w:hAnsiTheme="minorHAnsi"/>
                                <w:sz w:val="20"/>
                                <w:szCs w:val="20"/>
                              </w:rPr>
                              <w:t xml:space="preserve"> years earlier</w:t>
                            </w:r>
                            <w:r>
                              <w:rPr>
                                <w:rFonts w:asciiTheme="minorHAnsi" w:hAnsiTheme="minorHAnsi"/>
                                <w:sz w:val="20"/>
                                <w:szCs w:val="20"/>
                              </w:rPr>
                              <w:t>. These younger women were also decisively</w:t>
                            </w:r>
                            <w:r w:rsidRPr="001176C0">
                              <w:rPr>
                                <w:rFonts w:asciiTheme="minorHAnsi" w:hAnsiTheme="minorHAnsi"/>
                                <w:sz w:val="20"/>
                                <w:szCs w:val="20"/>
                              </w:rPr>
                              <w:t xml:space="preserve"> more likely to hold such qualifications than their male contemporaries</w:t>
                            </w:r>
                            <w:r>
                              <w:rPr>
                                <w:rFonts w:asciiTheme="minorHAnsi" w:hAnsiTheme="minorHAnsi"/>
                                <w:sz w:val="20"/>
                                <w:szCs w:val="2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0BB092E" id="_x0000_s1030" type="#_x0000_t202" style="position:absolute;margin-left:-5.3pt;margin-top:5.65pt;width:145.5pt;height:154.5pt;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" filled="f" stroked="f">
                <v:textbox>
                  <w:txbxContent>
                    <w:p w14:paraId="6989C49D" w14:textId="77777777" w:rsidR="00C65183" w:rsidRPr="001176C0" w:rsidRDefault="00C65183" w:rsidP="00C65183">
                      <w:pPr>
                        <w:jc w:val="both"/>
                        <w:rPr>
                          <w:rFonts w:asciiTheme="minorHAnsi" w:hAnsiTheme="minorHAnsi"/>
                          <w:sz w:val="20"/>
                          <w:szCs w:val="20"/>
                        </w:rPr>
                      </w:pPr>
                      <w:r w:rsidRPr="001176C0">
                        <w:rPr>
                          <w:rFonts w:asciiTheme="minorHAnsi" w:hAnsiTheme="minorHAnsi"/>
                          <w:sz w:val="20"/>
                          <w:szCs w:val="20"/>
                        </w:rPr>
                        <w:t>The 201</w:t>
                      </w:r>
                      <w:r>
                        <w:rPr>
                          <w:rFonts w:asciiTheme="minorHAnsi" w:hAnsiTheme="minorHAnsi"/>
                          <w:sz w:val="20"/>
                          <w:szCs w:val="20"/>
                        </w:rPr>
                        <w:t>6</w:t>
                      </w:r>
                      <w:r w:rsidRPr="001176C0">
                        <w:rPr>
                          <w:rFonts w:asciiTheme="minorHAnsi" w:hAnsiTheme="minorHAnsi"/>
                          <w:sz w:val="20"/>
                          <w:szCs w:val="20"/>
                        </w:rPr>
                        <w:t xml:space="preserve"> Census revealed that </w:t>
                      </w:r>
                      <w:r>
                        <w:rPr>
                          <w:rFonts w:asciiTheme="minorHAnsi" w:hAnsiTheme="minorHAnsi"/>
                          <w:sz w:val="20"/>
                          <w:szCs w:val="20"/>
                        </w:rPr>
                        <w:t>younger women</w:t>
                      </w:r>
                      <w:r w:rsidRPr="001176C0">
                        <w:rPr>
                          <w:rFonts w:asciiTheme="minorHAnsi" w:hAnsiTheme="minorHAnsi"/>
                          <w:sz w:val="20"/>
                          <w:szCs w:val="20"/>
                        </w:rPr>
                        <w:t xml:space="preserve"> were more likely than </w:t>
                      </w:r>
                      <w:r>
                        <w:rPr>
                          <w:rFonts w:asciiTheme="minorHAnsi" w:hAnsiTheme="minorHAnsi"/>
                          <w:sz w:val="20"/>
                          <w:szCs w:val="20"/>
                        </w:rPr>
                        <w:t>older women</w:t>
                      </w:r>
                      <w:r w:rsidRPr="001176C0">
                        <w:rPr>
                          <w:rFonts w:asciiTheme="minorHAnsi" w:hAnsiTheme="minorHAnsi"/>
                          <w:sz w:val="20"/>
                          <w:szCs w:val="20"/>
                        </w:rPr>
                        <w:t xml:space="preserve"> to hold a tertiary qualification. </w:t>
                      </w:r>
                      <w:r>
                        <w:rPr>
                          <w:rFonts w:asciiTheme="minorHAnsi" w:hAnsiTheme="minorHAnsi"/>
                          <w:sz w:val="20"/>
                          <w:szCs w:val="20"/>
                        </w:rPr>
                        <w:t>For example,</w:t>
                      </w:r>
                      <w:r w:rsidRPr="001176C0">
                        <w:rPr>
                          <w:rFonts w:asciiTheme="minorHAnsi" w:hAnsiTheme="minorHAnsi"/>
                          <w:sz w:val="20"/>
                          <w:szCs w:val="20"/>
                        </w:rPr>
                        <w:t xml:space="preserve"> women </w:t>
                      </w:r>
                      <w:r>
                        <w:rPr>
                          <w:rFonts w:asciiTheme="minorHAnsi" w:hAnsiTheme="minorHAnsi"/>
                          <w:sz w:val="20"/>
                          <w:szCs w:val="20"/>
                        </w:rPr>
                        <w:t xml:space="preserve">aged 25-29 years </w:t>
                      </w:r>
                      <w:r w:rsidRPr="001176C0">
                        <w:rPr>
                          <w:rFonts w:asciiTheme="minorHAnsi" w:hAnsiTheme="minorHAnsi"/>
                          <w:sz w:val="20"/>
                          <w:szCs w:val="20"/>
                        </w:rPr>
                        <w:t xml:space="preserve">were </w:t>
                      </w:r>
                      <w:r>
                        <w:rPr>
                          <w:rFonts w:asciiTheme="minorHAnsi" w:hAnsiTheme="minorHAnsi"/>
                          <w:sz w:val="20"/>
                          <w:szCs w:val="20"/>
                        </w:rPr>
                        <w:t>more than</w:t>
                      </w:r>
                      <w:r w:rsidRPr="001176C0">
                        <w:rPr>
                          <w:rFonts w:asciiTheme="minorHAnsi" w:hAnsiTheme="minorHAnsi"/>
                          <w:sz w:val="20"/>
                          <w:szCs w:val="20"/>
                        </w:rPr>
                        <w:t xml:space="preserve"> ten times more likely to hold a tertiary qualification than those born </w:t>
                      </w:r>
                      <w:r>
                        <w:rPr>
                          <w:rFonts w:asciiTheme="minorHAnsi" w:hAnsiTheme="minorHAnsi"/>
                          <w:sz w:val="20"/>
                          <w:szCs w:val="20"/>
                        </w:rPr>
                        <w:t>sixty</w:t>
                      </w:r>
                      <w:r w:rsidRPr="001176C0">
                        <w:rPr>
                          <w:rFonts w:asciiTheme="minorHAnsi" w:hAnsiTheme="minorHAnsi"/>
                          <w:sz w:val="20"/>
                          <w:szCs w:val="20"/>
                        </w:rPr>
                        <w:t xml:space="preserve"> years earlier</w:t>
                      </w:r>
                      <w:r>
                        <w:rPr>
                          <w:rFonts w:asciiTheme="minorHAnsi" w:hAnsiTheme="minorHAnsi"/>
                          <w:sz w:val="20"/>
                          <w:szCs w:val="20"/>
                        </w:rPr>
                        <w:t>. These younger women were also decisively</w:t>
                      </w:r>
                      <w:r w:rsidRPr="001176C0">
                        <w:rPr>
                          <w:rFonts w:asciiTheme="minorHAnsi" w:hAnsiTheme="minorHAnsi"/>
                          <w:sz w:val="20"/>
                          <w:szCs w:val="20"/>
                        </w:rPr>
                        <w:t xml:space="preserve"> more likely to hold such qualifications than their male contemporaries</w:t>
                      </w:r>
                      <w:r>
                        <w:rPr>
                          <w:rFonts w:asciiTheme="minorHAnsi" w:hAnsiTheme="minorHAnsi"/>
                          <w:sz w:val="20"/>
                          <w:szCs w:val="20"/>
                        </w:rPr>
                        <w:t>.</w:t>
                      </w:r>
                    </w:p>
                  </w:txbxContent>
                </v:textbox>
              </v:shape>
            </w:pict>
          </mc:Fallback>
        </mc:AlternateContent>
      </w:r>
    </w:p>
    <w:p w14:paraId="3CAA5975" w14:textId="77777777" w:rsidR="00C65183" w:rsidRPr="005D37BE" w:rsidRDefault="00C65183" w:rsidP="00C65183">
      <w:pPr>
        <w:rPr>
          <w:rFonts w:asciiTheme="minorHAnsi" w:hAnsiTheme="minorHAnsi"/>
          <w:sz w:val="20"/>
          <w:szCs w:val="20"/>
        </w:rPr>
      </w:pPr>
    </w:p>
    <w:p w14:paraId="6E36C0EE" w14:textId="77777777" w:rsidR="00C65183" w:rsidRPr="005D37BE" w:rsidRDefault="00C65183" w:rsidP="00C65183">
      <w:pPr>
        <w:rPr>
          <w:rFonts w:asciiTheme="minorHAnsi" w:hAnsiTheme="minorHAnsi"/>
          <w:sz w:val="20"/>
          <w:szCs w:val="20"/>
        </w:rPr>
      </w:pPr>
    </w:p>
    <w:p w14:paraId="45946C16" w14:textId="77777777" w:rsidR="00C65183" w:rsidRPr="005D37BE" w:rsidRDefault="00C65183" w:rsidP="00C65183">
      <w:pPr>
        <w:rPr>
          <w:rFonts w:asciiTheme="minorHAnsi" w:hAnsiTheme="minorHAnsi"/>
          <w:sz w:val="20"/>
          <w:szCs w:val="20"/>
        </w:rPr>
      </w:pPr>
    </w:p>
    <w:p w14:paraId="6A036B1F" w14:textId="77777777" w:rsidR="00C65183" w:rsidRPr="005D37BE" w:rsidRDefault="00C65183" w:rsidP="00C65183">
      <w:pPr>
        <w:rPr>
          <w:rFonts w:asciiTheme="minorHAnsi" w:hAnsiTheme="minorHAnsi"/>
          <w:sz w:val="20"/>
          <w:szCs w:val="20"/>
        </w:rPr>
      </w:pPr>
    </w:p>
    <w:p w14:paraId="20316A04" w14:textId="77777777" w:rsidR="00C65183" w:rsidRPr="005D37BE" w:rsidRDefault="00C65183" w:rsidP="00C65183">
      <w:pPr>
        <w:rPr>
          <w:rFonts w:asciiTheme="minorHAnsi" w:hAnsiTheme="minorHAnsi"/>
          <w:sz w:val="20"/>
          <w:szCs w:val="20"/>
        </w:rPr>
      </w:pPr>
    </w:p>
    <w:p w14:paraId="22BCE88E" w14:textId="77777777" w:rsidR="00C65183" w:rsidRPr="005D37BE" w:rsidRDefault="00C65183" w:rsidP="00C65183">
      <w:pPr>
        <w:rPr>
          <w:rFonts w:asciiTheme="minorHAnsi" w:hAnsiTheme="minorHAnsi"/>
          <w:sz w:val="20"/>
          <w:szCs w:val="20"/>
        </w:rPr>
      </w:pPr>
    </w:p>
    <w:p w14:paraId="443265E7" w14:textId="77777777" w:rsidR="00C65183" w:rsidRPr="005D37BE" w:rsidRDefault="00C65183" w:rsidP="00C65183">
      <w:pPr>
        <w:rPr>
          <w:rFonts w:asciiTheme="minorHAnsi" w:hAnsiTheme="minorHAnsi"/>
          <w:sz w:val="20"/>
          <w:szCs w:val="20"/>
        </w:rPr>
      </w:pPr>
    </w:p>
    <w:p w14:paraId="5C7C3259" w14:textId="77777777" w:rsidR="00C65183" w:rsidRPr="005D37BE" w:rsidRDefault="00C65183" w:rsidP="00C65183">
      <w:pPr>
        <w:rPr>
          <w:rFonts w:asciiTheme="minorHAnsi" w:hAnsiTheme="minorHAnsi"/>
          <w:sz w:val="20"/>
          <w:szCs w:val="20"/>
        </w:rPr>
      </w:pPr>
    </w:p>
    <w:p w14:paraId="23A45B99" w14:textId="77777777" w:rsidR="00C65183" w:rsidRPr="005D37BE" w:rsidRDefault="00C65183" w:rsidP="00C65183">
      <w:pPr>
        <w:rPr>
          <w:rFonts w:asciiTheme="minorHAnsi" w:hAnsiTheme="minorHAnsi"/>
          <w:sz w:val="20"/>
          <w:szCs w:val="20"/>
        </w:rPr>
      </w:pPr>
    </w:p>
    <w:p w14:paraId="735AB932" w14:textId="77777777" w:rsidR="00C65183" w:rsidRPr="005D37BE" w:rsidRDefault="00C65183" w:rsidP="00C65183">
      <w:pPr>
        <w:rPr>
          <w:rFonts w:asciiTheme="minorHAnsi" w:hAnsiTheme="minorHAnsi"/>
        </w:rPr>
      </w:pPr>
      <w:r w:rsidRPr="005D37BE">
        <w:rPr>
          <w:rFonts w:asciiTheme="minorHAnsi" w:hAnsiTheme="minorHAnsi"/>
        </w:rPr>
        <w:t>.</w:t>
      </w:r>
    </w:p>
    <w:p w14:paraId="7A7FB157" w14:textId="77777777" w:rsidR="00C65183" w:rsidRPr="005D37BE" w:rsidRDefault="00C65183" w:rsidP="00C65183">
      <w:pPr>
        <w:rPr>
          <w:rFonts w:asciiTheme="minorHAnsi" w:hAnsiTheme="minorHAnsi"/>
        </w:rPr>
      </w:pPr>
    </w:p>
    <w:p w14:paraId="0FC35251" w14:textId="77777777" w:rsidR="00C65183" w:rsidRPr="005D37BE" w:rsidRDefault="00C65183" w:rsidP="00C65183">
      <w:pPr>
        <w:rPr>
          <w:rFonts w:asciiTheme="minorHAnsi" w:hAnsiTheme="minorHAnsi"/>
          <w:color w:val="7F7F7F" w:themeColor="text1" w:themeTint="80"/>
          <w:sz w:val="20"/>
          <w:szCs w:val="20"/>
        </w:rPr>
      </w:pPr>
    </w:p>
    <w:p w14:paraId="53399CB4" w14:textId="77777777" w:rsidR="00C65183" w:rsidRDefault="00C65183" w:rsidP="00C65183">
      <w:pPr>
        <w:rPr>
          <w:rFonts w:asciiTheme="minorHAnsi" w:hAnsiTheme="minorHAnsi"/>
          <w:b/>
          <w:color w:val="0F243E" w:themeColor="text2" w:themeShade="80"/>
          <w:sz w:val="20"/>
          <w:szCs w:val="20"/>
        </w:rPr>
      </w:pPr>
    </w:p>
    <w:p w14:paraId="643D96D5" w14:textId="77777777" w:rsidR="00C65183" w:rsidRDefault="00C65183" w:rsidP="00C65183">
      <w:pPr>
        <w:rPr>
          <w:rFonts w:asciiTheme="minorHAnsi" w:hAnsiTheme="minorHAnsi"/>
          <w:b/>
          <w:color w:val="0F243E" w:themeColor="text2" w:themeShade="80"/>
          <w:sz w:val="20"/>
          <w:szCs w:val="20"/>
        </w:rPr>
      </w:pPr>
    </w:p>
    <w:p w14:paraId="29D0435F" w14:textId="77777777" w:rsidR="00C65183" w:rsidRPr="00FE4678" w:rsidRDefault="00C65183" w:rsidP="00C65183">
      <w:pPr>
        <w:rPr>
          <w:rFonts w:asciiTheme="minorHAnsi" w:hAnsiTheme="minorHAnsi"/>
          <w:b/>
          <w:color w:val="0F243E" w:themeColor="text2" w:themeShade="80"/>
          <w:sz w:val="20"/>
          <w:szCs w:val="20"/>
        </w:rPr>
      </w:pPr>
      <w:r>
        <w:rPr>
          <w:rFonts w:asciiTheme="minorHAnsi" w:hAnsiTheme="minorHAnsi"/>
          <w:noProof/>
          <w:lang w:eastAsia="en-AU"/>
        </w:rPr>
        <w:drawing>
          <wp:anchor distT="0" distB="0" distL="114300" distR="114300" simplePos="0" relativeHeight="251832320" behindDoc="0" locked="0" layoutInCell="1" allowOverlap="1" wp14:anchorId="7C82E69A" wp14:editId="44D59BDB">
            <wp:simplePos x="0" y="0"/>
            <wp:positionH relativeFrom="column">
              <wp:posOffset>3789997</wp:posOffset>
            </wp:positionH>
            <wp:positionV relativeFrom="paragraph">
              <wp:posOffset>133985</wp:posOffset>
            </wp:positionV>
            <wp:extent cx="942975" cy="691515"/>
            <wp:effectExtent l="0" t="0" r="9525" b="0"/>
            <wp:wrapNone/>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munity Unhappy 3.jpg"/>
                    <pic:cNvPicPr/>
                  </pic:nvPicPr>
                  <pic:blipFill>
                    <a:blip r:embed="rId190" cstate="print">
                      <a:extLst>
                        <a:ext uri="{28A0092B-C50C-407E-A947-70E740481C1C}">
                          <a14:useLocalDpi xmlns:a14="http://schemas.microsoft.com/office/drawing/2010/main" val="0"/>
                        </a:ext>
                      </a:extLst>
                    </a:blip>
                    <a:stretch>
                      <a:fillRect/>
                    </a:stretch>
                  </pic:blipFill>
                  <pic:spPr>
                    <a:xfrm>
                      <a:off x="0" y="0"/>
                      <a:ext cx="946242" cy="693911"/>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35B54CC2" w14:textId="77777777" w:rsidR="00C65183" w:rsidRPr="005D37BE" w:rsidRDefault="00C65183" w:rsidP="00C65183">
      <w:pPr>
        <w:rPr>
          <w:rFonts w:asciiTheme="minorHAnsi" w:hAnsiTheme="minorHAnsi"/>
          <w:b/>
          <w:color w:val="0F243E" w:themeColor="text2" w:themeShade="80"/>
          <w:sz w:val="26"/>
          <w:szCs w:val="26"/>
        </w:rPr>
      </w:pPr>
      <w:r>
        <w:rPr>
          <w:rFonts w:asciiTheme="minorHAnsi" w:hAnsiTheme="minorHAnsi"/>
          <w:b/>
          <w:noProof/>
          <w:color w:val="0F243E" w:themeColor="text2" w:themeShade="80"/>
          <w:sz w:val="26"/>
          <w:szCs w:val="26"/>
          <w:lang w:eastAsia="en-AU"/>
        </w:rPr>
        <w:drawing>
          <wp:anchor distT="0" distB="0" distL="114300" distR="114300" simplePos="0" relativeHeight="251826176" behindDoc="0" locked="0" layoutInCell="1" allowOverlap="1" wp14:anchorId="51C8E86A" wp14:editId="23890BC4">
            <wp:simplePos x="0" y="0"/>
            <wp:positionH relativeFrom="column">
              <wp:posOffset>2903855</wp:posOffset>
            </wp:positionH>
            <wp:positionV relativeFrom="paragraph">
              <wp:posOffset>-1905</wp:posOffset>
            </wp:positionV>
            <wp:extent cx="3138170" cy="2219325"/>
            <wp:effectExtent l="0" t="0" r="5080" b="9525"/>
            <wp:wrapSquare wrapText="bothSides"/>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3138170" cy="2219325"/>
                    </a:xfrm>
                    <a:prstGeom prst="rect">
                      <a:avLst/>
                    </a:prstGeom>
                    <a:noFill/>
                  </pic:spPr>
                </pic:pic>
              </a:graphicData>
            </a:graphic>
            <wp14:sizeRelH relativeFrom="page">
              <wp14:pctWidth>0</wp14:pctWidth>
            </wp14:sizeRelH>
            <wp14:sizeRelV relativeFrom="page">
              <wp14:pctHeight>0</wp14:pctHeight>
            </wp14:sizeRelV>
          </wp:anchor>
        </w:drawing>
      </w:r>
      <w:r w:rsidRPr="005D37BE">
        <w:rPr>
          <w:rFonts w:asciiTheme="minorHAnsi" w:hAnsiTheme="minorHAnsi"/>
          <w:b/>
          <w:color w:val="0F243E" w:themeColor="text2" w:themeShade="80"/>
          <w:sz w:val="26"/>
          <w:szCs w:val="26"/>
        </w:rPr>
        <w:t>Youth Disengagement</w:t>
      </w:r>
    </w:p>
    <w:p w14:paraId="074E7FA1" w14:textId="77777777" w:rsidR="00C65183" w:rsidRPr="00FE4678" w:rsidRDefault="00C65183" w:rsidP="00C65183">
      <w:pPr>
        <w:rPr>
          <w:rFonts w:asciiTheme="minorHAnsi" w:hAnsiTheme="minorHAnsi"/>
          <w:sz w:val="20"/>
          <w:szCs w:val="20"/>
        </w:rPr>
      </w:pPr>
    </w:p>
    <w:p w14:paraId="6982EC19" w14:textId="77777777" w:rsidR="00C65183" w:rsidRPr="005D37BE" w:rsidRDefault="00C65183" w:rsidP="00C65183">
      <w:pPr>
        <w:rPr>
          <w:rFonts w:asciiTheme="minorHAnsi" w:hAnsiTheme="minorHAnsi"/>
          <w:color w:val="7F7F7F" w:themeColor="text1" w:themeTint="80"/>
          <w:sz w:val="20"/>
          <w:szCs w:val="20"/>
        </w:rPr>
      </w:pPr>
      <w:r w:rsidRPr="005D37BE">
        <w:rPr>
          <w:rFonts w:asciiTheme="minorHAnsi" w:hAnsiTheme="minorHAnsi"/>
          <w:color w:val="7F7F7F" w:themeColor="text1" w:themeTint="80"/>
          <w:sz w:val="20"/>
          <w:szCs w:val="20"/>
        </w:rPr>
        <w:t xml:space="preserve">Per cent of persons aged 20-24 years, who were neither in paid employment nor enrolled in education or job training, by </w:t>
      </w:r>
      <w:r>
        <w:rPr>
          <w:rFonts w:asciiTheme="minorHAnsi" w:hAnsiTheme="minorHAnsi"/>
          <w:color w:val="7F7F7F" w:themeColor="text1" w:themeTint="80"/>
          <w:sz w:val="20"/>
          <w:szCs w:val="20"/>
        </w:rPr>
        <w:t>sex</w:t>
      </w:r>
      <w:r w:rsidRPr="005D37BE">
        <w:rPr>
          <w:rFonts w:asciiTheme="minorHAnsi" w:hAnsiTheme="minorHAnsi"/>
          <w:color w:val="7F7F7F" w:themeColor="text1" w:themeTint="80"/>
          <w:sz w:val="20"/>
          <w:szCs w:val="20"/>
        </w:rPr>
        <w:t>: Greater Dandenong, 201</w:t>
      </w:r>
      <w:r>
        <w:rPr>
          <w:rFonts w:asciiTheme="minorHAnsi" w:hAnsiTheme="minorHAnsi"/>
          <w:color w:val="7F7F7F" w:themeColor="text1" w:themeTint="80"/>
          <w:sz w:val="20"/>
          <w:szCs w:val="20"/>
        </w:rPr>
        <w:t>6</w:t>
      </w:r>
    </w:p>
    <w:p w14:paraId="5EA86627" w14:textId="77777777" w:rsidR="00C65183" w:rsidRPr="005D37BE" w:rsidRDefault="00C65183" w:rsidP="00C65183">
      <w:pPr>
        <w:rPr>
          <w:rFonts w:asciiTheme="minorHAnsi" w:hAnsiTheme="minorHAnsi"/>
        </w:rPr>
      </w:pPr>
      <w:r w:rsidRPr="005D37BE">
        <w:rPr>
          <w:rFonts w:asciiTheme="minorHAnsi" w:hAnsiTheme="minorHAnsi"/>
          <w:noProof/>
          <w:lang w:eastAsia="en-AU"/>
        </w:rPr>
        <mc:AlternateContent>
          <mc:Choice Requires="wps">
            <w:drawing>
              <wp:anchor distT="0" distB="0" distL="114300" distR="114300" simplePos="0" relativeHeight="251810816" behindDoc="0" locked="0" layoutInCell="1" allowOverlap="1" wp14:anchorId="5B952F33" wp14:editId="05409EEF">
                <wp:simplePos x="0" y="0"/>
                <wp:positionH relativeFrom="column">
                  <wp:posOffset>-100965</wp:posOffset>
                </wp:positionH>
                <wp:positionV relativeFrom="paragraph">
                  <wp:posOffset>69215</wp:posOffset>
                </wp:positionV>
                <wp:extent cx="3000375" cy="1403985"/>
                <wp:effectExtent l="0" t="0" r="0" b="0"/>
                <wp:wrapNone/>
                <wp:docPr id="14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00375" cy="1403985"/>
                        </a:xfrm>
                        <a:prstGeom prst="rect">
                          <a:avLst/>
                        </a:prstGeom>
                        <a:noFill/>
                        <a:ln w="9525">
                          <a:noFill/>
                          <a:miter lim="800000"/>
                          <a:headEnd/>
                          <a:tailEnd/>
                        </a:ln>
                      </wps:spPr>
                      <wps:txbx>
                        <w:txbxContent>
                          <w:p w14:paraId="6548B35E" w14:textId="77777777" w:rsidR="00C65183" w:rsidRPr="009D25F7" w:rsidRDefault="00C65183" w:rsidP="00C65183">
                            <w:pPr>
                              <w:jc w:val="both"/>
                              <w:rPr>
                                <w:rFonts w:asciiTheme="minorHAnsi" w:hAnsiTheme="minorHAnsi"/>
                                <w:sz w:val="20"/>
                                <w:szCs w:val="20"/>
                              </w:rPr>
                            </w:pPr>
                            <w:r>
                              <w:rPr>
                                <w:rFonts w:asciiTheme="minorHAnsi" w:hAnsiTheme="minorHAnsi"/>
                                <w:sz w:val="20"/>
                                <w:szCs w:val="20"/>
                              </w:rPr>
                              <w:t>Despite their higher school retention levels, disengagement levels among young women in Greater Dandenong are substantially higher than for males, due to the fact that most young women with children are not in paid employment or enrolled in education.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B952F33" id="_x0000_s1031" type="#_x0000_t202" style="position:absolute;margin-left:-7.95pt;margin-top:5.45pt;width:236.25pt;height:110.55pt;z-index:25181081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" filled="f" stroked="f">
                <v:textbox style="mso-fit-shape-to-text:t">
                  <w:txbxContent>
                    <w:p w14:paraId="6548B35E" w14:textId="77777777" w:rsidR="00C65183" w:rsidRPr="009D25F7" w:rsidRDefault="00C65183" w:rsidP="00C65183">
                      <w:pPr>
                        <w:jc w:val="both"/>
                        <w:rPr>
                          <w:rFonts w:asciiTheme="minorHAnsi" w:hAnsiTheme="minorHAnsi"/>
                          <w:sz w:val="20"/>
                          <w:szCs w:val="20"/>
                        </w:rPr>
                      </w:pPr>
                      <w:r>
                        <w:rPr>
                          <w:rFonts w:asciiTheme="minorHAnsi" w:hAnsiTheme="minorHAnsi"/>
                          <w:sz w:val="20"/>
                          <w:szCs w:val="20"/>
                        </w:rPr>
                        <w:t>Despite their higher school retention levels, disengagement levels among young women in Greater Dandenong are substantially higher than for males, due to the fact that most young women with children are not in paid employment or enrolled in education.</w:t>
                      </w:r>
                    </w:p>
                  </w:txbxContent>
                </v:textbox>
              </v:shape>
            </w:pict>
          </mc:Fallback>
        </mc:AlternateContent>
      </w:r>
    </w:p>
    <w:p w14:paraId="7D63D5A8" w14:textId="77777777" w:rsidR="00C65183" w:rsidRPr="005D37BE" w:rsidRDefault="00C65183" w:rsidP="00C65183">
      <w:pPr>
        <w:rPr>
          <w:rFonts w:asciiTheme="minorHAnsi" w:hAnsiTheme="minorHAnsi"/>
        </w:rPr>
      </w:pPr>
    </w:p>
    <w:p w14:paraId="7A089905" w14:textId="77777777" w:rsidR="00C65183" w:rsidRPr="005D37BE" w:rsidRDefault="00C65183" w:rsidP="00C65183">
      <w:pPr>
        <w:rPr>
          <w:rFonts w:asciiTheme="minorHAnsi" w:hAnsiTheme="minorHAnsi"/>
        </w:rPr>
      </w:pPr>
    </w:p>
    <w:p w14:paraId="36E352EC" w14:textId="77777777" w:rsidR="00C65183" w:rsidRPr="005D37BE" w:rsidRDefault="00C65183" w:rsidP="00C65183">
      <w:pPr>
        <w:rPr>
          <w:rFonts w:asciiTheme="minorHAnsi" w:hAnsiTheme="minorHAnsi"/>
        </w:rPr>
      </w:pPr>
    </w:p>
    <w:p w14:paraId="49F0F62F" w14:textId="77777777" w:rsidR="00C65183" w:rsidRPr="005D37BE" w:rsidRDefault="00C65183" w:rsidP="00C65183">
      <w:pPr>
        <w:rPr>
          <w:rFonts w:asciiTheme="minorHAnsi" w:hAnsiTheme="minorHAnsi"/>
        </w:rPr>
      </w:pPr>
    </w:p>
    <w:p w14:paraId="3C2149BB" w14:textId="77777777" w:rsidR="00C65183" w:rsidRPr="005D37BE" w:rsidRDefault="00C65183" w:rsidP="00C65183">
      <w:pPr>
        <w:rPr>
          <w:rFonts w:asciiTheme="minorHAnsi" w:hAnsiTheme="minorHAnsi"/>
        </w:rPr>
      </w:pPr>
    </w:p>
    <w:p w14:paraId="641670E9" w14:textId="77777777" w:rsidR="00C65183" w:rsidRDefault="00C65183" w:rsidP="00C65183">
      <w:pPr>
        <w:rPr>
          <w:rFonts w:asciiTheme="minorHAnsi" w:hAnsiTheme="minorHAnsi"/>
        </w:rPr>
      </w:pPr>
    </w:p>
    <w:p w14:paraId="4BF67CA6" w14:textId="77777777" w:rsidR="00C65183" w:rsidRPr="005D37BE" w:rsidRDefault="00C65183" w:rsidP="00C65183">
      <w:pPr>
        <w:rPr>
          <w:rFonts w:asciiTheme="minorHAnsi" w:hAnsiTheme="minorHAnsi"/>
        </w:rPr>
      </w:pPr>
    </w:p>
    <w:p w14:paraId="4A18DC9F" w14:textId="77777777" w:rsidR="00C65183" w:rsidRPr="005D37BE" w:rsidRDefault="00C65183" w:rsidP="00C65183">
      <w:pPr>
        <w:rPr>
          <w:rFonts w:asciiTheme="minorHAnsi" w:hAnsiTheme="minorHAnsi"/>
          <w:b/>
          <w:color w:val="0F243E" w:themeColor="text2" w:themeShade="80"/>
          <w:sz w:val="26"/>
          <w:szCs w:val="26"/>
        </w:rPr>
      </w:pPr>
      <w:r w:rsidRPr="005D37BE">
        <w:rPr>
          <w:rFonts w:asciiTheme="minorHAnsi" w:hAnsiTheme="minorHAnsi"/>
          <w:b/>
          <w:color w:val="0F243E" w:themeColor="text2" w:themeShade="80"/>
          <w:sz w:val="26"/>
          <w:szCs w:val="26"/>
        </w:rPr>
        <w:t>Paid Employment</w:t>
      </w:r>
    </w:p>
    <w:p w14:paraId="36D4A451" w14:textId="77777777" w:rsidR="00C65183" w:rsidRPr="005D37BE" w:rsidRDefault="00C65183" w:rsidP="00C65183">
      <w:pPr>
        <w:jc w:val="both"/>
        <w:rPr>
          <w:rFonts w:asciiTheme="minorHAnsi" w:hAnsiTheme="minorHAnsi"/>
          <w:sz w:val="20"/>
          <w:szCs w:val="20"/>
        </w:rPr>
      </w:pPr>
      <w:bookmarkStart w:id="14" w:name="_Hlk61442577"/>
      <w:r w:rsidRPr="005D37BE">
        <w:rPr>
          <w:rFonts w:asciiTheme="minorHAnsi" w:hAnsiTheme="minorHAnsi"/>
          <w:sz w:val="20"/>
          <w:szCs w:val="20"/>
        </w:rPr>
        <w:t>The 201</w:t>
      </w:r>
      <w:r>
        <w:rPr>
          <w:rFonts w:asciiTheme="minorHAnsi" w:hAnsiTheme="minorHAnsi"/>
          <w:sz w:val="20"/>
          <w:szCs w:val="20"/>
        </w:rPr>
        <w:t>6</w:t>
      </w:r>
      <w:r w:rsidRPr="005D37BE">
        <w:rPr>
          <w:rFonts w:asciiTheme="minorHAnsi" w:hAnsiTheme="minorHAnsi"/>
          <w:sz w:val="20"/>
          <w:szCs w:val="20"/>
        </w:rPr>
        <w:t xml:space="preserve"> Census found that among persons aged </w:t>
      </w:r>
      <w:r>
        <w:rPr>
          <w:rFonts w:asciiTheme="minorHAnsi" w:hAnsiTheme="minorHAnsi"/>
          <w:sz w:val="20"/>
          <w:szCs w:val="20"/>
        </w:rPr>
        <w:t>1</w:t>
      </w:r>
      <w:r w:rsidRPr="005D37BE">
        <w:rPr>
          <w:rFonts w:asciiTheme="minorHAnsi" w:hAnsiTheme="minorHAnsi"/>
          <w:sz w:val="20"/>
          <w:szCs w:val="20"/>
        </w:rPr>
        <w:t>5-64 year</w:t>
      </w:r>
      <w:r>
        <w:rPr>
          <w:rFonts w:asciiTheme="minorHAnsi" w:hAnsiTheme="minorHAnsi"/>
          <w:sz w:val="20"/>
          <w:szCs w:val="20"/>
        </w:rPr>
        <w:t>s in Greater Dandenong</w:t>
      </w:r>
      <w:r w:rsidRPr="005D37BE">
        <w:rPr>
          <w:rFonts w:asciiTheme="minorHAnsi" w:hAnsiTheme="minorHAnsi"/>
          <w:sz w:val="20"/>
          <w:szCs w:val="20"/>
        </w:rPr>
        <w:t xml:space="preserve">, </w:t>
      </w:r>
      <w:r>
        <w:rPr>
          <w:rFonts w:asciiTheme="minorHAnsi" w:hAnsiTheme="minorHAnsi"/>
          <w:sz w:val="20"/>
          <w:szCs w:val="20"/>
        </w:rPr>
        <w:t>68</w:t>
      </w:r>
      <w:r w:rsidRPr="005D37BE">
        <w:rPr>
          <w:rFonts w:asciiTheme="minorHAnsi" w:hAnsiTheme="minorHAnsi"/>
          <w:sz w:val="20"/>
          <w:szCs w:val="20"/>
        </w:rPr>
        <w:t xml:space="preserve">% of men were in paid employment, compared with </w:t>
      </w:r>
      <w:r>
        <w:rPr>
          <w:rFonts w:asciiTheme="minorHAnsi" w:hAnsiTheme="minorHAnsi"/>
          <w:sz w:val="20"/>
          <w:szCs w:val="20"/>
        </w:rPr>
        <w:t>53</w:t>
      </w:r>
      <w:r w:rsidRPr="005D37BE">
        <w:rPr>
          <w:rFonts w:asciiTheme="minorHAnsi" w:hAnsiTheme="minorHAnsi"/>
          <w:sz w:val="20"/>
          <w:szCs w:val="20"/>
        </w:rPr>
        <w:t>% of women.</w:t>
      </w:r>
      <w:r>
        <w:rPr>
          <w:rFonts w:asciiTheme="minorHAnsi" w:hAnsiTheme="minorHAnsi"/>
          <w:sz w:val="20"/>
          <w:szCs w:val="20"/>
        </w:rPr>
        <w:t xml:space="preserve"> </w:t>
      </w:r>
      <w:r w:rsidRPr="00FE4678">
        <w:rPr>
          <w:rFonts w:asciiTheme="minorHAnsi" w:hAnsiTheme="minorHAnsi"/>
          <w:sz w:val="20"/>
          <w:szCs w:val="20"/>
        </w:rPr>
        <w:t xml:space="preserve">In </w:t>
      </w:r>
      <w:r>
        <w:rPr>
          <w:rFonts w:asciiTheme="minorHAnsi" w:hAnsiTheme="minorHAnsi"/>
          <w:sz w:val="20"/>
          <w:szCs w:val="20"/>
        </w:rPr>
        <w:t>December</w:t>
      </w:r>
      <w:r w:rsidRPr="00FE4678">
        <w:rPr>
          <w:rFonts w:asciiTheme="minorHAnsi" w:hAnsiTheme="minorHAnsi"/>
          <w:sz w:val="20"/>
          <w:szCs w:val="20"/>
        </w:rPr>
        <w:t xml:space="preserve"> 2020, </w:t>
      </w:r>
      <w:r>
        <w:rPr>
          <w:rFonts w:asciiTheme="minorHAnsi" w:hAnsiTheme="minorHAnsi"/>
          <w:sz w:val="20"/>
          <w:szCs w:val="20"/>
        </w:rPr>
        <w:t>67</w:t>
      </w:r>
      <w:r w:rsidRPr="00FE4678">
        <w:rPr>
          <w:rFonts w:asciiTheme="minorHAnsi" w:hAnsiTheme="minorHAnsi"/>
          <w:sz w:val="20"/>
          <w:szCs w:val="20"/>
        </w:rPr>
        <w:t xml:space="preserve">% of </w:t>
      </w:r>
      <w:r>
        <w:rPr>
          <w:rFonts w:asciiTheme="minorHAnsi" w:hAnsiTheme="minorHAnsi"/>
          <w:sz w:val="20"/>
          <w:szCs w:val="20"/>
        </w:rPr>
        <w:t>Victorian</w:t>
      </w:r>
      <w:r w:rsidRPr="00FE4678">
        <w:rPr>
          <w:rFonts w:asciiTheme="minorHAnsi" w:hAnsiTheme="minorHAnsi"/>
          <w:sz w:val="20"/>
          <w:szCs w:val="20"/>
        </w:rPr>
        <w:t xml:space="preserve"> males aged 15</w:t>
      </w:r>
      <w:r>
        <w:rPr>
          <w:rFonts w:asciiTheme="minorHAnsi" w:hAnsiTheme="minorHAnsi"/>
          <w:sz w:val="20"/>
          <w:szCs w:val="20"/>
        </w:rPr>
        <w:t>-64</w:t>
      </w:r>
      <w:r w:rsidRPr="00FE4678">
        <w:rPr>
          <w:rFonts w:asciiTheme="minorHAnsi" w:hAnsiTheme="minorHAnsi"/>
          <w:sz w:val="20"/>
          <w:szCs w:val="20"/>
        </w:rPr>
        <w:t xml:space="preserve"> held paid employment, compared with </w:t>
      </w:r>
      <w:r>
        <w:rPr>
          <w:rFonts w:asciiTheme="minorHAnsi" w:hAnsiTheme="minorHAnsi"/>
          <w:sz w:val="20"/>
          <w:szCs w:val="20"/>
        </w:rPr>
        <w:t>56</w:t>
      </w:r>
      <w:r w:rsidRPr="00FE4678">
        <w:rPr>
          <w:rFonts w:asciiTheme="minorHAnsi" w:hAnsiTheme="minorHAnsi"/>
          <w:sz w:val="20"/>
          <w:szCs w:val="20"/>
        </w:rPr>
        <w:t>% of females</w:t>
      </w:r>
      <w:r>
        <w:rPr>
          <w:rFonts w:asciiTheme="minorHAnsi" w:hAnsiTheme="minorHAnsi"/>
          <w:sz w:val="20"/>
          <w:szCs w:val="20"/>
        </w:rPr>
        <w:t xml:space="preserve">. Notably though, </w:t>
      </w:r>
      <w:r w:rsidRPr="00FE4678">
        <w:rPr>
          <w:rFonts w:asciiTheme="minorHAnsi" w:hAnsiTheme="minorHAnsi"/>
          <w:sz w:val="20"/>
          <w:szCs w:val="20"/>
        </w:rPr>
        <w:t xml:space="preserve">the proportion of females who were in paid work has risen </w:t>
      </w:r>
      <w:r>
        <w:rPr>
          <w:rFonts w:asciiTheme="minorHAnsi" w:hAnsiTheme="minorHAnsi"/>
          <w:sz w:val="20"/>
          <w:szCs w:val="20"/>
        </w:rPr>
        <w:t>from</w:t>
      </w:r>
      <w:r w:rsidRPr="00FE4678">
        <w:rPr>
          <w:rFonts w:asciiTheme="minorHAnsi" w:hAnsiTheme="minorHAnsi"/>
          <w:sz w:val="20"/>
          <w:szCs w:val="20"/>
        </w:rPr>
        <w:t xml:space="preserve"> </w:t>
      </w:r>
      <w:r>
        <w:rPr>
          <w:rFonts w:asciiTheme="minorHAnsi" w:hAnsiTheme="minorHAnsi"/>
          <w:sz w:val="20"/>
          <w:szCs w:val="20"/>
        </w:rPr>
        <w:t xml:space="preserve">40% </w:t>
      </w:r>
      <w:r w:rsidRPr="00FE4678">
        <w:rPr>
          <w:rFonts w:asciiTheme="minorHAnsi" w:hAnsiTheme="minorHAnsi"/>
          <w:sz w:val="20"/>
          <w:szCs w:val="20"/>
        </w:rPr>
        <w:t>since 1978</w:t>
      </w:r>
      <w:r>
        <w:rPr>
          <w:rFonts w:asciiTheme="minorHAnsi" w:hAnsiTheme="minorHAnsi"/>
          <w:sz w:val="20"/>
          <w:szCs w:val="20"/>
        </w:rPr>
        <w:t>.</w:t>
      </w:r>
    </w:p>
    <w:bookmarkEnd w:id="14"/>
    <w:p w14:paraId="16B08820" w14:textId="77777777" w:rsidR="00C65183" w:rsidRPr="005D37BE" w:rsidRDefault="00C65183" w:rsidP="00C65183">
      <w:pPr>
        <w:rPr>
          <w:rFonts w:asciiTheme="minorHAnsi" w:hAnsiTheme="minorHAnsi"/>
        </w:rPr>
      </w:pPr>
      <w:r>
        <w:rPr>
          <w:rFonts w:asciiTheme="minorHAnsi" w:hAnsiTheme="minorHAnsi"/>
          <w:noProof/>
          <w:lang w:eastAsia="en-AU"/>
        </w:rPr>
        <w:drawing>
          <wp:anchor distT="0" distB="0" distL="114300" distR="114300" simplePos="0" relativeHeight="251846656" behindDoc="0" locked="0" layoutInCell="1" allowOverlap="1" wp14:anchorId="1B1DDD6A" wp14:editId="63C3F3E3">
            <wp:simplePos x="0" y="0"/>
            <wp:positionH relativeFrom="column">
              <wp:posOffset>3810</wp:posOffset>
            </wp:positionH>
            <wp:positionV relativeFrom="paragraph">
              <wp:posOffset>46355</wp:posOffset>
            </wp:positionV>
            <wp:extent cx="3447415" cy="2409825"/>
            <wp:effectExtent l="0" t="0" r="635" b="9525"/>
            <wp:wrapSquare wrapText="bothSides"/>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3447415" cy="2409825"/>
                    </a:xfrm>
                    <a:prstGeom prst="rect">
                      <a:avLst/>
                    </a:prstGeom>
                    <a:noFill/>
                  </pic:spPr>
                </pic:pic>
              </a:graphicData>
            </a:graphic>
            <wp14:sizeRelH relativeFrom="page">
              <wp14:pctWidth>0</wp14:pctWidth>
            </wp14:sizeRelH>
            <wp14:sizeRelV relativeFrom="page">
              <wp14:pctHeight>0</wp14:pctHeight>
            </wp14:sizeRelV>
          </wp:anchor>
        </w:drawing>
      </w:r>
      <w:r w:rsidRPr="00A60DEF">
        <w:rPr>
          <w:rFonts w:asciiTheme="minorHAnsi" w:hAnsiTheme="minorHAnsi"/>
          <w:noProof/>
          <w:lang w:eastAsia="en-AU"/>
        </w:rPr>
        <w:drawing>
          <wp:anchor distT="0" distB="0" distL="114300" distR="114300" simplePos="0" relativeHeight="251849728" behindDoc="0" locked="0" layoutInCell="1" allowOverlap="1" wp14:anchorId="6F703722" wp14:editId="3F00143B">
            <wp:simplePos x="0" y="0"/>
            <wp:positionH relativeFrom="column">
              <wp:posOffset>-2085975</wp:posOffset>
            </wp:positionH>
            <wp:positionV relativeFrom="paragraph">
              <wp:posOffset>107315</wp:posOffset>
            </wp:positionV>
            <wp:extent cx="1133475" cy="880110"/>
            <wp:effectExtent l="0" t="0" r="9525" b="0"/>
            <wp:wrapNone/>
            <wp:docPr id="3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21">
                      <a:extLst>
                        <a:ext uri="{28A0092B-C50C-407E-A947-70E740481C1C}">
                          <a14:useLocalDpi xmlns:a14="http://schemas.microsoft.com/office/drawing/2010/main" val="0"/>
                        </a:ext>
                      </a:extLst>
                    </a:blip>
                    <a:stretch>
                      <a:fillRect/>
                    </a:stretch>
                  </pic:blipFill>
                  <pic:spPr>
                    <a:xfrm>
                      <a:off x="0" y="0"/>
                      <a:ext cx="1133475" cy="880110"/>
                    </a:xfrm>
                    <a:prstGeom prst="rect">
                      <a:avLst/>
                    </a:prstGeom>
                    <a:ln>
                      <a:noFill/>
                    </a:ln>
                    <a:effectLst>
                      <a:softEdge rad="127000"/>
                    </a:effectLst>
                  </pic:spPr>
                </pic:pic>
              </a:graphicData>
            </a:graphic>
            <wp14:sizeRelH relativeFrom="page">
              <wp14:pctWidth>0</wp14:pctWidth>
            </wp14:sizeRelH>
            <wp14:sizeRelV relativeFrom="page">
              <wp14:pctHeight>0</wp14:pctHeight>
            </wp14:sizeRelV>
          </wp:anchor>
        </w:drawing>
      </w:r>
      <w:r>
        <w:rPr>
          <w:rFonts w:asciiTheme="minorHAnsi" w:hAnsiTheme="minorHAnsi"/>
          <w:noProof/>
          <w:lang w:eastAsia="en-AU"/>
        </w:rPr>
        <w:drawing>
          <wp:anchor distT="0" distB="0" distL="114300" distR="114300" simplePos="0" relativeHeight="251822080" behindDoc="0" locked="0" layoutInCell="1" allowOverlap="1" wp14:anchorId="0114DF19" wp14:editId="18BF7662">
            <wp:simplePos x="0" y="0"/>
            <wp:positionH relativeFrom="column">
              <wp:posOffset>-3044825</wp:posOffset>
            </wp:positionH>
            <wp:positionV relativeFrom="paragraph">
              <wp:posOffset>106680</wp:posOffset>
            </wp:positionV>
            <wp:extent cx="1247775" cy="968375"/>
            <wp:effectExtent l="0" t="0" r="9525" b="3175"/>
            <wp:wrapNone/>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merce Employment 2.jpg"/>
                    <pic:cNvPicPr/>
                  </pic:nvPicPr>
                  <pic:blipFill>
                    <a:blip r:embed="rId121">
                      <a:extLst>
                        <a:ext uri="{28A0092B-C50C-407E-A947-70E740481C1C}">
                          <a14:useLocalDpi xmlns:a14="http://schemas.microsoft.com/office/drawing/2010/main" val="0"/>
                        </a:ext>
                      </a:extLst>
                    </a:blip>
                    <a:stretch>
                      <a:fillRect/>
                    </a:stretch>
                  </pic:blipFill>
                  <pic:spPr>
                    <a:xfrm>
                      <a:off x="0" y="0"/>
                      <a:ext cx="1247775" cy="96837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0D62FF28" w14:textId="77777777" w:rsidR="00C65183" w:rsidRPr="005D37BE" w:rsidRDefault="00C65183" w:rsidP="00C65183">
      <w:pPr>
        <w:rPr>
          <w:rFonts w:asciiTheme="minorHAnsi" w:hAnsiTheme="minorHAnsi"/>
          <w:color w:val="7F7F7F" w:themeColor="text1" w:themeTint="80"/>
          <w:sz w:val="20"/>
          <w:szCs w:val="20"/>
        </w:rPr>
      </w:pPr>
      <w:r w:rsidRPr="005D37BE">
        <w:rPr>
          <w:rFonts w:asciiTheme="minorHAnsi" w:hAnsiTheme="minorHAnsi"/>
          <w:color w:val="7F7F7F" w:themeColor="text1" w:themeTint="80"/>
          <w:sz w:val="20"/>
          <w:szCs w:val="20"/>
        </w:rPr>
        <w:t xml:space="preserve">Per cent of persons in paid employment who were employed as managers or professionals, by </w:t>
      </w:r>
      <w:r>
        <w:rPr>
          <w:rFonts w:asciiTheme="minorHAnsi" w:hAnsiTheme="minorHAnsi"/>
          <w:color w:val="7F7F7F" w:themeColor="text1" w:themeTint="80"/>
          <w:sz w:val="20"/>
          <w:szCs w:val="20"/>
        </w:rPr>
        <w:t>sex</w:t>
      </w:r>
      <w:r w:rsidRPr="005D37BE">
        <w:rPr>
          <w:rFonts w:asciiTheme="minorHAnsi" w:hAnsiTheme="minorHAnsi"/>
          <w:color w:val="7F7F7F" w:themeColor="text1" w:themeTint="80"/>
          <w:sz w:val="20"/>
          <w:szCs w:val="20"/>
        </w:rPr>
        <w:t>: Greater Dandenong, 201</w:t>
      </w:r>
      <w:r>
        <w:rPr>
          <w:rFonts w:asciiTheme="minorHAnsi" w:hAnsiTheme="minorHAnsi"/>
          <w:color w:val="7F7F7F" w:themeColor="text1" w:themeTint="80"/>
          <w:sz w:val="20"/>
          <w:szCs w:val="20"/>
        </w:rPr>
        <w:t>6</w:t>
      </w:r>
    </w:p>
    <w:p w14:paraId="29E3589B" w14:textId="77777777" w:rsidR="00C65183" w:rsidRDefault="00C65183" w:rsidP="00C65183">
      <w:pPr>
        <w:rPr>
          <w:rFonts w:asciiTheme="minorHAnsi" w:hAnsiTheme="minorHAnsi"/>
        </w:rPr>
      </w:pPr>
    </w:p>
    <w:p w14:paraId="11CAF932" w14:textId="77777777" w:rsidR="00C65183" w:rsidRPr="005D37BE" w:rsidRDefault="00C65183" w:rsidP="00C65183">
      <w:pPr>
        <w:rPr>
          <w:rFonts w:asciiTheme="minorHAnsi" w:hAnsiTheme="minorHAnsi"/>
        </w:rPr>
      </w:pPr>
      <w:r w:rsidRPr="005D37BE">
        <w:rPr>
          <w:rFonts w:asciiTheme="minorHAnsi" w:hAnsiTheme="minorHAnsi"/>
          <w:noProof/>
          <w:lang w:eastAsia="en-AU"/>
        </w:rPr>
        <mc:AlternateContent>
          <mc:Choice Requires="wps">
            <w:drawing>
              <wp:anchor distT="0" distB="0" distL="114300" distR="114300" simplePos="0" relativeHeight="251811840" behindDoc="0" locked="0" layoutInCell="1" allowOverlap="1" wp14:anchorId="042D5F34" wp14:editId="5BAA0573">
                <wp:simplePos x="0" y="0"/>
                <wp:positionH relativeFrom="column">
                  <wp:posOffset>-28575</wp:posOffset>
                </wp:positionH>
                <wp:positionV relativeFrom="paragraph">
                  <wp:posOffset>133350</wp:posOffset>
                </wp:positionV>
                <wp:extent cx="2667000" cy="1514475"/>
                <wp:effectExtent l="0" t="0" r="0" b="0"/>
                <wp:wrapNone/>
                <wp:docPr id="14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0" cy="1514475"/>
                        </a:xfrm>
                        <a:prstGeom prst="rect">
                          <a:avLst/>
                        </a:prstGeom>
                        <a:noFill/>
                        <a:ln w="9525">
                          <a:noFill/>
                          <a:miter lim="800000"/>
                          <a:headEnd/>
                          <a:tailEnd/>
                        </a:ln>
                      </wps:spPr>
                      <wps:txbx>
                        <w:txbxContent>
                          <w:p w14:paraId="3116126A" w14:textId="77777777" w:rsidR="00C65183" w:rsidRDefault="00C65183" w:rsidP="00C65183">
                            <w:pPr>
                              <w:jc w:val="both"/>
                              <w:rPr>
                                <w:rFonts w:asciiTheme="minorHAnsi" w:hAnsiTheme="minorHAnsi"/>
                                <w:sz w:val="20"/>
                                <w:szCs w:val="20"/>
                              </w:rPr>
                            </w:pPr>
                            <w:r w:rsidRPr="001176C0">
                              <w:rPr>
                                <w:rFonts w:asciiTheme="minorHAnsi" w:hAnsiTheme="minorHAnsi"/>
                                <w:sz w:val="20"/>
                                <w:szCs w:val="20"/>
                              </w:rPr>
                              <w:t>The 201</w:t>
                            </w:r>
                            <w:r>
                              <w:rPr>
                                <w:rFonts w:asciiTheme="minorHAnsi" w:hAnsiTheme="minorHAnsi"/>
                                <w:sz w:val="20"/>
                                <w:szCs w:val="20"/>
                              </w:rPr>
                              <w:t>6</w:t>
                            </w:r>
                            <w:r w:rsidRPr="001176C0">
                              <w:rPr>
                                <w:rFonts w:asciiTheme="minorHAnsi" w:hAnsiTheme="minorHAnsi"/>
                                <w:sz w:val="20"/>
                                <w:szCs w:val="20"/>
                              </w:rPr>
                              <w:t xml:space="preserve"> Census </w:t>
                            </w:r>
                            <w:r>
                              <w:rPr>
                                <w:rFonts w:asciiTheme="minorHAnsi" w:hAnsiTheme="minorHAnsi"/>
                                <w:sz w:val="20"/>
                                <w:szCs w:val="20"/>
                              </w:rPr>
                              <w:t xml:space="preserve">also revealed </w:t>
                            </w:r>
                            <w:r w:rsidRPr="001176C0">
                              <w:rPr>
                                <w:rFonts w:asciiTheme="minorHAnsi" w:hAnsiTheme="minorHAnsi"/>
                                <w:sz w:val="20"/>
                                <w:szCs w:val="20"/>
                              </w:rPr>
                              <w:t>that</w:t>
                            </w:r>
                            <w:r>
                              <w:rPr>
                                <w:rFonts w:asciiTheme="minorHAnsi" w:hAnsiTheme="minorHAnsi"/>
                                <w:sz w:val="20"/>
                                <w:szCs w:val="20"/>
                              </w:rPr>
                              <w:t>, in Greater Dandenong,</w:t>
                            </w:r>
                            <w:r w:rsidRPr="001176C0">
                              <w:rPr>
                                <w:rFonts w:asciiTheme="minorHAnsi" w:hAnsiTheme="minorHAnsi"/>
                                <w:sz w:val="20"/>
                                <w:szCs w:val="20"/>
                              </w:rPr>
                              <w:t xml:space="preserve"> </w:t>
                            </w:r>
                            <w:r>
                              <w:rPr>
                                <w:rFonts w:asciiTheme="minorHAnsi" w:hAnsiTheme="minorHAnsi"/>
                                <w:sz w:val="20"/>
                                <w:szCs w:val="20"/>
                              </w:rPr>
                              <w:t>60% of men in paid employment</w:t>
                            </w:r>
                            <w:r w:rsidRPr="001176C0">
                              <w:rPr>
                                <w:rFonts w:asciiTheme="minorHAnsi" w:hAnsiTheme="minorHAnsi"/>
                                <w:sz w:val="20"/>
                                <w:szCs w:val="20"/>
                              </w:rPr>
                              <w:t xml:space="preserve"> worked as tradespersons, labourers or machinery operators, compared with </w:t>
                            </w:r>
                            <w:r>
                              <w:rPr>
                                <w:rFonts w:asciiTheme="minorHAnsi" w:hAnsiTheme="minorHAnsi"/>
                                <w:sz w:val="20"/>
                                <w:szCs w:val="20"/>
                              </w:rPr>
                              <w:t>26</w:t>
                            </w:r>
                            <w:r w:rsidRPr="001176C0">
                              <w:rPr>
                                <w:rFonts w:asciiTheme="minorHAnsi" w:hAnsiTheme="minorHAnsi"/>
                                <w:sz w:val="20"/>
                                <w:szCs w:val="20"/>
                              </w:rPr>
                              <w:t xml:space="preserve">% of women. </w:t>
                            </w:r>
                          </w:p>
                          <w:p w14:paraId="36CD2A40" w14:textId="77777777" w:rsidR="00C65183" w:rsidRPr="001176C0" w:rsidRDefault="00C65183" w:rsidP="00C65183">
                            <w:pPr>
                              <w:jc w:val="both"/>
                              <w:rPr>
                                <w:rFonts w:asciiTheme="minorHAnsi" w:hAnsiTheme="minorHAnsi"/>
                                <w:sz w:val="20"/>
                                <w:szCs w:val="20"/>
                              </w:rPr>
                            </w:pPr>
                            <w:r w:rsidRPr="001176C0">
                              <w:rPr>
                                <w:rFonts w:asciiTheme="minorHAnsi" w:hAnsiTheme="minorHAnsi"/>
                                <w:sz w:val="20"/>
                                <w:szCs w:val="20"/>
                              </w:rPr>
                              <w:t xml:space="preserve">Conversely, </w:t>
                            </w:r>
                            <w:r>
                              <w:rPr>
                                <w:rFonts w:asciiTheme="minorHAnsi" w:hAnsiTheme="minorHAnsi"/>
                                <w:sz w:val="20"/>
                                <w:szCs w:val="20"/>
                              </w:rPr>
                              <w:t>23</w:t>
                            </w:r>
                            <w:r w:rsidRPr="001176C0">
                              <w:rPr>
                                <w:rFonts w:asciiTheme="minorHAnsi" w:hAnsiTheme="minorHAnsi"/>
                                <w:sz w:val="20"/>
                                <w:szCs w:val="20"/>
                              </w:rPr>
                              <w:t xml:space="preserve">% of women in paid work were employed as managers or professionals, compared with </w:t>
                            </w:r>
                            <w:r>
                              <w:rPr>
                                <w:rFonts w:asciiTheme="minorHAnsi" w:hAnsiTheme="minorHAnsi"/>
                                <w:sz w:val="20"/>
                                <w:szCs w:val="20"/>
                              </w:rPr>
                              <w:t>21</w:t>
                            </w:r>
                            <w:r w:rsidRPr="001176C0">
                              <w:rPr>
                                <w:rFonts w:asciiTheme="minorHAnsi" w:hAnsiTheme="minorHAnsi"/>
                                <w:sz w:val="20"/>
                                <w:szCs w:val="20"/>
                              </w:rPr>
                              <w:t>% of employed men.</w:t>
                            </w:r>
                            <w:r>
                              <w:rPr>
                                <w:rFonts w:asciiTheme="minorHAnsi" w:hAnsiTheme="minorHAnsi"/>
                                <w:sz w:val="20"/>
                                <w:szCs w:val="20"/>
                              </w:rPr>
                              <w:t xml:space="preserve"> (accompanying diagram)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42D5F34" id="_x0000_s1032" type="#_x0000_t202" style="position:absolute;margin-left:-2.25pt;margin-top:10.5pt;width:210pt;height:119.25pt;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" filled="f" stroked="f">
                <v:textbox>
                  <w:txbxContent>
                    <w:p w14:paraId="3116126A" w14:textId="77777777" w:rsidR="00C65183" w:rsidRDefault="00C65183" w:rsidP="00C65183">
                      <w:pPr>
                        <w:jc w:val="both"/>
                        <w:rPr>
                          <w:rFonts w:asciiTheme="minorHAnsi" w:hAnsiTheme="minorHAnsi"/>
                          <w:sz w:val="20"/>
                          <w:szCs w:val="20"/>
                        </w:rPr>
                      </w:pPr>
                      <w:r w:rsidRPr="001176C0">
                        <w:rPr>
                          <w:rFonts w:asciiTheme="minorHAnsi" w:hAnsiTheme="minorHAnsi"/>
                          <w:sz w:val="20"/>
                          <w:szCs w:val="20"/>
                        </w:rPr>
                        <w:t>The 201</w:t>
                      </w:r>
                      <w:r>
                        <w:rPr>
                          <w:rFonts w:asciiTheme="minorHAnsi" w:hAnsiTheme="minorHAnsi"/>
                          <w:sz w:val="20"/>
                          <w:szCs w:val="20"/>
                        </w:rPr>
                        <w:t>6</w:t>
                      </w:r>
                      <w:r w:rsidRPr="001176C0">
                        <w:rPr>
                          <w:rFonts w:asciiTheme="minorHAnsi" w:hAnsiTheme="minorHAnsi"/>
                          <w:sz w:val="20"/>
                          <w:szCs w:val="20"/>
                        </w:rPr>
                        <w:t xml:space="preserve"> Census </w:t>
                      </w:r>
                      <w:r>
                        <w:rPr>
                          <w:rFonts w:asciiTheme="minorHAnsi" w:hAnsiTheme="minorHAnsi"/>
                          <w:sz w:val="20"/>
                          <w:szCs w:val="20"/>
                        </w:rPr>
                        <w:t xml:space="preserve">also revealed </w:t>
                      </w:r>
                      <w:r w:rsidRPr="001176C0">
                        <w:rPr>
                          <w:rFonts w:asciiTheme="minorHAnsi" w:hAnsiTheme="minorHAnsi"/>
                          <w:sz w:val="20"/>
                          <w:szCs w:val="20"/>
                        </w:rPr>
                        <w:t>that</w:t>
                      </w:r>
                      <w:r>
                        <w:rPr>
                          <w:rFonts w:asciiTheme="minorHAnsi" w:hAnsiTheme="minorHAnsi"/>
                          <w:sz w:val="20"/>
                          <w:szCs w:val="20"/>
                        </w:rPr>
                        <w:t>, in Greater Dandenong,</w:t>
                      </w:r>
                      <w:r w:rsidRPr="001176C0">
                        <w:rPr>
                          <w:rFonts w:asciiTheme="minorHAnsi" w:hAnsiTheme="minorHAnsi"/>
                          <w:sz w:val="20"/>
                          <w:szCs w:val="20"/>
                        </w:rPr>
                        <w:t xml:space="preserve"> </w:t>
                      </w:r>
                      <w:r>
                        <w:rPr>
                          <w:rFonts w:asciiTheme="minorHAnsi" w:hAnsiTheme="minorHAnsi"/>
                          <w:sz w:val="20"/>
                          <w:szCs w:val="20"/>
                        </w:rPr>
                        <w:t>60% of men in paid employment</w:t>
                      </w:r>
                      <w:r w:rsidRPr="001176C0">
                        <w:rPr>
                          <w:rFonts w:asciiTheme="minorHAnsi" w:hAnsiTheme="minorHAnsi"/>
                          <w:sz w:val="20"/>
                          <w:szCs w:val="20"/>
                        </w:rPr>
                        <w:t xml:space="preserve"> worked as tradespersons, labourers or machinery operators, compared with </w:t>
                      </w:r>
                      <w:r>
                        <w:rPr>
                          <w:rFonts w:asciiTheme="minorHAnsi" w:hAnsiTheme="minorHAnsi"/>
                          <w:sz w:val="20"/>
                          <w:szCs w:val="20"/>
                        </w:rPr>
                        <w:t>26</w:t>
                      </w:r>
                      <w:r w:rsidRPr="001176C0">
                        <w:rPr>
                          <w:rFonts w:asciiTheme="minorHAnsi" w:hAnsiTheme="minorHAnsi"/>
                          <w:sz w:val="20"/>
                          <w:szCs w:val="20"/>
                        </w:rPr>
                        <w:t xml:space="preserve">% of women. </w:t>
                      </w:r>
                    </w:p>
                    <w:p w14:paraId="36CD2A40" w14:textId="77777777" w:rsidR="00C65183" w:rsidRPr="001176C0" w:rsidRDefault="00C65183" w:rsidP="00C65183">
                      <w:pPr>
                        <w:jc w:val="both"/>
                        <w:rPr>
                          <w:rFonts w:asciiTheme="minorHAnsi" w:hAnsiTheme="minorHAnsi"/>
                          <w:sz w:val="20"/>
                          <w:szCs w:val="20"/>
                        </w:rPr>
                      </w:pPr>
                      <w:r w:rsidRPr="001176C0">
                        <w:rPr>
                          <w:rFonts w:asciiTheme="minorHAnsi" w:hAnsiTheme="minorHAnsi"/>
                          <w:sz w:val="20"/>
                          <w:szCs w:val="20"/>
                        </w:rPr>
                        <w:t xml:space="preserve">Conversely, </w:t>
                      </w:r>
                      <w:r>
                        <w:rPr>
                          <w:rFonts w:asciiTheme="minorHAnsi" w:hAnsiTheme="minorHAnsi"/>
                          <w:sz w:val="20"/>
                          <w:szCs w:val="20"/>
                        </w:rPr>
                        <w:t>23</w:t>
                      </w:r>
                      <w:r w:rsidRPr="001176C0">
                        <w:rPr>
                          <w:rFonts w:asciiTheme="minorHAnsi" w:hAnsiTheme="minorHAnsi"/>
                          <w:sz w:val="20"/>
                          <w:szCs w:val="20"/>
                        </w:rPr>
                        <w:t xml:space="preserve">% of women in paid work were employed as managers or professionals, compared with </w:t>
                      </w:r>
                      <w:r>
                        <w:rPr>
                          <w:rFonts w:asciiTheme="minorHAnsi" w:hAnsiTheme="minorHAnsi"/>
                          <w:sz w:val="20"/>
                          <w:szCs w:val="20"/>
                        </w:rPr>
                        <w:t>21</w:t>
                      </w:r>
                      <w:r w:rsidRPr="001176C0">
                        <w:rPr>
                          <w:rFonts w:asciiTheme="minorHAnsi" w:hAnsiTheme="minorHAnsi"/>
                          <w:sz w:val="20"/>
                          <w:szCs w:val="20"/>
                        </w:rPr>
                        <w:t>% of employed men.</w:t>
                      </w:r>
                      <w:r>
                        <w:rPr>
                          <w:rFonts w:asciiTheme="minorHAnsi" w:hAnsiTheme="minorHAnsi"/>
                          <w:sz w:val="20"/>
                          <w:szCs w:val="20"/>
                        </w:rPr>
                        <w:t xml:space="preserve"> (accompanying diagram)</w:t>
                      </w:r>
                    </w:p>
                  </w:txbxContent>
                </v:textbox>
              </v:shape>
            </w:pict>
          </mc:Fallback>
        </mc:AlternateContent>
      </w:r>
    </w:p>
    <w:p w14:paraId="32C6A032" w14:textId="77777777" w:rsidR="00C65183" w:rsidRPr="005D37BE" w:rsidRDefault="00C65183" w:rsidP="00C65183">
      <w:pPr>
        <w:rPr>
          <w:rFonts w:asciiTheme="minorHAnsi" w:hAnsiTheme="minorHAnsi"/>
        </w:rPr>
      </w:pPr>
    </w:p>
    <w:p w14:paraId="08FC7E60" w14:textId="77777777" w:rsidR="00C65183" w:rsidRPr="005D37BE" w:rsidRDefault="00C65183" w:rsidP="00C65183">
      <w:pPr>
        <w:rPr>
          <w:rFonts w:asciiTheme="minorHAnsi" w:hAnsiTheme="minorHAnsi"/>
        </w:rPr>
      </w:pPr>
    </w:p>
    <w:p w14:paraId="5988E50B" w14:textId="77777777" w:rsidR="00C65183" w:rsidRPr="005D37BE" w:rsidRDefault="00C65183" w:rsidP="00C65183">
      <w:pPr>
        <w:rPr>
          <w:rFonts w:asciiTheme="minorHAnsi" w:hAnsiTheme="minorHAnsi"/>
        </w:rPr>
      </w:pPr>
    </w:p>
    <w:p w14:paraId="73C7AB5D" w14:textId="77777777" w:rsidR="00C65183" w:rsidRPr="005D37BE" w:rsidRDefault="00C65183" w:rsidP="00C65183">
      <w:pPr>
        <w:rPr>
          <w:rFonts w:asciiTheme="minorHAnsi" w:hAnsiTheme="minorHAnsi"/>
        </w:rPr>
      </w:pPr>
    </w:p>
    <w:p w14:paraId="4E05FCDB" w14:textId="77777777" w:rsidR="00C65183" w:rsidRPr="005D37BE" w:rsidRDefault="00C65183" w:rsidP="00C65183">
      <w:pPr>
        <w:rPr>
          <w:rFonts w:asciiTheme="minorHAnsi" w:hAnsiTheme="minorHAnsi"/>
        </w:rPr>
      </w:pPr>
    </w:p>
    <w:p w14:paraId="56C230F4" w14:textId="77777777" w:rsidR="00C65183" w:rsidRDefault="00C65183" w:rsidP="00C65183">
      <w:pPr>
        <w:rPr>
          <w:rFonts w:asciiTheme="minorHAnsi" w:hAnsiTheme="minorHAnsi"/>
        </w:rPr>
      </w:pPr>
    </w:p>
    <w:p w14:paraId="72DCE0D9" w14:textId="77777777" w:rsidR="00C65183" w:rsidRDefault="00C65183" w:rsidP="00C65183">
      <w:pPr>
        <w:rPr>
          <w:rFonts w:asciiTheme="minorHAnsi" w:hAnsiTheme="minorHAnsi"/>
        </w:rPr>
      </w:pPr>
    </w:p>
    <w:p w14:paraId="1EAAC75D" w14:textId="77777777" w:rsidR="00C65183" w:rsidRPr="005D37BE" w:rsidRDefault="00C65183" w:rsidP="00C65183">
      <w:pPr>
        <w:rPr>
          <w:rFonts w:asciiTheme="minorHAnsi" w:hAnsiTheme="minorHAnsi"/>
        </w:rPr>
      </w:pPr>
    </w:p>
    <w:p w14:paraId="18AF0F3B" w14:textId="77777777" w:rsidR="00C65183" w:rsidRPr="005D37BE" w:rsidRDefault="00C65183" w:rsidP="00C65183">
      <w:pPr>
        <w:rPr>
          <w:rFonts w:asciiTheme="minorHAnsi" w:hAnsiTheme="minorHAnsi"/>
        </w:rPr>
      </w:pPr>
    </w:p>
    <w:p w14:paraId="0EE8191D" w14:textId="77777777" w:rsidR="00C65183" w:rsidRPr="005D37BE" w:rsidRDefault="00C65183" w:rsidP="00C65183">
      <w:pPr>
        <w:rPr>
          <w:rFonts w:asciiTheme="minorHAnsi" w:hAnsiTheme="minorHAnsi"/>
          <w:b/>
          <w:color w:val="0F243E" w:themeColor="text2" w:themeShade="80"/>
          <w:sz w:val="26"/>
          <w:szCs w:val="26"/>
        </w:rPr>
      </w:pPr>
      <w:r>
        <w:rPr>
          <w:rFonts w:asciiTheme="minorHAnsi" w:hAnsiTheme="minorHAnsi"/>
          <w:b/>
          <w:color w:val="0F243E" w:themeColor="text2" w:themeShade="80"/>
          <w:sz w:val="26"/>
          <w:szCs w:val="26"/>
        </w:rPr>
        <w:lastRenderedPageBreak/>
        <w:t>Fields of Qualification</w:t>
      </w:r>
    </w:p>
    <w:p w14:paraId="7918165E" w14:textId="77777777" w:rsidR="00C65183" w:rsidRPr="005D37BE" w:rsidRDefault="00C65183" w:rsidP="00C65183">
      <w:pPr>
        <w:rPr>
          <w:rFonts w:asciiTheme="minorHAnsi" w:hAnsiTheme="minorHAnsi"/>
          <w:color w:val="7F7F7F" w:themeColor="text1" w:themeTint="80"/>
          <w:sz w:val="20"/>
          <w:szCs w:val="20"/>
        </w:rPr>
      </w:pPr>
      <w:r>
        <w:rPr>
          <w:rFonts w:asciiTheme="minorHAnsi" w:hAnsiTheme="minorHAnsi"/>
          <w:noProof/>
          <w:lang w:eastAsia="en-AU"/>
        </w:rPr>
        <w:drawing>
          <wp:anchor distT="0" distB="0" distL="114300" distR="114300" simplePos="0" relativeHeight="251852800" behindDoc="0" locked="0" layoutInCell="1" allowOverlap="1" wp14:anchorId="249FEDC6" wp14:editId="267190C2">
            <wp:simplePos x="0" y="0"/>
            <wp:positionH relativeFrom="column">
              <wp:posOffset>2746375</wp:posOffset>
            </wp:positionH>
            <wp:positionV relativeFrom="paragraph">
              <wp:posOffset>6985</wp:posOffset>
            </wp:positionV>
            <wp:extent cx="3476625" cy="2847975"/>
            <wp:effectExtent l="0" t="0" r="9525" b="9525"/>
            <wp:wrapSquare wrapText="bothSides"/>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3476625" cy="2847975"/>
                    </a:xfrm>
                    <a:prstGeom prst="rect">
                      <a:avLst/>
                    </a:prstGeom>
                    <a:noFill/>
                  </pic:spPr>
                </pic:pic>
              </a:graphicData>
            </a:graphic>
            <wp14:sizeRelH relativeFrom="page">
              <wp14:pctWidth>0</wp14:pctWidth>
            </wp14:sizeRelH>
            <wp14:sizeRelV relativeFrom="page">
              <wp14:pctHeight>0</wp14:pctHeight>
            </wp14:sizeRelV>
          </wp:anchor>
        </w:drawing>
      </w:r>
      <w:r w:rsidRPr="005D37BE">
        <w:rPr>
          <w:rFonts w:asciiTheme="minorHAnsi" w:hAnsiTheme="minorHAnsi"/>
          <w:color w:val="7F7F7F" w:themeColor="text1" w:themeTint="80"/>
          <w:sz w:val="20"/>
          <w:szCs w:val="20"/>
        </w:rPr>
        <w:t>Women as a percentage of persons with tertiary qualifications in medicine and law</w:t>
      </w:r>
      <w:r>
        <w:rPr>
          <w:rFonts w:asciiTheme="minorHAnsi" w:hAnsiTheme="minorHAnsi"/>
          <w:color w:val="7F7F7F" w:themeColor="text1" w:themeTint="80"/>
          <w:sz w:val="20"/>
          <w:szCs w:val="20"/>
        </w:rPr>
        <w:t>, by age</w:t>
      </w:r>
      <w:r w:rsidRPr="005D37BE">
        <w:rPr>
          <w:rFonts w:asciiTheme="minorHAnsi" w:hAnsiTheme="minorHAnsi"/>
          <w:color w:val="7F7F7F" w:themeColor="text1" w:themeTint="80"/>
          <w:sz w:val="20"/>
          <w:szCs w:val="20"/>
        </w:rPr>
        <w:t>: Victoria, 201</w:t>
      </w:r>
      <w:r>
        <w:rPr>
          <w:rFonts w:asciiTheme="minorHAnsi" w:hAnsiTheme="minorHAnsi"/>
          <w:color w:val="7F7F7F" w:themeColor="text1" w:themeTint="80"/>
          <w:sz w:val="20"/>
          <w:szCs w:val="20"/>
        </w:rPr>
        <w:t>6</w:t>
      </w:r>
    </w:p>
    <w:p w14:paraId="2C1F1421" w14:textId="77777777" w:rsidR="00C65183" w:rsidRPr="005D37BE" w:rsidRDefault="00C65183" w:rsidP="00C65183">
      <w:pPr>
        <w:rPr>
          <w:rFonts w:asciiTheme="minorHAnsi" w:hAnsiTheme="minorHAnsi"/>
        </w:rPr>
      </w:pPr>
      <w:r w:rsidRPr="005D37BE">
        <w:rPr>
          <w:rFonts w:asciiTheme="minorHAnsi" w:hAnsiTheme="minorHAnsi"/>
          <w:noProof/>
          <w:lang w:eastAsia="en-AU"/>
        </w:rPr>
        <mc:AlternateContent>
          <mc:Choice Requires="wps">
            <w:drawing>
              <wp:anchor distT="0" distB="0" distL="114300" distR="114300" simplePos="0" relativeHeight="251825152" behindDoc="0" locked="0" layoutInCell="1" allowOverlap="1" wp14:anchorId="6DCB356B" wp14:editId="27CD4CFF">
                <wp:simplePos x="0" y="0"/>
                <wp:positionH relativeFrom="column">
                  <wp:posOffset>-53023</wp:posOffset>
                </wp:positionH>
                <wp:positionV relativeFrom="paragraph">
                  <wp:posOffset>182245</wp:posOffset>
                </wp:positionV>
                <wp:extent cx="2149475" cy="1600200"/>
                <wp:effectExtent l="0" t="0" r="0" b="0"/>
                <wp:wrapNone/>
                <wp:docPr id="14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49475" cy="1600200"/>
                        </a:xfrm>
                        <a:prstGeom prst="rect">
                          <a:avLst/>
                        </a:prstGeom>
                        <a:noFill/>
                        <a:ln w="9525">
                          <a:noFill/>
                          <a:miter lim="800000"/>
                          <a:headEnd/>
                          <a:tailEnd/>
                        </a:ln>
                      </wps:spPr>
                      <wps:txbx>
                        <w:txbxContent>
                          <w:p w14:paraId="77DAA67F" w14:textId="77777777" w:rsidR="00C65183" w:rsidRDefault="00C65183" w:rsidP="00C65183">
                            <w:pPr>
                              <w:jc w:val="both"/>
                              <w:rPr>
                                <w:rFonts w:asciiTheme="minorHAnsi" w:hAnsiTheme="minorHAnsi"/>
                                <w:sz w:val="20"/>
                                <w:szCs w:val="20"/>
                              </w:rPr>
                            </w:pPr>
                            <w:bookmarkStart w:id="15" w:name="_Hlk61258518"/>
                            <w:bookmarkStart w:id="16" w:name="_Hlk61258519"/>
                            <w:r w:rsidRPr="001176C0">
                              <w:rPr>
                                <w:rFonts w:asciiTheme="minorHAnsi" w:hAnsiTheme="minorHAnsi"/>
                                <w:sz w:val="20"/>
                                <w:szCs w:val="20"/>
                              </w:rPr>
                              <w:t>The proportion of women with tertiary medical and legal qualifications</w:t>
                            </w:r>
                            <w:r>
                              <w:rPr>
                                <w:rFonts w:asciiTheme="minorHAnsi" w:hAnsiTheme="minorHAnsi"/>
                                <w:sz w:val="20"/>
                                <w:szCs w:val="20"/>
                              </w:rPr>
                              <w:t xml:space="preserve"> has risen</w:t>
                            </w:r>
                            <w:r w:rsidRPr="001176C0">
                              <w:rPr>
                                <w:rFonts w:asciiTheme="minorHAnsi" w:hAnsiTheme="minorHAnsi"/>
                                <w:sz w:val="20"/>
                                <w:szCs w:val="20"/>
                              </w:rPr>
                              <w:t xml:space="preserve"> </w:t>
                            </w:r>
                            <w:r>
                              <w:rPr>
                                <w:rFonts w:asciiTheme="minorHAnsi" w:hAnsiTheme="minorHAnsi"/>
                                <w:sz w:val="20"/>
                                <w:szCs w:val="20"/>
                              </w:rPr>
                              <w:t>during the previous half-century.</w:t>
                            </w:r>
                          </w:p>
                          <w:p w14:paraId="1A3260C2" w14:textId="77777777" w:rsidR="00C65183" w:rsidRDefault="00C65183" w:rsidP="00C65183">
                            <w:pPr>
                              <w:jc w:val="both"/>
                              <w:rPr>
                                <w:rFonts w:asciiTheme="minorHAnsi" w:hAnsiTheme="minorHAnsi"/>
                                <w:sz w:val="20"/>
                                <w:szCs w:val="20"/>
                              </w:rPr>
                            </w:pPr>
                            <w:r>
                              <w:rPr>
                                <w:rFonts w:asciiTheme="minorHAnsi" w:hAnsiTheme="minorHAnsi"/>
                                <w:sz w:val="20"/>
                                <w:szCs w:val="20"/>
                              </w:rPr>
                              <w:t>Other rises, though less pronounced, have occurred in the representation of women in scientific, engineering, accounting, management and other fields.</w:t>
                            </w:r>
                          </w:p>
                          <w:bookmarkEnd w:id="15"/>
                          <w:bookmarkEnd w:id="16"/>
                          <w:p w14:paraId="19B6A774" w14:textId="77777777" w:rsidR="00C65183" w:rsidRPr="001176C0" w:rsidRDefault="00C65183" w:rsidP="00C65183">
                            <w:pPr>
                              <w:jc w:val="both"/>
                              <w:rPr>
                                <w:rFonts w:asciiTheme="minorHAnsi" w:hAnsiTheme="minorHAnsi"/>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DCB356B" id="_x0000_s1033" type="#_x0000_t202" style="position:absolute;margin-left:-4.2pt;margin-top:14.35pt;width:169.25pt;height:126pt;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" filled="f" stroked="f">
                <v:textbox>
                  <w:txbxContent>
                    <w:p w14:paraId="77DAA67F" w14:textId="77777777" w:rsidR="00C65183" w:rsidRDefault="00C65183" w:rsidP="00C65183">
                      <w:pPr>
                        <w:jc w:val="both"/>
                        <w:rPr>
                          <w:rFonts w:asciiTheme="minorHAnsi" w:hAnsiTheme="minorHAnsi"/>
                          <w:sz w:val="20"/>
                          <w:szCs w:val="20"/>
                        </w:rPr>
                      </w:pPr>
                      <w:bookmarkStart w:id="17" w:name="_Hlk61258518"/>
                      <w:bookmarkStart w:id="18" w:name="_Hlk61258519"/>
                      <w:r w:rsidRPr="001176C0">
                        <w:rPr>
                          <w:rFonts w:asciiTheme="minorHAnsi" w:hAnsiTheme="minorHAnsi"/>
                          <w:sz w:val="20"/>
                          <w:szCs w:val="20"/>
                        </w:rPr>
                        <w:t>The proportion of women with tertiary medical and legal qualifications</w:t>
                      </w:r>
                      <w:r>
                        <w:rPr>
                          <w:rFonts w:asciiTheme="minorHAnsi" w:hAnsiTheme="minorHAnsi"/>
                          <w:sz w:val="20"/>
                          <w:szCs w:val="20"/>
                        </w:rPr>
                        <w:t xml:space="preserve"> has risen</w:t>
                      </w:r>
                      <w:r w:rsidRPr="001176C0">
                        <w:rPr>
                          <w:rFonts w:asciiTheme="minorHAnsi" w:hAnsiTheme="minorHAnsi"/>
                          <w:sz w:val="20"/>
                          <w:szCs w:val="20"/>
                        </w:rPr>
                        <w:t xml:space="preserve"> </w:t>
                      </w:r>
                      <w:r>
                        <w:rPr>
                          <w:rFonts w:asciiTheme="minorHAnsi" w:hAnsiTheme="minorHAnsi"/>
                          <w:sz w:val="20"/>
                          <w:szCs w:val="20"/>
                        </w:rPr>
                        <w:t>during the previous half-century.</w:t>
                      </w:r>
                    </w:p>
                    <w:p w14:paraId="1A3260C2" w14:textId="77777777" w:rsidR="00C65183" w:rsidRDefault="00C65183" w:rsidP="00C65183">
                      <w:pPr>
                        <w:jc w:val="both"/>
                        <w:rPr>
                          <w:rFonts w:asciiTheme="minorHAnsi" w:hAnsiTheme="minorHAnsi"/>
                          <w:sz w:val="20"/>
                          <w:szCs w:val="20"/>
                        </w:rPr>
                      </w:pPr>
                      <w:r>
                        <w:rPr>
                          <w:rFonts w:asciiTheme="minorHAnsi" w:hAnsiTheme="minorHAnsi"/>
                          <w:sz w:val="20"/>
                          <w:szCs w:val="20"/>
                        </w:rPr>
                        <w:t>Other rises, though less pronounced, have occurred in the representation of women in scientific, engineering, accounting, management and other fields.</w:t>
                      </w:r>
                    </w:p>
                    <w:bookmarkEnd w:id="17"/>
                    <w:bookmarkEnd w:id="18"/>
                    <w:p w14:paraId="19B6A774" w14:textId="77777777" w:rsidR="00C65183" w:rsidRPr="001176C0" w:rsidRDefault="00C65183" w:rsidP="00C65183">
                      <w:pPr>
                        <w:jc w:val="both"/>
                        <w:rPr>
                          <w:rFonts w:asciiTheme="minorHAnsi" w:hAnsiTheme="minorHAnsi"/>
                          <w:sz w:val="20"/>
                          <w:szCs w:val="20"/>
                        </w:rPr>
                      </w:pPr>
                    </w:p>
                  </w:txbxContent>
                </v:textbox>
              </v:shape>
            </w:pict>
          </mc:Fallback>
        </mc:AlternateContent>
      </w:r>
    </w:p>
    <w:p w14:paraId="3F53F2C1" w14:textId="77777777" w:rsidR="00C65183" w:rsidRDefault="00C65183" w:rsidP="00C65183">
      <w:pPr>
        <w:rPr>
          <w:rFonts w:asciiTheme="minorHAnsi" w:hAnsiTheme="minorHAnsi"/>
        </w:rPr>
      </w:pPr>
    </w:p>
    <w:p w14:paraId="1294BBDE" w14:textId="77777777" w:rsidR="00C65183" w:rsidRDefault="00C65183" w:rsidP="00C65183">
      <w:pPr>
        <w:rPr>
          <w:rFonts w:asciiTheme="minorHAnsi" w:hAnsiTheme="minorHAnsi"/>
        </w:rPr>
      </w:pPr>
    </w:p>
    <w:p w14:paraId="6EF800BF" w14:textId="77777777" w:rsidR="00C65183" w:rsidRDefault="00C65183" w:rsidP="00C65183">
      <w:pPr>
        <w:rPr>
          <w:rFonts w:asciiTheme="minorHAnsi" w:hAnsiTheme="minorHAnsi"/>
        </w:rPr>
      </w:pPr>
    </w:p>
    <w:p w14:paraId="3B419C11" w14:textId="77777777" w:rsidR="00C65183" w:rsidRDefault="00C65183" w:rsidP="00C65183">
      <w:pPr>
        <w:rPr>
          <w:rFonts w:asciiTheme="minorHAnsi" w:hAnsiTheme="minorHAnsi"/>
        </w:rPr>
      </w:pPr>
    </w:p>
    <w:p w14:paraId="5F0D1B9B" w14:textId="77777777" w:rsidR="00C65183" w:rsidRDefault="00C65183" w:rsidP="00C65183">
      <w:pPr>
        <w:rPr>
          <w:rFonts w:asciiTheme="minorHAnsi" w:hAnsiTheme="minorHAnsi"/>
        </w:rPr>
      </w:pPr>
    </w:p>
    <w:p w14:paraId="14E8E493" w14:textId="77777777" w:rsidR="00C65183" w:rsidRPr="005D37BE" w:rsidRDefault="00C65183" w:rsidP="00C65183">
      <w:pPr>
        <w:rPr>
          <w:rFonts w:asciiTheme="minorHAnsi" w:hAnsiTheme="minorHAnsi"/>
        </w:rPr>
      </w:pPr>
      <w:r>
        <w:rPr>
          <w:rFonts w:asciiTheme="minorHAnsi" w:hAnsiTheme="minorHAnsi"/>
          <w:noProof/>
          <w:lang w:eastAsia="en-AU"/>
        </w:rPr>
        <w:drawing>
          <wp:anchor distT="0" distB="0" distL="114300" distR="114300" simplePos="0" relativeHeight="251853824" behindDoc="0" locked="0" layoutInCell="1" allowOverlap="1" wp14:anchorId="0A0FA7AF" wp14:editId="15A09E46">
            <wp:simplePos x="0" y="0"/>
            <wp:positionH relativeFrom="column">
              <wp:posOffset>4737735</wp:posOffset>
            </wp:positionH>
            <wp:positionV relativeFrom="paragraph">
              <wp:posOffset>44133</wp:posOffset>
            </wp:positionV>
            <wp:extent cx="1333432" cy="907467"/>
            <wp:effectExtent l="0" t="0" r="635" b="6985"/>
            <wp:wrapNone/>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munity 10.jpg"/>
                    <pic:cNvPicPr/>
                  </pic:nvPicPr>
                  <pic:blipFill>
                    <a:blip r:embed="rId194">
                      <a:extLst>
                        <a:ext uri="{28A0092B-C50C-407E-A947-70E740481C1C}">
                          <a14:useLocalDpi xmlns:a14="http://schemas.microsoft.com/office/drawing/2010/main" val="0"/>
                        </a:ext>
                      </a:extLst>
                    </a:blip>
                    <a:stretch>
                      <a:fillRect/>
                    </a:stretch>
                  </pic:blipFill>
                  <pic:spPr>
                    <a:xfrm>
                      <a:off x="0" y="0"/>
                      <a:ext cx="1333432" cy="907467"/>
                    </a:xfrm>
                    <a:prstGeom prst="rect">
                      <a:avLst/>
                    </a:prstGeom>
                    <a:ln>
                      <a:noFill/>
                    </a:ln>
                    <a:effectLst>
                      <a:softEdge rad="317500"/>
                    </a:effectLst>
                  </pic:spPr>
                </pic:pic>
              </a:graphicData>
            </a:graphic>
            <wp14:sizeRelH relativeFrom="page">
              <wp14:pctWidth>0</wp14:pctWidth>
            </wp14:sizeRelH>
            <wp14:sizeRelV relativeFrom="page">
              <wp14:pctHeight>0</wp14:pctHeight>
            </wp14:sizeRelV>
          </wp:anchor>
        </w:drawing>
      </w:r>
    </w:p>
    <w:p w14:paraId="45959805" w14:textId="77777777" w:rsidR="00C65183" w:rsidRPr="005D37BE" w:rsidRDefault="00C65183" w:rsidP="00C65183">
      <w:pPr>
        <w:rPr>
          <w:rFonts w:asciiTheme="minorHAnsi" w:hAnsiTheme="minorHAnsi"/>
        </w:rPr>
      </w:pPr>
    </w:p>
    <w:p w14:paraId="16F5CFA3" w14:textId="77777777" w:rsidR="00C65183" w:rsidRPr="005D37BE" w:rsidRDefault="00C65183" w:rsidP="00C65183">
      <w:pPr>
        <w:rPr>
          <w:rFonts w:asciiTheme="minorHAnsi" w:hAnsiTheme="minorHAnsi"/>
        </w:rPr>
      </w:pPr>
    </w:p>
    <w:p w14:paraId="6F2B4F31" w14:textId="77777777" w:rsidR="00C65183" w:rsidRPr="005D37BE" w:rsidRDefault="00C65183" w:rsidP="00C65183">
      <w:pPr>
        <w:rPr>
          <w:rFonts w:asciiTheme="minorHAnsi" w:hAnsiTheme="minorHAnsi"/>
        </w:rPr>
      </w:pPr>
    </w:p>
    <w:p w14:paraId="6B8A06BB" w14:textId="77777777" w:rsidR="00C65183" w:rsidRPr="005D37BE" w:rsidRDefault="00C65183" w:rsidP="00C65183">
      <w:pPr>
        <w:rPr>
          <w:rFonts w:asciiTheme="minorHAnsi" w:hAnsiTheme="minorHAnsi"/>
        </w:rPr>
      </w:pPr>
    </w:p>
    <w:p w14:paraId="29311E8F" w14:textId="77777777" w:rsidR="00C65183" w:rsidRPr="005D37BE" w:rsidRDefault="00C65183" w:rsidP="00C65183">
      <w:pPr>
        <w:rPr>
          <w:rFonts w:asciiTheme="minorHAnsi" w:hAnsiTheme="minorHAnsi"/>
        </w:rPr>
      </w:pPr>
    </w:p>
    <w:p w14:paraId="5C6E19B5" w14:textId="77777777" w:rsidR="00C65183" w:rsidRPr="005D37BE" w:rsidRDefault="00C65183" w:rsidP="00C65183">
      <w:pPr>
        <w:rPr>
          <w:rFonts w:asciiTheme="minorHAnsi" w:hAnsiTheme="minorHAnsi"/>
        </w:rPr>
      </w:pPr>
    </w:p>
    <w:p w14:paraId="06DD12B8" w14:textId="77777777" w:rsidR="00C65183" w:rsidRDefault="00C65183" w:rsidP="00C65183">
      <w:pPr>
        <w:rPr>
          <w:rFonts w:asciiTheme="minorHAnsi" w:hAnsiTheme="minorHAnsi"/>
        </w:rPr>
      </w:pPr>
    </w:p>
    <w:p w14:paraId="6A23C7C7" w14:textId="77777777" w:rsidR="00C65183" w:rsidRPr="005D37BE" w:rsidRDefault="00C65183" w:rsidP="00C65183">
      <w:pPr>
        <w:rPr>
          <w:rFonts w:asciiTheme="minorHAnsi" w:hAnsiTheme="minorHAnsi"/>
        </w:rPr>
      </w:pPr>
    </w:p>
    <w:p w14:paraId="79B3FA33" w14:textId="77777777" w:rsidR="00C65183" w:rsidRPr="005D37BE" w:rsidRDefault="00C65183" w:rsidP="00C65183">
      <w:pPr>
        <w:ind w:left="5103"/>
        <w:rPr>
          <w:rFonts w:asciiTheme="minorHAnsi" w:hAnsiTheme="minorHAnsi"/>
          <w:b/>
          <w:color w:val="0F243E" w:themeColor="text2" w:themeShade="80"/>
          <w:sz w:val="26"/>
          <w:szCs w:val="26"/>
        </w:rPr>
      </w:pPr>
      <w:r>
        <w:rPr>
          <w:rFonts w:asciiTheme="minorHAnsi" w:hAnsiTheme="minorHAnsi"/>
          <w:noProof/>
          <w:lang w:eastAsia="en-AU"/>
        </w:rPr>
        <w:drawing>
          <wp:anchor distT="0" distB="0" distL="114300" distR="114300" simplePos="0" relativeHeight="251844608" behindDoc="0" locked="0" layoutInCell="1" allowOverlap="1" wp14:anchorId="4DE491A9" wp14:editId="54B4DD01">
            <wp:simplePos x="0" y="0"/>
            <wp:positionH relativeFrom="margin">
              <wp:align>left</wp:align>
            </wp:positionH>
            <wp:positionV relativeFrom="paragraph">
              <wp:posOffset>4763</wp:posOffset>
            </wp:positionV>
            <wp:extent cx="3095625" cy="2396490"/>
            <wp:effectExtent l="0" t="0" r="9525" b="3810"/>
            <wp:wrapSquare wrapText="bothSides"/>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3095625" cy="2396490"/>
                    </a:xfrm>
                    <a:prstGeom prst="rect">
                      <a:avLst/>
                    </a:prstGeom>
                    <a:noFill/>
                  </pic:spPr>
                </pic:pic>
              </a:graphicData>
            </a:graphic>
            <wp14:sizeRelH relativeFrom="page">
              <wp14:pctWidth>0</wp14:pctWidth>
            </wp14:sizeRelH>
            <wp14:sizeRelV relativeFrom="page">
              <wp14:pctHeight>0</wp14:pctHeight>
            </wp14:sizeRelV>
          </wp:anchor>
        </w:drawing>
      </w:r>
      <w:r w:rsidRPr="005D37BE">
        <w:rPr>
          <w:rFonts w:asciiTheme="minorHAnsi" w:hAnsiTheme="minorHAnsi"/>
          <w:noProof/>
          <w:lang w:eastAsia="en-AU"/>
        </w:rPr>
        <mc:AlternateContent>
          <mc:Choice Requires="wps">
            <w:drawing>
              <wp:anchor distT="0" distB="0" distL="114300" distR="114300" simplePos="0" relativeHeight="251813888" behindDoc="0" locked="0" layoutInCell="1" allowOverlap="1" wp14:anchorId="398F5CAF" wp14:editId="4BE37FF0">
                <wp:simplePos x="0" y="0"/>
                <wp:positionH relativeFrom="column">
                  <wp:posOffset>3151505</wp:posOffset>
                </wp:positionH>
                <wp:positionV relativeFrom="paragraph">
                  <wp:posOffset>192405</wp:posOffset>
                </wp:positionV>
                <wp:extent cx="2838450" cy="728663"/>
                <wp:effectExtent l="0" t="0" r="0" b="0"/>
                <wp:wrapNone/>
                <wp:docPr id="14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38450" cy="728663"/>
                        </a:xfrm>
                        <a:prstGeom prst="rect">
                          <a:avLst/>
                        </a:prstGeom>
                        <a:noFill/>
                        <a:ln w="9525">
                          <a:noFill/>
                          <a:miter lim="800000"/>
                          <a:headEnd/>
                          <a:tailEnd/>
                        </a:ln>
                      </wps:spPr>
                      <wps:txbx>
                        <w:txbxContent>
                          <w:p w14:paraId="0F42D0BB" w14:textId="77777777" w:rsidR="00C65183" w:rsidRPr="001176C0" w:rsidRDefault="00C65183" w:rsidP="00C65183">
                            <w:pPr>
                              <w:jc w:val="both"/>
                              <w:rPr>
                                <w:rFonts w:asciiTheme="minorHAnsi" w:hAnsiTheme="minorHAnsi"/>
                                <w:sz w:val="20"/>
                                <w:szCs w:val="20"/>
                              </w:rPr>
                            </w:pPr>
                            <w:r>
                              <w:rPr>
                                <w:rFonts w:asciiTheme="minorHAnsi" w:hAnsiTheme="minorHAnsi"/>
                                <w:sz w:val="20"/>
                                <w:szCs w:val="20"/>
                              </w:rPr>
                              <w:t>In 2016, m</w:t>
                            </w:r>
                            <w:r w:rsidRPr="001176C0">
                              <w:rPr>
                                <w:rFonts w:asciiTheme="minorHAnsi" w:hAnsiTheme="minorHAnsi"/>
                                <w:sz w:val="20"/>
                                <w:szCs w:val="20"/>
                              </w:rPr>
                              <w:t>edian weekly individual gross incomes stood at $</w:t>
                            </w:r>
                            <w:r>
                              <w:rPr>
                                <w:rFonts w:asciiTheme="minorHAnsi" w:hAnsiTheme="minorHAnsi"/>
                                <w:sz w:val="20"/>
                                <w:szCs w:val="20"/>
                              </w:rPr>
                              <w:t>616</w:t>
                            </w:r>
                            <w:r w:rsidRPr="001176C0">
                              <w:rPr>
                                <w:rFonts w:asciiTheme="minorHAnsi" w:hAnsiTheme="minorHAnsi"/>
                                <w:sz w:val="20"/>
                                <w:szCs w:val="20"/>
                              </w:rPr>
                              <w:t xml:space="preserve"> among male</w:t>
                            </w:r>
                            <w:r>
                              <w:rPr>
                                <w:rFonts w:asciiTheme="minorHAnsi" w:hAnsiTheme="minorHAnsi"/>
                                <w:sz w:val="20"/>
                                <w:szCs w:val="20"/>
                              </w:rPr>
                              <w:t>s</w:t>
                            </w:r>
                            <w:r w:rsidRPr="001176C0">
                              <w:rPr>
                                <w:rFonts w:asciiTheme="minorHAnsi" w:hAnsiTheme="minorHAnsi"/>
                                <w:sz w:val="20"/>
                                <w:szCs w:val="20"/>
                              </w:rPr>
                              <w:t xml:space="preserve"> - </w:t>
                            </w:r>
                            <w:r>
                              <w:rPr>
                                <w:rFonts w:asciiTheme="minorHAnsi" w:hAnsiTheme="minorHAnsi"/>
                                <w:sz w:val="20"/>
                                <w:szCs w:val="20"/>
                              </w:rPr>
                              <w:t>53</w:t>
                            </w:r>
                            <w:r w:rsidRPr="001176C0">
                              <w:rPr>
                                <w:rFonts w:asciiTheme="minorHAnsi" w:hAnsiTheme="minorHAnsi"/>
                                <w:sz w:val="20"/>
                                <w:szCs w:val="20"/>
                              </w:rPr>
                              <w:t xml:space="preserve">% higher than the corresponding </w:t>
                            </w:r>
                            <w:r>
                              <w:rPr>
                                <w:rFonts w:asciiTheme="minorHAnsi" w:hAnsiTheme="minorHAnsi"/>
                                <w:sz w:val="20"/>
                                <w:szCs w:val="20"/>
                              </w:rPr>
                              <w:t>level among women, of $403 p.w.</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98F5CAF" id="_x0000_s1034" type="#_x0000_t202" style="position:absolute;left:0;text-align:left;margin-left:248.15pt;margin-top:15.15pt;width:223.5pt;height:57.4pt;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" filled="f" stroked="f">
                <v:textbox>
                  <w:txbxContent>
                    <w:p w14:paraId="0F42D0BB" w14:textId="77777777" w:rsidR="00C65183" w:rsidRPr="001176C0" w:rsidRDefault="00C65183" w:rsidP="00C65183">
                      <w:pPr>
                        <w:jc w:val="both"/>
                        <w:rPr>
                          <w:rFonts w:asciiTheme="minorHAnsi" w:hAnsiTheme="minorHAnsi"/>
                          <w:sz w:val="20"/>
                          <w:szCs w:val="20"/>
                        </w:rPr>
                      </w:pPr>
                      <w:r>
                        <w:rPr>
                          <w:rFonts w:asciiTheme="minorHAnsi" w:hAnsiTheme="minorHAnsi"/>
                          <w:sz w:val="20"/>
                          <w:szCs w:val="20"/>
                        </w:rPr>
                        <w:t>In 2016, m</w:t>
                      </w:r>
                      <w:r w:rsidRPr="001176C0">
                        <w:rPr>
                          <w:rFonts w:asciiTheme="minorHAnsi" w:hAnsiTheme="minorHAnsi"/>
                          <w:sz w:val="20"/>
                          <w:szCs w:val="20"/>
                        </w:rPr>
                        <w:t>edian weekly individual gross incomes stood at $</w:t>
                      </w:r>
                      <w:r>
                        <w:rPr>
                          <w:rFonts w:asciiTheme="minorHAnsi" w:hAnsiTheme="minorHAnsi"/>
                          <w:sz w:val="20"/>
                          <w:szCs w:val="20"/>
                        </w:rPr>
                        <w:t>616</w:t>
                      </w:r>
                      <w:r w:rsidRPr="001176C0">
                        <w:rPr>
                          <w:rFonts w:asciiTheme="minorHAnsi" w:hAnsiTheme="minorHAnsi"/>
                          <w:sz w:val="20"/>
                          <w:szCs w:val="20"/>
                        </w:rPr>
                        <w:t xml:space="preserve"> among male</w:t>
                      </w:r>
                      <w:r>
                        <w:rPr>
                          <w:rFonts w:asciiTheme="minorHAnsi" w:hAnsiTheme="minorHAnsi"/>
                          <w:sz w:val="20"/>
                          <w:szCs w:val="20"/>
                        </w:rPr>
                        <w:t>s</w:t>
                      </w:r>
                      <w:r w:rsidRPr="001176C0">
                        <w:rPr>
                          <w:rFonts w:asciiTheme="minorHAnsi" w:hAnsiTheme="minorHAnsi"/>
                          <w:sz w:val="20"/>
                          <w:szCs w:val="20"/>
                        </w:rPr>
                        <w:t xml:space="preserve"> - </w:t>
                      </w:r>
                      <w:r>
                        <w:rPr>
                          <w:rFonts w:asciiTheme="minorHAnsi" w:hAnsiTheme="minorHAnsi"/>
                          <w:sz w:val="20"/>
                          <w:szCs w:val="20"/>
                        </w:rPr>
                        <w:t>53</w:t>
                      </w:r>
                      <w:r w:rsidRPr="001176C0">
                        <w:rPr>
                          <w:rFonts w:asciiTheme="minorHAnsi" w:hAnsiTheme="minorHAnsi"/>
                          <w:sz w:val="20"/>
                          <w:szCs w:val="20"/>
                        </w:rPr>
                        <w:t xml:space="preserve">% higher than the corresponding </w:t>
                      </w:r>
                      <w:r>
                        <w:rPr>
                          <w:rFonts w:asciiTheme="minorHAnsi" w:hAnsiTheme="minorHAnsi"/>
                          <w:sz w:val="20"/>
                          <w:szCs w:val="20"/>
                        </w:rPr>
                        <w:t>level among women, of $403 p.w.</w:t>
                      </w:r>
                    </w:p>
                  </w:txbxContent>
                </v:textbox>
              </v:shape>
            </w:pict>
          </mc:Fallback>
        </mc:AlternateContent>
      </w:r>
      <w:r w:rsidRPr="005D37BE">
        <w:rPr>
          <w:rFonts w:asciiTheme="minorHAnsi" w:hAnsiTheme="minorHAnsi"/>
          <w:b/>
          <w:color w:val="0F243E" w:themeColor="text2" w:themeShade="80"/>
          <w:sz w:val="26"/>
          <w:szCs w:val="26"/>
        </w:rPr>
        <w:t>Incomes</w:t>
      </w:r>
    </w:p>
    <w:p w14:paraId="08927FBA" w14:textId="77777777" w:rsidR="00C65183" w:rsidRDefault="00C65183" w:rsidP="00C65183">
      <w:pPr>
        <w:rPr>
          <w:rFonts w:asciiTheme="minorHAnsi" w:hAnsiTheme="minorHAnsi"/>
        </w:rPr>
      </w:pPr>
    </w:p>
    <w:p w14:paraId="773AA629" w14:textId="77777777" w:rsidR="00C65183" w:rsidRDefault="00C65183" w:rsidP="00C65183">
      <w:pPr>
        <w:rPr>
          <w:rFonts w:asciiTheme="minorHAnsi" w:hAnsiTheme="minorHAnsi"/>
        </w:rPr>
      </w:pPr>
      <w:r>
        <w:rPr>
          <w:rFonts w:asciiTheme="minorHAnsi" w:hAnsiTheme="minorHAnsi"/>
          <w:noProof/>
          <w:lang w:eastAsia="en-AU"/>
        </w:rPr>
        <w:drawing>
          <wp:anchor distT="0" distB="0" distL="114300" distR="114300" simplePos="0" relativeHeight="251845632" behindDoc="0" locked="0" layoutInCell="1" allowOverlap="1" wp14:anchorId="71AFF646" wp14:editId="0687BE57">
            <wp:simplePos x="0" y="0"/>
            <wp:positionH relativeFrom="column">
              <wp:posOffset>1405890</wp:posOffset>
            </wp:positionH>
            <wp:positionV relativeFrom="paragraph">
              <wp:posOffset>11430</wp:posOffset>
            </wp:positionV>
            <wp:extent cx="603885" cy="603885"/>
            <wp:effectExtent l="0" t="0" r="5715" b="5715"/>
            <wp:wrapNone/>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ta Sack of money 1.jpg"/>
                    <pic:cNvPicPr/>
                  </pic:nvPicPr>
                  <pic:blipFill>
                    <a:blip r:embed="rId196" cstate="print">
                      <a:extLst>
                        <a:ext uri="{28A0092B-C50C-407E-A947-70E740481C1C}">
                          <a14:useLocalDpi xmlns:a14="http://schemas.microsoft.com/office/drawing/2010/main" val="0"/>
                        </a:ext>
                      </a:extLst>
                    </a:blip>
                    <a:stretch>
                      <a:fillRect/>
                    </a:stretch>
                  </pic:blipFill>
                  <pic:spPr>
                    <a:xfrm>
                      <a:off x="0" y="0"/>
                      <a:ext cx="603885" cy="603885"/>
                    </a:xfrm>
                    <a:prstGeom prst="rect">
                      <a:avLst/>
                    </a:prstGeom>
                  </pic:spPr>
                </pic:pic>
              </a:graphicData>
            </a:graphic>
            <wp14:sizeRelH relativeFrom="page">
              <wp14:pctWidth>0</wp14:pctWidth>
            </wp14:sizeRelH>
            <wp14:sizeRelV relativeFrom="page">
              <wp14:pctHeight>0</wp14:pctHeight>
            </wp14:sizeRelV>
          </wp:anchor>
        </w:drawing>
      </w:r>
    </w:p>
    <w:p w14:paraId="20055773" w14:textId="77777777" w:rsidR="00C65183" w:rsidRDefault="00C65183" w:rsidP="00C65183">
      <w:pPr>
        <w:rPr>
          <w:rFonts w:asciiTheme="minorHAnsi" w:hAnsiTheme="minorHAnsi"/>
        </w:rPr>
      </w:pPr>
    </w:p>
    <w:p w14:paraId="07F8A7A1" w14:textId="77777777" w:rsidR="00C65183" w:rsidRDefault="00C65183" w:rsidP="00C65183">
      <w:pPr>
        <w:rPr>
          <w:rFonts w:asciiTheme="minorHAnsi" w:hAnsiTheme="minorHAnsi"/>
        </w:rPr>
      </w:pPr>
    </w:p>
    <w:p w14:paraId="69437E96" w14:textId="77777777" w:rsidR="00C65183" w:rsidRPr="005D37BE" w:rsidRDefault="00C65183" w:rsidP="00C65183">
      <w:pPr>
        <w:rPr>
          <w:rFonts w:asciiTheme="minorHAnsi" w:hAnsiTheme="minorHAnsi"/>
        </w:rPr>
      </w:pPr>
    </w:p>
    <w:p w14:paraId="5D5C3C0C" w14:textId="77777777" w:rsidR="00C65183" w:rsidRPr="005D37BE" w:rsidRDefault="00C65183" w:rsidP="00C65183">
      <w:pPr>
        <w:rPr>
          <w:rFonts w:asciiTheme="minorHAnsi" w:hAnsiTheme="minorHAnsi"/>
          <w:color w:val="7F7F7F" w:themeColor="text1" w:themeTint="80"/>
          <w:sz w:val="20"/>
          <w:szCs w:val="20"/>
        </w:rPr>
      </w:pPr>
      <w:r w:rsidRPr="005D37BE">
        <w:rPr>
          <w:rFonts w:asciiTheme="minorHAnsi" w:hAnsiTheme="minorHAnsi"/>
          <w:color w:val="7F7F7F" w:themeColor="text1" w:themeTint="80"/>
          <w:sz w:val="20"/>
          <w:szCs w:val="20"/>
        </w:rPr>
        <w:t xml:space="preserve">Median weekly gross individual income among persons aged 15 years or more, by </w:t>
      </w:r>
      <w:r>
        <w:rPr>
          <w:rFonts w:asciiTheme="minorHAnsi" w:hAnsiTheme="minorHAnsi"/>
          <w:color w:val="7F7F7F" w:themeColor="text1" w:themeTint="80"/>
          <w:sz w:val="20"/>
          <w:szCs w:val="20"/>
        </w:rPr>
        <w:t>sex</w:t>
      </w:r>
      <w:r w:rsidRPr="005D37BE">
        <w:rPr>
          <w:rFonts w:asciiTheme="minorHAnsi" w:hAnsiTheme="minorHAnsi"/>
          <w:color w:val="7F7F7F" w:themeColor="text1" w:themeTint="80"/>
          <w:sz w:val="20"/>
          <w:szCs w:val="20"/>
        </w:rPr>
        <w:t>: Greater Dandenong, 2016</w:t>
      </w:r>
    </w:p>
    <w:p w14:paraId="3678865B" w14:textId="77777777" w:rsidR="00C65183" w:rsidRDefault="00C65183" w:rsidP="00C65183">
      <w:pPr>
        <w:rPr>
          <w:rFonts w:asciiTheme="minorHAnsi" w:hAnsiTheme="minorHAnsi"/>
        </w:rPr>
      </w:pPr>
    </w:p>
    <w:p w14:paraId="48C71D69" w14:textId="77777777" w:rsidR="00C65183" w:rsidRDefault="00C65183" w:rsidP="00C65183">
      <w:pPr>
        <w:rPr>
          <w:rFonts w:asciiTheme="minorHAnsi" w:hAnsiTheme="minorHAnsi"/>
        </w:rPr>
      </w:pPr>
    </w:p>
    <w:p w14:paraId="19C02282" w14:textId="77777777" w:rsidR="00C65183" w:rsidRPr="005D37BE" w:rsidRDefault="00C65183" w:rsidP="00C65183">
      <w:pPr>
        <w:rPr>
          <w:rFonts w:asciiTheme="minorHAnsi" w:hAnsiTheme="minorHAnsi"/>
        </w:rPr>
      </w:pPr>
    </w:p>
    <w:p w14:paraId="7AF89523" w14:textId="77777777" w:rsidR="00C65183" w:rsidRPr="005D37BE" w:rsidRDefault="00C65183" w:rsidP="00C65183">
      <w:pPr>
        <w:rPr>
          <w:rFonts w:asciiTheme="minorHAnsi" w:hAnsiTheme="minorHAnsi"/>
        </w:rPr>
      </w:pPr>
    </w:p>
    <w:p w14:paraId="2D7E5D99" w14:textId="77777777" w:rsidR="00C65183" w:rsidRDefault="00C65183" w:rsidP="00C65183">
      <w:pPr>
        <w:rPr>
          <w:rFonts w:asciiTheme="minorHAnsi" w:hAnsiTheme="minorHAnsi"/>
        </w:rPr>
      </w:pPr>
    </w:p>
    <w:p w14:paraId="63D9700D" w14:textId="77777777" w:rsidR="00C65183" w:rsidRDefault="00C65183" w:rsidP="00C65183">
      <w:pPr>
        <w:rPr>
          <w:rFonts w:asciiTheme="minorHAnsi" w:hAnsiTheme="minorHAnsi"/>
          <w:color w:val="7F7F7F" w:themeColor="text1" w:themeTint="80"/>
          <w:sz w:val="20"/>
          <w:szCs w:val="20"/>
        </w:rPr>
      </w:pPr>
      <w:r>
        <w:rPr>
          <w:rFonts w:asciiTheme="minorHAnsi" w:hAnsiTheme="minorHAnsi"/>
          <w:noProof/>
          <w:lang w:eastAsia="en-AU"/>
        </w:rPr>
        <w:drawing>
          <wp:anchor distT="0" distB="0" distL="114300" distR="114300" simplePos="0" relativeHeight="251854848" behindDoc="0" locked="0" layoutInCell="1" allowOverlap="1" wp14:anchorId="209DBA18" wp14:editId="5DF8DDD1">
            <wp:simplePos x="0" y="0"/>
            <wp:positionH relativeFrom="column">
              <wp:posOffset>2350770</wp:posOffset>
            </wp:positionH>
            <wp:positionV relativeFrom="paragraph">
              <wp:posOffset>88900</wp:posOffset>
            </wp:positionV>
            <wp:extent cx="4043680" cy="3370580"/>
            <wp:effectExtent l="0" t="0" r="0" b="1270"/>
            <wp:wrapSquare wrapText="bothSides"/>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4043680" cy="3370580"/>
                    </a:xfrm>
                    <a:prstGeom prst="rect">
                      <a:avLst/>
                    </a:prstGeom>
                    <a:noFill/>
                  </pic:spPr>
                </pic:pic>
              </a:graphicData>
            </a:graphic>
            <wp14:sizeRelH relativeFrom="page">
              <wp14:pctWidth>0</wp14:pctWidth>
            </wp14:sizeRelH>
            <wp14:sizeRelV relativeFrom="page">
              <wp14:pctHeight>0</wp14:pctHeight>
            </wp14:sizeRelV>
          </wp:anchor>
        </w:drawing>
      </w:r>
    </w:p>
    <w:p w14:paraId="27AC88C7" w14:textId="77777777" w:rsidR="00C65183" w:rsidRDefault="00C65183" w:rsidP="00C65183">
      <w:pPr>
        <w:rPr>
          <w:rFonts w:asciiTheme="minorHAnsi" w:hAnsiTheme="minorHAnsi"/>
          <w:color w:val="7F7F7F" w:themeColor="text1" w:themeTint="80"/>
          <w:sz w:val="20"/>
          <w:szCs w:val="20"/>
        </w:rPr>
      </w:pPr>
    </w:p>
    <w:p w14:paraId="2107FCE8" w14:textId="77777777" w:rsidR="00C65183" w:rsidRDefault="00C65183" w:rsidP="00C65183">
      <w:pPr>
        <w:rPr>
          <w:rFonts w:asciiTheme="minorHAnsi" w:hAnsiTheme="minorHAnsi"/>
        </w:rPr>
      </w:pPr>
      <w:r w:rsidRPr="005D37BE">
        <w:rPr>
          <w:rFonts w:asciiTheme="minorHAnsi" w:hAnsiTheme="minorHAnsi"/>
          <w:color w:val="7F7F7F" w:themeColor="text1" w:themeTint="80"/>
          <w:sz w:val="20"/>
          <w:szCs w:val="20"/>
        </w:rPr>
        <w:t xml:space="preserve">Median income levels by employment status and level, by </w:t>
      </w:r>
      <w:r>
        <w:rPr>
          <w:rFonts w:asciiTheme="minorHAnsi" w:hAnsiTheme="minorHAnsi"/>
          <w:color w:val="7F7F7F" w:themeColor="text1" w:themeTint="80"/>
          <w:sz w:val="20"/>
          <w:szCs w:val="20"/>
        </w:rPr>
        <w:t>sex</w:t>
      </w:r>
      <w:r w:rsidRPr="005D37BE">
        <w:rPr>
          <w:rFonts w:asciiTheme="minorHAnsi" w:hAnsiTheme="minorHAnsi"/>
          <w:color w:val="7F7F7F" w:themeColor="text1" w:themeTint="80"/>
          <w:sz w:val="20"/>
          <w:szCs w:val="20"/>
        </w:rPr>
        <w:t>: Greater Dandenong, 201</w:t>
      </w:r>
      <w:r>
        <w:rPr>
          <w:rFonts w:asciiTheme="minorHAnsi" w:hAnsiTheme="minorHAnsi"/>
          <w:color w:val="7F7F7F" w:themeColor="text1" w:themeTint="80"/>
          <w:sz w:val="20"/>
          <w:szCs w:val="20"/>
        </w:rPr>
        <w:t>6</w:t>
      </w:r>
    </w:p>
    <w:p w14:paraId="4A7E161D" w14:textId="77777777" w:rsidR="00C65183" w:rsidRDefault="00C65183" w:rsidP="00C65183">
      <w:pPr>
        <w:rPr>
          <w:rFonts w:asciiTheme="minorHAnsi" w:hAnsiTheme="minorHAnsi"/>
        </w:rPr>
      </w:pPr>
      <w:r w:rsidRPr="005D37BE">
        <w:rPr>
          <w:rFonts w:asciiTheme="minorHAnsi" w:hAnsiTheme="minorHAnsi"/>
          <w:noProof/>
          <w:lang w:eastAsia="en-AU"/>
        </w:rPr>
        <mc:AlternateContent>
          <mc:Choice Requires="wps">
            <w:drawing>
              <wp:anchor distT="0" distB="0" distL="114300" distR="114300" simplePos="0" relativeHeight="251814912" behindDoc="0" locked="0" layoutInCell="1" allowOverlap="1" wp14:anchorId="2F62967C" wp14:editId="7433DAAD">
                <wp:simplePos x="0" y="0"/>
                <wp:positionH relativeFrom="margin">
                  <wp:posOffset>-68580</wp:posOffset>
                </wp:positionH>
                <wp:positionV relativeFrom="paragraph">
                  <wp:posOffset>106045</wp:posOffset>
                </wp:positionV>
                <wp:extent cx="2409825" cy="1971675"/>
                <wp:effectExtent l="0" t="0" r="0" b="0"/>
                <wp:wrapNone/>
                <wp:docPr id="1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9825" cy="1971675"/>
                        </a:xfrm>
                        <a:prstGeom prst="rect">
                          <a:avLst/>
                        </a:prstGeom>
                        <a:noFill/>
                        <a:ln w="9525">
                          <a:noFill/>
                          <a:miter lim="800000"/>
                          <a:headEnd/>
                          <a:tailEnd/>
                        </a:ln>
                      </wps:spPr>
                      <wps:txbx>
                        <w:txbxContent>
                          <w:p w14:paraId="114E4345" w14:textId="77777777" w:rsidR="00C65183" w:rsidRDefault="00C65183" w:rsidP="00C65183">
                            <w:pPr>
                              <w:jc w:val="both"/>
                              <w:rPr>
                                <w:rFonts w:asciiTheme="minorHAnsi" w:hAnsiTheme="minorHAnsi"/>
                                <w:sz w:val="20"/>
                                <w:szCs w:val="20"/>
                              </w:rPr>
                            </w:pPr>
                            <w:r>
                              <w:rPr>
                                <w:rFonts w:asciiTheme="minorHAnsi" w:hAnsiTheme="minorHAnsi"/>
                                <w:sz w:val="20"/>
                                <w:szCs w:val="20"/>
                              </w:rPr>
                              <w:t>T</w:t>
                            </w:r>
                            <w:r w:rsidRPr="001176C0">
                              <w:rPr>
                                <w:rFonts w:asciiTheme="minorHAnsi" w:hAnsiTheme="minorHAnsi"/>
                                <w:sz w:val="20"/>
                                <w:szCs w:val="20"/>
                              </w:rPr>
                              <w:t xml:space="preserve">he income gap between women and men was lower among </w:t>
                            </w:r>
                            <w:r>
                              <w:rPr>
                                <w:rFonts w:asciiTheme="minorHAnsi" w:hAnsiTheme="minorHAnsi"/>
                                <w:sz w:val="20"/>
                                <w:szCs w:val="20"/>
                              </w:rPr>
                              <w:t>those</w:t>
                            </w:r>
                            <w:r w:rsidRPr="001176C0">
                              <w:rPr>
                                <w:rFonts w:asciiTheme="minorHAnsi" w:hAnsiTheme="minorHAnsi"/>
                                <w:sz w:val="20"/>
                                <w:szCs w:val="20"/>
                              </w:rPr>
                              <w:t xml:space="preserve"> in paid employment, and </w:t>
                            </w:r>
                            <w:r>
                              <w:rPr>
                                <w:rFonts w:asciiTheme="minorHAnsi" w:hAnsiTheme="minorHAnsi"/>
                                <w:sz w:val="20"/>
                                <w:szCs w:val="20"/>
                              </w:rPr>
                              <w:t>less</w:t>
                            </w:r>
                            <w:r w:rsidRPr="001176C0">
                              <w:rPr>
                                <w:rFonts w:asciiTheme="minorHAnsi" w:hAnsiTheme="minorHAnsi"/>
                                <w:sz w:val="20"/>
                                <w:szCs w:val="20"/>
                              </w:rPr>
                              <w:t xml:space="preserve"> among those in full-time work. The difference between women’s and men’s hourly income was</w:t>
                            </w:r>
                            <w:r>
                              <w:rPr>
                                <w:rFonts w:asciiTheme="minorHAnsi" w:hAnsiTheme="minorHAnsi"/>
                                <w:sz w:val="20"/>
                                <w:szCs w:val="20"/>
                              </w:rPr>
                              <w:t xml:space="preserve"> smaller still, at</w:t>
                            </w:r>
                            <w:r w:rsidRPr="001176C0">
                              <w:rPr>
                                <w:rFonts w:asciiTheme="minorHAnsi" w:hAnsiTheme="minorHAnsi"/>
                                <w:sz w:val="20"/>
                                <w:szCs w:val="20"/>
                              </w:rPr>
                              <w:t xml:space="preserve"> </w:t>
                            </w:r>
                            <w:r>
                              <w:rPr>
                                <w:rFonts w:asciiTheme="minorHAnsi" w:hAnsiTheme="minorHAnsi"/>
                                <w:sz w:val="20"/>
                                <w:szCs w:val="20"/>
                              </w:rPr>
                              <w:t>6</w:t>
                            </w:r>
                            <w:r w:rsidRPr="001176C0">
                              <w:rPr>
                                <w:rFonts w:asciiTheme="minorHAnsi" w:hAnsiTheme="minorHAnsi"/>
                                <w:sz w:val="20"/>
                                <w:szCs w:val="20"/>
                              </w:rPr>
                              <w:t xml:space="preserve">%. </w:t>
                            </w:r>
                          </w:p>
                          <w:p w14:paraId="02775D6D" w14:textId="77777777" w:rsidR="00C65183" w:rsidRPr="001176C0" w:rsidRDefault="00C65183" w:rsidP="00C65183">
                            <w:pPr>
                              <w:jc w:val="both"/>
                              <w:rPr>
                                <w:rFonts w:asciiTheme="minorHAnsi" w:hAnsiTheme="minorHAnsi"/>
                                <w:sz w:val="20"/>
                                <w:szCs w:val="20"/>
                              </w:rPr>
                            </w:pPr>
                            <w:r w:rsidRPr="001176C0">
                              <w:rPr>
                                <w:rFonts w:asciiTheme="minorHAnsi" w:hAnsiTheme="minorHAnsi"/>
                                <w:sz w:val="20"/>
                                <w:szCs w:val="20"/>
                              </w:rPr>
                              <w:t xml:space="preserve">These findings </w:t>
                            </w:r>
                            <w:r>
                              <w:rPr>
                                <w:rFonts w:asciiTheme="minorHAnsi" w:hAnsiTheme="minorHAnsi"/>
                                <w:sz w:val="20"/>
                                <w:szCs w:val="20"/>
                              </w:rPr>
                              <w:t>confirm</w:t>
                            </w:r>
                            <w:r w:rsidRPr="001176C0">
                              <w:rPr>
                                <w:rFonts w:asciiTheme="minorHAnsi" w:hAnsiTheme="minorHAnsi"/>
                                <w:sz w:val="20"/>
                                <w:szCs w:val="20"/>
                              </w:rPr>
                              <w:t xml:space="preserve"> that </w:t>
                            </w:r>
                            <w:r>
                              <w:rPr>
                                <w:rFonts w:asciiTheme="minorHAnsi" w:hAnsiTheme="minorHAnsi"/>
                                <w:sz w:val="20"/>
                                <w:szCs w:val="20"/>
                              </w:rPr>
                              <w:t>income differences between women and men</w:t>
                            </w:r>
                            <w:r w:rsidRPr="001176C0">
                              <w:rPr>
                                <w:rFonts w:asciiTheme="minorHAnsi" w:hAnsiTheme="minorHAnsi"/>
                                <w:sz w:val="20"/>
                                <w:szCs w:val="20"/>
                              </w:rPr>
                              <w:t xml:space="preserve"> are due largely to the lesser proportion of women who hold paid employment, and the lower percentage of those in paid work who are employed full-time</w:t>
                            </w:r>
                            <w:r>
                              <w:rPr>
                                <w:rFonts w:asciiTheme="minorHAnsi" w:hAnsiTheme="minorHAnsi"/>
                                <w:sz w:val="20"/>
                                <w:szCs w:val="2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F62967C" id="_x0000_s1035" type="#_x0000_t202" style="position:absolute;margin-left:-5.4pt;margin-top:8.35pt;width:189.75pt;height:155.25pt;z-index:251814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" filled="f" stroked="f">
                <v:textbox>
                  <w:txbxContent>
                    <w:p w14:paraId="114E4345" w14:textId="77777777" w:rsidR="00C65183" w:rsidRDefault="00C65183" w:rsidP="00C65183">
                      <w:pPr>
                        <w:jc w:val="both"/>
                        <w:rPr>
                          <w:rFonts w:asciiTheme="minorHAnsi" w:hAnsiTheme="minorHAnsi"/>
                          <w:sz w:val="20"/>
                          <w:szCs w:val="20"/>
                        </w:rPr>
                      </w:pPr>
                      <w:r>
                        <w:rPr>
                          <w:rFonts w:asciiTheme="minorHAnsi" w:hAnsiTheme="minorHAnsi"/>
                          <w:sz w:val="20"/>
                          <w:szCs w:val="20"/>
                        </w:rPr>
                        <w:t>T</w:t>
                      </w:r>
                      <w:r w:rsidRPr="001176C0">
                        <w:rPr>
                          <w:rFonts w:asciiTheme="minorHAnsi" w:hAnsiTheme="minorHAnsi"/>
                          <w:sz w:val="20"/>
                          <w:szCs w:val="20"/>
                        </w:rPr>
                        <w:t xml:space="preserve">he income gap between women and men was lower among </w:t>
                      </w:r>
                      <w:r>
                        <w:rPr>
                          <w:rFonts w:asciiTheme="minorHAnsi" w:hAnsiTheme="minorHAnsi"/>
                          <w:sz w:val="20"/>
                          <w:szCs w:val="20"/>
                        </w:rPr>
                        <w:t>those</w:t>
                      </w:r>
                      <w:r w:rsidRPr="001176C0">
                        <w:rPr>
                          <w:rFonts w:asciiTheme="minorHAnsi" w:hAnsiTheme="minorHAnsi"/>
                          <w:sz w:val="20"/>
                          <w:szCs w:val="20"/>
                        </w:rPr>
                        <w:t xml:space="preserve"> in paid employment, and </w:t>
                      </w:r>
                      <w:r>
                        <w:rPr>
                          <w:rFonts w:asciiTheme="minorHAnsi" w:hAnsiTheme="minorHAnsi"/>
                          <w:sz w:val="20"/>
                          <w:szCs w:val="20"/>
                        </w:rPr>
                        <w:t>less</w:t>
                      </w:r>
                      <w:r w:rsidRPr="001176C0">
                        <w:rPr>
                          <w:rFonts w:asciiTheme="minorHAnsi" w:hAnsiTheme="minorHAnsi"/>
                          <w:sz w:val="20"/>
                          <w:szCs w:val="20"/>
                        </w:rPr>
                        <w:t xml:space="preserve"> among those in full-time work. The difference between women’s and men’s hourly income was</w:t>
                      </w:r>
                      <w:r>
                        <w:rPr>
                          <w:rFonts w:asciiTheme="minorHAnsi" w:hAnsiTheme="minorHAnsi"/>
                          <w:sz w:val="20"/>
                          <w:szCs w:val="20"/>
                        </w:rPr>
                        <w:t xml:space="preserve"> smaller still, at</w:t>
                      </w:r>
                      <w:r w:rsidRPr="001176C0">
                        <w:rPr>
                          <w:rFonts w:asciiTheme="minorHAnsi" w:hAnsiTheme="minorHAnsi"/>
                          <w:sz w:val="20"/>
                          <w:szCs w:val="20"/>
                        </w:rPr>
                        <w:t xml:space="preserve"> </w:t>
                      </w:r>
                      <w:r>
                        <w:rPr>
                          <w:rFonts w:asciiTheme="minorHAnsi" w:hAnsiTheme="minorHAnsi"/>
                          <w:sz w:val="20"/>
                          <w:szCs w:val="20"/>
                        </w:rPr>
                        <w:t>6</w:t>
                      </w:r>
                      <w:r w:rsidRPr="001176C0">
                        <w:rPr>
                          <w:rFonts w:asciiTheme="minorHAnsi" w:hAnsiTheme="minorHAnsi"/>
                          <w:sz w:val="20"/>
                          <w:szCs w:val="20"/>
                        </w:rPr>
                        <w:t xml:space="preserve">%. </w:t>
                      </w:r>
                    </w:p>
                    <w:p w14:paraId="02775D6D" w14:textId="77777777" w:rsidR="00C65183" w:rsidRPr="001176C0" w:rsidRDefault="00C65183" w:rsidP="00C65183">
                      <w:pPr>
                        <w:jc w:val="both"/>
                        <w:rPr>
                          <w:rFonts w:asciiTheme="minorHAnsi" w:hAnsiTheme="minorHAnsi"/>
                          <w:sz w:val="20"/>
                          <w:szCs w:val="20"/>
                        </w:rPr>
                      </w:pPr>
                      <w:r w:rsidRPr="001176C0">
                        <w:rPr>
                          <w:rFonts w:asciiTheme="minorHAnsi" w:hAnsiTheme="minorHAnsi"/>
                          <w:sz w:val="20"/>
                          <w:szCs w:val="20"/>
                        </w:rPr>
                        <w:t xml:space="preserve">These findings </w:t>
                      </w:r>
                      <w:r>
                        <w:rPr>
                          <w:rFonts w:asciiTheme="minorHAnsi" w:hAnsiTheme="minorHAnsi"/>
                          <w:sz w:val="20"/>
                          <w:szCs w:val="20"/>
                        </w:rPr>
                        <w:t>confirm</w:t>
                      </w:r>
                      <w:r w:rsidRPr="001176C0">
                        <w:rPr>
                          <w:rFonts w:asciiTheme="minorHAnsi" w:hAnsiTheme="minorHAnsi"/>
                          <w:sz w:val="20"/>
                          <w:szCs w:val="20"/>
                        </w:rPr>
                        <w:t xml:space="preserve"> that </w:t>
                      </w:r>
                      <w:r>
                        <w:rPr>
                          <w:rFonts w:asciiTheme="minorHAnsi" w:hAnsiTheme="minorHAnsi"/>
                          <w:sz w:val="20"/>
                          <w:szCs w:val="20"/>
                        </w:rPr>
                        <w:t>income differences between women and men</w:t>
                      </w:r>
                      <w:r w:rsidRPr="001176C0">
                        <w:rPr>
                          <w:rFonts w:asciiTheme="minorHAnsi" w:hAnsiTheme="minorHAnsi"/>
                          <w:sz w:val="20"/>
                          <w:szCs w:val="20"/>
                        </w:rPr>
                        <w:t xml:space="preserve"> are due largely to the lesser proportion of women who hold paid employment, and the lower percentage of those in paid work who are employed full-time</w:t>
                      </w:r>
                      <w:r>
                        <w:rPr>
                          <w:rFonts w:asciiTheme="minorHAnsi" w:hAnsiTheme="minorHAnsi"/>
                          <w:sz w:val="20"/>
                          <w:szCs w:val="20"/>
                        </w:rPr>
                        <w:t>.</w:t>
                      </w:r>
                    </w:p>
                  </w:txbxContent>
                </v:textbox>
                <w10:wrap anchorx="margin"/>
              </v:shape>
            </w:pict>
          </mc:Fallback>
        </mc:AlternateContent>
      </w:r>
    </w:p>
    <w:p w14:paraId="62233B76" w14:textId="77777777" w:rsidR="00C65183" w:rsidRPr="005D37BE" w:rsidRDefault="00C65183" w:rsidP="00C65183">
      <w:pPr>
        <w:rPr>
          <w:rFonts w:asciiTheme="minorHAnsi" w:hAnsiTheme="minorHAnsi"/>
        </w:rPr>
      </w:pPr>
    </w:p>
    <w:p w14:paraId="7CAD1167" w14:textId="77777777" w:rsidR="00C65183" w:rsidRPr="005D37BE" w:rsidRDefault="00C65183" w:rsidP="00C65183">
      <w:pPr>
        <w:rPr>
          <w:rFonts w:asciiTheme="minorHAnsi" w:hAnsiTheme="minorHAnsi"/>
        </w:rPr>
      </w:pPr>
    </w:p>
    <w:p w14:paraId="1681A012" w14:textId="77777777" w:rsidR="00C65183" w:rsidRPr="005D37BE" w:rsidRDefault="00C65183" w:rsidP="00C65183">
      <w:pPr>
        <w:rPr>
          <w:rFonts w:asciiTheme="minorHAnsi" w:hAnsiTheme="minorHAnsi"/>
          <w:color w:val="7F7F7F" w:themeColor="text1" w:themeTint="80"/>
          <w:sz w:val="20"/>
          <w:szCs w:val="20"/>
        </w:rPr>
      </w:pPr>
      <w:r w:rsidRPr="005D37BE">
        <w:rPr>
          <w:rFonts w:asciiTheme="minorHAnsi" w:hAnsiTheme="minorHAnsi"/>
          <w:color w:val="7F7F7F" w:themeColor="text1" w:themeTint="80"/>
          <w:sz w:val="20"/>
          <w:szCs w:val="20"/>
        </w:rPr>
        <w:t>.</w:t>
      </w:r>
      <w:r w:rsidRPr="005D37BE">
        <w:rPr>
          <w:rFonts w:asciiTheme="minorHAnsi" w:hAnsiTheme="minorHAnsi"/>
          <w:noProof/>
          <w:lang w:eastAsia="en-AU"/>
        </w:rPr>
        <w:t xml:space="preserve"> </w:t>
      </w:r>
    </w:p>
    <w:p w14:paraId="05E68B90" w14:textId="77777777" w:rsidR="00C65183" w:rsidRPr="005D37BE" w:rsidRDefault="00C65183" w:rsidP="00C65183">
      <w:pPr>
        <w:rPr>
          <w:rFonts w:asciiTheme="minorHAnsi" w:hAnsiTheme="minorHAnsi"/>
        </w:rPr>
      </w:pPr>
    </w:p>
    <w:p w14:paraId="7884CF8D" w14:textId="77777777" w:rsidR="00C65183" w:rsidRPr="005D37BE" w:rsidRDefault="00C65183" w:rsidP="00C65183">
      <w:pPr>
        <w:rPr>
          <w:rFonts w:asciiTheme="minorHAnsi" w:hAnsiTheme="minorHAnsi"/>
        </w:rPr>
      </w:pPr>
    </w:p>
    <w:p w14:paraId="1A1B55ED" w14:textId="77777777" w:rsidR="00C65183" w:rsidRPr="005D37BE" w:rsidRDefault="00C65183" w:rsidP="00C65183">
      <w:pPr>
        <w:rPr>
          <w:rFonts w:asciiTheme="minorHAnsi" w:hAnsiTheme="minorHAnsi"/>
        </w:rPr>
      </w:pPr>
    </w:p>
    <w:p w14:paraId="25BC28C3" w14:textId="77777777" w:rsidR="00C65183" w:rsidRPr="005D37BE" w:rsidRDefault="00C65183" w:rsidP="00C65183">
      <w:pPr>
        <w:rPr>
          <w:rFonts w:asciiTheme="minorHAnsi" w:hAnsiTheme="minorHAnsi"/>
        </w:rPr>
      </w:pPr>
    </w:p>
    <w:p w14:paraId="3E747524" w14:textId="77777777" w:rsidR="00C65183" w:rsidRPr="005D37BE" w:rsidRDefault="00C65183" w:rsidP="00C65183">
      <w:pPr>
        <w:rPr>
          <w:rFonts w:asciiTheme="minorHAnsi" w:hAnsiTheme="minorHAnsi"/>
        </w:rPr>
      </w:pPr>
    </w:p>
    <w:p w14:paraId="14BEB7AE" w14:textId="77777777" w:rsidR="00C65183" w:rsidRDefault="00C65183" w:rsidP="00C65183">
      <w:pPr>
        <w:rPr>
          <w:rFonts w:asciiTheme="minorHAnsi" w:hAnsiTheme="minorHAnsi"/>
        </w:rPr>
      </w:pPr>
    </w:p>
    <w:p w14:paraId="73993A44" w14:textId="77777777" w:rsidR="00C65183" w:rsidRDefault="00C65183" w:rsidP="00C65183">
      <w:pPr>
        <w:rPr>
          <w:rFonts w:asciiTheme="minorHAnsi" w:hAnsiTheme="minorHAnsi"/>
        </w:rPr>
      </w:pPr>
    </w:p>
    <w:p w14:paraId="585D3B69" w14:textId="77777777" w:rsidR="00C65183" w:rsidRPr="005D37BE" w:rsidRDefault="00C65183" w:rsidP="00C65183">
      <w:pPr>
        <w:rPr>
          <w:rFonts w:asciiTheme="minorHAnsi" w:hAnsiTheme="minorHAnsi"/>
        </w:rPr>
      </w:pPr>
      <w:r>
        <w:rPr>
          <w:rFonts w:asciiTheme="minorHAnsi" w:hAnsiTheme="minorHAnsi"/>
          <w:noProof/>
          <w:lang w:eastAsia="en-AU"/>
        </w:rPr>
        <w:lastRenderedPageBreak/>
        <w:drawing>
          <wp:anchor distT="0" distB="0" distL="114300" distR="114300" simplePos="0" relativeHeight="251855872" behindDoc="0" locked="0" layoutInCell="1" allowOverlap="1" wp14:anchorId="04591191" wp14:editId="68039EBF">
            <wp:simplePos x="0" y="0"/>
            <wp:positionH relativeFrom="column">
              <wp:posOffset>-44132</wp:posOffset>
            </wp:positionH>
            <wp:positionV relativeFrom="paragraph">
              <wp:posOffset>107950</wp:posOffset>
            </wp:positionV>
            <wp:extent cx="3347720" cy="2379980"/>
            <wp:effectExtent l="0" t="0" r="5080" b="1270"/>
            <wp:wrapSquare wrapText="bothSides"/>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3347720" cy="2379980"/>
                    </a:xfrm>
                    <a:prstGeom prst="rect">
                      <a:avLst/>
                    </a:prstGeom>
                    <a:noFill/>
                  </pic:spPr>
                </pic:pic>
              </a:graphicData>
            </a:graphic>
            <wp14:sizeRelH relativeFrom="page">
              <wp14:pctWidth>0</wp14:pctWidth>
            </wp14:sizeRelH>
            <wp14:sizeRelV relativeFrom="page">
              <wp14:pctHeight>0</wp14:pctHeight>
            </wp14:sizeRelV>
          </wp:anchor>
        </w:drawing>
      </w:r>
    </w:p>
    <w:p w14:paraId="0BBD1CF7" w14:textId="77777777" w:rsidR="00C65183" w:rsidRPr="005D37BE" w:rsidRDefault="00C65183" w:rsidP="00C65183">
      <w:pPr>
        <w:rPr>
          <w:rFonts w:asciiTheme="minorHAnsi" w:hAnsiTheme="minorHAnsi"/>
          <w:color w:val="7F7F7F" w:themeColor="text1" w:themeTint="80"/>
          <w:sz w:val="20"/>
          <w:szCs w:val="20"/>
        </w:rPr>
      </w:pPr>
      <w:r w:rsidRPr="005D37BE">
        <w:rPr>
          <w:rFonts w:asciiTheme="minorHAnsi" w:hAnsiTheme="minorHAnsi"/>
          <w:color w:val="7F7F7F" w:themeColor="text1" w:themeTint="80"/>
          <w:sz w:val="20"/>
          <w:szCs w:val="20"/>
        </w:rPr>
        <w:t xml:space="preserve">Disparity between men’s and women’s </w:t>
      </w:r>
      <w:r>
        <w:rPr>
          <w:rFonts w:asciiTheme="minorHAnsi" w:hAnsiTheme="minorHAnsi"/>
          <w:color w:val="7F7F7F" w:themeColor="text1" w:themeTint="80"/>
          <w:sz w:val="20"/>
          <w:szCs w:val="20"/>
        </w:rPr>
        <w:t>hourly incomes</w:t>
      </w:r>
      <w:r w:rsidRPr="005D37BE">
        <w:rPr>
          <w:rFonts w:asciiTheme="minorHAnsi" w:hAnsiTheme="minorHAnsi"/>
          <w:color w:val="7F7F7F" w:themeColor="text1" w:themeTint="80"/>
          <w:sz w:val="20"/>
          <w:szCs w:val="20"/>
        </w:rPr>
        <w:t>, Victoria, 201</w:t>
      </w:r>
      <w:r>
        <w:rPr>
          <w:rFonts w:asciiTheme="minorHAnsi" w:hAnsiTheme="minorHAnsi"/>
          <w:color w:val="7F7F7F" w:themeColor="text1" w:themeTint="80"/>
          <w:sz w:val="20"/>
          <w:szCs w:val="20"/>
        </w:rPr>
        <w:t>6</w:t>
      </w:r>
    </w:p>
    <w:p w14:paraId="710CDFD5" w14:textId="77777777" w:rsidR="00C65183" w:rsidRPr="005D37BE" w:rsidRDefault="00C65183" w:rsidP="00C65183">
      <w:pPr>
        <w:rPr>
          <w:rFonts w:asciiTheme="minorHAnsi" w:hAnsiTheme="minorHAnsi"/>
        </w:rPr>
      </w:pPr>
    </w:p>
    <w:p w14:paraId="15F3DFC0" w14:textId="77777777" w:rsidR="00C65183" w:rsidRPr="005D37BE" w:rsidRDefault="00C65183" w:rsidP="00C65183">
      <w:pPr>
        <w:rPr>
          <w:rFonts w:asciiTheme="minorHAnsi" w:hAnsiTheme="minorHAnsi"/>
        </w:rPr>
      </w:pPr>
    </w:p>
    <w:p w14:paraId="47DB757B" w14:textId="77777777" w:rsidR="00C65183" w:rsidRPr="005D37BE" w:rsidRDefault="00C65183" w:rsidP="00C65183">
      <w:pPr>
        <w:rPr>
          <w:rFonts w:asciiTheme="minorHAnsi" w:hAnsiTheme="minorHAnsi"/>
        </w:rPr>
      </w:pPr>
    </w:p>
    <w:p w14:paraId="4936DA62" w14:textId="77777777" w:rsidR="00C65183" w:rsidRPr="005D37BE" w:rsidRDefault="00C65183" w:rsidP="00C65183">
      <w:pPr>
        <w:rPr>
          <w:rFonts w:asciiTheme="minorHAnsi" w:hAnsiTheme="minorHAnsi"/>
        </w:rPr>
      </w:pPr>
      <w:r w:rsidRPr="005D37BE">
        <w:rPr>
          <w:rFonts w:asciiTheme="minorHAnsi" w:hAnsiTheme="minorHAnsi"/>
          <w:noProof/>
          <w:lang w:eastAsia="en-AU"/>
        </w:rPr>
        <mc:AlternateContent>
          <mc:Choice Requires="wps">
            <w:drawing>
              <wp:anchor distT="0" distB="0" distL="114300" distR="114300" simplePos="0" relativeHeight="251815936" behindDoc="0" locked="0" layoutInCell="1" allowOverlap="1" wp14:anchorId="6DEDF2A1" wp14:editId="5C82043F">
                <wp:simplePos x="0" y="0"/>
                <wp:positionH relativeFrom="column">
                  <wp:posOffset>3542348</wp:posOffset>
                </wp:positionH>
                <wp:positionV relativeFrom="paragraph">
                  <wp:posOffset>7303</wp:posOffset>
                </wp:positionV>
                <wp:extent cx="2781300" cy="933450"/>
                <wp:effectExtent l="0" t="0" r="0" b="0"/>
                <wp:wrapNone/>
                <wp:docPr id="14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81300" cy="933450"/>
                        </a:xfrm>
                        <a:prstGeom prst="rect">
                          <a:avLst/>
                        </a:prstGeom>
                        <a:noFill/>
                        <a:ln w="9525">
                          <a:noFill/>
                          <a:miter lim="800000"/>
                          <a:headEnd/>
                          <a:tailEnd/>
                        </a:ln>
                      </wps:spPr>
                      <wps:txbx>
                        <w:txbxContent>
                          <w:p w14:paraId="3847CA48" w14:textId="77777777" w:rsidR="00C65183" w:rsidRPr="00C25EFC" w:rsidRDefault="00C65183" w:rsidP="00C65183">
                            <w:pPr>
                              <w:jc w:val="both"/>
                              <w:rPr>
                                <w:rFonts w:asciiTheme="minorHAnsi" w:hAnsiTheme="minorHAnsi"/>
                                <w:sz w:val="20"/>
                                <w:szCs w:val="20"/>
                              </w:rPr>
                            </w:pPr>
                            <w:r w:rsidRPr="00C25EFC">
                              <w:rPr>
                                <w:rFonts w:asciiTheme="minorHAnsi" w:hAnsiTheme="minorHAnsi"/>
                                <w:sz w:val="20"/>
                                <w:szCs w:val="20"/>
                              </w:rPr>
                              <w:t>The 201</w:t>
                            </w:r>
                            <w:r>
                              <w:rPr>
                                <w:rFonts w:asciiTheme="minorHAnsi" w:hAnsiTheme="minorHAnsi"/>
                                <w:sz w:val="20"/>
                                <w:szCs w:val="20"/>
                              </w:rPr>
                              <w:t>6</w:t>
                            </w:r>
                            <w:r w:rsidRPr="00C25EFC">
                              <w:rPr>
                                <w:rFonts w:asciiTheme="minorHAnsi" w:hAnsiTheme="minorHAnsi"/>
                                <w:sz w:val="20"/>
                                <w:szCs w:val="20"/>
                              </w:rPr>
                              <w:t xml:space="preserve"> Census also showed that the disparity</w:t>
                            </w:r>
                            <w:r>
                              <w:rPr>
                                <w:rFonts w:asciiTheme="minorHAnsi" w:hAnsiTheme="minorHAnsi"/>
                                <w:sz w:val="20"/>
                                <w:szCs w:val="20"/>
                              </w:rPr>
                              <w:t xml:space="preserve"> in hourly income</w:t>
                            </w:r>
                            <w:r w:rsidRPr="00C25EFC">
                              <w:rPr>
                                <w:rFonts w:asciiTheme="minorHAnsi" w:hAnsiTheme="minorHAnsi"/>
                                <w:sz w:val="20"/>
                                <w:szCs w:val="20"/>
                              </w:rPr>
                              <w:t xml:space="preserve"> between women and men </w:t>
                            </w:r>
                            <w:r>
                              <w:rPr>
                                <w:rFonts w:asciiTheme="minorHAnsi" w:hAnsiTheme="minorHAnsi"/>
                                <w:sz w:val="20"/>
                                <w:szCs w:val="20"/>
                              </w:rPr>
                              <w:t>is</w:t>
                            </w:r>
                            <w:r w:rsidRPr="00C25EFC">
                              <w:rPr>
                                <w:rFonts w:asciiTheme="minorHAnsi" w:hAnsiTheme="minorHAnsi"/>
                                <w:sz w:val="20"/>
                                <w:szCs w:val="20"/>
                              </w:rPr>
                              <w:t xml:space="preserve"> higher </w:t>
                            </w:r>
                            <w:r>
                              <w:rPr>
                                <w:rFonts w:asciiTheme="minorHAnsi" w:hAnsiTheme="minorHAnsi"/>
                                <w:sz w:val="20"/>
                                <w:szCs w:val="20"/>
                              </w:rPr>
                              <w:t>among older</w:t>
                            </w:r>
                            <w:r w:rsidRPr="00C25EFC">
                              <w:rPr>
                                <w:rFonts w:asciiTheme="minorHAnsi" w:hAnsiTheme="minorHAnsi"/>
                                <w:sz w:val="20"/>
                                <w:szCs w:val="20"/>
                              </w:rPr>
                              <w:t xml:space="preserve"> women </w:t>
                            </w:r>
                            <w:r>
                              <w:rPr>
                                <w:rFonts w:asciiTheme="minorHAnsi" w:hAnsiTheme="minorHAnsi"/>
                                <w:sz w:val="20"/>
                                <w:szCs w:val="20"/>
                              </w:rPr>
                              <w:t>and lowest among young women – suggesting a trend towards increased pay equity</w:t>
                            </w:r>
                            <w:r w:rsidRPr="00C25EFC">
                              <w:rPr>
                                <w:rFonts w:asciiTheme="minorHAnsi" w:hAnsiTheme="minorHAnsi"/>
                                <w:sz w:val="20"/>
                                <w:szCs w:val="2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DEDF2A1" id="_x0000_s1036" type="#_x0000_t202" style="position:absolute;margin-left:278.95pt;margin-top:.6pt;width:219pt;height:73.5pt;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" filled="f" stroked="f">
                <v:textbox>
                  <w:txbxContent>
                    <w:p w14:paraId="3847CA48" w14:textId="77777777" w:rsidR="00C65183" w:rsidRPr="00C25EFC" w:rsidRDefault="00C65183" w:rsidP="00C65183">
                      <w:pPr>
                        <w:jc w:val="both"/>
                        <w:rPr>
                          <w:rFonts w:asciiTheme="minorHAnsi" w:hAnsiTheme="minorHAnsi"/>
                          <w:sz w:val="20"/>
                          <w:szCs w:val="20"/>
                        </w:rPr>
                      </w:pPr>
                      <w:r w:rsidRPr="00C25EFC">
                        <w:rPr>
                          <w:rFonts w:asciiTheme="minorHAnsi" w:hAnsiTheme="minorHAnsi"/>
                          <w:sz w:val="20"/>
                          <w:szCs w:val="20"/>
                        </w:rPr>
                        <w:t>The 201</w:t>
                      </w:r>
                      <w:r>
                        <w:rPr>
                          <w:rFonts w:asciiTheme="minorHAnsi" w:hAnsiTheme="minorHAnsi"/>
                          <w:sz w:val="20"/>
                          <w:szCs w:val="20"/>
                        </w:rPr>
                        <w:t>6</w:t>
                      </w:r>
                      <w:r w:rsidRPr="00C25EFC">
                        <w:rPr>
                          <w:rFonts w:asciiTheme="minorHAnsi" w:hAnsiTheme="minorHAnsi"/>
                          <w:sz w:val="20"/>
                          <w:szCs w:val="20"/>
                        </w:rPr>
                        <w:t xml:space="preserve"> Census also showed that the disparity</w:t>
                      </w:r>
                      <w:r>
                        <w:rPr>
                          <w:rFonts w:asciiTheme="minorHAnsi" w:hAnsiTheme="minorHAnsi"/>
                          <w:sz w:val="20"/>
                          <w:szCs w:val="20"/>
                        </w:rPr>
                        <w:t xml:space="preserve"> in hourly income</w:t>
                      </w:r>
                      <w:r w:rsidRPr="00C25EFC">
                        <w:rPr>
                          <w:rFonts w:asciiTheme="minorHAnsi" w:hAnsiTheme="minorHAnsi"/>
                          <w:sz w:val="20"/>
                          <w:szCs w:val="20"/>
                        </w:rPr>
                        <w:t xml:space="preserve"> between women and men </w:t>
                      </w:r>
                      <w:r>
                        <w:rPr>
                          <w:rFonts w:asciiTheme="minorHAnsi" w:hAnsiTheme="minorHAnsi"/>
                          <w:sz w:val="20"/>
                          <w:szCs w:val="20"/>
                        </w:rPr>
                        <w:t>is</w:t>
                      </w:r>
                      <w:r w:rsidRPr="00C25EFC">
                        <w:rPr>
                          <w:rFonts w:asciiTheme="minorHAnsi" w:hAnsiTheme="minorHAnsi"/>
                          <w:sz w:val="20"/>
                          <w:szCs w:val="20"/>
                        </w:rPr>
                        <w:t xml:space="preserve"> higher </w:t>
                      </w:r>
                      <w:r>
                        <w:rPr>
                          <w:rFonts w:asciiTheme="minorHAnsi" w:hAnsiTheme="minorHAnsi"/>
                          <w:sz w:val="20"/>
                          <w:szCs w:val="20"/>
                        </w:rPr>
                        <w:t>among older</w:t>
                      </w:r>
                      <w:r w:rsidRPr="00C25EFC">
                        <w:rPr>
                          <w:rFonts w:asciiTheme="minorHAnsi" w:hAnsiTheme="minorHAnsi"/>
                          <w:sz w:val="20"/>
                          <w:szCs w:val="20"/>
                        </w:rPr>
                        <w:t xml:space="preserve"> women </w:t>
                      </w:r>
                      <w:r>
                        <w:rPr>
                          <w:rFonts w:asciiTheme="minorHAnsi" w:hAnsiTheme="minorHAnsi"/>
                          <w:sz w:val="20"/>
                          <w:szCs w:val="20"/>
                        </w:rPr>
                        <w:t>and lowest among young women – suggesting a trend towards increased pay equity</w:t>
                      </w:r>
                      <w:r w:rsidRPr="00C25EFC">
                        <w:rPr>
                          <w:rFonts w:asciiTheme="minorHAnsi" w:hAnsiTheme="minorHAnsi"/>
                          <w:sz w:val="20"/>
                          <w:szCs w:val="20"/>
                        </w:rPr>
                        <w:t>.</w:t>
                      </w:r>
                    </w:p>
                  </w:txbxContent>
                </v:textbox>
              </v:shape>
            </w:pict>
          </mc:Fallback>
        </mc:AlternateContent>
      </w:r>
    </w:p>
    <w:p w14:paraId="5864AE41" w14:textId="77777777" w:rsidR="00C65183" w:rsidRPr="005D37BE" w:rsidRDefault="00C65183" w:rsidP="00C65183">
      <w:pPr>
        <w:rPr>
          <w:rFonts w:asciiTheme="minorHAnsi" w:hAnsiTheme="minorHAnsi"/>
        </w:rPr>
      </w:pPr>
    </w:p>
    <w:p w14:paraId="297DC67C" w14:textId="77777777" w:rsidR="00C65183" w:rsidRDefault="00C65183" w:rsidP="00C65183">
      <w:pPr>
        <w:rPr>
          <w:rFonts w:asciiTheme="minorHAnsi" w:hAnsiTheme="minorHAnsi"/>
        </w:rPr>
      </w:pPr>
    </w:p>
    <w:p w14:paraId="593458D7" w14:textId="77777777" w:rsidR="00C65183" w:rsidRDefault="00C65183" w:rsidP="00C65183">
      <w:pPr>
        <w:rPr>
          <w:rFonts w:asciiTheme="minorHAnsi" w:hAnsiTheme="minorHAnsi"/>
        </w:rPr>
      </w:pPr>
    </w:p>
    <w:p w14:paraId="4841091F" w14:textId="77777777" w:rsidR="00C65183" w:rsidRDefault="00C65183" w:rsidP="00C65183">
      <w:pPr>
        <w:rPr>
          <w:rFonts w:asciiTheme="minorHAnsi" w:hAnsiTheme="minorHAnsi"/>
        </w:rPr>
      </w:pPr>
    </w:p>
    <w:p w14:paraId="0207BC03" w14:textId="77777777" w:rsidR="00C65183" w:rsidRDefault="00C65183" w:rsidP="00C65183">
      <w:pPr>
        <w:rPr>
          <w:rFonts w:asciiTheme="minorHAnsi" w:hAnsiTheme="minorHAnsi"/>
        </w:rPr>
      </w:pPr>
    </w:p>
    <w:p w14:paraId="7DC47915" w14:textId="77777777" w:rsidR="00C65183" w:rsidRDefault="00C65183" w:rsidP="00C65183">
      <w:pPr>
        <w:rPr>
          <w:rFonts w:asciiTheme="minorHAnsi" w:hAnsiTheme="minorHAnsi"/>
        </w:rPr>
      </w:pPr>
    </w:p>
    <w:p w14:paraId="75660B18" w14:textId="77777777" w:rsidR="00C65183" w:rsidRDefault="00C65183" w:rsidP="00C65183">
      <w:pPr>
        <w:rPr>
          <w:rFonts w:asciiTheme="minorHAnsi" w:hAnsiTheme="minorHAnsi"/>
        </w:rPr>
      </w:pPr>
    </w:p>
    <w:p w14:paraId="66C4A136" w14:textId="77777777" w:rsidR="00C65183" w:rsidRDefault="00C65183" w:rsidP="00C65183">
      <w:pPr>
        <w:rPr>
          <w:rFonts w:asciiTheme="minorHAnsi" w:hAnsiTheme="minorHAnsi"/>
        </w:rPr>
      </w:pPr>
    </w:p>
    <w:p w14:paraId="20697A72" w14:textId="77777777" w:rsidR="00C65183" w:rsidRDefault="00C65183" w:rsidP="00C65183">
      <w:pPr>
        <w:rPr>
          <w:rFonts w:asciiTheme="minorHAnsi" w:hAnsiTheme="minorHAnsi"/>
        </w:rPr>
      </w:pPr>
    </w:p>
    <w:p w14:paraId="098B3B7D" w14:textId="77777777" w:rsidR="00C65183" w:rsidRDefault="00C65183" w:rsidP="00C65183">
      <w:pPr>
        <w:rPr>
          <w:rFonts w:asciiTheme="minorHAnsi" w:hAnsiTheme="minorHAnsi"/>
        </w:rPr>
      </w:pPr>
    </w:p>
    <w:p w14:paraId="3D75D63E" w14:textId="77777777" w:rsidR="00C65183" w:rsidRDefault="00C65183" w:rsidP="00C65183">
      <w:pPr>
        <w:rPr>
          <w:rFonts w:asciiTheme="minorHAnsi" w:hAnsiTheme="minorHAnsi"/>
        </w:rPr>
      </w:pPr>
    </w:p>
    <w:p w14:paraId="6CA8EC53" w14:textId="77777777" w:rsidR="00C65183" w:rsidRDefault="00C65183" w:rsidP="00C65183">
      <w:pPr>
        <w:rPr>
          <w:rFonts w:asciiTheme="minorHAnsi" w:hAnsiTheme="minorHAnsi"/>
        </w:rPr>
      </w:pPr>
    </w:p>
    <w:p w14:paraId="277F2A42" w14:textId="77777777" w:rsidR="00C65183" w:rsidRPr="00613C5A" w:rsidRDefault="00C65183" w:rsidP="00C65183">
      <w:pPr>
        <w:rPr>
          <w:rFonts w:asciiTheme="minorHAnsi" w:hAnsiTheme="minorHAnsi"/>
        </w:rPr>
      </w:pPr>
      <w:r>
        <w:rPr>
          <w:rFonts w:asciiTheme="minorHAnsi" w:hAnsiTheme="minorHAnsi"/>
          <w:noProof/>
          <w:color w:val="7F7F7F" w:themeColor="text1" w:themeTint="80"/>
          <w:sz w:val="20"/>
          <w:szCs w:val="20"/>
          <w:lang w:eastAsia="en-AU"/>
        </w:rPr>
        <w:drawing>
          <wp:anchor distT="0" distB="0" distL="114300" distR="114300" simplePos="0" relativeHeight="251838464" behindDoc="0" locked="0" layoutInCell="1" allowOverlap="1" wp14:anchorId="02E9C52C" wp14:editId="5D3DEC1E">
            <wp:simplePos x="0" y="0"/>
            <wp:positionH relativeFrom="column">
              <wp:posOffset>3575685</wp:posOffset>
            </wp:positionH>
            <wp:positionV relativeFrom="paragraph">
              <wp:posOffset>32385</wp:posOffset>
            </wp:positionV>
            <wp:extent cx="1104900" cy="781050"/>
            <wp:effectExtent l="0" t="0" r="0" b="0"/>
            <wp:wrapNone/>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nder working at home.png"/>
                    <pic:cNvPicPr/>
                  </pic:nvPicPr>
                  <pic:blipFill rotWithShape="1">
                    <a:blip r:embed="rId199">
                      <a:extLst>
                        <a:ext uri="{28A0092B-C50C-407E-A947-70E740481C1C}">
                          <a14:useLocalDpi xmlns:a14="http://schemas.microsoft.com/office/drawing/2010/main" val="0"/>
                        </a:ext>
                      </a:extLst>
                    </a:blip>
                    <a:srcRect l="17123" r="15069"/>
                    <a:stretch/>
                  </pic:blipFill>
                  <pic:spPr bwMode="auto">
                    <a:xfrm>
                      <a:off x="0" y="0"/>
                      <a:ext cx="1104900" cy="78105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heme="minorHAnsi" w:hAnsiTheme="minorHAnsi"/>
          <w:noProof/>
          <w:lang w:eastAsia="en-AU"/>
        </w:rPr>
        <w:drawing>
          <wp:anchor distT="0" distB="0" distL="114300" distR="114300" simplePos="0" relativeHeight="251837440" behindDoc="0" locked="0" layoutInCell="1" allowOverlap="1" wp14:anchorId="2B983184" wp14:editId="08B04DAD">
            <wp:simplePos x="0" y="0"/>
            <wp:positionH relativeFrom="column">
              <wp:posOffset>3080385</wp:posOffset>
            </wp:positionH>
            <wp:positionV relativeFrom="paragraph">
              <wp:posOffset>32385</wp:posOffset>
            </wp:positionV>
            <wp:extent cx="2967990" cy="2209800"/>
            <wp:effectExtent l="0" t="0" r="3810" b="0"/>
            <wp:wrapSquare wrapText="bothSides"/>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2967990" cy="2209800"/>
                    </a:xfrm>
                    <a:prstGeom prst="rect">
                      <a:avLst/>
                    </a:prstGeom>
                    <a:noFill/>
                  </pic:spPr>
                </pic:pic>
              </a:graphicData>
            </a:graphic>
            <wp14:sizeRelH relativeFrom="page">
              <wp14:pctWidth>0</wp14:pctWidth>
            </wp14:sizeRelH>
            <wp14:sizeRelV relativeFrom="page">
              <wp14:pctHeight>0</wp14:pctHeight>
            </wp14:sizeRelV>
          </wp:anchor>
        </w:drawing>
      </w:r>
      <w:r w:rsidRPr="005D37BE">
        <w:rPr>
          <w:rFonts w:asciiTheme="minorHAnsi" w:hAnsiTheme="minorHAnsi"/>
          <w:b/>
          <w:color w:val="0F243E" w:themeColor="text2" w:themeShade="80"/>
          <w:sz w:val="26"/>
          <w:szCs w:val="26"/>
        </w:rPr>
        <w:t>Unpaid Work at Home</w:t>
      </w:r>
    </w:p>
    <w:p w14:paraId="5484F46D" w14:textId="77777777" w:rsidR="00C65183" w:rsidRPr="005D37BE" w:rsidRDefault="00C65183" w:rsidP="00C65183">
      <w:pPr>
        <w:rPr>
          <w:rFonts w:asciiTheme="minorHAnsi" w:hAnsiTheme="minorHAnsi"/>
        </w:rPr>
      </w:pPr>
      <w:r w:rsidRPr="005D37BE">
        <w:rPr>
          <w:rFonts w:asciiTheme="minorHAnsi" w:hAnsiTheme="minorHAnsi"/>
          <w:noProof/>
          <w:lang w:eastAsia="en-AU"/>
        </w:rPr>
        <mc:AlternateContent>
          <mc:Choice Requires="wps">
            <w:drawing>
              <wp:anchor distT="0" distB="0" distL="114300" distR="114300" simplePos="0" relativeHeight="251817984" behindDoc="0" locked="0" layoutInCell="1" allowOverlap="1" wp14:anchorId="6EA0AC94" wp14:editId="25099597">
                <wp:simplePos x="0" y="0"/>
                <wp:positionH relativeFrom="column">
                  <wp:posOffset>-91440</wp:posOffset>
                </wp:positionH>
                <wp:positionV relativeFrom="paragraph">
                  <wp:posOffset>97790</wp:posOffset>
                </wp:positionV>
                <wp:extent cx="2609850" cy="933450"/>
                <wp:effectExtent l="0" t="0" r="0" b="0"/>
                <wp:wrapNone/>
                <wp:docPr id="1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9850" cy="933450"/>
                        </a:xfrm>
                        <a:prstGeom prst="rect">
                          <a:avLst/>
                        </a:prstGeom>
                        <a:noFill/>
                        <a:ln w="9525">
                          <a:noFill/>
                          <a:miter lim="800000"/>
                          <a:headEnd/>
                          <a:tailEnd/>
                        </a:ln>
                      </wps:spPr>
                      <wps:txbx>
                        <w:txbxContent>
                          <w:p w14:paraId="35280207" w14:textId="77777777" w:rsidR="00C65183" w:rsidRPr="00C25EFC" w:rsidRDefault="00C65183" w:rsidP="00C65183">
                            <w:pPr>
                              <w:jc w:val="both"/>
                              <w:rPr>
                                <w:rFonts w:asciiTheme="minorHAnsi" w:hAnsiTheme="minorHAnsi"/>
                                <w:sz w:val="20"/>
                                <w:szCs w:val="20"/>
                              </w:rPr>
                            </w:pPr>
                            <w:r w:rsidRPr="00C25EFC">
                              <w:rPr>
                                <w:rFonts w:asciiTheme="minorHAnsi" w:hAnsiTheme="minorHAnsi"/>
                                <w:sz w:val="20"/>
                                <w:szCs w:val="20"/>
                              </w:rPr>
                              <w:t xml:space="preserve">In 2016, the </w:t>
                            </w:r>
                            <w:r>
                              <w:rPr>
                                <w:rFonts w:asciiTheme="minorHAnsi" w:hAnsiTheme="minorHAnsi"/>
                                <w:sz w:val="20"/>
                                <w:szCs w:val="20"/>
                              </w:rPr>
                              <w:t>average</w:t>
                            </w:r>
                            <w:r w:rsidRPr="00C25EFC">
                              <w:rPr>
                                <w:rFonts w:asciiTheme="minorHAnsi" w:hAnsiTheme="minorHAnsi"/>
                                <w:sz w:val="20"/>
                                <w:szCs w:val="20"/>
                              </w:rPr>
                              <w:t xml:space="preserve"> number of hours unpaid work performed at home by males aged </w:t>
                            </w:r>
                            <w:r>
                              <w:rPr>
                                <w:rFonts w:asciiTheme="minorHAnsi" w:hAnsiTheme="minorHAnsi"/>
                                <w:sz w:val="20"/>
                                <w:szCs w:val="20"/>
                              </w:rPr>
                              <w:t>20-79</w:t>
                            </w:r>
                            <w:r w:rsidRPr="00C25EFC">
                              <w:rPr>
                                <w:rFonts w:asciiTheme="minorHAnsi" w:hAnsiTheme="minorHAnsi"/>
                                <w:sz w:val="20"/>
                                <w:szCs w:val="20"/>
                              </w:rPr>
                              <w:t xml:space="preserve"> </w:t>
                            </w:r>
                            <w:r>
                              <w:rPr>
                                <w:rFonts w:asciiTheme="minorHAnsi" w:hAnsiTheme="minorHAnsi"/>
                                <w:sz w:val="20"/>
                                <w:szCs w:val="20"/>
                              </w:rPr>
                              <w:t xml:space="preserve">years </w:t>
                            </w:r>
                            <w:r w:rsidRPr="00C25EFC">
                              <w:rPr>
                                <w:rFonts w:asciiTheme="minorHAnsi" w:hAnsiTheme="minorHAnsi"/>
                                <w:sz w:val="20"/>
                                <w:szCs w:val="20"/>
                              </w:rPr>
                              <w:t>in Greater Dandenong</w:t>
                            </w:r>
                            <w:r>
                              <w:rPr>
                                <w:rFonts w:asciiTheme="minorHAnsi" w:hAnsiTheme="minorHAnsi"/>
                                <w:sz w:val="20"/>
                                <w:szCs w:val="20"/>
                              </w:rPr>
                              <w:t>,</w:t>
                            </w:r>
                            <w:r w:rsidRPr="00C25EFC">
                              <w:rPr>
                                <w:rFonts w:asciiTheme="minorHAnsi" w:hAnsiTheme="minorHAnsi"/>
                                <w:sz w:val="20"/>
                                <w:szCs w:val="20"/>
                              </w:rPr>
                              <w:t xml:space="preserve"> was </w:t>
                            </w:r>
                            <w:r>
                              <w:rPr>
                                <w:rFonts w:asciiTheme="minorHAnsi" w:hAnsiTheme="minorHAnsi"/>
                                <w:sz w:val="20"/>
                                <w:szCs w:val="20"/>
                              </w:rPr>
                              <w:t>6</w:t>
                            </w:r>
                            <w:r w:rsidRPr="00C25EFC">
                              <w:rPr>
                                <w:rFonts w:asciiTheme="minorHAnsi" w:hAnsiTheme="minorHAnsi"/>
                                <w:sz w:val="20"/>
                                <w:szCs w:val="20"/>
                              </w:rPr>
                              <w:t xml:space="preserve"> hours</w:t>
                            </w:r>
                            <w:r>
                              <w:rPr>
                                <w:rFonts w:asciiTheme="minorHAnsi" w:hAnsiTheme="minorHAnsi"/>
                                <w:sz w:val="20"/>
                                <w:szCs w:val="20"/>
                              </w:rPr>
                              <w:t xml:space="preserve"> -</w:t>
                            </w:r>
                            <w:r w:rsidRPr="00C25EFC">
                              <w:rPr>
                                <w:rFonts w:asciiTheme="minorHAnsi" w:hAnsiTheme="minorHAnsi"/>
                                <w:sz w:val="20"/>
                                <w:szCs w:val="20"/>
                              </w:rPr>
                              <w:t xml:space="preserve"> </w:t>
                            </w:r>
                            <w:r>
                              <w:rPr>
                                <w:rFonts w:asciiTheme="minorHAnsi" w:hAnsiTheme="minorHAnsi"/>
                                <w:sz w:val="20"/>
                                <w:szCs w:val="20"/>
                              </w:rPr>
                              <w:t>less than half</w:t>
                            </w:r>
                            <w:r w:rsidRPr="00C25EFC">
                              <w:rPr>
                                <w:rFonts w:asciiTheme="minorHAnsi" w:hAnsiTheme="minorHAnsi"/>
                                <w:sz w:val="20"/>
                                <w:szCs w:val="20"/>
                              </w:rPr>
                              <w:t xml:space="preserve"> the corresponding average among women of the same age, of </w:t>
                            </w:r>
                            <w:r>
                              <w:rPr>
                                <w:rFonts w:asciiTheme="minorHAnsi" w:hAnsiTheme="minorHAnsi"/>
                                <w:sz w:val="20"/>
                                <w:szCs w:val="20"/>
                              </w:rPr>
                              <w:t>13.5</w:t>
                            </w:r>
                            <w:r w:rsidRPr="00C25EFC">
                              <w:rPr>
                                <w:rFonts w:asciiTheme="minorHAnsi" w:hAnsiTheme="minorHAnsi"/>
                                <w:sz w:val="20"/>
                                <w:szCs w:val="20"/>
                              </w:rPr>
                              <w:t xml:space="preserve"> hours.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EA0AC94" id="_x0000_s1037" type="#_x0000_t202" style="position:absolute;margin-left:-7.2pt;margin-top:7.7pt;width:205.5pt;height:73.5pt;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" filled="f" stroked="f">
                <v:textbox>
                  <w:txbxContent>
                    <w:p w14:paraId="35280207" w14:textId="77777777" w:rsidR="00C65183" w:rsidRPr="00C25EFC" w:rsidRDefault="00C65183" w:rsidP="00C65183">
                      <w:pPr>
                        <w:jc w:val="both"/>
                        <w:rPr>
                          <w:rFonts w:asciiTheme="minorHAnsi" w:hAnsiTheme="minorHAnsi"/>
                          <w:sz w:val="20"/>
                          <w:szCs w:val="20"/>
                        </w:rPr>
                      </w:pPr>
                      <w:r w:rsidRPr="00C25EFC">
                        <w:rPr>
                          <w:rFonts w:asciiTheme="minorHAnsi" w:hAnsiTheme="minorHAnsi"/>
                          <w:sz w:val="20"/>
                          <w:szCs w:val="20"/>
                        </w:rPr>
                        <w:t xml:space="preserve">In 2016, the </w:t>
                      </w:r>
                      <w:r>
                        <w:rPr>
                          <w:rFonts w:asciiTheme="minorHAnsi" w:hAnsiTheme="minorHAnsi"/>
                          <w:sz w:val="20"/>
                          <w:szCs w:val="20"/>
                        </w:rPr>
                        <w:t>average</w:t>
                      </w:r>
                      <w:r w:rsidRPr="00C25EFC">
                        <w:rPr>
                          <w:rFonts w:asciiTheme="minorHAnsi" w:hAnsiTheme="minorHAnsi"/>
                          <w:sz w:val="20"/>
                          <w:szCs w:val="20"/>
                        </w:rPr>
                        <w:t xml:space="preserve"> number of hours unpaid work performed at home by males aged </w:t>
                      </w:r>
                      <w:r>
                        <w:rPr>
                          <w:rFonts w:asciiTheme="minorHAnsi" w:hAnsiTheme="minorHAnsi"/>
                          <w:sz w:val="20"/>
                          <w:szCs w:val="20"/>
                        </w:rPr>
                        <w:t>20-79</w:t>
                      </w:r>
                      <w:r w:rsidRPr="00C25EFC">
                        <w:rPr>
                          <w:rFonts w:asciiTheme="minorHAnsi" w:hAnsiTheme="minorHAnsi"/>
                          <w:sz w:val="20"/>
                          <w:szCs w:val="20"/>
                        </w:rPr>
                        <w:t xml:space="preserve"> </w:t>
                      </w:r>
                      <w:r>
                        <w:rPr>
                          <w:rFonts w:asciiTheme="minorHAnsi" w:hAnsiTheme="minorHAnsi"/>
                          <w:sz w:val="20"/>
                          <w:szCs w:val="20"/>
                        </w:rPr>
                        <w:t xml:space="preserve">years </w:t>
                      </w:r>
                      <w:r w:rsidRPr="00C25EFC">
                        <w:rPr>
                          <w:rFonts w:asciiTheme="minorHAnsi" w:hAnsiTheme="minorHAnsi"/>
                          <w:sz w:val="20"/>
                          <w:szCs w:val="20"/>
                        </w:rPr>
                        <w:t>in Greater Dandenong</w:t>
                      </w:r>
                      <w:r>
                        <w:rPr>
                          <w:rFonts w:asciiTheme="minorHAnsi" w:hAnsiTheme="minorHAnsi"/>
                          <w:sz w:val="20"/>
                          <w:szCs w:val="20"/>
                        </w:rPr>
                        <w:t>,</w:t>
                      </w:r>
                      <w:r w:rsidRPr="00C25EFC">
                        <w:rPr>
                          <w:rFonts w:asciiTheme="minorHAnsi" w:hAnsiTheme="minorHAnsi"/>
                          <w:sz w:val="20"/>
                          <w:szCs w:val="20"/>
                        </w:rPr>
                        <w:t xml:space="preserve"> was </w:t>
                      </w:r>
                      <w:r>
                        <w:rPr>
                          <w:rFonts w:asciiTheme="minorHAnsi" w:hAnsiTheme="minorHAnsi"/>
                          <w:sz w:val="20"/>
                          <w:szCs w:val="20"/>
                        </w:rPr>
                        <w:t>6</w:t>
                      </w:r>
                      <w:r w:rsidRPr="00C25EFC">
                        <w:rPr>
                          <w:rFonts w:asciiTheme="minorHAnsi" w:hAnsiTheme="minorHAnsi"/>
                          <w:sz w:val="20"/>
                          <w:szCs w:val="20"/>
                        </w:rPr>
                        <w:t xml:space="preserve"> hours</w:t>
                      </w:r>
                      <w:r>
                        <w:rPr>
                          <w:rFonts w:asciiTheme="minorHAnsi" w:hAnsiTheme="minorHAnsi"/>
                          <w:sz w:val="20"/>
                          <w:szCs w:val="20"/>
                        </w:rPr>
                        <w:t xml:space="preserve"> -</w:t>
                      </w:r>
                      <w:r w:rsidRPr="00C25EFC">
                        <w:rPr>
                          <w:rFonts w:asciiTheme="minorHAnsi" w:hAnsiTheme="minorHAnsi"/>
                          <w:sz w:val="20"/>
                          <w:szCs w:val="20"/>
                        </w:rPr>
                        <w:t xml:space="preserve"> </w:t>
                      </w:r>
                      <w:r>
                        <w:rPr>
                          <w:rFonts w:asciiTheme="minorHAnsi" w:hAnsiTheme="minorHAnsi"/>
                          <w:sz w:val="20"/>
                          <w:szCs w:val="20"/>
                        </w:rPr>
                        <w:t>less than half</w:t>
                      </w:r>
                      <w:r w:rsidRPr="00C25EFC">
                        <w:rPr>
                          <w:rFonts w:asciiTheme="minorHAnsi" w:hAnsiTheme="minorHAnsi"/>
                          <w:sz w:val="20"/>
                          <w:szCs w:val="20"/>
                        </w:rPr>
                        <w:t xml:space="preserve"> the corresponding average among women of the same age, of </w:t>
                      </w:r>
                      <w:r>
                        <w:rPr>
                          <w:rFonts w:asciiTheme="minorHAnsi" w:hAnsiTheme="minorHAnsi"/>
                          <w:sz w:val="20"/>
                          <w:szCs w:val="20"/>
                        </w:rPr>
                        <w:t>13.5</w:t>
                      </w:r>
                      <w:r w:rsidRPr="00C25EFC">
                        <w:rPr>
                          <w:rFonts w:asciiTheme="minorHAnsi" w:hAnsiTheme="minorHAnsi"/>
                          <w:sz w:val="20"/>
                          <w:szCs w:val="20"/>
                        </w:rPr>
                        <w:t xml:space="preserve"> hours.</w:t>
                      </w:r>
                    </w:p>
                  </w:txbxContent>
                </v:textbox>
              </v:shape>
            </w:pict>
          </mc:Fallback>
        </mc:AlternateContent>
      </w:r>
    </w:p>
    <w:p w14:paraId="0BA1DA42" w14:textId="77777777" w:rsidR="00C65183" w:rsidRPr="005D37BE" w:rsidRDefault="00C65183" w:rsidP="00C65183">
      <w:pPr>
        <w:rPr>
          <w:rFonts w:asciiTheme="minorHAnsi" w:hAnsiTheme="minorHAnsi"/>
        </w:rPr>
      </w:pPr>
    </w:p>
    <w:p w14:paraId="5B3ED597" w14:textId="77777777" w:rsidR="00C65183" w:rsidRPr="005D37BE" w:rsidRDefault="00C65183" w:rsidP="00C65183">
      <w:pPr>
        <w:rPr>
          <w:rFonts w:asciiTheme="minorHAnsi" w:hAnsiTheme="minorHAnsi"/>
        </w:rPr>
      </w:pPr>
    </w:p>
    <w:p w14:paraId="1494E3DD" w14:textId="77777777" w:rsidR="00C65183" w:rsidRPr="005D37BE" w:rsidRDefault="00C65183" w:rsidP="00C65183">
      <w:pPr>
        <w:rPr>
          <w:rFonts w:asciiTheme="minorHAnsi" w:hAnsiTheme="minorHAnsi"/>
        </w:rPr>
      </w:pPr>
    </w:p>
    <w:p w14:paraId="2EF65F3E" w14:textId="77777777" w:rsidR="00C65183" w:rsidRDefault="00C65183" w:rsidP="00C65183">
      <w:pPr>
        <w:rPr>
          <w:rFonts w:asciiTheme="minorHAnsi" w:hAnsiTheme="minorHAnsi"/>
        </w:rPr>
      </w:pPr>
    </w:p>
    <w:p w14:paraId="3CB08BB7" w14:textId="77777777" w:rsidR="00C65183" w:rsidRPr="005D37BE" w:rsidRDefault="00C65183" w:rsidP="00C65183">
      <w:pPr>
        <w:rPr>
          <w:rFonts w:asciiTheme="minorHAnsi" w:hAnsiTheme="minorHAnsi"/>
        </w:rPr>
      </w:pPr>
    </w:p>
    <w:p w14:paraId="5BECBC2D" w14:textId="77777777" w:rsidR="00C65183" w:rsidRPr="005D37BE" w:rsidRDefault="00C65183" w:rsidP="00C65183">
      <w:pPr>
        <w:rPr>
          <w:rFonts w:asciiTheme="minorHAnsi" w:hAnsiTheme="minorHAnsi"/>
          <w:color w:val="7F7F7F" w:themeColor="text1" w:themeTint="80"/>
          <w:sz w:val="20"/>
          <w:szCs w:val="20"/>
        </w:rPr>
      </w:pPr>
      <w:r w:rsidRPr="005D37BE">
        <w:rPr>
          <w:rFonts w:asciiTheme="minorHAnsi" w:hAnsiTheme="minorHAnsi"/>
          <w:color w:val="7F7F7F" w:themeColor="text1" w:themeTint="80"/>
          <w:sz w:val="20"/>
          <w:szCs w:val="20"/>
        </w:rPr>
        <w:t xml:space="preserve">Average hours of unpaid work performed each week, by </w:t>
      </w:r>
      <w:r>
        <w:rPr>
          <w:rFonts w:asciiTheme="minorHAnsi" w:hAnsiTheme="minorHAnsi"/>
          <w:color w:val="7F7F7F" w:themeColor="text1" w:themeTint="80"/>
          <w:sz w:val="20"/>
          <w:szCs w:val="20"/>
        </w:rPr>
        <w:t>sex</w:t>
      </w:r>
      <w:r w:rsidRPr="005D37BE">
        <w:rPr>
          <w:rFonts w:asciiTheme="minorHAnsi" w:hAnsiTheme="minorHAnsi"/>
          <w:color w:val="7F7F7F" w:themeColor="text1" w:themeTint="80"/>
          <w:sz w:val="20"/>
          <w:szCs w:val="20"/>
        </w:rPr>
        <w:t>: Greater Dandenong, 2016</w:t>
      </w:r>
    </w:p>
    <w:p w14:paraId="23FBFC3E" w14:textId="77777777" w:rsidR="00C65183" w:rsidRDefault="00C65183" w:rsidP="00C65183">
      <w:pPr>
        <w:rPr>
          <w:rFonts w:asciiTheme="minorHAnsi" w:hAnsiTheme="minorHAnsi"/>
        </w:rPr>
      </w:pPr>
    </w:p>
    <w:p w14:paraId="15088D99" w14:textId="77777777" w:rsidR="00C65183" w:rsidRDefault="00C65183" w:rsidP="00C65183">
      <w:pPr>
        <w:rPr>
          <w:rFonts w:asciiTheme="minorHAnsi" w:hAnsiTheme="minorHAnsi"/>
        </w:rPr>
      </w:pPr>
    </w:p>
    <w:p w14:paraId="042CED78" w14:textId="77777777" w:rsidR="00C65183" w:rsidRDefault="00C65183" w:rsidP="00C65183">
      <w:pPr>
        <w:rPr>
          <w:rFonts w:asciiTheme="minorHAnsi" w:hAnsiTheme="minorHAnsi"/>
        </w:rPr>
      </w:pPr>
    </w:p>
    <w:p w14:paraId="4A9EC1A0" w14:textId="77777777" w:rsidR="00C65183" w:rsidRDefault="00C65183" w:rsidP="00C65183">
      <w:pPr>
        <w:rPr>
          <w:rFonts w:asciiTheme="minorHAnsi" w:hAnsiTheme="minorHAnsi"/>
        </w:rPr>
      </w:pPr>
    </w:p>
    <w:p w14:paraId="4776F755" w14:textId="77777777" w:rsidR="00C65183" w:rsidRDefault="00C65183" w:rsidP="00C65183">
      <w:pPr>
        <w:rPr>
          <w:rFonts w:asciiTheme="minorHAnsi" w:hAnsiTheme="minorHAnsi"/>
        </w:rPr>
      </w:pPr>
    </w:p>
    <w:p w14:paraId="39FB5A69" w14:textId="77777777" w:rsidR="00C65183" w:rsidRDefault="00C65183" w:rsidP="00C65183">
      <w:pPr>
        <w:rPr>
          <w:rFonts w:asciiTheme="minorHAnsi" w:hAnsiTheme="minorHAnsi"/>
        </w:rPr>
      </w:pPr>
      <w:r>
        <w:rPr>
          <w:rFonts w:asciiTheme="minorHAnsi" w:hAnsiTheme="minorHAnsi"/>
          <w:b/>
          <w:noProof/>
          <w:lang w:eastAsia="en-AU"/>
        </w:rPr>
        <w:drawing>
          <wp:anchor distT="0" distB="0" distL="114300" distR="114300" simplePos="0" relativeHeight="251840512" behindDoc="0" locked="0" layoutInCell="1" allowOverlap="1" wp14:anchorId="7BBC8404" wp14:editId="0A217635">
            <wp:simplePos x="0" y="0"/>
            <wp:positionH relativeFrom="column">
              <wp:posOffset>946785</wp:posOffset>
            </wp:positionH>
            <wp:positionV relativeFrom="paragraph">
              <wp:posOffset>73978</wp:posOffset>
            </wp:positionV>
            <wp:extent cx="1323975" cy="741045"/>
            <wp:effectExtent l="0" t="0" r="9525" b="1905"/>
            <wp:wrapNone/>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sability 6.jpg"/>
                    <pic:cNvPicPr/>
                  </pic:nvPicPr>
                  <pic:blipFill>
                    <a:blip r:embed="rId201">
                      <a:extLst>
                        <a:ext uri="{28A0092B-C50C-407E-A947-70E740481C1C}">
                          <a14:useLocalDpi xmlns:a14="http://schemas.microsoft.com/office/drawing/2010/main" val="0"/>
                        </a:ext>
                      </a:extLst>
                    </a:blip>
                    <a:stretch>
                      <a:fillRect/>
                    </a:stretch>
                  </pic:blipFill>
                  <pic:spPr>
                    <a:xfrm>
                      <a:off x="0" y="0"/>
                      <a:ext cx="1323975" cy="741045"/>
                    </a:xfrm>
                    <a:prstGeom prst="rect">
                      <a:avLst/>
                    </a:prstGeom>
                    <a:ln>
                      <a:noFill/>
                    </a:ln>
                    <a:effectLst>
                      <a:softEdge rad="127000"/>
                    </a:effectLst>
                  </pic:spPr>
                </pic:pic>
              </a:graphicData>
            </a:graphic>
            <wp14:sizeRelH relativeFrom="page">
              <wp14:pctWidth>0</wp14:pctWidth>
            </wp14:sizeRelH>
            <wp14:sizeRelV relativeFrom="page">
              <wp14:pctHeight>0</wp14:pctHeight>
            </wp14:sizeRelV>
          </wp:anchor>
        </w:drawing>
      </w:r>
    </w:p>
    <w:p w14:paraId="7AC84283" w14:textId="77777777" w:rsidR="00C65183" w:rsidRDefault="00C65183" w:rsidP="00C65183">
      <w:pPr>
        <w:rPr>
          <w:rFonts w:asciiTheme="minorHAnsi" w:hAnsiTheme="minorHAnsi"/>
        </w:rPr>
      </w:pPr>
    </w:p>
    <w:p w14:paraId="6FAC89A8" w14:textId="77777777" w:rsidR="00C65183" w:rsidRPr="000E0724" w:rsidRDefault="00C65183" w:rsidP="00C65183">
      <w:pPr>
        <w:rPr>
          <w:rFonts w:asciiTheme="minorHAnsi" w:hAnsiTheme="minorHAnsi"/>
        </w:rPr>
      </w:pPr>
      <w:r w:rsidRPr="005D37BE">
        <w:rPr>
          <w:rFonts w:asciiTheme="minorHAnsi" w:hAnsiTheme="minorHAnsi"/>
          <w:b/>
          <w:color w:val="0F243E" w:themeColor="text2" w:themeShade="80"/>
          <w:sz w:val="26"/>
          <w:szCs w:val="26"/>
        </w:rPr>
        <w:t>Disability</w:t>
      </w:r>
    </w:p>
    <w:p w14:paraId="4929EBCA" w14:textId="77777777" w:rsidR="00C65183" w:rsidRPr="005D37BE" w:rsidRDefault="00C65183" w:rsidP="00C65183">
      <w:pPr>
        <w:rPr>
          <w:rFonts w:asciiTheme="minorHAnsi" w:hAnsiTheme="minorHAnsi"/>
          <w:b/>
        </w:rPr>
      </w:pPr>
      <w:r>
        <w:rPr>
          <w:rFonts w:asciiTheme="minorHAnsi" w:hAnsiTheme="minorHAnsi"/>
          <w:b/>
          <w:noProof/>
          <w:color w:val="0F243E" w:themeColor="text2" w:themeShade="80"/>
          <w:sz w:val="26"/>
          <w:szCs w:val="26"/>
          <w:lang w:eastAsia="en-AU"/>
        </w:rPr>
        <w:drawing>
          <wp:anchor distT="0" distB="0" distL="114300" distR="114300" simplePos="0" relativeHeight="251836416" behindDoc="0" locked="0" layoutInCell="1" allowOverlap="1" wp14:anchorId="40C08055" wp14:editId="340815BF">
            <wp:simplePos x="0" y="0"/>
            <wp:positionH relativeFrom="column">
              <wp:posOffset>50800</wp:posOffset>
            </wp:positionH>
            <wp:positionV relativeFrom="paragraph">
              <wp:posOffset>88265</wp:posOffset>
            </wp:positionV>
            <wp:extent cx="3028950" cy="2146300"/>
            <wp:effectExtent l="0" t="0" r="0" b="6350"/>
            <wp:wrapSquare wrapText="bothSides"/>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3028950" cy="2146300"/>
                    </a:xfrm>
                    <a:prstGeom prst="rect">
                      <a:avLst/>
                    </a:prstGeom>
                    <a:noFill/>
                  </pic:spPr>
                </pic:pic>
              </a:graphicData>
            </a:graphic>
            <wp14:sizeRelH relativeFrom="page">
              <wp14:pctWidth>0</wp14:pctWidth>
            </wp14:sizeRelH>
            <wp14:sizeRelV relativeFrom="page">
              <wp14:pctHeight>0</wp14:pctHeight>
            </wp14:sizeRelV>
          </wp:anchor>
        </w:drawing>
      </w:r>
    </w:p>
    <w:p w14:paraId="684784AA" w14:textId="77777777" w:rsidR="00C65183" w:rsidRPr="005D37BE" w:rsidRDefault="00C65183" w:rsidP="00C65183">
      <w:pPr>
        <w:rPr>
          <w:rFonts w:asciiTheme="minorHAnsi" w:hAnsiTheme="minorHAnsi"/>
          <w:b/>
        </w:rPr>
      </w:pPr>
    </w:p>
    <w:p w14:paraId="1AB95742" w14:textId="77777777" w:rsidR="00C65183" w:rsidRPr="005D37BE" w:rsidRDefault="00C65183" w:rsidP="00C65183">
      <w:pPr>
        <w:rPr>
          <w:rFonts w:asciiTheme="minorHAnsi" w:hAnsiTheme="minorHAnsi"/>
          <w:b/>
        </w:rPr>
      </w:pPr>
      <w:r w:rsidRPr="005D37BE">
        <w:rPr>
          <w:rFonts w:asciiTheme="minorHAnsi" w:hAnsiTheme="minorHAnsi"/>
          <w:noProof/>
          <w:lang w:eastAsia="en-AU"/>
        </w:rPr>
        <mc:AlternateContent>
          <mc:Choice Requires="wps">
            <w:drawing>
              <wp:anchor distT="0" distB="0" distL="114300" distR="114300" simplePos="0" relativeHeight="251819008" behindDoc="0" locked="0" layoutInCell="1" allowOverlap="1" wp14:anchorId="35370433" wp14:editId="1AA8DAC4">
                <wp:simplePos x="0" y="0"/>
                <wp:positionH relativeFrom="column">
                  <wp:posOffset>3185160</wp:posOffset>
                </wp:positionH>
                <wp:positionV relativeFrom="paragraph">
                  <wp:posOffset>5398</wp:posOffset>
                </wp:positionV>
                <wp:extent cx="3043238" cy="785812"/>
                <wp:effectExtent l="0" t="0" r="0" b="0"/>
                <wp:wrapNone/>
                <wp:docPr id="1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3238" cy="785812"/>
                        </a:xfrm>
                        <a:prstGeom prst="rect">
                          <a:avLst/>
                        </a:prstGeom>
                        <a:noFill/>
                        <a:ln w="9525">
                          <a:noFill/>
                          <a:miter lim="800000"/>
                          <a:headEnd/>
                          <a:tailEnd/>
                        </a:ln>
                      </wps:spPr>
                      <wps:txbx>
                        <w:txbxContent>
                          <w:p w14:paraId="5AE2972A" w14:textId="77777777" w:rsidR="00C65183" w:rsidRDefault="00C65183" w:rsidP="00C65183">
                            <w:pPr>
                              <w:jc w:val="both"/>
                              <w:rPr>
                                <w:rFonts w:asciiTheme="minorHAnsi" w:hAnsiTheme="minorHAnsi"/>
                                <w:sz w:val="20"/>
                                <w:szCs w:val="20"/>
                              </w:rPr>
                            </w:pPr>
                            <w:r w:rsidRPr="00C25EFC">
                              <w:rPr>
                                <w:rFonts w:asciiTheme="minorHAnsi" w:hAnsiTheme="minorHAnsi"/>
                                <w:sz w:val="20"/>
                                <w:szCs w:val="20"/>
                              </w:rPr>
                              <w:t>The 2016 Census recorded that 5.9% of males in Greater Dandenong, and 7.8</w:t>
                            </w:r>
                            <w:r>
                              <w:rPr>
                                <w:rFonts w:asciiTheme="minorHAnsi" w:hAnsiTheme="minorHAnsi"/>
                                <w:sz w:val="20"/>
                                <w:szCs w:val="20"/>
                              </w:rPr>
                              <w:t>%</w:t>
                            </w:r>
                            <w:r w:rsidRPr="00C25EFC">
                              <w:rPr>
                                <w:rFonts w:asciiTheme="minorHAnsi" w:hAnsiTheme="minorHAnsi"/>
                                <w:sz w:val="20"/>
                                <w:szCs w:val="20"/>
                              </w:rPr>
                              <w:t xml:space="preserve"> of females, had a severe or profound disability, requiring them to obtain daily assistance in communi</w:t>
                            </w:r>
                            <w:r>
                              <w:rPr>
                                <w:rFonts w:asciiTheme="minorHAnsi" w:hAnsiTheme="minorHAnsi"/>
                                <w:sz w:val="20"/>
                                <w:szCs w:val="20"/>
                              </w:rPr>
                              <w:t>cations, mobility or self-care.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5370433" id="_x0000_s1038" type="#_x0000_t202" style="position:absolute;margin-left:250.8pt;margin-top:.45pt;width:239.65pt;height:61.85pt;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" filled="f" stroked="f">
                <v:textbox>
                  <w:txbxContent>
                    <w:p w14:paraId="5AE2972A" w14:textId="77777777" w:rsidR="00C65183" w:rsidRDefault="00C65183" w:rsidP="00C65183">
                      <w:pPr>
                        <w:jc w:val="both"/>
                        <w:rPr>
                          <w:rFonts w:asciiTheme="minorHAnsi" w:hAnsiTheme="minorHAnsi"/>
                          <w:sz w:val="20"/>
                          <w:szCs w:val="20"/>
                        </w:rPr>
                      </w:pPr>
                      <w:r w:rsidRPr="00C25EFC">
                        <w:rPr>
                          <w:rFonts w:asciiTheme="minorHAnsi" w:hAnsiTheme="minorHAnsi"/>
                          <w:sz w:val="20"/>
                          <w:szCs w:val="20"/>
                        </w:rPr>
                        <w:t>The 2016 Census recorded that 5.9% of males in Greater Dandenong, and 7.8</w:t>
                      </w:r>
                      <w:r>
                        <w:rPr>
                          <w:rFonts w:asciiTheme="minorHAnsi" w:hAnsiTheme="minorHAnsi"/>
                          <w:sz w:val="20"/>
                          <w:szCs w:val="20"/>
                        </w:rPr>
                        <w:t>%</w:t>
                      </w:r>
                      <w:r w:rsidRPr="00C25EFC">
                        <w:rPr>
                          <w:rFonts w:asciiTheme="minorHAnsi" w:hAnsiTheme="minorHAnsi"/>
                          <w:sz w:val="20"/>
                          <w:szCs w:val="20"/>
                        </w:rPr>
                        <w:t xml:space="preserve"> of females, had a severe or profound disability, requiring them to obtain daily assistance in communi</w:t>
                      </w:r>
                      <w:r>
                        <w:rPr>
                          <w:rFonts w:asciiTheme="minorHAnsi" w:hAnsiTheme="minorHAnsi"/>
                          <w:sz w:val="20"/>
                          <w:szCs w:val="20"/>
                        </w:rPr>
                        <w:t>cations, mobility or self-care.</w:t>
                      </w:r>
                    </w:p>
                  </w:txbxContent>
                </v:textbox>
              </v:shape>
            </w:pict>
          </mc:Fallback>
        </mc:AlternateContent>
      </w:r>
    </w:p>
    <w:p w14:paraId="53554F39" w14:textId="77777777" w:rsidR="00C65183" w:rsidRPr="005D37BE" w:rsidRDefault="00C65183" w:rsidP="00C65183">
      <w:pPr>
        <w:rPr>
          <w:rFonts w:asciiTheme="minorHAnsi" w:hAnsiTheme="minorHAnsi"/>
          <w:b/>
        </w:rPr>
      </w:pPr>
    </w:p>
    <w:p w14:paraId="0ACD2C28" w14:textId="77777777" w:rsidR="00C65183" w:rsidRDefault="00C65183" w:rsidP="00C65183">
      <w:pPr>
        <w:rPr>
          <w:rFonts w:asciiTheme="minorHAnsi" w:hAnsiTheme="minorHAnsi"/>
          <w:b/>
        </w:rPr>
      </w:pPr>
    </w:p>
    <w:p w14:paraId="7C23A3F7" w14:textId="77777777" w:rsidR="00C65183" w:rsidRDefault="00C65183" w:rsidP="00C65183">
      <w:pPr>
        <w:rPr>
          <w:rFonts w:asciiTheme="minorHAnsi" w:hAnsiTheme="minorHAnsi"/>
          <w:b/>
        </w:rPr>
      </w:pPr>
    </w:p>
    <w:p w14:paraId="7E5625B9" w14:textId="77777777" w:rsidR="00C65183" w:rsidRPr="005D37BE" w:rsidRDefault="00C65183" w:rsidP="00C65183">
      <w:pPr>
        <w:rPr>
          <w:rFonts w:asciiTheme="minorHAnsi" w:hAnsiTheme="minorHAnsi"/>
          <w:b/>
        </w:rPr>
      </w:pPr>
    </w:p>
    <w:p w14:paraId="49F23918" w14:textId="77777777" w:rsidR="00C65183" w:rsidRPr="005D37BE" w:rsidRDefault="00C65183" w:rsidP="00C65183">
      <w:pPr>
        <w:rPr>
          <w:rFonts w:asciiTheme="minorHAnsi" w:hAnsiTheme="minorHAnsi"/>
          <w:color w:val="7F7F7F" w:themeColor="text1" w:themeTint="80"/>
          <w:sz w:val="20"/>
          <w:szCs w:val="20"/>
        </w:rPr>
      </w:pPr>
      <w:r w:rsidRPr="005D37BE">
        <w:rPr>
          <w:rFonts w:asciiTheme="minorHAnsi" w:hAnsiTheme="minorHAnsi"/>
          <w:color w:val="7F7F7F" w:themeColor="text1" w:themeTint="80"/>
          <w:sz w:val="20"/>
          <w:szCs w:val="20"/>
        </w:rPr>
        <w:t xml:space="preserve">Per cent of persons with a severe or profound disability, by </w:t>
      </w:r>
      <w:r>
        <w:rPr>
          <w:rFonts w:asciiTheme="minorHAnsi" w:hAnsiTheme="minorHAnsi"/>
          <w:color w:val="7F7F7F" w:themeColor="text1" w:themeTint="80"/>
          <w:sz w:val="20"/>
          <w:szCs w:val="20"/>
        </w:rPr>
        <w:t>sex</w:t>
      </w:r>
      <w:r w:rsidRPr="005D37BE">
        <w:rPr>
          <w:rFonts w:asciiTheme="minorHAnsi" w:hAnsiTheme="minorHAnsi"/>
          <w:color w:val="7F7F7F" w:themeColor="text1" w:themeTint="80"/>
          <w:sz w:val="20"/>
          <w:szCs w:val="20"/>
        </w:rPr>
        <w:t>: Greater Dandenong, 2016</w:t>
      </w:r>
    </w:p>
    <w:p w14:paraId="6C85368B" w14:textId="77777777" w:rsidR="00C65183" w:rsidRDefault="00C65183" w:rsidP="00C65183">
      <w:pPr>
        <w:rPr>
          <w:rFonts w:asciiTheme="minorHAnsi" w:hAnsiTheme="minorHAnsi"/>
          <w:b/>
        </w:rPr>
      </w:pPr>
    </w:p>
    <w:p w14:paraId="4D8A50C1" w14:textId="77777777" w:rsidR="00C65183" w:rsidRDefault="00C65183" w:rsidP="00C65183">
      <w:pPr>
        <w:rPr>
          <w:rFonts w:asciiTheme="minorHAnsi" w:hAnsiTheme="minorHAnsi"/>
          <w:b/>
        </w:rPr>
      </w:pPr>
      <w:r w:rsidRPr="005D37BE">
        <w:rPr>
          <w:rFonts w:asciiTheme="minorHAnsi" w:hAnsiTheme="minorHAnsi"/>
          <w:noProof/>
          <w:lang w:eastAsia="en-AU"/>
        </w:rPr>
        <mc:AlternateContent>
          <mc:Choice Requires="wps">
            <w:drawing>
              <wp:anchor distT="0" distB="0" distL="114300" distR="114300" simplePos="0" relativeHeight="251829248" behindDoc="0" locked="0" layoutInCell="1" allowOverlap="1" wp14:anchorId="5ADD5A8E" wp14:editId="78E7F31E">
                <wp:simplePos x="0" y="0"/>
                <wp:positionH relativeFrom="column">
                  <wp:posOffset>3256598</wp:posOffset>
                </wp:positionH>
                <wp:positionV relativeFrom="paragraph">
                  <wp:posOffset>5398</wp:posOffset>
                </wp:positionV>
                <wp:extent cx="2900045" cy="857250"/>
                <wp:effectExtent l="0" t="0" r="0" b="0"/>
                <wp:wrapNone/>
                <wp:docPr id="14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00045" cy="857250"/>
                        </a:xfrm>
                        <a:prstGeom prst="rect">
                          <a:avLst/>
                        </a:prstGeom>
                        <a:noFill/>
                        <a:ln w="9525">
                          <a:noFill/>
                          <a:miter lim="800000"/>
                          <a:headEnd/>
                          <a:tailEnd/>
                        </a:ln>
                      </wps:spPr>
                      <wps:txbx>
                        <w:txbxContent>
                          <w:p w14:paraId="41CE112E" w14:textId="77777777" w:rsidR="00C65183" w:rsidRPr="001176C0" w:rsidRDefault="00C65183" w:rsidP="00C65183">
                            <w:pPr>
                              <w:jc w:val="both"/>
                              <w:rPr>
                                <w:rFonts w:asciiTheme="minorHAnsi" w:hAnsiTheme="minorHAnsi"/>
                                <w:sz w:val="20"/>
                                <w:szCs w:val="20"/>
                              </w:rPr>
                            </w:pPr>
                            <w:r>
                              <w:rPr>
                                <w:rFonts w:asciiTheme="minorHAnsi" w:hAnsiTheme="minorHAnsi"/>
                                <w:sz w:val="20"/>
                                <w:szCs w:val="20"/>
                              </w:rPr>
                              <w:t>When these figures are adjusted to compensate for age differences between women and men, this disparity declines to 6.7% among men and 7.6% for women.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ADD5A8E" id="_x0000_s1039" type="#_x0000_t202" style="position:absolute;margin-left:256.45pt;margin-top:.45pt;width:228.35pt;height:67.5pt;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" filled="f" stroked="f">
                <v:textbox>
                  <w:txbxContent>
                    <w:p w14:paraId="41CE112E" w14:textId="77777777" w:rsidR="00C65183" w:rsidRPr="001176C0" w:rsidRDefault="00C65183" w:rsidP="00C65183">
                      <w:pPr>
                        <w:jc w:val="both"/>
                        <w:rPr>
                          <w:rFonts w:asciiTheme="minorHAnsi" w:hAnsiTheme="minorHAnsi"/>
                          <w:sz w:val="20"/>
                          <w:szCs w:val="20"/>
                        </w:rPr>
                      </w:pPr>
                      <w:r>
                        <w:rPr>
                          <w:rFonts w:asciiTheme="minorHAnsi" w:hAnsiTheme="minorHAnsi"/>
                          <w:sz w:val="20"/>
                          <w:szCs w:val="20"/>
                        </w:rPr>
                        <w:t>When these figures are adjusted to compensate for age differences between women and men, this disparity declines to 6.7% among men and 7.6% for women.</w:t>
                      </w:r>
                    </w:p>
                  </w:txbxContent>
                </v:textbox>
              </v:shape>
            </w:pict>
          </mc:Fallback>
        </mc:AlternateContent>
      </w:r>
    </w:p>
    <w:p w14:paraId="4E48E96F" w14:textId="77777777" w:rsidR="00C65183" w:rsidRDefault="00C65183" w:rsidP="00C65183">
      <w:pPr>
        <w:rPr>
          <w:rFonts w:asciiTheme="minorHAnsi" w:hAnsiTheme="minorHAnsi"/>
          <w:b/>
        </w:rPr>
      </w:pPr>
    </w:p>
    <w:p w14:paraId="5E3021B0" w14:textId="77777777" w:rsidR="00C65183" w:rsidRDefault="00C65183" w:rsidP="00C65183">
      <w:pPr>
        <w:rPr>
          <w:rFonts w:asciiTheme="minorHAnsi" w:hAnsiTheme="minorHAnsi"/>
          <w:b/>
        </w:rPr>
      </w:pPr>
    </w:p>
    <w:p w14:paraId="77893905" w14:textId="77777777" w:rsidR="00C65183" w:rsidRDefault="00C65183" w:rsidP="00C65183">
      <w:pPr>
        <w:rPr>
          <w:rFonts w:asciiTheme="minorHAnsi" w:hAnsiTheme="minorHAnsi"/>
          <w:b/>
        </w:rPr>
      </w:pPr>
    </w:p>
    <w:p w14:paraId="665D7E15" w14:textId="77777777" w:rsidR="00C65183" w:rsidRDefault="00C65183" w:rsidP="00C65183">
      <w:pPr>
        <w:rPr>
          <w:rFonts w:asciiTheme="minorHAnsi" w:hAnsiTheme="minorHAnsi"/>
          <w:b/>
        </w:rPr>
      </w:pPr>
    </w:p>
    <w:p w14:paraId="2BBAE2D7" w14:textId="77777777" w:rsidR="00C65183" w:rsidRPr="002757AB" w:rsidRDefault="00C65183" w:rsidP="00C65183">
      <w:pPr>
        <w:rPr>
          <w:rFonts w:asciiTheme="minorHAnsi" w:hAnsiTheme="minorHAnsi"/>
          <w:b/>
        </w:rPr>
      </w:pPr>
      <w:r>
        <w:rPr>
          <w:rFonts w:asciiTheme="minorHAnsi" w:hAnsiTheme="minorHAnsi"/>
          <w:b/>
          <w:noProof/>
          <w:color w:val="0F243E" w:themeColor="text2" w:themeShade="80"/>
          <w:sz w:val="26"/>
          <w:szCs w:val="26"/>
          <w:lang w:eastAsia="en-AU"/>
        </w:rPr>
        <w:lastRenderedPageBreak/>
        <w:drawing>
          <wp:anchor distT="0" distB="0" distL="114300" distR="114300" simplePos="0" relativeHeight="251834368" behindDoc="0" locked="0" layoutInCell="1" allowOverlap="1" wp14:anchorId="7566B790" wp14:editId="009CFE49">
            <wp:simplePos x="0" y="0"/>
            <wp:positionH relativeFrom="margin">
              <wp:align>right</wp:align>
            </wp:positionH>
            <wp:positionV relativeFrom="paragraph">
              <wp:posOffset>0</wp:posOffset>
            </wp:positionV>
            <wp:extent cx="3192780" cy="2190750"/>
            <wp:effectExtent l="0" t="0" r="7620" b="0"/>
            <wp:wrapSquare wrapText="bothSides"/>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3192780" cy="2190750"/>
                    </a:xfrm>
                    <a:prstGeom prst="rect">
                      <a:avLst/>
                    </a:prstGeom>
                    <a:noFill/>
                  </pic:spPr>
                </pic:pic>
              </a:graphicData>
            </a:graphic>
            <wp14:sizeRelH relativeFrom="page">
              <wp14:pctWidth>0</wp14:pctWidth>
            </wp14:sizeRelH>
            <wp14:sizeRelV relativeFrom="page">
              <wp14:pctHeight>0</wp14:pctHeight>
            </wp14:sizeRelV>
          </wp:anchor>
        </w:drawing>
      </w:r>
      <w:r w:rsidRPr="005D37BE">
        <w:rPr>
          <w:rFonts w:asciiTheme="minorHAnsi" w:hAnsiTheme="minorHAnsi"/>
          <w:b/>
          <w:color w:val="0F243E" w:themeColor="text2" w:themeShade="80"/>
          <w:sz w:val="26"/>
          <w:szCs w:val="26"/>
        </w:rPr>
        <w:t>Unpaid Assistance to Persons with Disability</w:t>
      </w:r>
    </w:p>
    <w:p w14:paraId="3B9D2B92" w14:textId="77777777" w:rsidR="00C65183" w:rsidRPr="000E0724" w:rsidRDefault="00C65183" w:rsidP="00C65183">
      <w:pPr>
        <w:rPr>
          <w:rFonts w:asciiTheme="minorHAnsi" w:hAnsiTheme="minorHAnsi"/>
          <w:b/>
          <w:color w:val="0F243E" w:themeColor="text2" w:themeShade="80"/>
          <w:sz w:val="26"/>
          <w:szCs w:val="26"/>
        </w:rPr>
      </w:pPr>
      <w:r w:rsidRPr="005D37BE">
        <w:rPr>
          <w:rFonts w:asciiTheme="minorHAnsi" w:hAnsiTheme="minorHAnsi"/>
          <w:noProof/>
          <w:lang w:eastAsia="en-AU"/>
        </w:rPr>
        <mc:AlternateContent>
          <mc:Choice Requires="wps">
            <w:drawing>
              <wp:anchor distT="0" distB="0" distL="114300" distR="114300" simplePos="0" relativeHeight="251828224" behindDoc="0" locked="0" layoutInCell="1" allowOverlap="1" wp14:anchorId="21D3EA72" wp14:editId="59D5EC88">
                <wp:simplePos x="0" y="0"/>
                <wp:positionH relativeFrom="column">
                  <wp:posOffset>-114300</wp:posOffset>
                </wp:positionH>
                <wp:positionV relativeFrom="paragraph">
                  <wp:posOffset>10160</wp:posOffset>
                </wp:positionV>
                <wp:extent cx="2867025" cy="714375"/>
                <wp:effectExtent l="0" t="0" r="0" b="0"/>
                <wp:wrapNone/>
                <wp:docPr id="1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67025" cy="714375"/>
                        </a:xfrm>
                        <a:prstGeom prst="rect">
                          <a:avLst/>
                        </a:prstGeom>
                        <a:noFill/>
                        <a:ln w="9525">
                          <a:noFill/>
                          <a:miter lim="800000"/>
                          <a:headEnd/>
                          <a:tailEnd/>
                        </a:ln>
                      </wps:spPr>
                      <wps:txbx>
                        <w:txbxContent>
                          <w:p w14:paraId="1975F345" w14:textId="77777777" w:rsidR="00C65183" w:rsidRPr="001176C0" w:rsidRDefault="00C65183" w:rsidP="00C65183">
                            <w:pPr>
                              <w:jc w:val="both"/>
                              <w:rPr>
                                <w:rFonts w:asciiTheme="minorHAnsi" w:hAnsiTheme="minorHAnsi"/>
                                <w:sz w:val="20"/>
                                <w:szCs w:val="20"/>
                              </w:rPr>
                            </w:pPr>
                            <w:r>
                              <w:rPr>
                                <w:rFonts w:asciiTheme="minorHAnsi" w:hAnsiTheme="minorHAnsi"/>
                                <w:sz w:val="20"/>
                                <w:szCs w:val="20"/>
                              </w:rPr>
                              <w:t xml:space="preserve">The 2016 Census also showed that </w:t>
                            </w:r>
                            <w:r w:rsidRPr="00C25EFC">
                              <w:rPr>
                                <w:rFonts w:asciiTheme="minorHAnsi" w:hAnsiTheme="minorHAnsi"/>
                                <w:sz w:val="20"/>
                                <w:szCs w:val="20"/>
                              </w:rPr>
                              <w:t>9.7% of males and 13.3% of females in Greater Dandenong, provided unpaid care for a person with a disability</w:t>
                            </w:r>
                            <w:r>
                              <w:rPr>
                                <w:rFonts w:asciiTheme="minorHAnsi" w:hAnsiTheme="minorHAnsi"/>
                                <w:sz w:val="20"/>
                                <w:szCs w:val="2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1D3EA72" id="_x0000_s1040" type="#_x0000_t202" style="position:absolute;margin-left:-9pt;margin-top:.8pt;width:225.75pt;height:56.25pt;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" filled="f" stroked="f">
                <v:textbox>
                  <w:txbxContent>
                    <w:p w14:paraId="1975F345" w14:textId="77777777" w:rsidR="00C65183" w:rsidRPr="001176C0" w:rsidRDefault="00C65183" w:rsidP="00C65183">
                      <w:pPr>
                        <w:jc w:val="both"/>
                        <w:rPr>
                          <w:rFonts w:asciiTheme="minorHAnsi" w:hAnsiTheme="minorHAnsi"/>
                          <w:sz w:val="20"/>
                          <w:szCs w:val="20"/>
                        </w:rPr>
                      </w:pPr>
                      <w:r>
                        <w:rPr>
                          <w:rFonts w:asciiTheme="minorHAnsi" w:hAnsiTheme="minorHAnsi"/>
                          <w:sz w:val="20"/>
                          <w:szCs w:val="20"/>
                        </w:rPr>
                        <w:t xml:space="preserve">The 2016 Census also showed that </w:t>
                      </w:r>
                      <w:r w:rsidRPr="00C25EFC">
                        <w:rPr>
                          <w:rFonts w:asciiTheme="minorHAnsi" w:hAnsiTheme="minorHAnsi"/>
                          <w:sz w:val="20"/>
                          <w:szCs w:val="20"/>
                        </w:rPr>
                        <w:t>9.7% of males and 13.3% of females in Greater Dandenong, provided unpaid care for a person with a disability</w:t>
                      </w:r>
                      <w:r>
                        <w:rPr>
                          <w:rFonts w:asciiTheme="minorHAnsi" w:hAnsiTheme="minorHAnsi"/>
                          <w:sz w:val="20"/>
                          <w:szCs w:val="20"/>
                        </w:rPr>
                        <w:t>.</w:t>
                      </w:r>
                    </w:p>
                  </w:txbxContent>
                </v:textbox>
              </v:shape>
            </w:pict>
          </mc:Fallback>
        </mc:AlternateContent>
      </w:r>
    </w:p>
    <w:p w14:paraId="179D553C" w14:textId="77777777" w:rsidR="00C65183" w:rsidRDefault="00C65183" w:rsidP="00C65183">
      <w:pPr>
        <w:rPr>
          <w:rFonts w:asciiTheme="minorHAnsi" w:hAnsiTheme="minorHAnsi"/>
          <w:b/>
        </w:rPr>
      </w:pPr>
    </w:p>
    <w:p w14:paraId="09DBA66F" w14:textId="77777777" w:rsidR="00C65183" w:rsidRDefault="00C65183" w:rsidP="00C65183">
      <w:pPr>
        <w:rPr>
          <w:rFonts w:asciiTheme="minorHAnsi" w:hAnsiTheme="minorHAnsi"/>
          <w:b/>
        </w:rPr>
      </w:pPr>
    </w:p>
    <w:p w14:paraId="4A8C9650" w14:textId="77777777" w:rsidR="00C65183" w:rsidRPr="005D37BE" w:rsidRDefault="00C65183" w:rsidP="00C65183">
      <w:pPr>
        <w:rPr>
          <w:rFonts w:asciiTheme="minorHAnsi" w:hAnsiTheme="minorHAnsi"/>
          <w:b/>
        </w:rPr>
      </w:pPr>
    </w:p>
    <w:p w14:paraId="0E6F586D" w14:textId="77777777" w:rsidR="00C65183" w:rsidRPr="005D37BE" w:rsidRDefault="00C65183" w:rsidP="00C65183">
      <w:pPr>
        <w:rPr>
          <w:rFonts w:asciiTheme="minorHAnsi" w:hAnsiTheme="minorHAnsi"/>
        </w:rPr>
      </w:pPr>
      <w:r w:rsidRPr="005D37BE">
        <w:rPr>
          <w:rFonts w:asciiTheme="minorHAnsi" w:hAnsiTheme="minorHAnsi"/>
          <w:color w:val="7F7F7F" w:themeColor="text1" w:themeTint="80"/>
          <w:sz w:val="20"/>
          <w:szCs w:val="20"/>
        </w:rPr>
        <w:t xml:space="preserve">Per cent of persons who provide unpaid care for a person with a disability, by </w:t>
      </w:r>
      <w:r>
        <w:rPr>
          <w:rFonts w:asciiTheme="minorHAnsi" w:hAnsiTheme="minorHAnsi"/>
          <w:color w:val="7F7F7F" w:themeColor="text1" w:themeTint="80"/>
          <w:sz w:val="20"/>
          <w:szCs w:val="20"/>
        </w:rPr>
        <w:t>sex</w:t>
      </w:r>
      <w:r w:rsidRPr="005D37BE">
        <w:rPr>
          <w:rFonts w:asciiTheme="minorHAnsi" w:hAnsiTheme="minorHAnsi"/>
          <w:color w:val="7F7F7F" w:themeColor="text1" w:themeTint="80"/>
          <w:sz w:val="20"/>
          <w:szCs w:val="20"/>
        </w:rPr>
        <w:t>: Greater Dandenong, 2016</w:t>
      </w:r>
    </w:p>
    <w:p w14:paraId="60A00D83" w14:textId="77777777" w:rsidR="00C65183" w:rsidRDefault="00C65183" w:rsidP="00C65183">
      <w:pPr>
        <w:rPr>
          <w:rFonts w:asciiTheme="minorHAnsi" w:hAnsiTheme="minorHAnsi"/>
        </w:rPr>
      </w:pPr>
    </w:p>
    <w:p w14:paraId="7733321A" w14:textId="77777777" w:rsidR="00C65183" w:rsidRDefault="00C65183" w:rsidP="00C65183">
      <w:pPr>
        <w:rPr>
          <w:rFonts w:asciiTheme="minorHAnsi" w:hAnsiTheme="minorHAnsi"/>
        </w:rPr>
      </w:pPr>
    </w:p>
    <w:p w14:paraId="021615A5" w14:textId="77777777" w:rsidR="00C65183" w:rsidRDefault="00C65183" w:rsidP="00C65183">
      <w:pPr>
        <w:rPr>
          <w:rFonts w:asciiTheme="minorHAnsi" w:hAnsiTheme="minorHAnsi"/>
        </w:rPr>
      </w:pPr>
    </w:p>
    <w:p w14:paraId="24491AB5" w14:textId="77777777" w:rsidR="00C65183" w:rsidRDefault="00C65183" w:rsidP="00C65183">
      <w:pPr>
        <w:rPr>
          <w:rFonts w:asciiTheme="minorHAnsi" w:hAnsiTheme="minorHAnsi"/>
        </w:rPr>
      </w:pPr>
    </w:p>
    <w:p w14:paraId="23925B57" w14:textId="77777777" w:rsidR="00C65183" w:rsidRDefault="00C65183" w:rsidP="00C65183">
      <w:pPr>
        <w:rPr>
          <w:rFonts w:asciiTheme="minorHAnsi" w:hAnsiTheme="minorHAnsi"/>
        </w:rPr>
      </w:pPr>
    </w:p>
    <w:p w14:paraId="40C6CAF5" w14:textId="77777777" w:rsidR="00C65183" w:rsidRDefault="00C65183" w:rsidP="00C65183">
      <w:pPr>
        <w:rPr>
          <w:rFonts w:asciiTheme="minorHAnsi" w:hAnsiTheme="minorHAnsi"/>
        </w:rPr>
      </w:pPr>
      <w:r w:rsidRPr="00890E81">
        <w:rPr>
          <w:rFonts w:ascii="Calibri" w:hAnsi="Calibri"/>
          <w:b/>
          <w:noProof/>
          <w:highlight w:val="yellow"/>
          <w:lang w:eastAsia="en-AU"/>
        </w:rPr>
        <w:drawing>
          <wp:anchor distT="0" distB="0" distL="114300" distR="114300" simplePos="0" relativeHeight="251824128" behindDoc="0" locked="0" layoutInCell="1" allowOverlap="1" wp14:anchorId="7EE00FEE" wp14:editId="74D022FB">
            <wp:simplePos x="0" y="0"/>
            <wp:positionH relativeFrom="column">
              <wp:posOffset>2442210</wp:posOffset>
            </wp:positionH>
            <wp:positionV relativeFrom="paragraph">
              <wp:posOffset>73660</wp:posOffset>
            </wp:positionV>
            <wp:extent cx="571500" cy="939800"/>
            <wp:effectExtent l="0" t="0" r="0" b="0"/>
            <wp:wrapNone/>
            <wp:docPr id="306"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204" cstate="print"/>
                    <a:srcRect/>
                    <a:stretch>
                      <a:fillRect/>
                    </a:stretch>
                  </pic:blipFill>
                  <pic:spPr bwMode="auto">
                    <a:xfrm>
                      <a:off x="0" y="0"/>
                      <a:ext cx="571500" cy="93980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2564F53E" w14:textId="77777777" w:rsidR="00C65183" w:rsidRDefault="00C65183" w:rsidP="00C65183">
      <w:pPr>
        <w:rPr>
          <w:rFonts w:asciiTheme="minorHAnsi" w:hAnsiTheme="minorHAnsi"/>
        </w:rPr>
      </w:pPr>
    </w:p>
    <w:p w14:paraId="2D211601" w14:textId="77777777" w:rsidR="00C65183" w:rsidRDefault="00C65183" w:rsidP="00C65183">
      <w:pPr>
        <w:rPr>
          <w:rFonts w:asciiTheme="minorHAnsi" w:hAnsiTheme="minorHAnsi"/>
        </w:rPr>
      </w:pPr>
    </w:p>
    <w:p w14:paraId="6955ECF7" w14:textId="77777777" w:rsidR="00C65183" w:rsidRDefault="00C65183" w:rsidP="00C65183">
      <w:pPr>
        <w:rPr>
          <w:rFonts w:asciiTheme="minorHAnsi" w:hAnsiTheme="minorHAnsi"/>
          <w:b/>
          <w:color w:val="0F243E" w:themeColor="text2" w:themeShade="80"/>
          <w:sz w:val="26"/>
          <w:szCs w:val="26"/>
        </w:rPr>
      </w:pPr>
      <w:r>
        <w:rPr>
          <w:rFonts w:asciiTheme="minorHAnsi" w:hAnsiTheme="minorHAnsi"/>
          <w:b/>
          <w:color w:val="0F243E" w:themeColor="text2" w:themeShade="80"/>
          <w:sz w:val="26"/>
          <w:szCs w:val="26"/>
        </w:rPr>
        <w:t>Personal Stress</w:t>
      </w:r>
    </w:p>
    <w:p w14:paraId="2070C04F" w14:textId="77777777" w:rsidR="00C65183" w:rsidRDefault="00C65183" w:rsidP="00C65183">
      <w:pPr>
        <w:rPr>
          <w:rFonts w:asciiTheme="minorHAnsi" w:hAnsiTheme="minorHAnsi"/>
        </w:rPr>
      </w:pPr>
      <w:r>
        <w:rPr>
          <w:rFonts w:asciiTheme="minorHAnsi" w:hAnsiTheme="minorHAnsi"/>
          <w:b/>
          <w:noProof/>
          <w:color w:val="0F243E" w:themeColor="text2" w:themeShade="80"/>
          <w:sz w:val="26"/>
          <w:szCs w:val="26"/>
        </w:rPr>
        <w:drawing>
          <wp:anchor distT="0" distB="0" distL="114300" distR="114300" simplePos="0" relativeHeight="251820032" behindDoc="0" locked="0" layoutInCell="1" allowOverlap="1" wp14:anchorId="6FDAEB65" wp14:editId="3C857767">
            <wp:simplePos x="0" y="0"/>
            <wp:positionH relativeFrom="margin">
              <wp:align>left</wp:align>
            </wp:positionH>
            <wp:positionV relativeFrom="paragraph">
              <wp:posOffset>28258</wp:posOffset>
            </wp:positionV>
            <wp:extent cx="3164205" cy="2317750"/>
            <wp:effectExtent l="0" t="0" r="0" b="6350"/>
            <wp:wrapSquare wrapText="bothSides"/>
            <wp:docPr id="308"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3164205" cy="2317750"/>
                    </a:xfrm>
                    <a:prstGeom prst="rect">
                      <a:avLst/>
                    </a:prstGeom>
                    <a:noFill/>
                  </pic:spPr>
                </pic:pic>
              </a:graphicData>
            </a:graphic>
            <wp14:sizeRelH relativeFrom="page">
              <wp14:pctWidth>0</wp14:pctWidth>
            </wp14:sizeRelH>
            <wp14:sizeRelV relativeFrom="page">
              <wp14:pctHeight>0</wp14:pctHeight>
            </wp14:sizeRelV>
          </wp:anchor>
        </w:drawing>
      </w:r>
    </w:p>
    <w:p w14:paraId="208E64DA" w14:textId="77777777" w:rsidR="00C65183" w:rsidRDefault="00C65183" w:rsidP="00C65183">
      <w:pPr>
        <w:rPr>
          <w:rFonts w:asciiTheme="minorHAnsi" w:hAnsiTheme="minorHAnsi"/>
        </w:rPr>
      </w:pPr>
      <w:r w:rsidRPr="005D37BE">
        <w:rPr>
          <w:rFonts w:asciiTheme="minorHAnsi" w:hAnsiTheme="minorHAnsi"/>
          <w:noProof/>
          <w:lang w:eastAsia="en-AU"/>
        </w:rPr>
        <mc:AlternateContent>
          <mc:Choice Requires="wps">
            <w:drawing>
              <wp:anchor distT="0" distB="0" distL="114300" distR="114300" simplePos="0" relativeHeight="251812864" behindDoc="0" locked="0" layoutInCell="1" allowOverlap="1" wp14:anchorId="6742920B" wp14:editId="7FE991D9">
                <wp:simplePos x="0" y="0"/>
                <wp:positionH relativeFrom="column">
                  <wp:posOffset>3337242</wp:posOffset>
                </wp:positionH>
                <wp:positionV relativeFrom="paragraph">
                  <wp:posOffset>5397</wp:posOffset>
                </wp:positionV>
                <wp:extent cx="2928937" cy="1223963"/>
                <wp:effectExtent l="0" t="0" r="0" b="0"/>
                <wp:wrapNone/>
                <wp:docPr id="1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28937" cy="1223963"/>
                        </a:xfrm>
                        <a:prstGeom prst="rect">
                          <a:avLst/>
                        </a:prstGeom>
                        <a:noFill/>
                        <a:ln w="9525">
                          <a:noFill/>
                          <a:miter lim="800000"/>
                          <a:headEnd/>
                          <a:tailEnd/>
                        </a:ln>
                      </wps:spPr>
                      <wps:txbx>
                        <w:txbxContent>
                          <w:p w14:paraId="5D026493" w14:textId="77777777" w:rsidR="00C65183" w:rsidRDefault="00C65183" w:rsidP="00C65183">
                            <w:pPr>
                              <w:jc w:val="both"/>
                              <w:rPr>
                                <w:rFonts w:asciiTheme="minorHAnsi" w:hAnsiTheme="minorHAnsi"/>
                                <w:sz w:val="20"/>
                                <w:szCs w:val="20"/>
                              </w:rPr>
                            </w:pPr>
                            <w:r>
                              <w:rPr>
                                <w:rFonts w:asciiTheme="minorHAnsi" w:hAnsiTheme="minorHAnsi"/>
                                <w:sz w:val="20"/>
                                <w:szCs w:val="20"/>
                              </w:rPr>
                              <w:t>The 2017 Victorian Population Health Survey found that 44% of women were experiencing ‘high’ or ‘very high’ levels of psychological distress, compared with 36% of men.</w:t>
                            </w:r>
                          </w:p>
                          <w:p w14:paraId="3FD93252" w14:textId="77777777" w:rsidR="00C65183" w:rsidRDefault="00C65183" w:rsidP="00C65183">
                            <w:pPr>
                              <w:jc w:val="both"/>
                              <w:rPr>
                                <w:rFonts w:asciiTheme="minorHAnsi" w:hAnsiTheme="minorHAnsi"/>
                                <w:sz w:val="20"/>
                                <w:szCs w:val="20"/>
                              </w:rPr>
                            </w:pPr>
                            <w:r>
                              <w:rPr>
                                <w:rFonts w:asciiTheme="minorHAnsi" w:hAnsiTheme="minorHAnsi"/>
                                <w:sz w:val="20"/>
                                <w:szCs w:val="20"/>
                              </w:rPr>
                              <w:t>The survey also reported that 34% of women and 21% of men were experiencing doctor-diagnosed anxiety or depression.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742920B" id="_x0000_s1041" type="#_x0000_t202" style="position:absolute;margin-left:262.75pt;margin-top:.4pt;width:230.6pt;height:96.4pt;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" filled="f" stroked="f">
                <v:textbox>
                  <w:txbxContent>
                    <w:p w14:paraId="5D026493" w14:textId="77777777" w:rsidR="00C65183" w:rsidRDefault="00C65183" w:rsidP="00C65183">
                      <w:pPr>
                        <w:jc w:val="both"/>
                        <w:rPr>
                          <w:rFonts w:asciiTheme="minorHAnsi" w:hAnsiTheme="minorHAnsi"/>
                          <w:sz w:val="20"/>
                          <w:szCs w:val="20"/>
                        </w:rPr>
                      </w:pPr>
                      <w:r>
                        <w:rPr>
                          <w:rFonts w:asciiTheme="minorHAnsi" w:hAnsiTheme="minorHAnsi"/>
                          <w:sz w:val="20"/>
                          <w:szCs w:val="20"/>
                        </w:rPr>
                        <w:t>The 2017 Victorian Population Health Survey found that 44% of women were experiencing ‘high’ or ‘very high’ levels of psychological distress, compared with 36% of men.</w:t>
                      </w:r>
                    </w:p>
                    <w:p w14:paraId="3FD93252" w14:textId="77777777" w:rsidR="00C65183" w:rsidRDefault="00C65183" w:rsidP="00C65183">
                      <w:pPr>
                        <w:jc w:val="both"/>
                        <w:rPr>
                          <w:rFonts w:asciiTheme="minorHAnsi" w:hAnsiTheme="minorHAnsi"/>
                          <w:sz w:val="20"/>
                          <w:szCs w:val="20"/>
                        </w:rPr>
                      </w:pPr>
                      <w:r>
                        <w:rPr>
                          <w:rFonts w:asciiTheme="minorHAnsi" w:hAnsiTheme="minorHAnsi"/>
                          <w:sz w:val="20"/>
                          <w:szCs w:val="20"/>
                        </w:rPr>
                        <w:t>The survey also reported that 34% of women and 21% of men were experiencing doctor-diagnosed anxiety or depression.</w:t>
                      </w:r>
                    </w:p>
                  </w:txbxContent>
                </v:textbox>
              </v:shape>
            </w:pict>
          </mc:Fallback>
        </mc:AlternateContent>
      </w:r>
    </w:p>
    <w:p w14:paraId="11BFC3FC" w14:textId="77777777" w:rsidR="00C65183" w:rsidRDefault="00C65183" w:rsidP="00C65183">
      <w:pPr>
        <w:rPr>
          <w:rFonts w:asciiTheme="minorHAnsi" w:hAnsiTheme="minorHAnsi"/>
        </w:rPr>
      </w:pPr>
    </w:p>
    <w:p w14:paraId="04CE4449" w14:textId="77777777" w:rsidR="00C65183" w:rsidRDefault="00C65183" w:rsidP="00C65183">
      <w:pPr>
        <w:rPr>
          <w:rFonts w:asciiTheme="minorHAnsi" w:hAnsiTheme="minorHAnsi"/>
        </w:rPr>
      </w:pPr>
    </w:p>
    <w:p w14:paraId="781E5EA9" w14:textId="77777777" w:rsidR="00C65183" w:rsidRPr="005D37BE" w:rsidRDefault="00C65183" w:rsidP="00C65183">
      <w:pPr>
        <w:rPr>
          <w:rFonts w:asciiTheme="minorHAnsi" w:hAnsiTheme="minorHAnsi"/>
        </w:rPr>
      </w:pPr>
    </w:p>
    <w:p w14:paraId="402277CD" w14:textId="77777777" w:rsidR="00C65183" w:rsidRDefault="00C65183" w:rsidP="00C65183">
      <w:pPr>
        <w:rPr>
          <w:rFonts w:asciiTheme="minorHAnsi" w:hAnsiTheme="minorHAnsi"/>
        </w:rPr>
      </w:pPr>
    </w:p>
    <w:p w14:paraId="055AB770" w14:textId="77777777" w:rsidR="00C65183" w:rsidRDefault="00C65183" w:rsidP="00C65183">
      <w:pPr>
        <w:rPr>
          <w:rFonts w:asciiTheme="minorHAnsi" w:hAnsiTheme="minorHAnsi"/>
        </w:rPr>
      </w:pPr>
    </w:p>
    <w:p w14:paraId="043BED80" w14:textId="77777777" w:rsidR="00C65183" w:rsidRDefault="00C65183" w:rsidP="00C65183">
      <w:pPr>
        <w:ind w:left="5103"/>
        <w:rPr>
          <w:rFonts w:asciiTheme="minorHAnsi" w:hAnsiTheme="minorHAnsi"/>
          <w:b/>
          <w:color w:val="0F243E" w:themeColor="text2" w:themeShade="80"/>
          <w:sz w:val="26"/>
          <w:szCs w:val="26"/>
        </w:rPr>
      </w:pPr>
    </w:p>
    <w:p w14:paraId="0A13089E" w14:textId="77777777" w:rsidR="00C65183" w:rsidRDefault="00C65183" w:rsidP="00C65183">
      <w:pPr>
        <w:rPr>
          <w:rFonts w:asciiTheme="minorHAnsi" w:hAnsiTheme="minorHAnsi"/>
          <w:color w:val="7F7F7F" w:themeColor="text1" w:themeTint="80"/>
          <w:sz w:val="20"/>
          <w:szCs w:val="20"/>
        </w:rPr>
      </w:pPr>
    </w:p>
    <w:p w14:paraId="173E42F5" w14:textId="77777777" w:rsidR="00C65183" w:rsidRPr="000E0724" w:rsidRDefault="00C65183" w:rsidP="00C65183">
      <w:pPr>
        <w:rPr>
          <w:rFonts w:asciiTheme="minorHAnsi" w:hAnsiTheme="minorHAnsi"/>
          <w:color w:val="7F7F7F" w:themeColor="text1" w:themeTint="80"/>
          <w:sz w:val="20"/>
          <w:szCs w:val="20"/>
        </w:rPr>
      </w:pPr>
      <w:r w:rsidRPr="000E0724">
        <w:rPr>
          <w:rFonts w:asciiTheme="minorHAnsi" w:hAnsiTheme="minorHAnsi"/>
          <w:color w:val="7F7F7F" w:themeColor="text1" w:themeTint="80"/>
          <w:sz w:val="20"/>
          <w:szCs w:val="20"/>
        </w:rPr>
        <w:t xml:space="preserve">Per cent of persons with ‘high’ or ‘very high’ levels of psychological distress: </w:t>
      </w:r>
      <w:r>
        <w:rPr>
          <w:rFonts w:asciiTheme="minorHAnsi" w:hAnsiTheme="minorHAnsi"/>
          <w:color w:val="7F7F7F" w:themeColor="text1" w:themeTint="80"/>
          <w:sz w:val="20"/>
          <w:szCs w:val="20"/>
        </w:rPr>
        <w:t>Victoria</w:t>
      </w:r>
      <w:r w:rsidRPr="000E0724">
        <w:rPr>
          <w:rFonts w:asciiTheme="minorHAnsi" w:hAnsiTheme="minorHAnsi"/>
          <w:color w:val="7F7F7F" w:themeColor="text1" w:themeTint="80"/>
          <w:sz w:val="20"/>
          <w:szCs w:val="20"/>
        </w:rPr>
        <w:t xml:space="preserve">, </w:t>
      </w:r>
      <w:r>
        <w:rPr>
          <w:rFonts w:asciiTheme="minorHAnsi" w:hAnsiTheme="minorHAnsi"/>
          <w:color w:val="7F7F7F" w:themeColor="text1" w:themeTint="80"/>
          <w:sz w:val="20"/>
          <w:szCs w:val="20"/>
        </w:rPr>
        <w:t>2017</w:t>
      </w:r>
    </w:p>
    <w:p w14:paraId="4A9B7543" w14:textId="77777777" w:rsidR="00C65183" w:rsidRDefault="00C65183" w:rsidP="00C65183">
      <w:pPr>
        <w:ind w:left="5103"/>
        <w:rPr>
          <w:rFonts w:asciiTheme="minorHAnsi" w:hAnsiTheme="minorHAnsi"/>
          <w:b/>
          <w:color w:val="0F243E" w:themeColor="text2" w:themeShade="80"/>
          <w:sz w:val="26"/>
          <w:szCs w:val="26"/>
        </w:rPr>
      </w:pPr>
      <w:r>
        <w:rPr>
          <w:rFonts w:asciiTheme="minorHAnsi" w:hAnsiTheme="minorHAnsi"/>
          <w:noProof/>
          <w:lang w:eastAsia="en-AU"/>
        </w:rPr>
        <w:drawing>
          <wp:anchor distT="0" distB="0" distL="114300" distR="114300" simplePos="0" relativeHeight="251859968" behindDoc="0" locked="0" layoutInCell="1" allowOverlap="1" wp14:anchorId="3E8D3A94" wp14:editId="4B0D0646">
            <wp:simplePos x="0" y="0"/>
            <wp:positionH relativeFrom="column">
              <wp:posOffset>4176077</wp:posOffset>
            </wp:positionH>
            <wp:positionV relativeFrom="paragraph">
              <wp:posOffset>147637</wp:posOffset>
            </wp:positionV>
            <wp:extent cx="1238250" cy="819785"/>
            <wp:effectExtent l="0" t="0" r="0" b="0"/>
            <wp:wrapNone/>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V 5.jpg"/>
                    <pic:cNvPicPr/>
                  </pic:nvPicPr>
                  <pic:blipFill>
                    <a:blip r:embed="rId206">
                      <a:extLst>
                        <a:ext uri="{28A0092B-C50C-407E-A947-70E740481C1C}">
                          <a14:useLocalDpi xmlns:a14="http://schemas.microsoft.com/office/drawing/2010/main" val="0"/>
                        </a:ext>
                      </a:extLst>
                    </a:blip>
                    <a:stretch>
                      <a:fillRect/>
                    </a:stretch>
                  </pic:blipFill>
                  <pic:spPr>
                    <a:xfrm>
                      <a:off x="0" y="0"/>
                      <a:ext cx="1238250" cy="819785"/>
                    </a:xfrm>
                    <a:prstGeom prst="rect">
                      <a:avLst/>
                    </a:prstGeom>
                    <a:ln>
                      <a:noFill/>
                    </a:ln>
                    <a:effectLst>
                      <a:softEdge rad="127000"/>
                    </a:effectLst>
                  </pic:spPr>
                </pic:pic>
              </a:graphicData>
            </a:graphic>
            <wp14:sizeRelH relativeFrom="page">
              <wp14:pctWidth>0</wp14:pctWidth>
            </wp14:sizeRelH>
            <wp14:sizeRelV relativeFrom="page">
              <wp14:pctHeight>0</wp14:pctHeight>
            </wp14:sizeRelV>
          </wp:anchor>
        </w:drawing>
      </w:r>
    </w:p>
    <w:p w14:paraId="48EE7763" w14:textId="77777777" w:rsidR="00C65183" w:rsidRDefault="00C65183" w:rsidP="00C65183">
      <w:pPr>
        <w:rPr>
          <w:rFonts w:asciiTheme="minorHAnsi" w:hAnsiTheme="minorHAnsi"/>
        </w:rPr>
      </w:pPr>
    </w:p>
    <w:p w14:paraId="7F66E7F4" w14:textId="77777777" w:rsidR="00C65183" w:rsidRDefault="00C65183" w:rsidP="00C65183">
      <w:pPr>
        <w:rPr>
          <w:rFonts w:asciiTheme="minorHAnsi" w:hAnsiTheme="minorHAnsi"/>
        </w:rPr>
      </w:pPr>
    </w:p>
    <w:p w14:paraId="29DD776D" w14:textId="77777777" w:rsidR="00C65183" w:rsidRDefault="00C65183" w:rsidP="00C65183">
      <w:pPr>
        <w:rPr>
          <w:rFonts w:asciiTheme="minorHAnsi" w:hAnsiTheme="minorHAnsi"/>
        </w:rPr>
      </w:pPr>
    </w:p>
    <w:p w14:paraId="303B46C6" w14:textId="77777777" w:rsidR="00C65183" w:rsidRDefault="00C65183" w:rsidP="00C65183">
      <w:pPr>
        <w:rPr>
          <w:rFonts w:asciiTheme="minorHAnsi" w:hAnsiTheme="minorHAnsi"/>
        </w:rPr>
      </w:pPr>
    </w:p>
    <w:p w14:paraId="6D16D9EB" w14:textId="77777777" w:rsidR="00C65183" w:rsidRPr="008D76AB" w:rsidRDefault="00C65183" w:rsidP="00C65183">
      <w:pPr>
        <w:rPr>
          <w:rFonts w:asciiTheme="minorHAnsi" w:hAnsiTheme="minorHAnsi"/>
          <w:color w:val="7F7F7F" w:themeColor="text1" w:themeTint="80"/>
          <w:sz w:val="28"/>
          <w:szCs w:val="28"/>
        </w:rPr>
      </w:pPr>
    </w:p>
    <w:p w14:paraId="20B2EADC" w14:textId="77777777" w:rsidR="00C65183" w:rsidRDefault="00C65183" w:rsidP="00C65183">
      <w:pPr>
        <w:rPr>
          <w:rFonts w:asciiTheme="minorHAnsi" w:hAnsiTheme="minorHAnsi"/>
        </w:rPr>
      </w:pPr>
      <w:r w:rsidRPr="00A60DEF">
        <w:rPr>
          <w:rFonts w:asciiTheme="minorHAnsi" w:hAnsiTheme="minorHAnsi"/>
          <w:noProof/>
          <w:lang w:eastAsia="en-AU"/>
        </w:rPr>
        <w:drawing>
          <wp:anchor distT="0" distB="0" distL="114300" distR="114300" simplePos="0" relativeHeight="251816960" behindDoc="0" locked="0" layoutInCell="1" allowOverlap="1" wp14:anchorId="4DB68259" wp14:editId="6DB35EC8">
            <wp:simplePos x="0" y="0"/>
            <wp:positionH relativeFrom="column">
              <wp:posOffset>-2466339</wp:posOffset>
            </wp:positionH>
            <wp:positionV relativeFrom="paragraph">
              <wp:posOffset>154305</wp:posOffset>
            </wp:positionV>
            <wp:extent cx="990600" cy="619125"/>
            <wp:effectExtent l="0" t="0" r="0" b="9525"/>
            <wp:wrapNone/>
            <wp:docPr id="309" name="Picture 5"/>
            <wp:cNvGraphicFramePr/>
            <a:graphic xmlns:a="http://schemas.openxmlformats.org/drawingml/2006/main">
              <a:graphicData uri="http://schemas.openxmlformats.org/drawingml/2006/picture">
                <pic:pic xmlns:pic="http://schemas.openxmlformats.org/drawingml/2006/picture">
                  <pic:nvPicPr>
                    <pic:cNvPr id="6" name="Picture 5"/>
                    <pic:cNvPicPr/>
                  </pic:nvPicPr>
                  <pic:blipFill>
                    <a:blip r:embed="rId206" cstate="print">
                      <a:extLst>
                        <a:ext uri="{28A0092B-C50C-407E-A947-70E740481C1C}">
                          <a14:useLocalDpi xmlns:a14="http://schemas.microsoft.com/office/drawing/2010/main" val="0"/>
                        </a:ext>
                      </a:extLst>
                    </a:blip>
                    <a:stretch>
                      <a:fillRect/>
                    </a:stretch>
                  </pic:blipFill>
                  <pic:spPr>
                    <a:xfrm>
                      <a:off x="0" y="0"/>
                      <a:ext cx="990600" cy="61912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0AE8AF59" w14:textId="77777777" w:rsidR="00C65183" w:rsidRPr="00F15706" w:rsidRDefault="00C65183" w:rsidP="00C65183">
      <w:pPr>
        <w:rPr>
          <w:rFonts w:asciiTheme="minorHAnsi" w:hAnsiTheme="minorHAnsi"/>
        </w:rPr>
      </w:pPr>
      <w:r>
        <w:rPr>
          <w:rFonts w:asciiTheme="minorHAnsi" w:hAnsiTheme="minorHAnsi"/>
          <w:b/>
          <w:noProof/>
          <w:color w:val="0F243E" w:themeColor="text2" w:themeShade="80"/>
          <w:sz w:val="26"/>
          <w:szCs w:val="26"/>
        </w:rPr>
        <w:drawing>
          <wp:anchor distT="0" distB="0" distL="114300" distR="114300" simplePos="0" relativeHeight="251848704" behindDoc="0" locked="0" layoutInCell="1" allowOverlap="1" wp14:anchorId="1547FF51" wp14:editId="061A8632">
            <wp:simplePos x="0" y="0"/>
            <wp:positionH relativeFrom="margin">
              <wp:posOffset>2261235</wp:posOffset>
            </wp:positionH>
            <wp:positionV relativeFrom="paragraph">
              <wp:posOffset>158750</wp:posOffset>
            </wp:positionV>
            <wp:extent cx="3859530" cy="2562225"/>
            <wp:effectExtent l="0" t="0" r="7620" b="9525"/>
            <wp:wrapSquare wrapText="bothSides"/>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3859530" cy="2562225"/>
                    </a:xfrm>
                    <a:prstGeom prst="rect">
                      <a:avLst/>
                    </a:prstGeom>
                    <a:noFill/>
                  </pic:spPr>
                </pic:pic>
              </a:graphicData>
            </a:graphic>
            <wp14:sizeRelH relativeFrom="page">
              <wp14:pctWidth>0</wp14:pctWidth>
            </wp14:sizeRelH>
            <wp14:sizeRelV relativeFrom="page">
              <wp14:pctHeight>0</wp14:pctHeight>
            </wp14:sizeRelV>
          </wp:anchor>
        </w:drawing>
      </w:r>
      <w:r w:rsidRPr="005D37BE">
        <w:rPr>
          <w:rFonts w:asciiTheme="minorHAnsi" w:hAnsiTheme="minorHAnsi"/>
          <w:b/>
          <w:color w:val="0F243E" w:themeColor="text2" w:themeShade="80"/>
          <w:sz w:val="26"/>
          <w:szCs w:val="26"/>
        </w:rPr>
        <w:t>Family Violence</w:t>
      </w:r>
    </w:p>
    <w:p w14:paraId="1B9BB05E" w14:textId="77777777" w:rsidR="00C65183" w:rsidRPr="005D37BE" w:rsidRDefault="00C65183" w:rsidP="00C65183">
      <w:pPr>
        <w:rPr>
          <w:rFonts w:asciiTheme="minorHAnsi" w:hAnsiTheme="minorHAnsi"/>
        </w:rPr>
      </w:pPr>
      <w:r w:rsidRPr="005D37BE">
        <w:rPr>
          <w:rFonts w:asciiTheme="minorHAnsi" w:hAnsiTheme="minorHAnsi"/>
          <w:noProof/>
          <w:lang w:eastAsia="en-AU"/>
        </w:rPr>
        <mc:AlternateContent>
          <mc:Choice Requires="wps">
            <w:drawing>
              <wp:anchor distT="0" distB="0" distL="114300" distR="114300" simplePos="0" relativeHeight="251831296" behindDoc="0" locked="0" layoutInCell="1" allowOverlap="1" wp14:anchorId="429ACF61" wp14:editId="4812A450">
                <wp:simplePos x="0" y="0"/>
                <wp:positionH relativeFrom="column">
                  <wp:posOffset>-110489</wp:posOffset>
                </wp:positionH>
                <wp:positionV relativeFrom="paragraph">
                  <wp:posOffset>54610</wp:posOffset>
                </wp:positionV>
                <wp:extent cx="2362200" cy="895350"/>
                <wp:effectExtent l="0" t="0" r="0" b="0"/>
                <wp:wrapNone/>
                <wp:docPr id="15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2200" cy="895350"/>
                        </a:xfrm>
                        <a:prstGeom prst="rect">
                          <a:avLst/>
                        </a:prstGeom>
                        <a:noFill/>
                        <a:ln w="9525">
                          <a:noFill/>
                          <a:miter lim="800000"/>
                          <a:headEnd/>
                          <a:tailEnd/>
                        </a:ln>
                      </wps:spPr>
                      <wps:txbx>
                        <w:txbxContent>
                          <w:p w14:paraId="0A6C423E" w14:textId="77777777" w:rsidR="00C65183" w:rsidRPr="00C25EFC" w:rsidRDefault="00C65183" w:rsidP="00C65183">
                            <w:pPr>
                              <w:jc w:val="both"/>
                              <w:rPr>
                                <w:rFonts w:asciiTheme="minorHAnsi" w:hAnsiTheme="minorHAnsi"/>
                                <w:sz w:val="20"/>
                                <w:szCs w:val="20"/>
                              </w:rPr>
                            </w:pPr>
                            <w:r w:rsidRPr="00C25EFC">
                              <w:rPr>
                                <w:rFonts w:asciiTheme="minorHAnsi" w:hAnsiTheme="minorHAnsi"/>
                                <w:sz w:val="20"/>
                                <w:szCs w:val="20"/>
                              </w:rPr>
                              <w:t xml:space="preserve">Women accounted for </w:t>
                            </w:r>
                            <w:r>
                              <w:rPr>
                                <w:rFonts w:asciiTheme="minorHAnsi" w:hAnsiTheme="minorHAnsi"/>
                                <w:sz w:val="20"/>
                                <w:szCs w:val="20"/>
                              </w:rPr>
                              <w:t xml:space="preserve">785 </w:t>
                            </w:r>
                            <w:r w:rsidRPr="00C25EFC">
                              <w:rPr>
                                <w:rFonts w:asciiTheme="minorHAnsi" w:hAnsiTheme="minorHAnsi"/>
                                <w:sz w:val="20"/>
                                <w:szCs w:val="20"/>
                              </w:rPr>
                              <w:t>victims of alleged family violence incidents recorded by police in Greater Dandenong in 20</w:t>
                            </w:r>
                            <w:r>
                              <w:rPr>
                                <w:rFonts w:asciiTheme="minorHAnsi" w:hAnsiTheme="minorHAnsi"/>
                                <w:sz w:val="20"/>
                                <w:szCs w:val="20"/>
                              </w:rPr>
                              <w:t>19</w:t>
                            </w:r>
                            <w:r w:rsidRPr="00C25EFC">
                              <w:rPr>
                                <w:rFonts w:asciiTheme="minorHAnsi" w:hAnsiTheme="minorHAnsi"/>
                                <w:sz w:val="20"/>
                                <w:szCs w:val="20"/>
                              </w:rPr>
                              <w:t>/</w:t>
                            </w:r>
                            <w:r>
                              <w:rPr>
                                <w:rFonts w:asciiTheme="minorHAnsi" w:hAnsiTheme="minorHAnsi"/>
                                <w:sz w:val="20"/>
                                <w:szCs w:val="20"/>
                              </w:rPr>
                              <w:t>20</w:t>
                            </w:r>
                            <w:r w:rsidRPr="00C25EFC">
                              <w:rPr>
                                <w:rFonts w:asciiTheme="minorHAnsi" w:hAnsiTheme="minorHAnsi"/>
                                <w:sz w:val="20"/>
                                <w:szCs w:val="20"/>
                              </w:rPr>
                              <w:t xml:space="preserve">, representing </w:t>
                            </w:r>
                            <w:r>
                              <w:rPr>
                                <w:rFonts w:asciiTheme="minorHAnsi" w:hAnsiTheme="minorHAnsi"/>
                                <w:sz w:val="20"/>
                                <w:szCs w:val="20"/>
                              </w:rPr>
                              <w:t>78</w:t>
                            </w:r>
                            <w:r w:rsidRPr="00C25EFC">
                              <w:rPr>
                                <w:rFonts w:asciiTheme="minorHAnsi" w:hAnsiTheme="minorHAnsi"/>
                                <w:sz w:val="20"/>
                                <w:szCs w:val="20"/>
                              </w:rPr>
                              <w:t>% of recorded victims of such crimes.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29ACF61" id="_x0000_s1042" type="#_x0000_t202" style="position:absolute;margin-left:-8.7pt;margin-top:4.3pt;width:186pt;height:70.5pt;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" filled="f" stroked="f">
                <v:textbox>
                  <w:txbxContent>
                    <w:p w14:paraId="0A6C423E" w14:textId="77777777" w:rsidR="00C65183" w:rsidRPr="00C25EFC" w:rsidRDefault="00C65183" w:rsidP="00C65183">
                      <w:pPr>
                        <w:jc w:val="both"/>
                        <w:rPr>
                          <w:rFonts w:asciiTheme="minorHAnsi" w:hAnsiTheme="minorHAnsi"/>
                          <w:sz w:val="20"/>
                          <w:szCs w:val="20"/>
                        </w:rPr>
                      </w:pPr>
                      <w:r w:rsidRPr="00C25EFC">
                        <w:rPr>
                          <w:rFonts w:asciiTheme="minorHAnsi" w:hAnsiTheme="minorHAnsi"/>
                          <w:sz w:val="20"/>
                          <w:szCs w:val="20"/>
                        </w:rPr>
                        <w:t xml:space="preserve">Women accounted for </w:t>
                      </w:r>
                      <w:r>
                        <w:rPr>
                          <w:rFonts w:asciiTheme="minorHAnsi" w:hAnsiTheme="minorHAnsi"/>
                          <w:sz w:val="20"/>
                          <w:szCs w:val="20"/>
                        </w:rPr>
                        <w:t xml:space="preserve">785 </w:t>
                      </w:r>
                      <w:r w:rsidRPr="00C25EFC">
                        <w:rPr>
                          <w:rFonts w:asciiTheme="minorHAnsi" w:hAnsiTheme="minorHAnsi"/>
                          <w:sz w:val="20"/>
                          <w:szCs w:val="20"/>
                        </w:rPr>
                        <w:t>victims of alleged family violence incidents recorded by police in Greater Dandenong in 20</w:t>
                      </w:r>
                      <w:r>
                        <w:rPr>
                          <w:rFonts w:asciiTheme="minorHAnsi" w:hAnsiTheme="minorHAnsi"/>
                          <w:sz w:val="20"/>
                          <w:szCs w:val="20"/>
                        </w:rPr>
                        <w:t>19</w:t>
                      </w:r>
                      <w:r w:rsidRPr="00C25EFC">
                        <w:rPr>
                          <w:rFonts w:asciiTheme="minorHAnsi" w:hAnsiTheme="minorHAnsi"/>
                          <w:sz w:val="20"/>
                          <w:szCs w:val="20"/>
                        </w:rPr>
                        <w:t>/</w:t>
                      </w:r>
                      <w:r>
                        <w:rPr>
                          <w:rFonts w:asciiTheme="minorHAnsi" w:hAnsiTheme="minorHAnsi"/>
                          <w:sz w:val="20"/>
                          <w:szCs w:val="20"/>
                        </w:rPr>
                        <w:t>20</w:t>
                      </w:r>
                      <w:r w:rsidRPr="00C25EFC">
                        <w:rPr>
                          <w:rFonts w:asciiTheme="minorHAnsi" w:hAnsiTheme="minorHAnsi"/>
                          <w:sz w:val="20"/>
                          <w:szCs w:val="20"/>
                        </w:rPr>
                        <w:t xml:space="preserve">, representing </w:t>
                      </w:r>
                      <w:r>
                        <w:rPr>
                          <w:rFonts w:asciiTheme="minorHAnsi" w:hAnsiTheme="minorHAnsi"/>
                          <w:sz w:val="20"/>
                          <w:szCs w:val="20"/>
                        </w:rPr>
                        <w:t>78</w:t>
                      </w:r>
                      <w:r w:rsidRPr="00C25EFC">
                        <w:rPr>
                          <w:rFonts w:asciiTheme="minorHAnsi" w:hAnsiTheme="minorHAnsi"/>
                          <w:sz w:val="20"/>
                          <w:szCs w:val="20"/>
                        </w:rPr>
                        <w:t>% of recorded victims of such crimes.</w:t>
                      </w:r>
                    </w:p>
                  </w:txbxContent>
                </v:textbox>
              </v:shape>
            </w:pict>
          </mc:Fallback>
        </mc:AlternateContent>
      </w:r>
    </w:p>
    <w:p w14:paraId="3EC9C11E" w14:textId="77777777" w:rsidR="00C65183" w:rsidRPr="005D37BE" w:rsidRDefault="00C65183" w:rsidP="00C65183">
      <w:pPr>
        <w:rPr>
          <w:rFonts w:asciiTheme="minorHAnsi" w:hAnsiTheme="minorHAnsi"/>
        </w:rPr>
      </w:pPr>
    </w:p>
    <w:p w14:paraId="5D0273DD" w14:textId="77777777" w:rsidR="00C65183" w:rsidRPr="005D37BE" w:rsidRDefault="00C65183" w:rsidP="00C65183">
      <w:pPr>
        <w:rPr>
          <w:rFonts w:asciiTheme="minorHAnsi" w:hAnsiTheme="minorHAnsi"/>
        </w:rPr>
      </w:pPr>
    </w:p>
    <w:p w14:paraId="4223C891" w14:textId="77777777" w:rsidR="00C65183" w:rsidRPr="005D37BE" w:rsidRDefault="00C65183" w:rsidP="00C65183">
      <w:pPr>
        <w:rPr>
          <w:rFonts w:asciiTheme="minorHAnsi" w:hAnsiTheme="minorHAnsi"/>
        </w:rPr>
      </w:pPr>
    </w:p>
    <w:p w14:paraId="71D23000" w14:textId="77777777" w:rsidR="00C65183" w:rsidRPr="005D37BE" w:rsidRDefault="00C65183" w:rsidP="00C65183">
      <w:pPr>
        <w:rPr>
          <w:rFonts w:asciiTheme="minorHAnsi" w:hAnsiTheme="minorHAnsi"/>
        </w:rPr>
      </w:pPr>
    </w:p>
    <w:p w14:paraId="27885B39" w14:textId="77777777" w:rsidR="00C65183" w:rsidRPr="005D37BE" w:rsidRDefault="00C65183" w:rsidP="00C65183">
      <w:pPr>
        <w:rPr>
          <w:rFonts w:asciiTheme="minorHAnsi" w:hAnsiTheme="minorHAnsi"/>
        </w:rPr>
      </w:pPr>
    </w:p>
    <w:p w14:paraId="352070DA" w14:textId="77777777" w:rsidR="00C65183" w:rsidRPr="005D37BE" w:rsidRDefault="00C65183" w:rsidP="00C65183">
      <w:pPr>
        <w:rPr>
          <w:rFonts w:asciiTheme="minorHAnsi" w:hAnsiTheme="minorHAnsi"/>
          <w:color w:val="7F7F7F" w:themeColor="text1" w:themeTint="80"/>
          <w:sz w:val="20"/>
          <w:szCs w:val="20"/>
        </w:rPr>
      </w:pPr>
      <w:r w:rsidRPr="005D37BE">
        <w:rPr>
          <w:rFonts w:asciiTheme="minorHAnsi" w:hAnsiTheme="minorHAnsi"/>
          <w:color w:val="7F7F7F" w:themeColor="text1" w:themeTint="80"/>
          <w:sz w:val="20"/>
          <w:szCs w:val="20"/>
        </w:rPr>
        <w:t xml:space="preserve">Number of recorded victims of alleged family violence incidents, by </w:t>
      </w:r>
      <w:r>
        <w:rPr>
          <w:rFonts w:asciiTheme="minorHAnsi" w:hAnsiTheme="minorHAnsi"/>
          <w:color w:val="7F7F7F" w:themeColor="text1" w:themeTint="80"/>
          <w:sz w:val="20"/>
          <w:szCs w:val="20"/>
        </w:rPr>
        <w:t>sex</w:t>
      </w:r>
      <w:r w:rsidRPr="005D37BE">
        <w:rPr>
          <w:rFonts w:asciiTheme="minorHAnsi" w:hAnsiTheme="minorHAnsi"/>
          <w:color w:val="7F7F7F" w:themeColor="text1" w:themeTint="80"/>
          <w:sz w:val="20"/>
          <w:szCs w:val="20"/>
        </w:rPr>
        <w:t>: Greater Dandenong, 201</w:t>
      </w:r>
      <w:r>
        <w:rPr>
          <w:rFonts w:asciiTheme="minorHAnsi" w:hAnsiTheme="minorHAnsi"/>
          <w:color w:val="7F7F7F" w:themeColor="text1" w:themeTint="80"/>
          <w:sz w:val="20"/>
          <w:szCs w:val="20"/>
        </w:rPr>
        <w:t>9</w:t>
      </w:r>
      <w:r w:rsidRPr="005D37BE">
        <w:rPr>
          <w:rFonts w:asciiTheme="minorHAnsi" w:hAnsiTheme="minorHAnsi"/>
          <w:color w:val="7F7F7F" w:themeColor="text1" w:themeTint="80"/>
          <w:sz w:val="20"/>
          <w:szCs w:val="20"/>
        </w:rPr>
        <w:t>/</w:t>
      </w:r>
      <w:r>
        <w:rPr>
          <w:rFonts w:asciiTheme="minorHAnsi" w:hAnsiTheme="minorHAnsi"/>
          <w:color w:val="7F7F7F" w:themeColor="text1" w:themeTint="80"/>
          <w:sz w:val="20"/>
          <w:szCs w:val="20"/>
        </w:rPr>
        <w:t>20</w:t>
      </w:r>
    </w:p>
    <w:p w14:paraId="38961830" w14:textId="77777777" w:rsidR="00C65183" w:rsidRPr="005D37BE" w:rsidRDefault="00C65183" w:rsidP="00C65183">
      <w:pPr>
        <w:rPr>
          <w:rFonts w:asciiTheme="minorHAnsi" w:hAnsiTheme="minorHAnsi"/>
        </w:rPr>
      </w:pPr>
    </w:p>
    <w:p w14:paraId="712ABDBB" w14:textId="77777777" w:rsidR="00C65183" w:rsidRPr="005D37BE" w:rsidRDefault="00C65183" w:rsidP="00C65183">
      <w:pPr>
        <w:rPr>
          <w:rFonts w:asciiTheme="minorHAnsi" w:hAnsiTheme="minorHAnsi"/>
        </w:rPr>
      </w:pPr>
    </w:p>
    <w:p w14:paraId="0FBD960A" w14:textId="77777777" w:rsidR="00C65183" w:rsidRDefault="00C65183" w:rsidP="00C65183">
      <w:pPr>
        <w:rPr>
          <w:rFonts w:asciiTheme="minorHAnsi" w:hAnsiTheme="minorHAnsi"/>
        </w:rPr>
      </w:pPr>
    </w:p>
    <w:p w14:paraId="7731AEB5" w14:textId="77777777" w:rsidR="00C65183" w:rsidRDefault="00C65183" w:rsidP="00C65183">
      <w:pPr>
        <w:rPr>
          <w:rFonts w:asciiTheme="minorHAnsi" w:hAnsiTheme="minorHAnsi"/>
        </w:rPr>
      </w:pPr>
    </w:p>
    <w:p w14:paraId="480854FB" w14:textId="77777777" w:rsidR="00C65183" w:rsidRDefault="00C65183" w:rsidP="00C65183">
      <w:pPr>
        <w:rPr>
          <w:rFonts w:asciiTheme="minorHAnsi" w:hAnsiTheme="minorHAnsi"/>
        </w:rPr>
      </w:pPr>
    </w:p>
    <w:p w14:paraId="02B10B83" w14:textId="77777777" w:rsidR="00C65183" w:rsidRDefault="00C65183" w:rsidP="00C65183">
      <w:pPr>
        <w:rPr>
          <w:rFonts w:asciiTheme="minorHAnsi" w:hAnsiTheme="minorHAnsi"/>
        </w:rPr>
      </w:pPr>
    </w:p>
    <w:p w14:paraId="5D134A66" w14:textId="77777777" w:rsidR="00C65183" w:rsidRDefault="00C65183" w:rsidP="00C65183">
      <w:pPr>
        <w:rPr>
          <w:rFonts w:asciiTheme="minorHAnsi" w:hAnsiTheme="minorHAnsi"/>
        </w:rPr>
      </w:pPr>
    </w:p>
    <w:p w14:paraId="481A1288" w14:textId="77777777" w:rsidR="00C65183" w:rsidRPr="005D37BE" w:rsidRDefault="00C65183" w:rsidP="00C65183">
      <w:pPr>
        <w:spacing w:after="120"/>
        <w:rPr>
          <w:rFonts w:asciiTheme="minorHAnsi" w:hAnsiTheme="minorHAnsi"/>
          <w:b/>
          <w:color w:val="0F243E" w:themeColor="text2" w:themeShade="80"/>
          <w:sz w:val="26"/>
          <w:szCs w:val="26"/>
        </w:rPr>
      </w:pPr>
      <w:r>
        <w:rPr>
          <w:rFonts w:asciiTheme="minorHAnsi" w:hAnsiTheme="minorHAnsi"/>
          <w:b/>
          <w:color w:val="0F243E" w:themeColor="text2" w:themeShade="80"/>
          <w:sz w:val="26"/>
          <w:szCs w:val="26"/>
        </w:rPr>
        <w:lastRenderedPageBreak/>
        <w:t>Attitudes to Gender Equity</w:t>
      </w:r>
    </w:p>
    <w:p w14:paraId="2B45D655" w14:textId="77777777" w:rsidR="00C65183" w:rsidRPr="0086753E" w:rsidRDefault="00C65183" w:rsidP="00C65183">
      <w:pPr>
        <w:spacing w:line="288" w:lineRule="auto"/>
        <w:jc w:val="both"/>
        <w:rPr>
          <w:rFonts w:asciiTheme="minorHAnsi" w:hAnsiTheme="minorHAnsi"/>
          <w:color w:val="000000"/>
          <w:sz w:val="20"/>
          <w:szCs w:val="20"/>
        </w:rPr>
      </w:pPr>
      <w:r w:rsidRPr="0086753E">
        <w:rPr>
          <w:rFonts w:asciiTheme="minorHAnsi" w:hAnsiTheme="minorHAnsi"/>
          <w:color w:val="000000"/>
          <w:sz w:val="20"/>
          <w:szCs w:val="20"/>
        </w:rPr>
        <w:t>The 2015 VicHealth Indicators Survey sought to measure support for gender equality, recording the level of agreement among respondents to two statements:</w:t>
      </w:r>
    </w:p>
    <w:p w14:paraId="313C3613" w14:textId="77777777" w:rsidR="00C65183" w:rsidRPr="0086753E" w:rsidRDefault="00C65183" w:rsidP="00C65183">
      <w:pPr>
        <w:pStyle w:val="ListParagraph"/>
        <w:numPr>
          <w:ilvl w:val="0"/>
          <w:numId w:val="13"/>
        </w:numPr>
        <w:ind w:left="714" w:hanging="357"/>
        <w:jc w:val="both"/>
        <w:rPr>
          <w:rFonts w:asciiTheme="minorHAnsi" w:hAnsiTheme="minorHAnsi"/>
          <w:color w:val="000000"/>
          <w:sz w:val="20"/>
          <w:szCs w:val="20"/>
        </w:rPr>
      </w:pPr>
      <w:r w:rsidRPr="0086753E">
        <w:rPr>
          <w:rFonts w:asciiTheme="minorHAnsi" w:hAnsiTheme="minorHAnsi"/>
          <w:color w:val="000000"/>
          <w:sz w:val="20"/>
          <w:szCs w:val="20"/>
        </w:rPr>
        <w:t>Men should take control in relationships and be head of the household</w:t>
      </w:r>
    </w:p>
    <w:p w14:paraId="6DF33D68" w14:textId="77777777" w:rsidR="00C65183" w:rsidRPr="0086753E" w:rsidRDefault="00C65183" w:rsidP="00C65183">
      <w:pPr>
        <w:pStyle w:val="ListParagraph"/>
        <w:numPr>
          <w:ilvl w:val="0"/>
          <w:numId w:val="13"/>
        </w:numPr>
        <w:ind w:left="714" w:hanging="357"/>
        <w:jc w:val="both"/>
        <w:rPr>
          <w:rFonts w:asciiTheme="minorHAnsi" w:hAnsiTheme="minorHAnsi"/>
          <w:color w:val="000000"/>
          <w:sz w:val="20"/>
          <w:szCs w:val="20"/>
        </w:rPr>
      </w:pPr>
      <w:r w:rsidRPr="0086753E">
        <w:rPr>
          <w:rFonts w:asciiTheme="minorHAnsi" w:hAnsiTheme="minorHAnsi"/>
          <w:color w:val="000000"/>
          <w:sz w:val="20"/>
          <w:szCs w:val="20"/>
        </w:rPr>
        <w:t xml:space="preserve">Women prefer a </w:t>
      </w:r>
      <w:r>
        <w:rPr>
          <w:rFonts w:asciiTheme="minorHAnsi" w:hAnsiTheme="minorHAnsi"/>
          <w:color w:val="000000"/>
          <w:sz w:val="20"/>
          <w:szCs w:val="20"/>
        </w:rPr>
        <w:t>man</w:t>
      </w:r>
      <w:r w:rsidRPr="0086753E">
        <w:rPr>
          <w:rFonts w:asciiTheme="minorHAnsi" w:hAnsiTheme="minorHAnsi"/>
          <w:color w:val="000000"/>
          <w:sz w:val="20"/>
          <w:szCs w:val="20"/>
        </w:rPr>
        <w:t xml:space="preserve"> to be in charge in a relationship</w:t>
      </w:r>
    </w:p>
    <w:p w14:paraId="2787BC10" w14:textId="77777777" w:rsidR="00C65183" w:rsidRPr="0086753E" w:rsidRDefault="00C65183" w:rsidP="00C65183">
      <w:pPr>
        <w:spacing w:line="288" w:lineRule="auto"/>
        <w:jc w:val="both"/>
        <w:rPr>
          <w:rFonts w:asciiTheme="minorHAnsi" w:hAnsiTheme="minorHAnsi"/>
          <w:color w:val="000000"/>
          <w:sz w:val="20"/>
          <w:szCs w:val="20"/>
        </w:rPr>
      </w:pPr>
      <w:r w:rsidRPr="0086753E">
        <w:rPr>
          <w:rFonts w:asciiTheme="minorHAnsi" w:hAnsiTheme="minorHAnsi"/>
          <w:color w:val="000000"/>
          <w:sz w:val="20"/>
          <w:szCs w:val="20"/>
        </w:rPr>
        <w:t>The result was a score representing the percentage of respondents with a low support for gender equity</w:t>
      </w:r>
      <w:r>
        <w:rPr>
          <w:rFonts w:asciiTheme="minorHAnsi" w:hAnsiTheme="minorHAnsi"/>
          <w:color w:val="000000"/>
          <w:sz w:val="20"/>
          <w:szCs w:val="20"/>
        </w:rPr>
        <w:t xml:space="preserve">, which </w:t>
      </w:r>
      <w:r w:rsidRPr="0086753E">
        <w:rPr>
          <w:rFonts w:asciiTheme="minorHAnsi" w:hAnsiTheme="minorHAnsi"/>
          <w:color w:val="000000"/>
          <w:sz w:val="20"/>
          <w:szCs w:val="20"/>
        </w:rPr>
        <w:t xml:space="preserve">ranged from 18% in Indigo Shire to 58% in Greater Dandenong, </w:t>
      </w:r>
      <w:r>
        <w:rPr>
          <w:rFonts w:asciiTheme="minorHAnsi" w:hAnsiTheme="minorHAnsi"/>
          <w:color w:val="000000"/>
          <w:sz w:val="20"/>
          <w:szCs w:val="20"/>
        </w:rPr>
        <w:t>averaging</w:t>
      </w:r>
      <w:r w:rsidRPr="0086753E">
        <w:rPr>
          <w:rFonts w:asciiTheme="minorHAnsi" w:hAnsiTheme="minorHAnsi"/>
          <w:color w:val="000000"/>
          <w:sz w:val="20"/>
          <w:szCs w:val="20"/>
        </w:rPr>
        <w:t xml:space="preserve"> 36% across Melbourne. </w:t>
      </w:r>
    </w:p>
    <w:p w14:paraId="1D468044" w14:textId="77777777" w:rsidR="00C65183" w:rsidRDefault="00C65183" w:rsidP="00C65183">
      <w:pPr>
        <w:spacing w:line="288" w:lineRule="auto"/>
        <w:jc w:val="both"/>
        <w:rPr>
          <w:rFonts w:asciiTheme="minorHAnsi" w:hAnsiTheme="minorHAnsi"/>
          <w:color w:val="000000"/>
          <w:sz w:val="20"/>
          <w:szCs w:val="20"/>
        </w:rPr>
      </w:pPr>
      <w:r w:rsidRPr="0086753E">
        <w:rPr>
          <w:rFonts w:asciiTheme="minorHAnsi" w:hAnsiTheme="minorHAnsi"/>
          <w:color w:val="000000"/>
          <w:sz w:val="20"/>
          <w:szCs w:val="20"/>
        </w:rPr>
        <w:t xml:space="preserve">Segments of the community which expressed </w:t>
      </w:r>
      <w:r w:rsidRPr="009E40FD">
        <w:rPr>
          <w:rFonts w:asciiTheme="minorHAnsi" w:hAnsiTheme="minorHAnsi"/>
          <w:color w:val="000000"/>
          <w:sz w:val="20"/>
          <w:szCs w:val="20"/>
        </w:rPr>
        <w:t>the lowest support for gender equality</w:t>
      </w:r>
      <w:r w:rsidRPr="0086753E">
        <w:rPr>
          <w:rFonts w:asciiTheme="minorHAnsi" w:hAnsiTheme="minorHAnsi"/>
          <w:color w:val="000000"/>
          <w:sz w:val="20"/>
          <w:szCs w:val="20"/>
        </w:rPr>
        <w:t xml:space="preserve"> included younger people, men, people with limited education, unemployed residents, those from non-English-speaking countries and people living in outer-metropolitan localities.</w:t>
      </w:r>
    </w:p>
    <w:p w14:paraId="34B36B00" w14:textId="77777777" w:rsidR="00C65183" w:rsidRDefault="00C65183" w:rsidP="00C65183">
      <w:pPr>
        <w:jc w:val="both"/>
        <w:rPr>
          <w:rFonts w:asciiTheme="minorHAnsi" w:hAnsiTheme="minorHAnsi"/>
          <w:color w:val="000000"/>
          <w:sz w:val="8"/>
          <w:szCs w:val="8"/>
        </w:rPr>
      </w:pPr>
    </w:p>
    <w:p w14:paraId="621C9E9D" w14:textId="77777777" w:rsidR="00C65183" w:rsidRDefault="00C65183" w:rsidP="00C65183">
      <w:pPr>
        <w:jc w:val="both"/>
        <w:rPr>
          <w:rFonts w:asciiTheme="minorHAnsi" w:hAnsiTheme="minorHAnsi"/>
          <w:color w:val="000000"/>
          <w:sz w:val="8"/>
          <w:szCs w:val="8"/>
        </w:rPr>
      </w:pPr>
    </w:p>
    <w:p w14:paraId="7EFDCF0A" w14:textId="77777777" w:rsidR="00C65183" w:rsidRPr="00F15706" w:rsidRDefault="00C65183" w:rsidP="00C65183">
      <w:pPr>
        <w:jc w:val="both"/>
        <w:rPr>
          <w:rFonts w:asciiTheme="minorHAnsi" w:hAnsiTheme="minorHAnsi"/>
          <w:color w:val="000000"/>
          <w:sz w:val="8"/>
          <w:szCs w:val="8"/>
        </w:rPr>
      </w:pPr>
    </w:p>
    <w:p w14:paraId="69FCA2F3" w14:textId="77777777" w:rsidR="00C65183" w:rsidRPr="00D613FD" w:rsidRDefault="00C65183" w:rsidP="00C65183">
      <w:pPr>
        <w:jc w:val="both"/>
        <w:rPr>
          <w:rFonts w:asciiTheme="minorHAnsi" w:hAnsiTheme="minorHAnsi"/>
          <w:bCs/>
          <w:color w:val="7F7F7F"/>
          <w:sz w:val="20"/>
          <w:szCs w:val="20"/>
        </w:rPr>
      </w:pPr>
      <w:r w:rsidRPr="00D613FD">
        <w:rPr>
          <w:rFonts w:asciiTheme="minorHAnsi" w:hAnsiTheme="minorHAnsi"/>
          <w:bCs/>
          <w:color w:val="7F7F7F"/>
          <w:sz w:val="20"/>
          <w:szCs w:val="20"/>
        </w:rPr>
        <w:t>Per</w:t>
      </w:r>
      <w:r>
        <w:rPr>
          <w:rFonts w:asciiTheme="minorHAnsi" w:hAnsiTheme="minorHAnsi"/>
          <w:bCs/>
          <w:color w:val="7F7F7F"/>
          <w:sz w:val="20"/>
          <w:szCs w:val="20"/>
        </w:rPr>
        <w:t xml:space="preserve"> </w:t>
      </w:r>
      <w:r w:rsidRPr="00D613FD">
        <w:rPr>
          <w:rFonts w:asciiTheme="minorHAnsi" w:hAnsiTheme="minorHAnsi"/>
          <w:bCs/>
          <w:color w:val="7F7F7F"/>
          <w:sz w:val="20"/>
          <w:szCs w:val="20"/>
        </w:rPr>
        <w:t xml:space="preserve">cent of people who express </w:t>
      </w:r>
      <w:r w:rsidRPr="00D613FD">
        <w:rPr>
          <w:rFonts w:asciiTheme="minorHAnsi" w:hAnsiTheme="minorHAnsi"/>
          <w:b/>
          <w:bCs/>
          <w:color w:val="7F7F7F"/>
          <w:sz w:val="20"/>
          <w:szCs w:val="20"/>
        </w:rPr>
        <w:t>low</w:t>
      </w:r>
      <w:r w:rsidRPr="00D613FD">
        <w:rPr>
          <w:rFonts w:asciiTheme="minorHAnsi" w:hAnsiTheme="minorHAnsi"/>
          <w:bCs/>
          <w:color w:val="7F7F7F"/>
          <w:sz w:val="20"/>
          <w:szCs w:val="20"/>
        </w:rPr>
        <w:t xml:space="preserve"> support for gender equality, by selected characteristics: Victoria, 2015</w:t>
      </w:r>
    </w:p>
    <w:p w14:paraId="1C0428E9" w14:textId="77777777" w:rsidR="00C65183" w:rsidRDefault="00C65183" w:rsidP="00C65183">
      <w:pPr>
        <w:spacing w:line="360" w:lineRule="auto"/>
        <w:jc w:val="both"/>
        <w:rPr>
          <w:rFonts w:asciiTheme="minorHAnsi" w:hAnsiTheme="minorHAnsi"/>
          <w:color w:val="000000"/>
        </w:rPr>
      </w:pPr>
      <w:r>
        <w:rPr>
          <w:rFonts w:asciiTheme="minorHAnsi" w:hAnsiTheme="minorHAnsi"/>
          <w:noProof/>
          <w:color w:val="000000"/>
          <w:lang w:eastAsia="en-AU"/>
        </w:rPr>
        <w:drawing>
          <wp:anchor distT="0" distB="0" distL="114300" distR="114300" simplePos="0" relativeHeight="251827200" behindDoc="0" locked="0" layoutInCell="1" allowOverlap="1" wp14:anchorId="0E36765E" wp14:editId="5A67BDCD">
            <wp:simplePos x="0" y="0"/>
            <wp:positionH relativeFrom="column">
              <wp:posOffset>4818698</wp:posOffset>
            </wp:positionH>
            <wp:positionV relativeFrom="paragraph">
              <wp:posOffset>2621437</wp:posOffset>
            </wp:positionV>
            <wp:extent cx="1314450" cy="919006"/>
            <wp:effectExtent l="0" t="0" r="0" b="0"/>
            <wp:wrapNone/>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munity Older 4.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1318003" cy="921490"/>
                    </a:xfrm>
                    <a:prstGeom prst="rect">
                      <a:avLst/>
                    </a:prstGeom>
                    <a:ln>
                      <a:noFill/>
                    </a:ln>
                    <a:effectLst>
                      <a:softEdge rad="127000"/>
                    </a:effectLst>
                  </pic:spPr>
                </pic:pic>
              </a:graphicData>
            </a:graphic>
            <wp14:sizeRelH relativeFrom="page">
              <wp14:pctWidth>0</wp14:pctWidth>
            </wp14:sizeRelH>
            <wp14:sizeRelV relativeFrom="page">
              <wp14:pctHeight>0</wp14:pctHeight>
            </wp14:sizeRelV>
          </wp:anchor>
        </w:drawing>
      </w:r>
      <w:r>
        <w:rPr>
          <w:rFonts w:asciiTheme="minorHAnsi" w:hAnsiTheme="minorHAnsi"/>
          <w:noProof/>
          <w:color w:val="000000"/>
          <w:lang w:eastAsia="en-AU"/>
        </w:rPr>
        <w:drawing>
          <wp:inline distT="0" distB="0" distL="0" distR="0" wp14:anchorId="58E95084" wp14:editId="09C2B924">
            <wp:extent cx="5234642" cy="3990975"/>
            <wp:effectExtent l="0" t="0" r="4445" b="0"/>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5239254" cy="3994491"/>
                    </a:xfrm>
                    <a:prstGeom prst="rect">
                      <a:avLst/>
                    </a:prstGeom>
                    <a:noFill/>
                  </pic:spPr>
                </pic:pic>
              </a:graphicData>
            </a:graphic>
          </wp:inline>
        </w:drawing>
      </w:r>
    </w:p>
    <w:p w14:paraId="66A223F2" w14:textId="77777777" w:rsidR="00C65183" w:rsidRDefault="00C65183" w:rsidP="00C65183">
      <w:pPr>
        <w:spacing w:line="360" w:lineRule="auto"/>
        <w:jc w:val="both"/>
        <w:rPr>
          <w:rFonts w:asciiTheme="minorHAnsi" w:hAnsiTheme="minorHAnsi"/>
          <w:color w:val="000000"/>
          <w:sz w:val="20"/>
          <w:szCs w:val="20"/>
        </w:rPr>
      </w:pPr>
    </w:p>
    <w:p w14:paraId="7549E8AE" w14:textId="77777777" w:rsidR="00C65183" w:rsidRDefault="00C65183" w:rsidP="00C65183">
      <w:pPr>
        <w:spacing w:line="360" w:lineRule="auto"/>
        <w:jc w:val="both"/>
        <w:rPr>
          <w:rFonts w:asciiTheme="minorHAnsi" w:hAnsiTheme="minorHAnsi"/>
          <w:color w:val="000000"/>
          <w:sz w:val="20"/>
          <w:szCs w:val="20"/>
        </w:rPr>
      </w:pPr>
      <w:bookmarkStart w:id="19" w:name="_Hlk61259513"/>
    </w:p>
    <w:p w14:paraId="2F705F63" w14:textId="77777777" w:rsidR="00C65183" w:rsidRPr="0086753E" w:rsidRDefault="00C65183" w:rsidP="00C65183">
      <w:pPr>
        <w:spacing w:line="360" w:lineRule="auto"/>
        <w:jc w:val="both"/>
        <w:rPr>
          <w:rFonts w:asciiTheme="minorHAnsi" w:hAnsiTheme="minorHAnsi"/>
          <w:color w:val="000000"/>
          <w:sz w:val="20"/>
          <w:szCs w:val="20"/>
        </w:rPr>
      </w:pPr>
      <w:bookmarkStart w:id="20" w:name="_Hlk61443222"/>
      <w:r>
        <w:rPr>
          <w:rFonts w:asciiTheme="minorHAnsi" w:hAnsiTheme="minorHAnsi"/>
          <w:noProof/>
          <w:color w:val="000000"/>
        </w:rPr>
        <w:drawing>
          <wp:anchor distT="0" distB="0" distL="114300" distR="114300" simplePos="0" relativeHeight="251970560" behindDoc="0" locked="0" layoutInCell="1" allowOverlap="1" wp14:anchorId="0E453DBF" wp14:editId="115E8D8C">
            <wp:simplePos x="0" y="0"/>
            <wp:positionH relativeFrom="margin">
              <wp:align>right</wp:align>
            </wp:positionH>
            <wp:positionV relativeFrom="paragraph">
              <wp:posOffset>127000</wp:posOffset>
            </wp:positionV>
            <wp:extent cx="3257550" cy="2319020"/>
            <wp:effectExtent l="0" t="0" r="0" b="5080"/>
            <wp:wrapSquare wrapText="bothSides"/>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09">
                      <a:extLst>
                        <a:ext uri="{28A0092B-C50C-407E-A947-70E740481C1C}">
                          <a14:useLocalDpi xmlns:a14="http://schemas.microsoft.com/office/drawing/2010/main" val="0"/>
                        </a:ext>
                      </a:extLst>
                    </a:blip>
                    <a:srcRect r="6930"/>
                    <a:stretch/>
                  </pic:blipFill>
                  <pic:spPr bwMode="auto">
                    <a:xfrm>
                      <a:off x="0" y="0"/>
                      <a:ext cx="3257550" cy="23190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5081C54" w14:textId="77777777" w:rsidR="00C65183" w:rsidRPr="00400C3D" w:rsidRDefault="00C65183" w:rsidP="00C65183">
      <w:pPr>
        <w:spacing w:after="120"/>
        <w:rPr>
          <w:rFonts w:asciiTheme="minorHAnsi" w:hAnsiTheme="minorHAnsi"/>
          <w:b/>
          <w:color w:val="0F243E" w:themeColor="text2" w:themeShade="80"/>
          <w:sz w:val="26"/>
          <w:szCs w:val="26"/>
        </w:rPr>
      </w:pPr>
      <w:r w:rsidRPr="005D37BE">
        <w:rPr>
          <w:rFonts w:asciiTheme="minorHAnsi" w:hAnsiTheme="minorHAnsi"/>
          <w:noProof/>
          <w:lang w:eastAsia="en-AU"/>
        </w:rPr>
        <mc:AlternateContent>
          <mc:Choice Requires="wps">
            <w:drawing>
              <wp:anchor distT="0" distB="0" distL="114300" distR="114300" simplePos="0" relativeHeight="251842560" behindDoc="0" locked="0" layoutInCell="1" allowOverlap="1" wp14:anchorId="7369006F" wp14:editId="1E429498">
                <wp:simplePos x="0" y="0"/>
                <wp:positionH relativeFrom="column">
                  <wp:posOffset>-91440</wp:posOffset>
                </wp:positionH>
                <wp:positionV relativeFrom="paragraph">
                  <wp:posOffset>170815</wp:posOffset>
                </wp:positionV>
                <wp:extent cx="2788920" cy="960120"/>
                <wp:effectExtent l="0" t="0" r="0" b="0"/>
                <wp:wrapNone/>
                <wp:docPr id="15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88920" cy="960120"/>
                        </a:xfrm>
                        <a:prstGeom prst="rect">
                          <a:avLst/>
                        </a:prstGeom>
                        <a:noFill/>
                        <a:ln w="9525">
                          <a:noFill/>
                          <a:miter lim="800000"/>
                          <a:headEnd/>
                          <a:tailEnd/>
                        </a:ln>
                      </wps:spPr>
                      <wps:txbx>
                        <w:txbxContent>
                          <w:p w14:paraId="7635FED1" w14:textId="77777777" w:rsidR="00C65183" w:rsidRPr="00C25EFC" w:rsidRDefault="00C65183" w:rsidP="00C65183">
                            <w:pPr>
                              <w:jc w:val="both"/>
                              <w:rPr>
                                <w:rFonts w:asciiTheme="minorHAnsi" w:hAnsiTheme="minorHAnsi"/>
                                <w:sz w:val="20"/>
                                <w:szCs w:val="20"/>
                              </w:rPr>
                            </w:pPr>
                            <w:r>
                              <w:rPr>
                                <w:rFonts w:asciiTheme="minorHAnsi" w:hAnsiTheme="minorHAnsi"/>
                                <w:sz w:val="20"/>
                                <w:szCs w:val="20"/>
                              </w:rPr>
                              <w:t>A 2015 survey conducted by the State Government found that nearly half (46%) of females and a fifth (20%) of males in Greater Dandenong felt unsafe while walking alone at night in their neighbourhoods.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369006F" id="_x0000_s1043" type="#_x0000_t202" style="position:absolute;margin-left:-7.2pt;margin-top:13.45pt;width:219.6pt;height:75.6pt;z-index:25184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" filled="f" stroked="f">
                <v:textbox>
                  <w:txbxContent>
                    <w:p w14:paraId="7635FED1" w14:textId="77777777" w:rsidR="00C65183" w:rsidRPr="00C25EFC" w:rsidRDefault="00C65183" w:rsidP="00C65183">
                      <w:pPr>
                        <w:jc w:val="both"/>
                        <w:rPr>
                          <w:rFonts w:asciiTheme="minorHAnsi" w:hAnsiTheme="minorHAnsi"/>
                          <w:sz w:val="20"/>
                          <w:szCs w:val="20"/>
                        </w:rPr>
                      </w:pPr>
                      <w:r>
                        <w:rPr>
                          <w:rFonts w:asciiTheme="minorHAnsi" w:hAnsiTheme="minorHAnsi"/>
                          <w:sz w:val="20"/>
                          <w:szCs w:val="20"/>
                        </w:rPr>
                        <w:t>A 2015 survey conducted by the State Government found that nearly half (46%) of females and a fifth (20%) of males in Greater Dandenong felt unsafe while walking alone at night in their neighbourhoods.</w:t>
                      </w:r>
                    </w:p>
                  </w:txbxContent>
                </v:textbox>
              </v:shape>
            </w:pict>
          </mc:Fallback>
        </mc:AlternateContent>
      </w:r>
      <w:r w:rsidRPr="00400C3D">
        <w:rPr>
          <w:rFonts w:asciiTheme="minorHAnsi" w:hAnsiTheme="minorHAnsi"/>
          <w:b/>
          <w:color w:val="0F243E" w:themeColor="text2" w:themeShade="80"/>
          <w:sz w:val="26"/>
          <w:szCs w:val="26"/>
        </w:rPr>
        <w:t>Perceptions of Personal Safety</w:t>
      </w:r>
    </w:p>
    <w:p w14:paraId="2333814F" w14:textId="77777777" w:rsidR="00C65183" w:rsidRPr="005D37BE" w:rsidRDefault="00C65183" w:rsidP="00C65183">
      <w:pPr>
        <w:rPr>
          <w:rFonts w:asciiTheme="minorHAnsi" w:hAnsiTheme="minorHAnsi"/>
        </w:rPr>
      </w:pPr>
    </w:p>
    <w:p w14:paraId="09F46F6C" w14:textId="77777777" w:rsidR="00C65183" w:rsidRPr="005D37BE" w:rsidRDefault="00C65183" w:rsidP="00C65183">
      <w:pPr>
        <w:rPr>
          <w:rFonts w:asciiTheme="minorHAnsi" w:hAnsiTheme="minorHAnsi"/>
        </w:rPr>
      </w:pPr>
    </w:p>
    <w:p w14:paraId="01632CCC" w14:textId="77777777" w:rsidR="00C65183" w:rsidRPr="005D37BE" w:rsidRDefault="00C65183" w:rsidP="00C65183">
      <w:pPr>
        <w:rPr>
          <w:rFonts w:asciiTheme="minorHAnsi" w:hAnsiTheme="minorHAnsi"/>
        </w:rPr>
      </w:pPr>
    </w:p>
    <w:p w14:paraId="54BA482E" w14:textId="77777777" w:rsidR="00C65183" w:rsidRDefault="00C65183" w:rsidP="00C65183">
      <w:pPr>
        <w:rPr>
          <w:rFonts w:asciiTheme="minorHAnsi" w:hAnsiTheme="minorHAnsi"/>
        </w:rPr>
      </w:pPr>
    </w:p>
    <w:p w14:paraId="096FDDCA" w14:textId="77777777" w:rsidR="00C65183" w:rsidRPr="005D37BE" w:rsidRDefault="00C65183" w:rsidP="00C65183">
      <w:pPr>
        <w:rPr>
          <w:rFonts w:asciiTheme="minorHAnsi" w:hAnsiTheme="minorHAnsi"/>
        </w:rPr>
      </w:pPr>
    </w:p>
    <w:p w14:paraId="239C3B7E" w14:textId="77777777" w:rsidR="00C65183" w:rsidRPr="005D37BE" w:rsidRDefault="00C65183" w:rsidP="00C65183">
      <w:pPr>
        <w:rPr>
          <w:rFonts w:asciiTheme="minorHAnsi" w:hAnsiTheme="minorHAnsi"/>
          <w:color w:val="7F7F7F" w:themeColor="text1" w:themeTint="80"/>
          <w:sz w:val="20"/>
          <w:szCs w:val="20"/>
        </w:rPr>
      </w:pPr>
      <w:r>
        <w:rPr>
          <w:rFonts w:asciiTheme="minorHAnsi" w:hAnsiTheme="minorHAnsi"/>
          <w:color w:val="7F7F7F" w:themeColor="text1" w:themeTint="80"/>
          <w:sz w:val="20"/>
          <w:szCs w:val="20"/>
        </w:rPr>
        <w:t>Per cent of women and men who feel unsafe walking alone in their neighbourhoods at night: Greater Dandenong 2015</w:t>
      </w:r>
    </w:p>
    <w:p w14:paraId="3BA31196" w14:textId="77777777" w:rsidR="00C65183" w:rsidRDefault="00C65183" w:rsidP="00C65183">
      <w:pPr>
        <w:spacing w:line="360" w:lineRule="auto"/>
        <w:jc w:val="both"/>
        <w:rPr>
          <w:rFonts w:asciiTheme="minorHAnsi" w:hAnsiTheme="minorHAnsi"/>
          <w:color w:val="000000"/>
        </w:rPr>
      </w:pPr>
    </w:p>
    <w:bookmarkEnd w:id="20"/>
    <w:p w14:paraId="79E685E6" w14:textId="77777777" w:rsidR="00C65183" w:rsidRDefault="00C65183" w:rsidP="00C65183">
      <w:pPr>
        <w:spacing w:line="360" w:lineRule="auto"/>
        <w:jc w:val="both"/>
        <w:rPr>
          <w:rFonts w:asciiTheme="minorHAnsi" w:hAnsiTheme="minorHAnsi"/>
          <w:color w:val="000000"/>
        </w:rPr>
      </w:pPr>
    </w:p>
    <w:bookmarkEnd w:id="19"/>
    <w:p w14:paraId="1BABC3AA" w14:textId="77777777" w:rsidR="00C65183" w:rsidRPr="00BD3150" w:rsidRDefault="00C65183" w:rsidP="00C65183">
      <w:pPr>
        <w:spacing w:line="360" w:lineRule="auto"/>
        <w:jc w:val="both"/>
        <w:rPr>
          <w:rFonts w:asciiTheme="minorHAnsi" w:hAnsiTheme="minorHAnsi"/>
          <w:color w:val="000000"/>
        </w:rPr>
      </w:pPr>
      <w:r w:rsidRPr="005D37BE">
        <w:rPr>
          <w:rFonts w:asciiTheme="minorHAnsi" w:hAnsiTheme="minorHAnsi"/>
          <w:noProof/>
          <w:lang w:eastAsia="en-AU"/>
        </w:rPr>
        <w:lastRenderedPageBreak/>
        <mc:AlternateContent>
          <mc:Choice Requires="wps">
            <w:drawing>
              <wp:anchor distT="0" distB="0" distL="114300" distR="114300" simplePos="0" relativeHeight="251841536" behindDoc="0" locked="0" layoutInCell="1" allowOverlap="1" wp14:anchorId="7B4B3ED7" wp14:editId="10B6C415">
                <wp:simplePos x="0" y="0"/>
                <wp:positionH relativeFrom="margin">
                  <wp:posOffset>3451860</wp:posOffset>
                </wp:positionH>
                <wp:positionV relativeFrom="paragraph">
                  <wp:posOffset>121285</wp:posOffset>
                </wp:positionV>
                <wp:extent cx="2708910" cy="876300"/>
                <wp:effectExtent l="0" t="0" r="0" b="0"/>
                <wp:wrapNone/>
                <wp:docPr id="19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8910" cy="876300"/>
                        </a:xfrm>
                        <a:prstGeom prst="rect">
                          <a:avLst/>
                        </a:prstGeom>
                        <a:noFill/>
                        <a:ln w="9525">
                          <a:noFill/>
                          <a:miter lim="800000"/>
                          <a:headEnd/>
                          <a:tailEnd/>
                        </a:ln>
                      </wps:spPr>
                      <wps:txbx>
                        <w:txbxContent>
                          <w:p w14:paraId="107D7DE8" w14:textId="77777777" w:rsidR="00C65183" w:rsidRPr="00C25EFC" w:rsidRDefault="00C65183" w:rsidP="00C65183">
                            <w:pPr>
                              <w:jc w:val="both"/>
                              <w:rPr>
                                <w:rFonts w:asciiTheme="minorHAnsi" w:hAnsiTheme="minorHAnsi"/>
                                <w:sz w:val="20"/>
                                <w:szCs w:val="20"/>
                              </w:rPr>
                            </w:pPr>
                            <w:r>
                              <w:rPr>
                                <w:rFonts w:asciiTheme="minorHAnsi" w:hAnsiTheme="minorHAnsi"/>
                                <w:sz w:val="20"/>
                                <w:szCs w:val="20"/>
                              </w:rPr>
                              <w:t>In 2018, the suicide rate among Australians was 18.5 per 10,000 persons among males and 5.8 per 10,000 among females – reflecting a long-standing disparity between male and female rates.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B4B3ED7" id="_x0000_s1044" type="#_x0000_t202" style="position:absolute;left:0;text-align:left;margin-left:271.8pt;margin-top:9.55pt;width:213.3pt;height:69pt;z-index:251841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" filled="f" stroked="f">
                <v:textbox>
                  <w:txbxContent>
                    <w:p w14:paraId="107D7DE8" w14:textId="77777777" w:rsidR="00C65183" w:rsidRPr="00C25EFC" w:rsidRDefault="00C65183" w:rsidP="00C65183">
                      <w:pPr>
                        <w:jc w:val="both"/>
                        <w:rPr>
                          <w:rFonts w:asciiTheme="minorHAnsi" w:hAnsiTheme="minorHAnsi"/>
                          <w:sz w:val="20"/>
                          <w:szCs w:val="20"/>
                        </w:rPr>
                      </w:pPr>
                      <w:r>
                        <w:rPr>
                          <w:rFonts w:asciiTheme="minorHAnsi" w:hAnsiTheme="minorHAnsi"/>
                          <w:sz w:val="20"/>
                          <w:szCs w:val="20"/>
                        </w:rPr>
                        <w:t>In 2018, the suicide rate among Australians was 18.5 per 10,000 persons among males and 5.8 per 10,000 among females – reflecting a long-standing disparity between male and female rates.</w:t>
                      </w:r>
                    </w:p>
                  </w:txbxContent>
                </v:textbox>
                <w10:wrap anchorx="margin"/>
              </v:shape>
            </w:pict>
          </mc:Fallback>
        </mc:AlternateContent>
      </w:r>
      <w:r>
        <w:rPr>
          <w:noProof/>
          <w:lang w:eastAsia="en-AU"/>
        </w:rPr>
        <w:drawing>
          <wp:anchor distT="140208" distB="336804" distL="242316" distR="462407" simplePos="0" relativeHeight="251856896" behindDoc="1" locked="0" layoutInCell="1" allowOverlap="1" wp14:anchorId="4E8D046A" wp14:editId="12EF257C">
            <wp:simplePos x="0" y="0"/>
            <wp:positionH relativeFrom="margin">
              <wp:posOffset>1751647</wp:posOffset>
            </wp:positionH>
            <wp:positionV relativeFrom="paragraph">
              <wp:posOffset>146367</wp:posOffset>
            </wp:positionV>
            <wp:extent cx="644525" cy="971550"/>
            <wp:effectExtent l="0" t="0" r="3175" b="0"/>
            <wp:wrapTight wrapText="bothSides">
              <wp:wrapPolygon edited="0">
                <wp:start x="2554" y="0"/>
                <wp:lineTo x="0" y="847"/>
                <wp:lineTo x="0" y="20329"/>
                <wp:lineTo x="1915" y="21176"/>
                <wp:lineTo x="2554" y="21176"/>
                <wp:lineTo x="18514" y="21176"/>
                <wp:lineTo x="19153" y="21176"/>
                <wp:lineTo x="21068" y="20329"/>
                <wp:lineTo x="21068" y="847"/>
                <wp:lineTo x="18514" y="0"/>
                <wp:lineTo x="2554" y="0"/>
              </wp:wrapPolygon>
            </wp:wrapTight>
            <wp:docPr id="319" name="Picture 171" descr="Lonely M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Picture 171" descr="Lonely Man.jpg"/>
                    <pic:cNvPicPr/>
                  </pic:nvPicPr>
                  <pic:blipFill>
                    <a:blip r:embed="rId44" cstate="print"/>
                    <a:stretch>
                      <a:fillRect/>
                    </a:stretch>
                  </pic:blipFill>
                  <pic:spPr>
                    <a:xfrm>
                      <a:off x="0" y="0"/>
                      <a:ext cx="644525" cy="97155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Pr>
          <w:rFonts w:asciiTheme="minorHAnsi" w:hAnsiTheme="minorHAnsi"/>
          <w:b/>
          <w:noProof/>
          <w:color w:val="0F243E" w:themeColor="text2" w:themeShade="80"/>
          <w:sz w:val="26"/>
          <w:szCs w:val="26"/>
        </w:rPr>
        <w:drawing>
          <wp:anchor distT="0" distB="0" distL="114300" distR="114300" simplePos="0" relativeHeight="251851776" behindDoc="0" locked="0" layoutInCell="1" allowOverlap="1" wp14:anchorId="7B7DCAC1" wp14:editId="23D83D9C">
            <wp:simplePos x="0" y="0"/>
            <wp:positionH relativeFrom="margin">
              <wp:posOffset>77152</wp:posOffset>
            </wp:positionH>
            <wp:positionV relativeFrom="paragraph">
              <wp:posOffset>85725</wp:posOffset>
            </wp:positionV>
            <wp:extent cx="3366135" cy="2109470"/>
            <wp:effectExtent l="0" t="0" r="5715" b="5080"/>
            <wp:wrapSquare wrapText="bothSides"/>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3366135" cy="2109470"/>
                    </a:xfrm>
                    <a:prstGeom prst="rect">
                      <a:avLst/>
                    </a:prstGeom>
                    <a:noFill/>
                  </pic:spPr>
                </pic:pic>
              </a:graphicData>
            </a:graphic>
            <wp14:sizeRelH relativeFrom="page">
              <wp14:pctWidth>0</wp14:pctWidth>
            </wp14:sizeRelH>
            <wp14:sizeRelV relativeFrom="page">
              <wp14:pctHeight>0</wp14:pctHeight>
            </wp14:sizeRelV>
          </wp:anchor>
        </w:drawing>
      </w:r>
      <w:r w:rsidRPr="00FB5BB6">
        <w:rPr>
          <w:rFonts w:asciiTheme="minorHAnsi" w:hAnsiTheme="minorHAnsi"/>
          <w:b/>
          <w:color w:val="0F243E" w:themeColor="text2" w:themeShade="80"/>
          <w:sz w:val="26"/>
          <w:szCs w:val="26"/>
        </w:rPr>
        <w:t>Mental Health &amp; Suicide</w:t>
      </w:r>
    </w:p>
    <w:p w14:paraId="277E1505" w14:textId="77777777" w:rsidR="00C65183" w:rsidRDefault="00C65183" w:rsidP="00C65183">
      <w:pPr>
        <w:spacing w:line="360" w:lineRule="auto"/>
        <w:jc w:val="both"/>
        <w:rPr>
          <w:rFonts w:asciiTheme="minorHAnsi" w:hAnsiTheme="minorHAnsi"/>
          <w:color w:val="000000"/>
        </w:rPr>
      </w:pPr>
    </w:p>
    <w:p w14:paraId="2AF92680" w14:textId="77777777" w:rsidR="00C65183" w:rsidRDefault="00C65183" w:rsidP="00C65183">
      <w:pPr>
        <w:spacing w:line="360" w:lineRule="auto"/>
        <w:jc w:val="both"/>
        <w:rPr>
          <w:rFonts w:asciiTheme="minorHAnsi" w:hAnsiTheme="minorHAnsi"/>
          <w:color w:val="000000"/>
        </w:rPr>
      </w:pPr>
    </w:p>
    <w:p w14:paraId="3346D37E" w14:textId="77777777" w:rsidR="00C65183" w:rsidRDefault="00C65183" w:rsidP="00C65183">
      <w:pPr>
        <w:spacing w:line="360" w:lineRule="auto"/>
        <w:jc w:val="both"/>
        <w:rPr>
          <w:rFonts w:asciiTheme="minorHAnsi" w:hAnsiTheme="minorHAnsi"/>
          <w:color w:val="000000"/>
        </w:rPr>
      </w:pPr>
    </w:p>
    <w:p w14:paraId="3F2C5E31" w14:textId="77777777" w:rsidR="00C65183" w:rsidRPr="00FA5EB9" w:rsidRDefault="00C65183" w:rsidP="00C65183">
      <w:pPr>
        <w:jc w:val="both"/>
        <w:rPr>
          <w:rFonts w:asciiTheme="minorHAnsi" w:hAnsiTheme="minorHAnsi"/>
          <w:color w:val="7F7F7F" w:themeColor="text1" w:themeTint="80"/>
          <w:sz w:val="20"/>
          <w:szCs w:val="20"/>
        </w:rPr>
      </w:pPr>
      <w:r w:rsidRPr="00FA5EB9">
        <w:rPr>
          <w:rFonts w:asciiTheme="minorHAnsi" w:hAnsiTheme="minorHAnsi"/>
          <w:color w:val="7F7F7F" w:themeColor="text1" w:themeTint="80"/>
          <w:sz w:val="20"/>
          <w:szCs w:val="20"/>
        </w:rPr>
        <w:t xml:space="preserve">Suicide rate (per, 10,000) by </w:t>
      </w:r>
      <w:r>
        <w:rPr>
          <w:rFonts w:asciiTheme="minorHAnsi" w:hAnsiTheme="minorHAnsi"/>
          <w:color w:val="7F7F7F" w:themeColor="text1" w:themeTint="80"/>
          <w:sz w:val="20"/>
          <w:szCs w:val="20"/>
        </w:rPr>
        <w:t>sex</w:t>
      </w:r>
      <w:r w:rsidRPr="00FA5EB9">
        <w:rPr>
          <w:rFonts w:asciiTheme="minorHAnsi" w:hAnsiTheme="minorHAnsi"/>
          <w:color w:val="7F7F7F" w:themeColor="text1" w:themeTint="80"/>
          <w:sz w:val="20"/>
          <w:szCs w:val="20"/>
        </w:rPr>
        <w:t>: Aus</w:t>
      </w:r>
      <w:r>
        <w:rPr>
          <w:rFonts w:asciiTheme="minorHAnsi" w:hAnsiTheme="minorHAnsi"/>
          <w:color w:val="7F7F7F" w:themeColor="text1" w:themeTint="80"/>
          <w:sz w:val="20"/>
          <w:szCs w:val="20"/>
        </w:rPr>
        <w:t>tralia,</w:t>
      </w:r>
      <w:r w:rsidRPr="00FA5EB9">
        <w:rPr>
          <w:rFonts w:asciiTheme="minorHAnsi" w:hAnsiTheme="minorHAnsi"/>
          <w:color w:val="7F7F7F" w:themeColor="text1" w:themeTint="80"/>
          <w:sz w:val="20"/>
          <w:szCs w:val="20"/>
        </w:rPr>
        <w:t xml:space="preserve"> 201</w:t>
      </w:r>
      <w:r>
        <w:rPr>
          <w:rFonts w:asciiTheme="minorHAnsi" w:hAnsiTheme="minorHAnsi"/>
          <w:color w:val="7F7F7F" w:themeColor="text1" w:themeTint="80"/>
          <w:sz w:val="20"/>
          <w:szCs w:val="20"/>
        </w:rPr>
        <w:t>8</w:t>
      </w:r>
    </w:p>
    <w:p w14:paraId="24265A57" w14:textId="77777777" w:rsidR="00C65183" w:rsidRDefault="00C65183" w:rsidP="00C65183">
      <w:pPr>
        <w:spacing w:line="360" w:lineRule="auto"/>
        <w:jc w:val="both"/>
        <w:rPr>
          <w:rFonts w:asciiTheme="minorHAnsi" w:hAnsiTheme="minorHAnsi"/>
          <w:color w:val="000000"/>
        </w:rPr>
      </w:pPr>
      <w:r w:rsidRPr="005D37BE">
        <w:rPr>
          <w:rFonts w:asciiTheme="minorHAnsi" w:hAnsiTheme="minorHAnsi"/>
          <w:noProof/>
          <w:lang w:eastAsia="en-AU"/>
        </w:rPr>
        <mc:AlternateContent>
          <mc:Choice Requires="wps">
            <w:drawing>
              <wp:anchor distT="0" distB="0" distL="114300" distR="114300" simplePos="0" relativeHeight="251860992" behindDoc="0" locked="0" layoutInCell="1" allowOverlap="1" wp14:anchorId="39C047F0" wp14:editId="209499DB">
                <wp:simplePos x="0" y="0"/>
                <wp:positionH relativeFrom="margin">
                  <wp:align>right</wp:align>
                </wp:positionH>
                <wp:positionV relativeFrom="paragraph">
                  <wp:posOffset>256540</wp:posOffset>
                </wp:positionV>
                <wp:extent cx="2630805" cy="1557338"/>
                <wp:effectExtent l="0" t="0" r="0" b="5080"/>
                <wp:wrapNone/>
                <wp:docPr id="3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30805" cy="1557338"/>
                        </a:xfrm>
                        <a:prstGeom prst="rect">
                          <a:avLst/>
                        </a:prstGeom>
                        <a:noFill/>
                        <a:ln w="9525">
                          <a:noFill/>
                          <a:miter lim="800000"/>
                          <a:headEnd/>
                          <a:tailEnd/>
                        </a:ln>
                      </wps:spPr>
                      <wps:txbx>
                        <w:txbxContent>
                          <w:p w14:paraId="3953E900" w14:textId="77777777" w:rsidR="00C65183" w:rsidRPr="00C25EFC" w:rsidRDefault="00C65183" w:rsidP="00C65183">
                            <w:pPr>
                              <w:jc w:val="both"/>
                              <w:rPr>
                                <w:rFonts w:asciiTheme="minorHAnsi" w:hAnsiTheme="minorHAnsi"/>
                                <w:sz w:val="20"/>
                                <w:szCs w:val="20"/>
                              </w:rPr>
                            </w:pPr>
                            <w:r>
                              <w:rPr>
                                <w:rFonts w:asciiTheme="minorHAnsi" w:hAnsiTheme="minorHAnsi"/>
                                <w:sz w:val="20"/>
                                <w:szCs w:val="20"/>
                              </w:rPr>
                              <w:t xml:space="preserve">On the other hand, the </w:t>
                            </w:r>
                            <w:r w:rsidRPr="00E1417E">
                              <w:rPr>
                                <w:rFonts w:asciiTheme="minorHAnsi" w:hAnsiTheme="minorHAnsi"/>
                                <w:sz w:val="20"/>
                                <w:szCs w:val="20"/>
                              </w:rPr>
                              <w:t xml:space="preserve">National Survey of Mental Health and Wellbeing </w:t>
                            </w:r>
                            <w:r>
                              <w:rPr>
                                <w:rFonts w:asciiTheme="minorHAnsi" w:hAnsiTheme="minorHAnsi"/>
                                <w:sz w:val="20"/>
                                <w:szCs w:val="20"/>
                              </w:rPr>
                              <w:t>found that t</w:t>
                            </w:r>
                            <w:r w:rsidRPr="00E1417E">
                              <w:rPr>
                                <w:rFonts w:asciiTheme="minorHAnsi" w:hAnsiTheme="minorHAnsi"/>
                                <w:sz w:val="20"/>
                                <w:szCs w:val="20"/>
                              </w:rPr>
                              <w:t>he prevalence of post-traumatic stress disorder is almost twice as high among Australian women (15.8%) as for men (8.6%), while depression (at 14.5% among women and 8.6% among men), social phobia (12.8% and 8.4% respectively) and generalised anxiety disorder (7.3% vs. 4.4%) are also more widespread among women.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9C047F0" id="_x0000_s1045" type="#_x0000_t202" style="position:absolute;left:0;text-align:left;margin-left:155.95pt;margin-top:20.2pt;width:207.15pt;height:122.65pt;z-index:25186099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" filled="f" stroked="f">
                <v:textbox>
                  <w:txbxContent>
                    <w:p w14:paraId="3953E900" w14:textId="77777777" w:rsidR="00C65183" w:rsidRPr="00C25EFC" w:rsidRDefault="00C65183" w:rsidP="00C65183">
                      <w:pPr>
                        <w:jc w:val="both"/>
                        <w:rPr>
                          <w:rFonts w:asciiTheme="minorHAnsi" w:hAnsiTheme="minorHAnsi"/>
                          <w:sz w:val="20"/>
                          <w:szCs w:val="20"/>
                        </w:rPr>
                      </w:pPr>
                      <w:r>
                        <w:rPr>
                          <w:rFonts w:asciiTheme="minorHAnsi" w:hAnsiTheme="minorHAnsi"/>
                          <w:sz w:val="20"/>
                          <w:szCs w:val="20"/>
                        </w:rPr>
                        <w:t xml:space="preserve">On the other hand, the </w:t>
                      </w:r>
                      <w:r w:rsidRPr="00E1417E">
                        <w:rPr>
                          <w:rFonts w:asciiTheme="minorHAnsi" w:hAnsiTheme="minorHAnsi"/>
                          <w:sz w:val="20"/>
                          <w:szCs w:val="20"/>
                        </w:rPr>
                        <w:t xml:space="preserve">National Survey of Mental Health and Wellbeing </w:t>
                      </w:r>
                      <w:r>
                        <w:rPr>
                          <w:rFonts w:asciiTheme="minorHAnsi" w:hAnsiTheme="minorHAnsi"/>
                          <w:sz w:val="20"/>
                          <w:szCs w:val="20"/>
                        </w:rPr>
                        <w:t>found that t</w:t>
                      </w:r>
                      <w:r w:rsidRPr="00E1417E">
                        <w:rPr>
                          <w:rFonts w:asciiTheme="minorHAnsi" w:hAnsiTheme="minorHAnsi"/>
                          <w:sz w:val="20"/>
                          <w:szCs w:val="20"/>
                        </w:rPr>
                        <w:t>he prevalence of post-traumatic stress disorder is almost twice as high among Australian women (15.8%) as for men (8.6%), while depression (at 14.5% among women and 8.6% among men), social phobia (12.8% and 8.4% respectively) and generalised anxiety disorder (7.3% vs. 4.4%) are also more widespread among women.</w:t>
                      </w:r>
                    </w:p>
                  </w:txbxContent>
                </v:textbox>
                <w10:wrap anchorx="margin"/>
              </v:shape>
            </w:pict>
          </mc:Fallback>
        </mc:AlternateContent>
      </w:r>
    </w:p>
    <w:p w14:paraId="6E647B97" w14:textId="77777777" w:rsidR="00C65183" w:rsidRDefault="00C65183" w:rsidP="00C65183">
      <w:pPr>
        <w:spacing w:line="360" w:lineRule="auto"/>
        <w:jc w:val="both"/>
        <w:rPr>
          <w:rFonts w:asciiTheme="minorHAnsi" w:hAnsiTheme="minorHAnsi"/>
          <w:color w:val="000000"/>
        </w:rPr>
      </w:pPr>
    </w:p>
    <w:p w14:paraId="1FE654B5" w14:textId="77777777" w:rsidR="00C65183" w:rsidRDefault="00C65183" w:rsidP="00C65183">
      <w:pPr>
        <w:rPr>
          <w:rFonts w:asciiTheme="minorHAnsi" w:hAnsiTheme="minorHAnsi"/>
          <w:b/>
          <w:color w:val="0F243E" w:themeColor="text2" w:themeShade="80"/>
          <w:sz w:val="26"/>
          <w:szCs w:val="26"/>
        </w:rPr>
      </w:pPr>
    </w:p>
    <w:p w14:paraId="624C592D" w14:textId="77777777" w:rsidR="00C65183" w:rsidRDefault="00C65183" w:rsidP="00C65183">
      <w:pPr>
        <w:rPr>
          <w:rFonts w:asciiTheme="minorHAnsi" w:hAnsiTheme="minorHAnsi"/>
          <w:b/>
          <w:color w:val="0F243E" w:themeColor="text2" w:themeShade="80"/>
          <w:sz w:val="26"/>
          <w:szCs w:val="26"/>
        </w:rPr>
      </w:pPr>
    </w:p>
    <w:p w14:paraId="260600BF" w14:textId="77777777" w:rsidR="00C65183" w:rsidRDefault="00C65183" w:rsidP="00C65183">
      <w:pPr>
        <w:rPr>
          <w:rFonts w:asciiTheme="minorHAnsi" w:hAnsiTheme="minorHAnsi"/>
          <w:b/>
          <w:color w:val="0F243E" w:themeColor="text2" w:themeShade="80"/>
          <w:sz w:val="26"/>
          <w:szCs w:val="26"/>
        </w:rPr>
      </w:pPr>
    </w:p>
    <w:p w14:paraId="4F575A5B" w14:textId="77777777" w:rsidR="00C65183" w:rsidRDefault="00C65183" w:rsidP="00C65183">
      <w:pPr>
        <w:rPr>
          <w:rFonts w:asciiTheme="minorHAnsi" w:hAnsiTheme="minorHAnsi"/>
          <w:b/>
          <w:color w:val="0F243E" w:themeColor="text2" w:themeShade="80"/>
          <w:sz w:val="26"/>
          <w:szCs w:val="26"/>
        </w:rPr>
      </w:pPr>
    </w:p>
    <w:p w14:paraId="65322D06" w14:textId="77777777" w:rsidR="00C65183" w:rsidRDefault="00C65183" w:rsidP="00C65183">
      <w:pPr>
        <w:rPr>
          <w:rFonts w:asciiTheme="minorHAnsi" w:hAnsiTheme="minorHAnsi"/>
          <w:b/>
          <w:color w:val="0F243E" w:themeColor="text2" w:themeShade="80"/>
          <w:sz w:val="26"/>
          <w:szCs w:val="26"/>
        </w:rPr>
      </w:pPr>
    </w:p>
    <w:p w14:paraId="50F62275" w14:textId="77777777" w:rsidR="00C65183" w:rsidRDefault="00C65183" w:rsidP="00C65183">
      <w:pPr>
        <w:rPr>
          <w:rFonts w:asciiTheme="minorHAnsi" w:hAnsiTheme="minorHAnsi"/>
          <w:b/>
          <w:color w:val="0F243E" w:themeColor="text2" w:themeShade="80"/>
          <w:sz w:val="26"/>
          <w:szCs w:val="26"/>
        </w:rPr>
      </w:pPr>
    </w:p>
    <w:p w14:paraId="0D94D632" w14:textId="77777777" w:rsidR="00C65183" w:rsidRDefault="00C65183" w:rsidP="00C65183">
      <w:pPr>
        <w:rPr>
          <w:rFonts w:asciiTheme="minorHAnsi" w:hAnsiTheme="minorHAnsi"/>
          <w:b/>
          <w:color w:val="0F243E" w:themeColor="text2" w:themeShade="80"/>
          <w:sz w:val="26"/>
          <w:szCs w:val="26"/>
        </w:rPr>
      </w:pPr>
      <w:r>
        <w:rPr>
          <w:rFonts w:asciiTheme="minorHAnsi" w:hAnsiTheme="minorHAnsi"/>
          <w:noProof/>
          <w:color w:val="000000"/>
        </w:rPr>
        <w:drawing>
          <wp:anchor distT="0" distB="0" distL="114300" distR="114300" simplePos="0" relativeHeight="251971584" behindDoc="0" locked="0" layoutInCell="1" allowOverlap="1" wp14:anchorId="7FDF2DF6" wp14:editId="2FF33A8B">
            <wp:simplePos x="0" y="0"/>
            <wp:positionH relativeFrom="margin">
              <wp:align>right</wp:align>
            </wp:positionH>
            <wp:positionV relativeFrom="paragraph">
              <wp:posOffset>101600</wp:posOffset>
            </wp:positionV>
            <wp:extent cx="3074670" cy="2327275"/>
            <wp:effectExtent l="0" t="0" r="0" b="0"/>
            <wp:wrapSquare wrapText="bothSides"/>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11">
                      <a:extLst>
                        <a:ext uri="{28A0092B-C50C-407E-A947-70E740481C1C}">
                          <a14:useLocalDpi xmlns:a14="http://schemas.microsoft.com/office/drawing/2010/main" val="0"/>
                        </a:ext>
                      </a:extLst>
                    </a:blip>
                    <a:srcRect r="11916"/>
                    <a:stretch/>
                  </pic:blipFill>
                  <pic:spPr bwMode="auto">
                    <a:xfrm>
                      <a:off x="0" y="0"/>
                      <a:ext cx="3074670" cy="23272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1EA0106" w14:textId="77777777" w:rsidR="00C65183" w:rsidRPr="00FB5BB6" w:rsidRDefault="00C65183" w:rsidP="00C65183">
      <w:pPr>
        <w:rPr>
          <w:rFonts w:asciiTheme="minorHAnsi" w:hAnsiTheme="minorHAnsi"/>
          <w:b/>
          <w:color w:val="0F243E" w:themeColor="text2" w:themeShade="80"/>
          <w:sz w:val="26"/>
          <w:szCs w:val="26"/>
        </w:rPr>
      </w:pPr>
      <w:r w:rsidRPr="005D37BE">
        <w:rPr>
          <w:rFonts w:asciiTheme="minorHAnsi" w:hAnsiTheme="minorHAnsi"/>
          <w:noProof/>
          <w:lang w:eastAsia="en-AU"/>
        </w:rPr>
        <mc:AlternateContent>
          <mc:Choice Requires="wps">
            <w:drawing>
              <wp:anchor distT="0" distB="0" distL="114300" distR="114300" simplePos="0" relativeHeight="251804672" behindDoc="0" locked="0" layoutInCell="1" allowOverlap="1" wp14:anchorId="2119A9DC" wp14:editId="70961BB6">
                <wp:simplePos x="0" y="0"/>
                <wp:positionH relativeFrom="column">
                  <wp:posOffset>-63500</wp:posOffset>
                </wp:positionH>
                <wp:positionV relativeFrom="paragraph">
                  <wp:posOffset>146050</wp:posOffset>
                </wp:positionV>
                <wp:extent cx="2833688" cy="809625"/>
                <wp:effectExtent l="0" t="0" r="0" b="0"/>
                <wp:wrapNone/>
                <wp:docPr id="15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33688" cy="809625"/>
                        </a:xfrm>
                        <a:prstGeom prst="rect">
                          <a:avLst/>
                        </a:prstGeom>
                        <a:noFill/>
                        <a:ln w="9525">
                          <a:noFill/>
                          <a:miter lim="800000"/>
                          <a:headEnd/>
                          <a:tailEnd/>
                        </a:ln>
                      </wps:spPr>
                      <wps:txbx>
                        <w:txbxContent>
                          <w:p w14:paraId="631E75EC" w14:textId="77777777" w:rsidR="00C65183" w:rsidRPr="00C25EFC" w:rsidRDefault="00C65183" w:rsidP="00C65183">
                            <w:pPr>
                              <w:jc w:val="both"/>
                              <w:rPr>
                                <w:rFonts w:asciiTheme="minorHAnsi" w:hAnsiTheme="minorHAnsi"/>
                                <w:sz w:val="20"/>
                                <w:szCs w:val="20"/>
                              </w:rPr>
                            </w:pPr>
                            <w:r>
                              <w:rPr>
                                <w:rFonts w:asciiTheme="minorHAnsi" w:hAnsiTheme="minorHAnsi"/>
                                <w:sz w:val="20"/>
                                <w:szCs w:val="20"/>
                              </w:rPr>
                              <w:t xml:space="preserve">The </w:t>
                            </w:r>
                            <w:r w:rsidRPr="00BD3150">
                              <w:rPr>
                                <w:rFonts w:asciiTheme="minorHAnsi" w:hAnsiTheme="minorHAnsi"/>
                                <w:sz w:val="20"/>
                                <w:szCs w:val="20"/>
                              </w:rPr>
                              <w:t>201</w:t>
                            </w:r>
                            <w:r>
                              <w:rPr>
                                <w:rFonts w:asciiTheme="minorHAnsi" w:hAnsiTheme="minorHAnsi"/>
                                <w:sz w:val="20"/>
                                <w:szCs w:val="20"/>
                              </w:rPr>
                              <w:t>9</w:t>
                            </w:r>
                            <w:r w:rsidRPr="00BD3150">
                              <w:rPr>
                                <w:rFonts w:asciiTheme="minorHAnsi" w:hAnsiTheme="minorHAnsi"/>
                                <w:sz w:val="20"/>
                                <w:szCs w:val="20"/>
                              </w:rPr>
                              <w:t xml:space="preserve"> </w:t>
                            </w:r>
                            <w:r>
                              <w:rPr>
                                <w:rFonts w:asciiTheme="minorHAnsi" w:hAnsiTheme="minorHAnsi"/>
                                <w:sz w:val="20"/>
                                <w:szCs w:val="20"/>
                              </w:rPr>
                              <w:t>National Drug Strategy Household</w:t>
                            </w:r>
                            <w:r w:rsidRPr="00BD3150">
                              <w:rPr>
                                <w:rFonts w:asciiTheme="minorHAnsi" w:hAnsiTheme="minorHAnsi"/>
                                <w:sz w:val="20"/>
                                <w:szCs w:val="20"/>
                              </w:rPr>
                              <w:t xml:space="preserve"> Survey</w:t>
                            </w:r>
                            <w:r>
                              <w:rPr>
                                <w:rFonts w:asciiTheme="minorHAnsi" w:hAnsiTheme="minorHAnsi"/>
                                <w:sz w:val="20"/>
                                <w:szCs w:val="20"/>
                              </w:rPr>
                              <w:t xml:space="preserve"> found that</w:t>
                            </w:r>
                            <w:r w:rsidRPr="00711660">
                              <w:rPr>
                                <w:rFonts w:asciiTheme="minorHAnsi" w:hAnsiTheme="minorHAnsi"/>
                                <w:sz w:val="20"/>
                                <w:szCs w:val="20"/>
                              </w:rPr>
                              <w:t xml:space="preserve"> 26% of Australian male adults, and 10% of females, consumed alcohol to levels which placed them at lifetime risk</w:t>
                            </w:r>
                            <w:r>
                              <w:rPr>
                                <w:rFonts w:asciiTheme="minorHAnsi" w:hAnsiTheme="minorHAnsi"/>
                                <w:sz w:val="20"/>
                                <w:szCs w:val="2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119A9DC" id="_x0000_s1046" type="#_x0000_t202" style="position:absolute;margin-left:-5pt;margin-top:11.5pt;width:223.15pt;height:63.75pt;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" filled="f" stroked="f">
                <v:textbox>
                  <w:txbxContent>
                    <w:p w14:paraId="631E75EC" w14:textId="77777777" w:rsidR="00C65183" w:rsidRPr="00C25EFC" w:rsidRDefault="00C65183" w:rsidP="00C65183">
                      <w:pPr>
                        <w:jc w:val="both"/>
                        <w:rPr>
                          <w:rFonts w:asciiTheme="minorHAnsi" w:hAnsiTheme="minorHAnsi"/>
                          <w:sz w:val="20"/>
                          <w:szCs w:val="20"/>
                        </w:rPr>
                      </w:pPr>
                      <w:r>
                        <w:rPr>
                          <w:rFonts w:asciiTheme="minorHAnsi" w:hAnsiTheme="minorHAnsi"/>
                          <w:sz w:val="20"/>
                          <w:szCs w:val="20"/>
                        </w:rPr>
                        <w:t xml:space="preserve">The </w:t>
                      </w:r>
                      <w:r w:rsidRPr="00BD3150">
                        <w:rPr>
                          <w:rFonts w:asciiTheme="minorHAnsi" w:hAnsiTheme="minorHAnsi"/>
                          <w:sz w:val="20"/>
                          <w:szCs w:val="20"/>
                        </w:rPr>
                        <w:t>201</w:t>
                      </w:r>
                      <w:r>
                        <w:rPr>
                          <w:rFonts w:asciiTheme="minorHAnsi" w:hAnsiTheme="minorHAnsi"/>
                          <w:sz w:val="20"/>
                          <w:szCs w:val="20"/>
                        </w:rPr>
                        <w:t>9</w:t>
                      </w:r>
                      <w:r w:rsidRPr="00BD3150">
                        <w:rPr>
                          <w:rFonts w:asciiTheme="minorHAnsi" w:hAnsiTheme="minorHAnsi"/>
                          <w:sz w:val="20"/>
                          <w:szCs w:val="20"/>
                        </w:rPr>
                        <w:t xml:space="preserve"> </w:t>
                      </w:r>
                      <w:r>
                        <w:rPr>
                          <w:rFonts w:asciiTheme="minorHAnsi" w:hAnsiTheme="minorHAnsi"/>
                          <w:sz w:val="20"/>
                          <w:szCs w:val="20"/>
                        </w:rPr>
                        <w:t>National Drug Strategy Household</w:t>
                      </w:r>
                      <w:r w:rsidRPr="00BD3150">
                        <w:rPr>
                          <w:rFonts w:asciiTheme="minorHAnsi" w:hAnsiTheme="minorHAnsi"/>
                          <w:sz w:val="20"/>
                          <w:szCs w:val="20"/>
                        </w:rPr>
                        <w:t xml:space="preserve"> Survey</w:t>
                      </w:r>
                      <w:r>
                        <w:rPr>
                          <w:rFonts w:asciiTheme="minorHAnsi" w:hAnsiTheme="minorHAnsi"/>
                          <w:sz w:val="20"/>
                          <w:szCs w:val="20"/>
                        </w:rPr>
                        <w:t xml:space="preserve"> found that</w:t>
                      </w:r>
                      <w:r w:rsidRPr="00711660">
                        <w:rPr>
                          <w:rFonts w:asciiTheme="minorHAnsi" w:hAnsiTheme="minorHAnsi"/>
                          <w:sz w:val="20"/>
                          <w:szCs w:val="20"/>
                        </w:rPr>
                        <w:t xml:space="preserve"> 26% of Australian male adults, and 10% of females, consumed alcohol to levels which placed them at lifetime risk</w:t>
                      </w:r>
                      <w:r>
                        <w:rPr>
                          <w:rFonts w:asciiTheme="minorHAnsi" w:hAnsiTheme="minorHAnsi"/>
                          <w:sz w:val="20"/>
                          <w:szCs w:val="20"/>
                        </w:rPr>
                        <w:t>.</w:t>
                      </w:r>
                    </w:p>
                  </w:txbxContent>
                </v:textbox>
              </v:shape>
            </w:pict>
          </mc:Fallback>
        </mc:AlternateContent>
      </w:r>
      <w:r w:rsidRPr="00FB5BB6">
        <w:rPr>
          <w:rFonts w:asciiTheme="minorHAnsi" w:hAnsiTheme="minorHAnsi"/>
          <w:b/>
          <w:color w:val="0F243E" w:themeColor="text2" w:themeShade="80"/>
          <w:sz w:val="26"/>
          <w:szCs w:val="26"/>
        </w:rPr>
        <w:t xml:space="preserve">Alcohol </w:t>
      </w:r>
      <w:r>
        <w:rPr>
          <w:rFonts w:asciiTheme="minorHAnsi" w:hAnsiTheme="minorHAnsi"/>
          <w:b/>
          <w:color w:val="0F243E" w:themeColor="text2" w:themeShade="80"/>
          <w:sz w:val="26"/>
          <w:szCs w:val="26"/>
        </w:rPr>
        <w:t>Consumption</w:t>
      </w:r>
    </w:p>
    <w:p w14:paraId="29361A40" w14:textId="77777777" w:rsidR="00C65183" w:rsidRDefault="00C65183" w:rsidP="00C65183">
      <w:pPr>
        <w:spacing w:line="360" w:lineRule="auto"/>
        <w:jc w:val="both"/>
        <w:rPr>
          <w:rFonts w:asciiTheme="minorHAnsi" w:hAnsiTheme="minorHAnsi"/>
          <w:color w:val="000000"/>
        </w:rPr>
      </w:pPr>
    </w:p>
    <w:p w14:paraId="1B99BF47" w14:textId="77777777" w:rsidR="00C65183" w:rsidRDefault="00C65183" w:rsidP="00C65183">
      <w:pPr>
        <w:spacing w:line="360" w:lineRule="auto"/>
        <w:jc w:val="both"/>
        <w:rPr>
          <w:rFonts w:asciiTheme="minorHAnsi" w:hAnsiTheme="minorHAnsi"/>
          <w:color w:val="000000"/>
        </w:rPr>
      </w:pPr>
    </w:p>
    <w:p w14:paraId="744BB8D8" w14:textId="77777777" w:rsidR="00C65183" w:rsidRDefault="00C65183" w:rsidP="00C65183">
      <w:pPr>
        <w:spacing w:line="360" w:lineRule="auto"/>
        <w:jc w:val="both"/>
        <w:rPr>
          <w:rFonts w:asciiTheme="minorHAnsi" w:hAnsiTheme="minorHAnsi"/>
          <w:color w:val="000000"/>
        </w:rPr>
      </w:pPr>
    </w:p>
    <w:p w14:paraId="17FF1D33" w14:textId="77777777" w:rsidR="00C65183" w:rsidRPr="00FA5EB9" w:rsidRDefault="00C65183" w:rsidP="00C65183">
      <w:pPr>
        <w:jc w:val="both"/>
        <w:rPr>
          <w:rFonts w:asciiTheme="minorHAnsi" w:hAnsiTheme="minorHAnsi"/>
          <w:color w:val="7F7F7F" w:themeColor="text1" w:themeTint="80"/>
          <w:sz w:val="20"/>
          <w:szCs w:val="20"/>
        </w:rPr>
      </w:pPr>
      <w:r w:rsidRPr="00FA5EB9">
        <w:rPr>
          <w:rFonts w:asciiTheme="minorHAnsi" w:hAnsiTheme="minorHAnsi"/>
          <w:color w:val="7F7F7F" w:themeColor="text1" w:themeTint="80"/>
          <w:sz w:val="20"/>
          <w:szCs w:val="20"/>
        </w:rPr>
        <w:t xml:space="preserve">Per cent of </w:t>
      </w:r>
      <w:r>
        <w:rPr>
          <w:rFonts w:asciiTheme="minorHAnsi" w:hAnsiTheme="minorHAnsi"/>
          <w:color w:val="7F7F7F" w:themeColor="text1" w:themeTint="80"/>
          <w:sz w:val="20"/>
          <w:szCs w:val="20"/>
        </w:rPr>
        <w:t>adults</w:t>
      </w:r>
      <w:r w:rsidRPr="00FA5EB9">
        <w:rPr>
          <w:rFonts w:asciiTheme="minorHAnsi" w:hAnsiTheme="minorHAnsi"/>
          <w:color w:val="7F7F7F" w:themeColor="text1" w:themeTint="80"/>
          <w:sz w:val="20"/>
          <w:szCs w:val="20"/>
        </w:rPr>
        <w:t xml:space="preserve"> </w:t>
      </w:r>
      <w:r>
        <w:rPr>
          <w:rFonts w:asciiTheme="minorHAnsi" w:hAnsiTheme="minorHAnsi"/>
          <w:color w:val="7F7F7F" w:themeColor="text1" w:themeTint="80"/>
          <w:sz w:val="20"/>
          <w:szCs w:val="20"/>
        </w:rPr>
        <w:t>at lifetime risk of alcohol-related harm: Australia, 2019</w:t>
      </w:r>
    </w:p>
    <w:p w14:paraId="310FE234" w14:textId="77777777" w:rsidR="00C65183" w:rsidRDefault="00C65183" w:rsidP="00C65183">
      <w:pPr>
        <w:rPr>
          <w:rFonts w:asciiTheme="minorHAnsi" w:hAnsiTheme="minorHAnsi"/>
          <w:b/>
          <w:color w:val="0F243E" w:themeColor="text2" w:themeShade="80"/>
          <w:sz w:val="26"/>
          <w:szCs w:val="26"/>
        </w:rPr>
      </w:pPr>
      <w:r>
        <w:rPr>
          <w:noProof/>
          <w:lang w:eastAsia="en-AU"/>
        </w:rPr>
        <w:drawing>
          <wp:anchor distT="24384" distB="78105" distL="138684" distR="192913" simplePos="0" relativeHeight="251850752" behindDoc="1" locked="0" layoutInCell="1" allowOverlap="1" wp14:anchorId="49B1F733" wp14:editId="4B653086">
            <wp:simplePos x="0" y="0"/>
            <wp:positionH relativeFrom="column">
              <wp:posOffset>32385</wp:posOffset>
            </wp:positionH>
            <wp:positionV relativeFrom="paragraph">
              <wp:posOffset>87630</wp:posOffset>
            </wp:positionV>
            <wp:extent cx="1207770" cy="680720"/>
            <wp:effectExtent l="0" t="0" r="0" b="5080"/>
            <wp:wrapTight wrapText="bothSides">
              <wp:wrapPolygon edited="0">
                <wp:start x="1363" y="0"/>
                <wp:lineTo x="0" y="1209"/>
                <wp:lineTo x="0" y="19948"/>
                <wp:lineTo x="1022" y="21157"/>
                <wp:lineTo x="1363" y="21157"/>
                <wp:lineTo x="19760" y="21157"/>
                <wp:lineTo x="20101" y="21157"/>
                <wp:lineTo x="21123" y="19948"/>
                <wp:lineTo x="21123" y="1209"/>
                <wp:lineTo x="19760" y="0"/>
                <wp:lineTo x="1363" y="0"/>
              </wp:wrapPolygon>
            </wp:wrapTight>
            <wp:docPr id="311" name="Picture 63" descr="alcohol consum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Picture 63" descr="alcohol consumption"/>
                    <pic:cNvPicPr>
                      <a:picLocks noChangeAspect="1" noChangeArrowheads="1"/>
                    </pic:cNvPicPr>
                  </pic:nvPicPr>
                  <pic:blipFill>
                    <a:blip r:embed="rId212" cstate="print"/>
                    <a:srcRect/>
                    <a:stretch>
                      <a:fillRect/>
                    </a:stretch>
                  </pic:blipFill>
                  <pic:spPr bwMode="auto">
                    <a:xfrm>
                      <a:off x="0" y="0"/>
                      <a:ext cx="1207770" cy="68072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4965B2F7" w14:textId="77777777" w:rsidR="00C65183" w:rsidRDefault="00C65183" w:rsidP="00C65183">
      <w:pPr>
        <w:rPr>
          <w:rFonts w:asciiTheme="minorHAnsi" w:hAnsiTheme="minorHAnsi"/>
          <w:b/>
          <w:color w:val="0F243E" w:themeColor="text2" w:themeShade="80"/>
          <w:sz w:val="26"/>
          <w:szCs w:val="26"/>
        </w:rPr>
      </w:pPr>
    </w:p>
    <w:p w14:paraId="5D8F91E8" w14:textId="77777777" w:rsidR="00C65183" w:rsidRDefault="00C65183" w:rsidP="00C65183">
      <w:pPr>
        <w:rPr>
          <w:rFonts w:asciiTheme="minorHAnsi" w:hAnsiTheme="minorHAnsi"/>
          <w:b/>
          <w:color w:val="0F243E" w:themeColor="text2" w:themeShade="80"/>
          <w:sz w:val="26"/>
          <w:szCs w:val="26"/>
        </w:rPr>
      </w:pPr>
    </w:p>
    <w:p w14:paraId="67DD6BDD" w14:textId="77777777" w:rsidR="00C65183" w:rsidRDefault="00C65183" w:rsidP="00C65183">
      <w:pPr>
        <w:rPr>
          <w:rFonts w:asciiTheme="minorHAnsi" w:hAnsiTheme="minorHAnsi"/>
          <w:b/>
          <w:color w:val="0F243E" w:themeColor="text2" w:themeShade="80"/>
          <w:sz w:val="26"/>
          <w:szCs w:val="26"/>
        </w:rPr>
      </w:pPr>
    </w:p>
    <w:p w14:paraId="347FDD6B" w14:textId="77777777" w:rsidR="00C65183" w:rsidRDefault="00C65183" w:rsidP="00C65183">
      <w:pPr>
        <w:rPr>
          <w:rFonts w:asciiTheme="minorHAnsi" w:hAnsiTheme="minorHAnsi"/>
          <w:b/>
          <w:color w:val="0F243E" w:themeColor="text2" w:themeShade="80"/>
          <w:sz w:val="26"/>
          <w:szCs w:val="26"/>
        </w:rPr>
      </w:pPr>
    </w:p>
    <w:p w14:paraId="285E2D6F" w14:textId="77777777" w:rsidR="00C65183" w:rsidRDefault="00C65183" w:rsidP="00C65183">
      <w:pPr>
        <w:rPr>
          <w:rFonts w:asciiTheme="minorHAnsi" w:hAnsiTheme="minorHAnsi"/>
          <w:b/>
          <w:color w:val="0F243E" w:themeColor="text2" w:themeShade="80"/>
          <w:sz w:val="26"/>
          <w:szCs w:val="26"/>
        </w:rPr>
      </w:pPr>
    </w:p>
    <w:p w14:paraId="4001D3D1" w14:textId="77777777" w:rsidR="00C65183" w:rsidRDefault="00C65183" w:rsidP="00C65183">
      <w:pPr>
        <w:rPr>
          <w:rFonts w:asciiTheme="minorHAnsi" w:hAnsiTheme="minorHAnsi"/>
          <w:b/>
          <w:color w:val="0F243E" w:themeColor="text2" w:themeShade="80"/>
          <w:sz w:val="26"/>
          <w:szCs w:val="26"/>
        </w:rPr>
      </w:pPr>
      <w:r>
        <w:rPr>
          <w:rFonts w:ascii="Calibri" w:hAnsi="Calibri"/>
          <w:b/>
          <w:noProof/>
          <w:lang w:eastAsia="en-AU"/>
        </w:rPr>
        <w:drawing>
          <wp:anchor distT="0" distB="0" distL="114300" distR="114300" simplePos="0" relativeHeight="251835392" behindDoc="0" locked="0" layoutInCell="1" allowOverlap="1" wp14:anchorId="04036C16" wp14:editId="12562E95">
            <wp:simplePos x="0" y="0"/>
            <wp:positionH relativeFrom="column">
              <wp:posOffset>5092382</wp:posOffset>
            </wp:positionH>
            <wp:positionV relativeFrom="paragraph">
              <wp:posOffset>84455</wp:posOffset>
            </wp:positionV>
            <wp:extent cx="906780" cy="644525"/>
            <wp:effectExtent l="0" t="0" r="7620" b="3175"/>
            <wp:wrapNone/>
            <wp:docPr id="321" name="Picture 51" descr="White ro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White rose"/>
                    <pic:cNvPicPr>
                      <a:picLocks noChangeAspect="1" noChangeArrowheads="1"/>
                    </pic:cNvPicPr>
                  </pic:nvPicPr>
                  <pic:blipFill>
                    <a:blip r:embed="rId213" cstate="print"/>
                    <a:srcRect t="4781" r="9596" b="16675"/>
                    <a:stretch>
                      <a:fillRect/>
                    </a:stretch>
                  </pic:blipFill>
                  <pic:spPr bwMode="auto">
                    <a:xfrm>
                      <a:off x="0" y="0"/>
                      <a:ext cx="906780" cy="64452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2127C042" w14:textId="77777777" w:rsidR="00C65183" w:rsidRDefault="00C65183" w:rsidP="00C65183">
      <w:pPr>
        <w:rPr>
          <w:rFonts w:asciiTheme="minorHAnsi" w:hAnsiTheme="minorHAnsi"/>
          <w:b/>
          <w:color w:val="0F243E" w:themeColor="text2" w:themeShade="80"/>
          <w:sz w:val="26"/>
          <w:szCs w:val="26"/>
        </w:rPr>
      </w:pPr>
    </w:p>
    <w:p w14:paraId="0D077AD2" w14:textId="77777777" w:rsidR="00C65183" w:rsidRPr="0086753E" w:rsidRDefault="00C65183" w:rsidP="00C65183">
      <w:pPr>
        <w:rPr>
          <w:rFonts w:asciiTheme="minorHAnsi" w:hAnsiTheme="minorHAnsi"/>
          <w:b/>
          <w:color w:val="0F243E" w:themeColor="text2" w:themeShade="80"/>
          <w:sz w:val="10"/>
          <w:szCs w:val="10"/>
        </w:rPr>
      </w:pPr>
    </w:p>
    <w:p w14:paraId="72FF91C5" w14:textId="77777777" w:rsidR="00C65183" w:rsidRDefault="00C65183" w:rsidP="00C65183">
      <w:pPr>
        <w:rPr>
          <w:rFonts w:asciiTheme="minorHAnsi" w:hAnsiTheme="minorHAnsi"/>
          <w:b/>
          <w:color w:val="0F243E" w:themeColor="text2" w:themeShade="80"/>
          <w:sz w:val="26"/>
          <w:szCs w:val="26"/>
        </w:rPr>
      </w:pPr>
      <w:r w:rsidRPr="00FB5BB6">
        <w:rPr>
          <w:rFonts w:asciiTheme="minorHAnsi" w:hAnsiTheme="minorHAnsi"/>
          <w:b/>
          <w:color w:val="0F243E" w:themeColor="text2" w:themeShade="80"/>
          <w:sz w:val="26"/>
          <w:szCs w:val="26"/>
        </w:rPr>
        <w:t>Mortality</w:t>
      </w:r>
    </w:p>
    <w:p w14:paraId="51881758" w14:textId="77777777" w:rsidR="00C65183" w:rsidRDefault="00C65183" w:rsidP="00C65183">
      <w:pPr>
        <w:rPr>
          <w:rFonts w:asciiTheme="minorHAnsi" w:hAnsiTheme="minorHAnsi"/>
          <w:b/>
          <w:color w:val="0F243E" w:themeColor="text2" w:themeShade="80"/>
          <w:sz w:val="26"/>
          <w:szCs w:val="26"/>
        </w:rPr>
      </w:pPr>
      <w:r w:rsidRPr="005D37BE">
        <w:rPr>
          <w:rFonts w:asciiTheme="minorHAnsi" w:hAnsiTheme="minorHAnsi"/>
          <w:noProof/>
          <w:lang w:eastAsia="en-AU"/>
        </w:rPr>
        <mc:AlternateContent>
          <mc:Choice Requires="wps">
            <w:drawing>
              <wp:anchor distT="0" distB="0" distL="114300" distR="114300" simplePos="0" relativeHeight="251833344" behindDoc="0" locked="0" layoutInCell="1" allowOverlap="1" wp14:anchorId="0F45D283" wp14:editId="04A9B0E7">
                <wp:simplePos x="0" y="0"/>
                <wp:positionH relativeFrom="margin">
                  <wp:align>right</wp:align>
                </wp:positionH>
                <wp:positionV relativeFrom="paragraph">
                  <wp:posOffset>204470</wp:posOffset>
                </wp:positionV>
                <wp:extent cx="2442845" cy="952500"/>
                <wp:effectExtent l="0" t="0" r="0" b="0"/>
                <wp:wrapNone/>
                <wp:docPr id="30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42845" cy="952500"/>
                        </a:xfrm>
                        <a:prstGeom prst="rect">
                          <a:avLst/>
                        </a:prstGeom>
                        <a:noFill/>
                        <a:ln w="9525">
                          <a:noFill/>
                          <a:miter lim="800000"/>
                          <a:headEnd/>
                          <a:tailEnd/>
                        </a:ln>
                      </wps:spPr>
                      <wps:txbx>
                        <w:txbxContent>
                          <w:p w14:paraId="229EBF2B" w14:textId="77777777" w:rsidR="00C65183" w:rsidRPr="00C25EFC" w:rsidRDefault="00C65183" w:rsidP="00C65183">
                            <w:pPr>
                              <w:jc w:val="both"/>
                              <w:rPr>
                                <w:rFonts w:asciiTheme="minorHAnsi" w:hAnsiTheme="minorHAnsi"/>
                                <w:sz w:val="20"/>
                                <w:szCs w:val="20"/>
                              </w:rPr>
                            </w:pPr>
                            <w:r>
                              <w:rPr>
                                <w:rFonts w:asciiTheme="minorHAnsi" w:hAnsiTheme="minorHAnsi"/>
                                <w:sz w:val="20"/>
                                <w:szCs w:val="20"/>
                              </w:rPr>
                              <w:t xml:space="preserve">Mortality rates among males tend to be higher than among females throughout the lifespan. </w:t>
                            </w:r>
                            <w:r w:rsidRPr="00711660">
                              <w:rPr>
                                <w:rFonts w:asciiTheme="minorHAnsi" w:hAnsiTheme="minorHAnsi"/>
                                <w:sz w:val="20"/>
                                <w:szCs w:val="20"/>
                              </w:rPr>
                              <w:t xml:space="preserve">In 2018, the probability of death by 60 years was </w:t>
                            </w:r>
                            <w:r>
                              <w:rPr>
                                <w:rFonts w:asciiTheme="minorHAnsi" w:hAnsiTheme="minorHAnsi"/>
                                <w:sz w:val="20"/>
                                <w:szCs w:val="20"/>
                              </w:rPr>
                              <w:t>11</w:t>
                            </w:r>
                            <w:r w:rsidRPr="00711660">
                              <w:rPr>
                                <w:rFonts w:asciiTheme="minorHAnsi" w:hAnsiTheme="minorHAnsi"/>
                                <w:sz w:val="20"/>
                                <w:szCs w:val="20"/>
                              </w:rPr>
                              <w:t xml:space="preserve">% for males and </w:t>
                            </w:r>
                            <w:r>
                              <w:rPr>
                                <w:rFonts w:asciiTheme="minorHAnsi" w:hAnsiTheme="minorHAnsi"/>
                                <w:sz w:val="20"/>
                                <w:szCs w:val="20"/>
                              </w:rPr>
                              <w:t>7</w:t>
                            </w:r>
                            <w:r w:rsidRPr="00711660">
                              <w:rPr>
                                <w:rFonts w:asciiTheme="minorHAnsi" w:hAnsiTheme="minorHAnsi"/>
                                <w:sz w:val="20"/>
                                <w:szCs w:val="20"/>
                              </w:rPr>
                              <w:t>% for females</w:t>
                            </w:r>
                            <w:r>
                              <w:rPr>
                                <w:rFonts w:asciiTheme="minorHAnsi" w:hAnsiTheme="minorHAnsi"/>
                                <w:sz w:val="20"/>
                                <w:szCs w:val="2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F45D283" id="_x0000_s1047" type="#_x0000_t202" style="position:absolute;margin-left:141.15pt;margin-top:16.1pt;width:192.35pt;height:75pt;z-index:25183334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" filled="f" stroked="f">
                <v:textbox>
                  <w:txbxContent>
                    <w:p w14:paraId="229EBF2B" w14:textId="77777777" w:rsidR="00C65183" w:rsidRPr="00C25EFC" w:rsidRDefault="00C65183" w:rsidP="00C65183">
                      <w:pPr>
                        <w:jc w:val="both"/>
                        <w:rPr>
                          <w:rFonts w:asciiTheme="minorHAnsi" w:hAnsiTheme="minorHAnsi"/>
                          <w:sz w:val="20"/>
                          <w:szCs w:val="20"/>
                        </w:rPr>
                      </w:pPr>
                      <w:r>
                        <w:rPr>
                          <w:rFonts w:asciiTheme="minorHAnsi" w:hAnsiTheme="minorHAnsi"/>
                          <w:sz w:val="20"/>
                          <w:szCs w:val="20"/>
                        </w:rPr>
                        <w:t xml:space="preserve">Mortality rates among males tend to be higher than among females throughout the lifespan. </w:t>
                      </w:r>
                      <w:r w:rsidRPr="00711660">
                        <w:rPr>
                          <w:rFonts w:asciiTheme="minorHAnsi" w:hAnsiTheme="minorHAnsi"/>
                          <w:sz w:val="20"/>
                          <w:szCs w:val="20"/>
                        </w:rPr>
                        <w:t xml:space="preserve">In 2018, the probability of death by 60 years was </w:t>
                      </w:r>
                      <w:r>
                        <w:rPr>
                          <w:rFonts w:asciiTheme="minorHAnsi" w:hAnsiTheme="minorHAnsi"/>
                          <w:sz w:val="20"/>
                          <w:szCs w:val="20"/>
                        </w:rPr>
                        <w:t>11</w:t>
                      </w:r>
                      <w:r w:rsidRPr="00711660">
                        <w:rPr>
                          <w:rFonts w:asciiTheme="minorHAnsi" w:hAnsiTheme="minorHAnsi"/>
                          <w:sz w:val="20"/>
                          <w:szCs w:val="20"/>
                        </w:rPr>
                        <w:t xml:space="preserve">% for males and </w:t>
                      </w:r>
                      <w:r>
                        <w:rPr>
                          <w:rFonts w:asciiTheme="minorHAnsi" w:hAnsiTheme="minorHAnsi"/>
                          <w:sz w:val="20"/>
                          <w:szCs w:val="20"/>
                        </w:rPr>
                        <w:t>7</w:t>
                      </w:r>
                      <w:r w:rsidRPr="00711660">
                        <w:rPr>
                          <w:rFonts w:asciiTheme="minorHAnsi" w:hAnsiTheme="minorHAnsi"/>
                          <w:sz w:val="20"/>
                          <w:szCs w:val="20"/>
                        </w:rPr>
                        <w:t>% for females</w:t>
                      </w:r>
                      <w:r>
                        <w:rPr>
                          <w:rFonts w:asciiTheme="minorHAnsi" w:hAnsiTheme="minorHAnsi"/>
                          <w:sz w:val="20"/>
                          <w:szCs w:val="20"/>
                        </w:rPr>
                        <w:t>.</w:t>
                      </w:r>
                    </w:p>
                  </w:txbxContent>
                </v:textbox>
                <w10:wrap anchorx="margin"/>
              </v:shape>
            </w:pict>
          </mc:Fallback>
        </mc:AlternateContent>
      </w:r>
      <w:r>
        <w:rPr>
          <w:rFonts w:asciiTheme="minorHAnsi" w:hAnsiTheme="minorHAnsi"/>
          <w:b/>
          <w:noProof/>
          <w:color w:val="0F243E" w:themeColor="text2" w:themeShade="80"/>
          <w:sz w:val="26"/>
          <w:szCs w:val="26"/>
        </w:rPr>
        <w:drawing>
          <wp:anchor distT="0" distB="0" distL="114300" distR="114300" simplePos="0" relativeHeight="251839488" behindDoc="0" locked="0" layoutInCell="1" allowOverlap="1" wp14:anchorId="7CF44211" wp14:editId="41977033">
            <wp:simplePos x="0" y="0"/>
            <wp:positionH relativeFrom="column">
              <wp:posOffset>22225</wp:posOffset>
            </wp:positionH>
            <wp:positionV relativeFrom="paragraph">
              <wp:posOffset>49847</wp:posOffset>
            </wp:positionV>
            <wp:extent cx="3642995" cy="2301875"/>
            <wp:effectExtent l="0" t="0" r="0" b="3175"/>
            <wp:wrapSquare wrapText="bothSides"/>
            <wp:docPr id="322" name="Pictur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3642995" cy="2301875"/>
                    </a:xfrm>
                    <a:prstGeom prst="rect">
                      <a:avLst/>
                    </a:prstGeom>
                    <a:noFill/>
                  </pic:spPr>
                </pic:pic>
              </a:graphicData>
            </a:graphic>
            <wp14:sizeRelH relativeFrom="page">
              <wp14:pctWidth>0</wp14:pctWidth>
            </wp14:sizeRelH>
            <wp14:sizeRelV relativeFrom="page">
              <wp14:pctHeight>0</wp14:pctHeight>
            </wp14:sizeRelV>
          </wp:anchor>
        </w:drawing>
      </w:r>
    </w:p>
    <w:p w14:paraId="6CF470A5" w14:textId="77777777" w:rsidR="00C65183" w:rsidRDefault="00C65183" w:rsidP="00C65183">
      <w:pPr>
        <w:rPr>
          <w:rFonts w:asciiTheme="minorHAnsi" w:hAnsiTheme="minorHAnsi"/>
          <w:b/>
          <w:color w:val="0F243E" w:themeColor="text2" w:themeShade="80"/>
          <w:sz w:val="26"/>
          <w:szCs w:val="26"/>
        </w:rPr>
      </w:pPr>
    </w:p>
    <w:p w14:paraId="7892566F" w14:textId="77777777" w:rsidR="00C65183" w:rsidRDefault="00C65183" w:rsidP="00C65183">
      <w:pPr>
        <w:rPr>
          <w:rFonts w:asciiTheme="minorHAnsi" w:hAnsiTheme="minorHAnsi"/>
          <w:b/>
          <w:color w:val="0F243E" w:themeColor="text2" w:themeShade="80"/>
          <w:sz w:val="26"/>
          <w:szCs w:val="26"/>
        </w:rPr>
      </w:pPr>
    </w:p>
    <w:p w14:paraId="210AE121" w14:textId="77777777" w:rsidR="00C65183" w:rsidRDefault="00C65183" w:rsidP="00C65183">
      <w:pPr>
        <w:rPr>
          <w:rFonts w:asciiTheme="minorHAnsi" w:hAnsiTheme="minorHAnsi"/>
          <w:b/>
          <w:color w:val="0F243E" w:themeColor="text2" w:themeShade="80"/>
          <w:sz w:val="26"/>
          <w:szCs w:val="26"/>
        </w:rPr>
      </w:pPr>
    </w:p>
    <w:p w14:paraId="396B6BC1" w14:textId="77777777" w:rsidR="00C65183" w:rsidRDefault="00C65183" w:rsidP="00C65183">
      <w:pPr>
        <w:rPr>
          <w:rFonts w:asciiTheme="minorHAnsi" w:hAnsiTheme="minorHAnsi"/>
          <w:b/>
          <w:color w:val="0F243E" w:themeColor="text2" w:themeShade="80"/>
          <w:sz w:val="26"/>
          <w:szCs w:val="26"/>
        </w:rPr>
      </w:pPr>
    </w:p>
    <w:p w14:paraId="6911B0DD" w14:textId="77777777" w:rsidR="00C65183" w:rsidRDefault="00C65183" w:rsidP="00C65183">
      <w:pPr>
        <w:rPr>
          <w:rFonts w:asciiTheme="minorHAnsi" w:hAnsiTheme="minorHAnsi"/>
          <w:b/>
          <w:color w:val="0F243E" w:themeColor="text2" w:themeShade="80"/>
          <w:sz w:val="26"/>
          <w:szCs w:val="26"/>
        </w:rPr>
      </w:pPr>
    </w:p>
    <w:p w14:paraId="66BB01BF" w14:textId="77777777" w:rsidR="00C65183" w:rsidRPr="00FA5EB9" w:rsidRDefault="00C65183" w:rsidP="00C65183">
      <w:pPr>
        <w:jc w:val="both"/>
        <w:rPr>
          <w:rFonts w:asciiTheme="minorHAnsi" w:hAnsiTheme="minorHAnsi"/>
          <w:color w:val="7F7F7F" w:themeColor="text1" w:themeTint="80"/>
          <w:sz w:val="20"/>
          <w:szCs w:val="20"/>
        </w:rPr>
      </w:pPr>
      <w:r w:rsidRPr="00FA5EB9">
        <w:rPr>
          <w:rFonts w:asciiTheme="minorHAnsi" w:hAnsiTheme="minorHAnsi"/>
          <w:color w:val="7F7F7F" w:themeColor="text1" w:themeTint="80"/>
          <w:sz w:val="20"/>
          <w:szCs w:val="20"/>
        </w:rPr>
        <w:t>Percent of persons deceased by age 6</w:t>
      </w:r>
      <w:r>
        <w:rPr>
          <w:rFonts w:asciiTheme="minorHAnsi" w:hAnsiTheme="minorHAnsi"/>
          <w:color w:val="7F7F7F" w:themeColor="text1" w:themeTint="80"/>
          <w:sz w:val="20"/>
          <w:szCs w:val="20"/>
        </w:rPr>
        <w:t>5 (</w:t>
      </w:r>
      <w:r w:rsidRPr="00FA5EB9">
        <w:rPr>
          <w:rFonts w:asciiTheme="minorHAnsi" w:hAnsiTheme="minorHAnsi"/>
          <w:color w:val="7F7F7F" w:themeColor="text1" w:themeTint="80"/>
          <w:sz w:val="20"/>
          <w:szCs w:val="20"/>
        </w:rPr>
        <w:t>age-specific mortality rates</w:t>
      </w:r>
      <w:r>
        <w:rPr>
          <w:rFonts w:asciiTheme="minorHAnsi" w:hAnsiTheme="minorHAnsi"/>
          <w:color w:val="7F7F7F" w:themeColor="text1" w:themeTint="80"/>
          <w:sz w:val="20"/>
          <w:szCs w:val="20"/>
        </w:rPr>
        <w:t>)</w:t>
      </w:r>
      <w:r w:rsidRPr="00FA5EB9">
        <w:rPr>
          <w:rFonts w:asciiTheme="minorHAnsi" w:hAnsiTheme="minorHAnsi"/>
          <w:color w:val="7F7F7F" w:themeColor="text1" w:themeTint="80"/>
          <w:sz w:val="20"/>
          <w:szCs w:val="20"/>
        </w:rPr>
        <w:t>: Australia, 201</w:t>
      </w:r>
      <w:r>
        <w:rPr>
          <w:rFonts w:asciiTheme="minorHAnsi" w:hAnsiTheme="minorHAnsi"/>
          <w:color w:val="7F7F7F" w:themeColor="text1" w:themeTint="80"/>
          <w:sz w:val="20"/>
          <w:szCs w:val="20"/>
        </w:rPr>
        <w:t>6-18</w:t>
      </w:r>
      <w:r w:rsidRPr="00FA5EB9">
        <w:rPr>
          <w:rFonts w:asciiTheme="minorHAnsi" w:hAnsiTheme="minorHAnsi"/>
          <w:color w:val="7F7F7F" w:themeColor="text1" w:themeTint="80"/>
          <w:sz w:val="20"/>
          <w:szCs w:val="20"/>
        </w:rPr>
        <w:t xml:space="preserve"> </w:t>
      </w:r>
    </w:p>
    <w:p w14:paraId="2F3EF912" w14:textId="77777777" w:rsidR="00C65183" w:rsidRDefault="00C65183" w:rsidP="00C65183">
      <w:pPr>
        <w:spacing w:line="360" w:lineRule="auto"/>
        <w:jc w:val="both"/>
        <w:rPr>
          <w:rFonts w:asciiTheme="minorHAnsi" w:hAnsiTheme="minorHAnsi" w:cstheme="minorHAnsi"/>
        </w:rPr>
      </w:pPr>
    </w:p>
    <w:p w14:paraId="1DE5E49C" w14:textId="77777777" w:rsidR="00C65183" w:rsidRDefault="00C65183" w:rsidP="00C65183">
      <w:pPr>
        <w:rPr>
          <w:rFonts w:asciiTheme="minorHAnsi" w:hAnsiTheme="minorHAnsi" w:cstheme="minorHAnsi"/>
          <w:lang w:val="en-GB"/>
        </w:rPr>
      </w:pPr>
      <w:r>
        <w:rPr>
          <w:rFonts w:asciiTheme="minorHAnsi" w:hAnsiTheme="minorHAnsi" w:cstheme="minorHAnsi"/>
          <w:lang w:val="en-GB"/>
        </w:rPr>
        <w:br w:type="page"/>
      </w:r>
    </w:p>
    <w:p w14:paraId="177FE993" w14:textId="77777777" w:rsidR="00C65183" w:rsidRPr="0007660D" w:rsidRDefault="00C65183" w:rsidP="00C65183">
      <w:pPr>
        <w:spacing w:line="360" w:lineRule="auto"/>
        <w:jc w:val="both"/>
        <w:rPr>
          <w:rFonts w:asciiTheme="minorHAnsi" w:hAnsiTheme="minorHAnsi" w:cstheme="minorHAnsi"/>
          <w:sz w:val="28"/>
          <w:szCs w:val="28"/>
          <w:lang w:val="en-GB"/>
        </w:rPr>
      </w:pPr>
      <w:r>
        <w:rPr>
          <w:rFonts w:asciiTheme="minorHAnsi" w:hAnsiTheme="minorHAnsi" w:cstheme="minorHAnsi"/>
          <w:sz w:val="28"/>
          <w:szCs w:val="28"/>
          <w:lang w:val="en-GB"/>
        </w:rPr>
        <w:lastRenderedPageBreak/>
        <w:t xml:space="preserve">Summary of </w:t>
      </w:r>
      <w:r w:rsidRPr="0007660D">
        <w:rPr>
          <w:rFonts w:asciiTheme="minorHAnsi" w:hAnsiTheme="minorHAnsi" w:cstheme="minorHAnsi"/>
          <w:sz w:val="28"/>
          <w:szCs w:val="28"/>
          <w:lang w:val="en-GB"/>
        </w:rPr>
        <w:t>Differences in Social Conditions and Outcomes, by Gender</w:t>
      </w:r>
    </w:p>
    <w:p w14:paraId="21306906" w14:textId="77777777" w:rsidR="00C65183" w:rsidRPr="0007660D" w:rsidRDefault="00C65183" w:rsidP="00C65183">
      <w:pPr>
        <w:jc w:val="both"/>
        <w:rPr>
          <w:rFonts w:asciiTheme="minorHAnsi" w:hAnsiTheme="minorHAnsi" w:cstheme="minorHAnsi"/>
          <w:b/>
          <w:color w:val="244061" w:themeColor="accent1" w:themeShade="80"/>
          <w:sz w:val="24"/>
          <w:szCs w:val="24"/>
        </w:rPr>
      </w:pPr>
      <w:r w:rsidRPr="0007660D">
        <w:rPr>
          <w:rFonts w:asciiTheme="minorHAnsi" w:hAnsiTheme="minorHAnsi" w:cstheme="minorHAnsi"/>
          <w:noProof/>
        </w:rPr>
        <w:drawing>
          <wp:anchor distT="0" distB="0" distL="114300" distR="114300" simplePos="0" relativeHeight="251953152" behindDoc="0" locked="0" layoutInCell="1" allowOverlap="1" wp14:anchorId="69B82F43" wp14:editId="59FA1C44">
            <wp:simplePos x="0" y="0"/>
            <wp:positionH relativeFrom="margin">
              <wp:align>left</wp:align>
            </wp:positionH>
            <wp:positionV relativeFrom="page">
              <wp:posOffset>1994535</wp:posOffset>
            </wp:positionV>
            <wp:extent cx="575945" cy="395605"/>
            <wp:effectExtent l="0" t="0" r="0" b="4445"/>
            <wp:wrapSquare wrapText="bothSides"/>
            <wp:docPr id="26" name="Picture 11" descr="1209712_turning_pages.jpg">
              <a:extLst xmlns:a="http://schemas.openxmlformats.org/drawingml/2006/main">
                <a:ext uri="{FF2B5EF4-FFF2-40B4-BE49-F238E27FC236}">
                  <a16:creationId xmlns:a16="http://schemas.microsoft.com/office/drawing/2014/main" id="{00000000-0008-0000-0300-00000C000000}"/>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 name="Picture 11" descr="1209712_turning_pages.jpg">
                      <a:extLst>
                        <a:ext uri="{FF2B5EF4-FFF2-40B4-BE49-F238E27FC236}">
                          <a16:creationId xmlns:a16="http://schemas.microsoft.com/office/drawing/2014/main" id="{00000000-0008-0000-0300-00000C000000}"/>
                        </a:ext>
                      </a:extLst>
                    </pic:cNvPr>
                    <pic:cNvPicPr>
                      <a:picLocks/>
                    </pic:cNvPicPr>
                  </pic:nvPicPr>
                  <pic:blipFill>
                    <a:blip r:embed="rId215" cstate="print">
                      <a:extLst>
                        <a:ext uri="{28A0092B-C50C-407E-A947-70E740481C1C}">
                          <a14:useLocalDpi xmlns:a14="http://schemas.microsoft.com/office/drawing/2010/main" val="0"/>
                        </a:ext>
                      </a:extLst>
                    </a:blip>
                    <a:stretch>
                      <a:fillRect/>
                    </a:stretch>
                  </pic:blipFill>
                  <pic:spPr>
                    <a:xfrm>
                      <a:off x="0" y="0"/>
                      <a:ext cx="575945" cy="395605"/>
                    </a:xfrm>
                    <a:prstGeom prst="rect">
                      <a:avLst/>
                    </a:prstGeom>
                  </pic:spPr>
                </pic:pic>
              </a:graphicData>
            </a:graphic>
            <wp14:sizeRelH relativeFrom="page">
              <wp14:pctWidth>0</wp14:pctWidth>
            </wp14:sizeRelH>
            <wp14:sizeRelV relativeFrom="page">
              <wp14:pctHeight>0</wp14:pctHeight>
            </wp14:sizeRelV>
          </wp:anchor>
        </w:drawing>
      </w:r>
      <w:r w:rsidRPr="0007660D">
        <w:rPr>
          <w:rFonts w:asciiTheme="minorHAnsi" w:hAnsiTheme="minorHAnsi" w:cstheme="minorHAnsi"/>
          <w:b/>
          <w:color w:val="244061" w:themeColor="accent1" w:themeShade="80"/>
          <w:sz w:val="24"/>
          <w:szCs w:val="24"/>
        </w:rPr>
        <w:t>Education</w:t>
      </w:r>
    </w:p>
    <w:p w14:paraId="5939BCA2" w14:textId="77777777" w:rsidR="00C65183" w:rsidRPr="0007660D" w:rsidRDefault="00C65183" w:rsidP="00C65183">
      <w:pPr>
        <w:spacing w:before="60"/>
        <w:jc w:val="both"/>
        <w:rPr>
          <w:rFonts w:asciiTheme="minorHAnsi" w:hAnsiTheme="minorHAnsi" w:cstheme="minorHAnsi"/>
          <w:color w:val="244061" w:themeColor="accent1" w:themeShade="80"/>
          <w:sz w:val="21"/>
          <w:szCs w:val="21"/>
        </w:rPr>
      </w:pPr>
      <w:r w:rsidRPr="0007660D">
        <w:rPr>
          <w:rFonts w:asciiTheme="minorHAnsi" w:hAnsiTheme="minorHAnsi" w:cstheme="minorHAnsi"/>
          <w:color w:val="244061" w:themeColor="accent1" w:themeShade="80"/>
          <w:sz w:val="21"/>
          <w:szCs w:val="21"/>
        </w:rPr>
        <w:t>Males more often experience attention deficit disorder than females, more often experience early developmental delays, and are less likely to complete secondary school or acquire a degree.</w:t>
      </w:r>
    </w:p>
    <w:p w14:paraId="17066833" w14:textId="77777777" w:rsidR="00C65183" w:rsidRPr="0007660D" w:rsidRDefault="00C65183" w:rsidP="00C65183">
      <w:pPr>
        <w:spacing w:before="60"/>
        <w:jc w:val="both"/>
        <w:rPr>
          <w:rFonts w:asciiTheme="minorHAnsi" w:hAnsiTheme="minorHAnsi" w:cstheme="minorHAnsi"/>
          <w:sz w:val="21"/>
          <w:szCs w:val="21"/>
        </w:rPr>
      </w:pPr>
      <w:r w:rsidRPr="0007660D">
        <w:rPr>
          <w:rFonts w:asciiTheme="minorHAnsi" w:hAnsiTheme="minorHAnsi" w:cstheme="minorHAnsi"/>
          <w:sz w:val="21"/>
          <w:szCs w:val="21"/>
        </w:rPr>
        <w:t xml:space="preserve">Attention deficit-hyperactivity disorder (ADHD) is more common in males than in females, with a male-to-female ratio estimated from 3:1 to 9:1 </w:t>
      </w:r>
      <w:r w:rsidRPr="0007660D">
        <w:rPr>
          <w:rFonts w:asciiTheme="minorHAnsi" w:hAnsiTheme="minorHAnsi" w:cstheme="minorHAnsi"/>
          <w:sz w:val="16"/>
          <w:szCs w:val="16"/>
        </w:rPr>
        <w:t>(Australian Guidelines on Attention Deficit disorder, Royal Australian college of Physicians, 2009)</w:t>
      </w:r>
      <w:r w:rsidRPr="0007660D">
        <w:rPr>
          <w:rFonts w:asciiTheme="minorHAnsi" w:hAnsiTheme="minorHAnsi" w:cstheme="minorHAnsi"/>
          <w:sz w:val="21"/>
          <w:szCs w:val="21"/>
        </w:rPr>
        <w:t>.</w:t>
      </w:r>
    </w:p>
    <w:p w14:paraId="6BD81BBB" w14:textId="77777777" w:rsidR="00C65183" w:rsidRPr="0007660D" w:rsidRDefault="00C65183" w:rsidP="00C65183">
      <w:pPr>
        <w:spacing w:before="60"/>
        <w:jc w:val="both"/>
        <w:rPr>
          <w:rFonts w:asciiTheme="minorHAnsi" w:hAnsiTheme="minorHAnsi" w:cstheme="minorHAnsi"/>
          <w:sz w:val="18"/>
          <w:szCs w:val="18"/>
        </w:rPr>
      </w:pPr>
      <w:r w:rsidRPr="0007660D">
        <w:rPr>
          <w:rFonts w:asciiTheme="minorHAnsi" w:hAnsiTheme="minorHAnsi" w:cstheme="minorHAnsi"/>
          <w:sz w:val="21"/>
          <w:szCs w:val="21"/>
        </w:rPr>
        <w:t xml:space="preserve">30% of Victorian boys in prep. and 17% of girls are developmentally vulnerable </w:t>
      </w:r>
      <w:r w:rsidRPr="0007660D">
        <w:rPr>
          <w:rFonts w:asciiTheme="minorHAnsi" w:hAnsiTheme="minorHAnsi" w:cstheme="minorHAnsi"/>
          <w:sz w:val="18"/>
          <w:szCs w:val="18"/>
        </w:rPr>
        <w:t>(Aust. Early Developmental Index)</w:t>
      </w:r>
    </w:p>
    <w:p w14:paraId="5CACBF68" w14:textId="77777777" w:rsidR="00C65183" w:rsidRPr="0007660D" w:rsidRDefault="00C65183" w:rsidP="00C65183">
      <w:pPr>
        <w:spacing w:before="60"/>
        <w:jc w:val="both"/>
        <w:rPr>
          <w:rFonts w:asciiTheme="minorHAnsi" w:hAnsiTheme="minorHAnsi" w:cstheme="minorHAnsi"/>
        </w:rPr>
      </w:pPr>
      <w:r w:rsidRPr="0007660D">
        <w:rPr>
          <w:rFonts w:asciiTheme="minorHAnsi" w:hAnsiTheme="minorHAnsi" w:cstheme="minorHAnsi"/>
        </w:rPr>
        <w:t xml:space="preserve">The 2018 national survey of Disability, Ageing and Carers, found that among 0 to 4 year-olds, 3.3% of boys and 1.5% of girls had a severe or profound disability, while among 4-14 year-olds, 7.5% of boys and 3.7% of girls were disabled. </w:t>
      </w:r>
      <w:r w:rsidRPr="0007660D">
        <w:rPr>
          <w:rFonts w:asciiTheme="minorHAnsi" w:hAnsiTheme="minorHAnsi" w:cstheme="minorHAnsi"/>
          <w:sz w:val="16"/>
          <w:szCs w:val="16"/>
        </w:rPr>
        <w:t>(Disability, Ageing and Carers: Summary of Findings, ABS, 2019)</w:t>
      </w:r>
    </w:p>
    <w:p w14:paraId="6A37D6F7" w14:textId="77777777" w:rsidR="00C65183" w:rsidRPr="0007660D" w:rsidRDefault="00C65183" w:rsidP="00C65183">
      <w:pPr>
        <w:spacing w:before="60"/>
        <w:jc w:val="both"/>
        <w:rPr>
          <w:rFonts w:asciiTheme="minorHAnsi" w:hAnsiTheme="minorHAnsi" w:cstheme="minorHAnsi"/>
          <w:sz w:val="21"/>
          <w:szCs w:val="21"/>
        </w:rPr>
      </w:pPr>
      <w:r w:rsidRPr="0007660D">
        <w:rPr>
          <w:rFonts w:asciiTheme="minorHAnsi" w:hAnsiTheme="minorHAnsi" w:cstheme="minorHAnsi"/>
          <w:sz w:val="21"/>
          <w:szCs w:val="21"/>
        </w:rPr>
        <w:t xml:space="preserve">In 2016, 8% of 20-24 year-old Victorian females and 13% of males, had left school before completing year 11 </w:t>
      </w:r>
      <w:r w:rsidRPr="0007660D">
        <w:rPr>
          <w:rFonts w:asciiTheme="minorHAnsi" w:hAnsiTheme="minorHAnsi" w:cstheme="minorHAnsi"/>
          <w:sz w:val="16"/>
          <w:szCs w:val="16"/>
        </w:rPr>
        <w:t>(2016 Census, Australian Bureau of Statistics [hereafter ‘ABS’]).</w:t>
      </w:r>
    </w:p>
    <w:p w14:paraId="7B3EA7EE" w14:textId="77777777" w:rsidR="00C65183" w:rsidRPr="0007660D" w:rsidRDefault="00C65183" w:rsidP="00C65183">
      <w:pPr>
        <w:spacing w:before="60"/>
        <w:jc w:val="both"/>
        <w:rPr>
          <w:rFonts w:asciiTheme="minorHAnsi" w:hAnsiTheme="minorHAnsi" w:cstheme="minorHAnsi"/>
          <w:sz w:val="21"/>
          <w:szCs w:val="21"/>
        </w:rPr>
      </w:pPr>
      <w:r w:rsidRPr="0007660D">
        <w:rPr>
          <w:rFonts w:asciiTheme="minorHAnsi" w:hAnsiTheme="minorHAnsi" w:cstheme="minorHAnsi"/>
          <w:sz w:val="21"/>
          <w:szCs w:val="21"/>
        </w:rPr>
        <w:t xml:space="preserve">In 2016, 8.9% of Victorian women in tertiary education were enrolled in science, information technology or engineering courses, compared with 39% of men. </w:t>
      </w:r>
      <w:r w:rsidRPr="0007660D">
        <w:rPr>
          <w:rFonts w:asciiTheme="minorHAnsi" w:hAnsiTheme="minorHAnsi" w:cstheme="minorHAnsi"/>
          <w:sz w:val="16"/>
          <w:szCs w:val="16"/>
        </w:rPr>
        <w:t>(2016 Census, ABS).</w:t>
      </w:r>
    </w:p>
    <w:p w14:paraId="2DBD4C60" w14:textId="77777777" w:rsidR="00C65183" w:rsidRPr="0007660D" w:rsidRDefault="00C65183" w:rsidP="00C65183">
      <w:pPr>
        <w:spacing w:before="60"/>
        <w:jc w:val="both"/>
        <w:rPr>
          <w:rFonts w:asciiTheme="minorHAnsi" w:hAnsiTheme="minorHAnsi" w:cstheme="minorHAnsi"/>
          <w:sz w:val="21"/>
          <w:szCs w:val="21"/>
        </w:rPr>
      </w:pPr>
      <w:r w:rsidRPr="0007660D">
        <w:rPr>
          <w:rFonts w:asciiTheme="minorHAnsi" w:hAnsiTheme="minorHAnsi" w:cstheme="minorHAnsi"/>
          <w:sz w:val="21"/>
          <w:szCs w:val="21"/>
        </w:rPr>
        <w:t xml:space="preserve">In 2016, 48% of 25-44 year-old Victorian women and 37% of men, held a tertiary degree </w:t>
      </w:r>
      <w:r w:rsidRPr="0007660D">
        <w:rPr>
          <w:rFonts w:asciiTheme="minorHAnsi" w:hAnsiTheme="minorHAnsi" w:cstheme="minorHAnsi"/>
          <w:sz w:val="16"/>
          <w:szCs w:val="16"/>
        </w:rPr>
        <w:t>(2016 Census, ABS).</w:t>
      </w:r>
    </w:p>
    <w:p w14:paraId="5227BC8A" w14:textId="77777777" w:rsidR="00C65183" w:rsidRPr="0007660D" w:rsidRDefault="00C65183" w:rsidP="00C65183">
      <w:pPr>
        <w:spacing w:before="240"/>
        <w:jc w:val="both"/>
        <w:rPr>
          <w:rFonts w:asciiTheme="minorHAnsi" w:hAnsiTheme="minorHAnsi" w:cstheme="minorHAnsi"/>
          <w:b/>
          <w:color w:val="244061" w:themeColor="accent1" w:themeShade="80"/>
          <w:sz w:val="24"/>
          <w:szCs w:val="24"/>
        </w:rPr>
      </w:pPr>
      <w:r w:rsidRPr="0007660D">
        <w:rPr>
          <w:rFonts w:asciiTheme="minorHAnsi" w:hAnsiTheme="minorHAnsi" w:cstheme="minorHAnsi"/>
          <w:noProof/>
        </w:rPr>
        <w:drawing>
          <wp:anchor distT="0" distB="0" distL="114300" distR="114300" simplePos="0" relativeHeight="251952128" behindDoc="0" locked="0" layoutInCell="1" allowOverlap="1" wp14:anchorId="6B1B515D" wp14:editId="120D55DF">
            <wp:simplePos x="0" y="0"/>
            <wp:positionH relativeFrom="column">
              <wp:posOffset>22860</wp:posOffset>
            </wp:positionH>
            <wp:positionV relativeFrom="paragraph">
              <wp:posOffset>241935</wp:posOffset>
            </wp:positionV>
            <wp:extent cx="576000" cy="396000"/>
            <wp:effectExtent l="0" t="0" r="0" b="4445"/>
            <wp:wrapSquare wrapText="bothSides"/>
            <wp:docPr id="32" name="Picture 5" descr="7 Spoken languages.jpg">
              <a:extLst xmlns:a="http://schemas.openxmlformats.org/drawingml/2006/main">
                <a:ext uri="{FF2B5EF4-FFF2-40B4-BE49-F238E27FC236}">
                  <a16:creationId xmlns:a16="http://schemas.microsoft.com/office/drawing/2014/main" id="{00000000-0008-0000-0300-000006000000}"/>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Picture 5" descr="7 Spoken languages.jpg">
                      <a:extLst>
                        <a:ext uri="{FF2B5EF4-FFF2-40B4-BE49-F238E27FC236}">
                          <a16:creationId xmlns:a16="http://schemas.microsoft.com/office/drawing/2014/main" id="{00000000-0008-0000-0300-000006000000}"/>
                        </a:ext>
                      </a:extLst>
                    </pic:cNvPr>
                    <pic:cNvPicPr>
                      <a:picLocks/>
                    </pic:cNvPicPr>
                  </pic:nvPicPr>
                  <pic:blipFill>
                    <a:blip r:embed="rId216" cstate="print">
                      <a:extLst>
                        <a:ext uri="{28A0092B-C50C-407E-A947-70E740481C1C}">
                          <a14:useLocalDpi xmlns:a14="http://schemas.microsoft.com/office/drawing/2010/main" val="0"/>
                        </a:ext>
                      </a:extLst>
                    </a:blip>
                    <a:stretch>
                      <a:fillRect/>
                    </a:stretch>
                  </pic:blipFill>
                  <pic:spPr>
                    <a:xfrm>
                      <a:off x="0" y="0"/>
                      <a:ext cx="576000" cy="396000"/>
                    </a:xfrm>
                    <a:prstGeom prst="rect">
                      <a:avLst/>
                    </a:prstGeom>
                  </pic:spPr>
                </pic:pic>
              </a:graphicData>
            </a:graphic>
            <wp14:sizeRelH relativeFrom="page">
              <wp14:pctWidth>0</wp14:pctWidth>
            </wp14:sizeRelH>
            <wp14:sizeRelV relativeFrom="page">
              <wp14:pctHeight>0</wp14:pctHeight>
            </wp14:sizeRelV>
          </wp:anchor>
        </w:drawing>
      </w:r>
      <w:r w:rsidRPr="0007660D">
        <w:rPr>
          <w:rFonts w:asciiTheme="minorHAnsi" w:hAnsiTheme="minorHAnsi" w:cstheme="minorHAnsi"/>
          <w:b/>
          <w:color w:val="244061" w:themeColor="accent1" w:themeShade="80"/>
          <w:sz w:val="24"/>
          <w:szCs w:val="24"/>
        </w:rPr>
        <w:t>Literacy and Fluency in English</w:t>
      </w:r>
    </w:p>
    <w:p w14:paraId="5978E6C7" w14:textId="77777777" w:rsidR="00C65183" w:rsidRPr="0007660D" w:rsidRDefault="00C65183" w:rsidP="00C65183">
      <w:pPr>
        <w:spacing w:before="60"/>
        <w:jc w:val="both"/>
        <w:rPr>
          <w:rFonts w:asciiTheme="minorHAnsi" w:hAnsiTheme="minorHAnsi" w:cstheme="minorHAnsi"/>
          <w:color w:val="244061" w:themeColor="accent1" w:themeShade="80"/>
          <w:sz w:val="21"/>
          <w:szCs w:val="21"/>
        </w:rPr>
      </w:pPr>
      <w:r w:rsidRPr="0007660D">
        <w:rPr>
          <w:rFonts w:asciiTheme="minorHAnsi" w:hAnsiTheme="minorHAnsi" w:cstheme="minorHAnsi"/>
          <w:color w:val="244061" w:themeColor="accent1" w:themeShade="80"/>
          <w:sz w:val="21"/>
          <w:szCs w:val="21"/>
        </w:rPr>
        <w:t>Men have lower average levels of English literacy than women. On the other hand, slightly more women than men have limited fluency in the use of spoken English.</w:t>
      </w:r>
    </w:p>
    <w:p w14:paraId="0E3A48AC" w14:textId="77777777" w:rsidR="00C65183" w:rsidRPr="0007660D" w:rsidRDefault="00C65183" w:rsidP="00C65183">
      <w:pPr>
        <w:spacing w:before="60"/>
        <w:jc w:val="both"/>
        <w:rPr>
          <w:rFonts w:asciiTheme="minorHAnsi" w:hAnsiTheme="minorHAnsi" w:cstheme="minorHAnsi"/>
          <w:sz w:val="21"/>
          <w:szCs w:val="21"/>
        </w:rPr>
      </w:pPr>
      <w:r w:rsidRPr="0007660D">
        <w:rPr>
          <w:rFonts w:asciiTheme="minorHAnsi" w:hAnsiTheme="minorHAnsi" w:cstheme="minorHAnsi"/>
          <w:sz w:val="21"/>
          <w:szCs w:val="21"/>
        </w:rPr>
        <w:t xml:space="preserve">Among Australians aged 20-24 years, 12.8% of males and 7.5% of females have ‘very limited’ English literacy </w:t>
      </w:r>
      <w:r w:rsidRPr="0007660D">
        <w:rPr>
          <w:rFonts w:asciiTheme="minorHAnsi" w:hAnsiTheme="minorHAnsi" w:cstheme="minorHAnsi"/>
          <w:sz w:val="16"/>
          <w:szCs w:val="16"/>
        </w:rPr>
        <w:t>(International Assessment of Adult Competencies, 2013).</w:t>
      </w:r>
    </w:p>
    <w:p w14:paraId="6D02A2EF" w14:textId="77777777" w:rsidR="00C65183" w:rsidRPr="0007660D" w:rsidRDefault="00C65183" w:rsidP="00C65183">
      <w:pPr>
        <w:spacing w:before="60"/>
        <w:jc w:val="both"/>
        <w:rPr>
          <w:rFonts w:asciiTheme="minorHAnsi" w:hAnsiTheme="minorHAnsi" w:cstheme="minorHAnsi"/>
          <w:sz w:val="21"/>
          <w:szCs w:val="21"/>
        </w:rPr>
      </w:pPr>
      <w:r w:rsidRPr="0007660D">
        <w:rPr>
          <w:rFonts w:asciiTheme="minorHAnsi" w:hAnsiTheme="minorHAnsi" w:cstheme="minorHAnsi"/>
          <w:sz w:val="21"/>
          <w:szCs w:val="21"/>
        </w:rPr>
        <w:t xml:space="preserve">In 2016, 4.2% of Victorian males and 5.3% of females had limited English fluency </w:t>
      </w:r>
      <w:r w:rsidRPr="0007660D">
        <w:rPr>
          <w:rFonts w:asciiTheme="minorHAnsi" w:hAnsiTheme="minorHAnsi" w:cstheme="minorHAnsi"/>
          <w:sz w:val="16"/>
          <w:szCs w:val="16"/>
        </w:rPr>
        <w:t>(2016 Census, ABS).</w:t>
      </w:r>
    </w:p>
    <w:p w14:paraId="19318A5C" w14:textId="77777777" w:rsidR="00C65183" w:rsidRPr="0007660D" w:rsidRDefault="00C65183" w:rsidP="00C65183">
      <w:pPr>
        <w:spacing w:before="240"/>
        <w:jc w:val="both"/>
        <w:rPr>
          <w:rFonts w:asciiTheme="minorHAnsi" w:hAnsiTheme="minorHAnsi" w:cstheme="minorHAnsi"/>
          <w:b/>
          <w:color w:val="244061" w:themeColor="accent1" w:themeShade="80"/>
          <w:sz w:val="24"/>
          <w:szCs w:val="24"/>
        </w:rPr>
      </w:pPr>
      <w:r w:rsidRPr="0007660D">
        <w:rPr>
          <w:rFonts w:asciiTheme="minorHAnsi" w:hAnsiTheme="minorHAnsi" w:cstheme="minorHAnsi"/>
          <w:noProof/>
        </w:rPr>
        <w:drawing>
          <wp:anchor distT="0" distB="0" distL="114300" distR="114300" simplePos="0" relativeHeight="251955200" behindDoc="0" locked="0" layoutInCell="1" allowOverlap="1" wp14:anchorId="24A413DF" wp14:editId="459B0CE8">
            <wp:simplePos x="0" y="0"/>
            <wp:positionH relativeFrom="margin">
              <wp:align>left</wp:align>
            </wp:positionH>
            <wp:positionV relativeFrom="paragraph">
              <wp:posOffset>223520</wp:posOffset>
            </wp:positionV>
            <wp:extent cx="576000" cy="396000"/>
            <wp:effectExtent l="0" t="0" r="0" b="4445"/>
            <wp:wrapSquare wrapText="bothSides"/>
            <wp:docPr id="34" name="Picture 22" descr="1287061_businessman_in_the_office_1.jpg">
              <a:extLst xmlns:a="http://schemas.openxmlformats.org/drawingml/2006/main">
                <a:ext uri="{FF2B5EF4-FFF2-40B4-BE49-F238E27FC236}">
                  <a16:creationId xmlns:a16="http://schemas.microsoft.com/office/drawing/2014/main" id="{00000000-0008-0000-0300-000017000000}"/>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 name="Picture 22" descr="1287061_businessman_in_the_office_1.jpg">
                      <a:extLst>
                        <a:ext uri="{FF2B5EF4-FFF2-40B4-BE49-F238E27FC236}">
                          <a16:creationId xmlns:a16="http://schemas.microsoft.com/office/drawing/2014/main" id="{00000000-0008-0000-0300-000017000000}"/>
                        </a:ext>
                      </a:extLst>
                    </pic:cNvPr>
                    <pic:cNvPicPr>
                      <a:picLocks/>
                    </pic:cNvPicPr>
                  </pic:nvPicPr>
                  <pic:blipFill>
                    <a:blip r:embed="rId217" cstate="print">
                      <a:extLst>
                        <a:ext uri="{28A0092B-C50C-407E-A947-70E740481C1C}">
                          <a14:useLocalDpi xmlns:a14="http://schemas.microsoft.com/office/drawing/2010/main" val="0"/>
                        </a:ext>
                      </a:extLst>
                    </a:blip>
                    <a:stretch>
                      <a:fillRect/>
                    </a:stretch>
                  </pic:blipFill>
                  <pic:spPr>
                    <a:xfrm>
                      <a:off x="0" y="0"/>
                      <a:ext cx="576000" cy="396000"/>
                    </a:xfrm>
                    <a:prstGeom prst="rect">
                      <a:avLst/>
                    </a:prstGeom>
                  </pic:spPr>
                </pic:pic>
              </a:graphicData>
            </a:graphic>
            <wp14:sizeRelH relativeFrom="page">
              <wp14:pctWidth>0</wp14:pctWidth>
            </wp14:sizeRelH>
            <wp14:sizeRelV relativeFrom="page">
              <wp14:pctHeight>0</wp14:pctHeight>
            </wp14:sizeRelV>
          </wp:anchor>
        </w:drawing>
      </w:r>
      <w:r w:rsidRPr="0007660D">
        <w:rPr>
          <w:rFonts w:asciiTheme="minorHAnsi" w:hAnsiTheme="minorHAnsi" w:cstheme="minorHAnsi"/>
          <w:b/>
          <w:color w:val="244061" w:themeColor="accent1" w:themeShade="80"/>
          <w:sz w:val="24"/>
          <w:szCs w:val="24"/>
        </w:rPr>
        <w:t xml:space="preserve">Paid Work </w:t>
      </w:r>
    </w:p>
    <w:p w14:paraId="1C95B5AE" w14:textId="77777777" w:rsidR="00C65183" w:rsidRPr="0007660D" w:rsidRDefault="00C65183" w:rsidP="00C65183">
      <w:pPr>
        <w:spacing w:before="60"/>
        <w:jc w:val="both"/>
        <w:rPr>
          <w:rFonts w:asciiTheme="minorHAnsi" w:hAnsiTheme="minorHAnsi" w:cstheme="minorHAnsi"/>
          <w:color w:val="244061" w:themeColor="accent1" w:themeShade="80"/>
          <w:sz w:val="21"/>
          <w:szCs w:val="21"/>
        </w:rPr>
      </w:pPr>
      <w:r w:rsidRPr="0007660D">
        <w:rPr>
          <w:rFonts w:asciiTheme="minorHAnsi" w:hAnsiTheme="minorHAnsi" w:cstheme="minorHAnsi"/>
          <w:color w:val="244061" w:themeColor="accent1" w:themeShade="80"/>
          <w:sz w:val="21"/>
          <w:szCs w:val="21"/>
        </w:rPr>
        <w:t>Women are less likely than men to hold paid work, and fewer of them have full-time jobs. A similar proportion of women and men have professional/managerial jobs, more men are labourers.</w:t>
      </w:r>
    </w:p>
    <w:p w14:paraId="366787EA" w14:textId="77777777" w:rsidR="00C65183" w:rsidRPr="0007660D" w:rsidRDefault="00C65183" w:rsidP="00C65183">
      <w:pPr>
        <w:spacing w:before="60"/>
        <w:jc w:val="both"/>
        <w:rPr>
          <w:rFonts w:asciiTheme="minorHAnsi" w:hAnsiTheme="minorHAnsi" w:cstheme="minorHAnsi"/>
          <w:sz w:val="21"/>
          <w:szCs w:val="21"/>
        </w:rPr>
      </w:pPr>
      <w:r w:rsidRPr="0007660D">
        <w:rPr>
          <w:rFonts w:asciiTheme="minorHAnsi" w:hAnsiTheme="minorHAnsi" w:cstheme="minorHAnsi"/>
          <w:sz w:val="21"/>
          <w:szCs w:val="21"/>
        </w:rPr>
        <w:t xml:space="preserve">In April 2020, 64% of Australian males aged 15+ held paid employment, compared with 55% of females – though the proportion of females who were in paid work has risen 46% since 1978 </w:t>
      </w:r>
      <w:r w:rsidRPr="0007660D">
        <w:rPr>
          <w:rFonts w:asciiTheme="minorHAnsi" w:hAnsiTheme="minorHAnsi" w:cstheme="minorHAnsi"/>
          <w:sz w:val="16"/>
          <w:szCs w:val="16"/>
        </w:rPr>
        <w:t>(Labour Force Australia, 2020, ABS)</w:t>
      </w:r>
      <w:r w:rsidRPr="0007660D">
        <w:rPr>
          <w:rFonts w:asciiTheme="minorHAnsi" w:hAnsiTheme="minorHAnsi" w:cstheme="minorHAnsi"/>
          <w:sz w:val="21"/>
          <w:szCs w:val="21"/>
        </w:rPr>
        <w:t>.</w:t>
      </w:r>
    </w:p>
    <w:p w14:paraId="3CD5DC39" w14:textId="77777777" w:rsidR="00C65183" w:rsidRPr="0007660D" w:rsidRDefault="00C65183" w:rsidP="00C65183">
      <w:pPr>
        <w:spacing w:before="60"/>
        <w:jc w:val="both"/>
        <w:rPr>
          <w:rFonts w:asciiTheme="minorHAnsi" w:hAnsiTheme="minorHAnsi" w:cstheme="minorHAnsi"/>
          <w:sz w:val="21"/>
          <w:szCs w:val="21"/>
        </w:rPr>
      </w:pPr>
      <w:r w:rsidRPr="0007660D">
        <w:rPr>
          <w:rFonts w:asciiTheme="minorHAnsi" w:hAnsiTheme="minorHAnsi" w:cstheme="minorHAnsi"/>
          <w:sz w:val="21"/>
          <w:szCs w:val="21"/>
        </w:rPr>
        <w:t xml:space="preserve">In January 2020, 8.4% of women in the labour force (that is, employed or unemployed) were underemployed, compared with 5.9% of men </w:t>
      </w:r>
      <w:r w:rsidRPr="0007660D">
        <w:rPr>
          <w:rFonts w:asciiTheme="minorHAnsi" w:hAnsiTheme="minorHAnsi" w:cstheme="minorHAnsi"/>
          <w:sz w:val="16"/>
          <w:szCs w:val="16"/>
        </w:rPr>
        <w:t>(Labour force Australia, 2020, ABS)</w:t>
      </w:r>
      <w:r w:rsidRPr="0007660D">
        <w:rPr>
          <w:rFonts w:asciiTheme="minorHAnsi" w:hAnsiTheme="minorHAnsi" w:cstheme="minorHAnsi"/>
          <w:sz w:val="21"/>
          <w:szCs w:val="21"/>
        </w:rPr>
        <w:t>.</w:t>
      </w:r>
    </w:p>
    <w:p w14:paraId="736E43BB" w14:textId="77777777" w:rsidR="00C65183" w:rsidRPr="0007660D" w:rsidRDefault="00C65183" w:rsidP="00C65183">
      <w:pPr>
        <w:spacing w:before="60"/>
        <w:jc w:val="both"/>
        <w:rPr>
          <w:rFonts w:asciiTheme="minorHAnsi" w:hAnsiTheme="minorHAnsi" w:cstheme="minorHAnsi"/>
          <w:sz w:val="21"/>
          <w:szCs w:val="21"/>
        </w:rPr>
      </w:pPr>
      <w:r w:rsidRPr="0007660D">
        <w:rPr>
          <w:rFonts w:asciiTheme="minorHAnsi" w:hAnsiTheme="minorHAnsi" w:cstheme="minorHAnsi"/>
          <w:sz w:val="21"/>
          <w:szCs w:val="21"/>
        </w:rPr>
        <w:t xml:space="preserve">In April 2020, 44% of women and 18% of men in paid employment worked part-time </w:t>
      </w:r>
      <w:r w:rsidRPr="0007660D">
        <w:rPr>
          <w:rFonts w:asciiTheme="minorHAnsi" w:hAnsiTheme="minorHAnsi" w:cstheme="minorHAnsi"/>
          <w:sz w:val="16"/>
          <w:szCs w:val="16"/>
        </w:rPr>
        <w:t>(Labour force Australia, 2020, ABS)</w:t>
      </w:r>
      <w:r w:rsidRPr="0007660D">
        <w:rPr>
          <w:rFonts w:asciiTheme="minorHAnsi" w:hAnsiTheme="minorHAnsi" w:cstheme="minorHAnsi"/>
          <w:sz w:val="21"/>
          <w:szCs w:val="21"/>
        </w:rPr>
        <w:t>.</w:t>
      </w:r>
    </w:p>
    <w:p w14:paraId="682952A5" w14:textId="77777777" w:rsidR="00C65183" w:rsidRPr="0007660D" w:rsidRDefault="00C65183" w:rsidP="00C65183">
      <w:pPr>
        <w:spacing w:before="60"/>
        <w:jc w:val="both"/>
        <w:rPr>
          <w:rFonts w:asciiTheme="minorHAnsi" w:hAnsiTheme="minorHAnsi" w:cstheme="minorHAnsi"/>
          <w:sz w:val="21"/>
          <w:szCs w:val="21"/>
        </w:rPr>
      </w:pPr>
      <w:r w:rsidRPr="0007660D">
        <w:rPr>
          <w:rFonts w:asciiTheme="minorHAnsi" w:hAnsiTheme="minorHAnsi" w:cstheme="minorHAnsi"/>
          <w:sz w:val="21"/>
          <w:szCs w:val="21"/>
        </w:rPr>
        <w:t xml:space="preserve">Of Victorians in paid employment in 2016, 8% of females and 22% of males worked as labourers or machinery operators, while 37% of males and 38% of females were managers or professionals </w:t>
      </w:r>
      <w:r w:rsidRPr="0007660D">
        <w:rPr>
          <w:rFonts w:asciiTheme="minorHAnsi" w:hAnsiTheme="minorHAnsi" w:cstheme="minorHAnsi"/>
          <w:sz w:val="16"/>
          <w:szCs w:val="16"/>
        </w:rPr>
        <w:t>(2016 Census, ABS).</w:t>
      </w:r>
    </w:p>
    <w:p w14:paraId="14546B92" w14:textId="77777777" w:rsidR="00C65183" w:rsidRPr="0007660D" w:rsidRDefault="00C65183" w:rsidP="00C65183">
      <w:pPr>
        <w:spacing w:before="60"/>
        <w:jc w:val="both"/>
        <w:rPr>
          <w:rFonts w:asciiTheme="minorHAnsi" w:hAnsiTheme="minorHAnsi" w:cstheme="minorHAnsi"/>
          <w:sz w:val="21"/>
          <w:szCs w:val="21"/>
        </w:rPr>
      </w:pPr>
      <w:r w:rsidRPr="0007660D">
        <w:rPr>
          <w:rFonts w:asciiTheme="minorHAnsi" w:hAnsiTheme="minorHAnsi" w:cstheme="minorHAnsi"/>
          <w:sz w:val="21"/>
          <w:szCs w:val="21"/>
        </w:rPr>
        <w:t>Occupational segregation is pronounced within certain fields of occupation. Among employed Victorians in 2016, jobs with fewer than 2% women included construction workers, plumbers, carpenters, concreters, bricklayers, glaziers, plasterers, motor mechanics, panel beaters, electricians, truck drivers, tilers and cabinetmakers.</w:t>
      </w:r>
    </w:p>
    <w:p w14:paraId="05AF7B89" w14:textId="77777777" w:rsidR="00C65183" w:rsidRPr="0007660D" w:rsidRDefault="00C65183" w:rsidP="00C65183">
      <w:pPr>
        <w:spacing w:before="60"/>
        <w:jc w:val="both"/>
        <w:rPr>
          <w:rFonts w:asciiTheme="minorHAnsi" w:hAnsiTheme="minorHAnsi" w:cstheme="minorHAnsi"/>
          <w:sz w:val="16"/>
          <w:szCs w:val="16"/>
        </w:rPr>
      </w:pPr>
      <w:r w:rsidRPr="0007660D">
        <w:rPr>
          <w:rFonts w:asciiTheme="minorHAnsi" w:hAnsiTheme="minorHAnsi" w:cstheme="minorHAnsi"/>
          <w:sz w:val="21"/>
          <w:szCs w:val="21"/>
        </w:rPr>
        <w:t xml:space="preserve">By contrast, occupations with 95% or more women included receptionists, secretaries, personal assistants, midwives, dieticians, veterinary nurses, dental assistants, beauty therapists, child carers and preschool teachers </w:t>
      </w:r>
      <w:r w:rsidRPr="0007660D">
        <w:rPr>
          <w:rFonts w:asciiTheme="minorHAnsi" w:hAnsiTheme="minorHAnsi" w:cstheme="minorHAnsi"/>
          <w:sz w:val="16"/>
          <w:szCs w:val="16"/>
        </w:rPr>
        <w:t>(2016 Census, ABS).</w:t>
      </w:r>
    </w:p>
    <w:p w14:paraId="3822F2CA" w14:textId="77777777" w:rsidR="00C65183" w:rsidRPr="0007660D" w:rsidRDefault="00C65183" w:rsidP="00C65183">
      <w:pPr>
        <w:spacing w:before="60"/>
        <w:jc w:val="both"/>
        <w:rPr>
          <w:rFonts w:asciiTheme="minorHAnsi" w:hAnsiTheme="minorHAnsi" w:cstheme="minorHAnsi"/>
          <w:sz w:val="16"/>
          <w:szCs w:val="16"/>
        </w:rPr>
      </w:pPr>
      <w:r w:rsidRPr="0007660D">
        <w:rPr>
          <w:rFonts w:asciiTheme="minorHAnsi" w:hAnsiTheme="minorHAnsi" w:cstheme="minorHAnsi"/>
        </w:rPr>
        <w:t>In 2018/19, women accounted for 19% of permanent members of the Australian Defence Force</w:t>
      </w:r>
      <w:r w:rsidRPr="0007660D">
        <w:rPr>
          <w:rFonts w:asciiTheme="minorHAnsi" w:hAnsiTheme="minorHAnsi" w:cstheme="minorHAnsi"/>
          <w:sz w:val="16"/>
          <w:szCs w:val="16"/>
        </w:rPr>
        <w:t xml:space="preserve"> (Dept. Defence Annual Report 2018/19)</w:t>
      </w:r>
    </w:p>
    <w:p w14:paraId="2FC8F5D1" w14:textId="77777777" w:rsidR="00C65183" w:rsidRPr="0007660D" w:rsidRDefault="00C65183" w:rsidP="00C65183">
      <w:pPr>
        <w:spacing w:before="60"/>
        <w:jc w:val="both"/>
        <w:rPr>
          <w:rFonts w:asciiTheme="minorHAnsi" w:hAnsiTheme="minorHAnsi" w:cstheme="minorHAnsi"/>
        </w:rPr>
      </w:pPr>
      <w:r w:rsidRPr="0007660D">
        <w:rPr>
          <w:rFonts w:asciiTheme="minorHAnsi" w:hAnsiTheme="minorHAnsi" w:cstheme="minorHAnsi"/>
        </w:rPr>
        <w:t>Since 2007, 41 Australian armed forces personnel have died in combat in Afghanistan, all of them males.</w:t>
      </w:r>
    </w:p>
    <w:p w14:paraId="4B8B22E0" w14:textId="77777777" w:rsidR="00C65183" w:rsidRPr="0007660D" w:rsidRDefault="00C65183" w:rsidP="00C65183">
      <w:pPr>
        <w:spacing w:before="240"/>
        <w:jc w:val="both"/>
        <w:rPr>
          <w:rFonts w:asciiTheme="minorHAnsi" w:hAnsiTheme="minorHAnsi" w:cstheme="minorHAnsi"/>
          <w:b/>
          <w:color w:val="244061" w:themeColor="accent1" w:themeShade="80"/>
          <w:sz w:val="24"/>
          <w:szCs w:val="24"/>
        </w:rPr>
      </w:pPr>
      <w:r w:rsidRPr="0007660D">
        <w:rPr>
          <w:rFonts w:asciiTheme="minorHAnsi" w:hAnsiTheme="minorHAnsi" w:cstheme="minorHAnsi"/>
          <w:b/>
          <w:noProof/>
          <w:color w:val="4F81BD" w:themeColor="accent1"/>
          <w:sz w:val="24"/>
          <w:szCs w:val="24"/>
        </w:rPr>
        <w:drawing>
          <wp:anchor distT="0" distB="0" distL="114300" distR="114300" simplePos="0" relativeHeight="251957248" behindDoc="0" locked="0" layoutInCell="1" allowOverlap="1" wp14:anchorId="684AF147" wp14:editId="1E171832">
            <wp:simplePos x="0" y="0"/>
            <wp:positionH relativeFrom="column">
              <wp:posOffset>3810</wp:posOffset>
            </wp:positionH>
            <wp:positionV relativeFrom="paragraph">
              <wp:posOffset>223520</wp:posOffset>
            </wp:positionV>
            <wp:extent cx="576000" cy="396000"/>
            <wp:effectExtent l="0" t="0" r="0" b="4445"/>
            <wp:wrapSquare wrapText="bothSides"/>
            <wp:docPr id="42" name="Picture 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Commerce Employment 1.jpg"/>
                    <pic:cNvPicPr/>
                  </pic:nvPicPr>
                  <pic:blipFill rotWithShape="1">
                    <a:blip r:embed="rId122">
                      <a:extLst>
                        <a:ext uri="{28A0092B-C50C-407E-A947-70E740481C1C}">
                          <a14:useLocalDpi xmlns:a14="http://schemas.microsoft.com/office/drawing/2010/main" val="0"/>
                        </a:ext>
                      </a:extLst>
                    </a:blip>
                    <a:srcRect t="31324" b="24558"/>
                    <a:stretch/>
                  </pic:blipFill>
                  <pic:spPr bwMode="auto">
                    <a:xfrm>
                      <a:off x="0" y="0"/>
                      <a:ext cx="576000" cy="396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7660D">
        <w:rPr>
          <w:rFonts w:asciiTheme="minorHAnsi" w:hAnsiTheme="minorHAnsi" w:cstheme="minorHAnsi"/>
          <w:b/>
          <w:color w:val="244061" w:themeColor="accent1" w:themeShade="80"/>
          <w:sz w:val="24"/>
          <w:szCs w:val="24"/>
        </w:rPr>
        <w:t>Business Leadership</w:t>
      </w:r>
    </w:p>
    <w:p w14:paraId="33C5BDF2" w14:textId="77777777" w:rsidR="00C65183" w:rsidRPr="0007660D" w:rsidRDefault="00C65183" w:rsidP="00C65183">
      <w:pPr>
        <w:spacing w:before="60"/>
        <w:jc w:val="both"/>
        <w:rPr>
          <w:rFonts w:asciiTheme="minorHAnsi" w:hAnsiTheme="minorHAnsi" w:cstheme="minorHAnsi"/>
          <w:color w:val="244061" w:themeColor="accent1" w:themeShade="80"/>
          <w:sz w:val="21"/>
          <w:szCs w:val="21"/>
        </w:rPr>
      </w:pPr>
      <w:r w:rsidRPr="0007660D">
        <w:rPr>
          <w:rFonts w:asciiTheme="minorHAnsi" w:hAnsiTheme="minorHAnsi" w:cstheme="minorHAnsi"/>
          <w:color w:val="244061" w:themeColor="accent1" w:themeShade="80"/>
          <w:sz w:val="21"/>
          <w:szCs w:val="21"/>
        </w:rPr>
        <w:t>Women account for a minority of CEOs and board members, though their representation in such senior positions has risen in recent years.</w:t>
      </w:r>
    </w:p>
    <w:p w14:paraId="4414CD32" w14:textId="77777777" w:rsidR="00C65183" w:rsidRPr="0007660D" w:rsidRDefault="00C65183" w:rsidP="00C65183">
      <w:pPr>
        <w:spacing w:before="60"/>
        <w:jc w:val="both"/>
        <w:rPr>
          <w:rFonts w:asciiTheme="minorHAnsi" w:hAnsiTheme="minorHAnsi" w:cstheme="minorHAnsi"/>
          <w:sz w:val="21"/>
          <w:szCs w:val="21"/>
        </w:rPr>
      </w:pPr>
      <w:r w:rsidRPr="0007660D">
        <w:rPr>
          <w:rFonts w:asciiTheme="minorHAnsi" w:hAnsiTheme="minorHAnsi" w:cstheme="minorHAnsi"/>
        </w:rPr>
        <w:t>In 2018/19, women accounted for 39% of all managers and 44% of all managerial appointments</w:t>
      </w:r>
      <w:r w:rsidRPr="0007660D">
        <w:rPr>
          <w:rFonts w:asciiTheme="minorHAnsi" w:hAnsiTheme="minorHAnsi" w:cstheme="minorHAnsi"/>
          <w:sz w:val="16"/>
          <w:szCs w:val="16"/>
        </w:rPr>
        <w:t xml:space="preserve"> (Gender Equality Scorecard, Workplace Gender Equality Agency)</w:t>
      </w:r>
    </w:p>
    <w:p w14:paraId="6D10E0A9" w14:textId="77777777" w:rsidR="00C65183" w:rsidRPr="0007660D" w:rsidRDefault="00C65183" w:rsidP="00C65183">
      <w:pPr>
        <w:spacing w:before="60"/>
        <w:jc w:val="both"/>
        <w:rPr>
          <w:rFonts w:asciiTheme="minorHAnsi" w:hAnsiTheme="minorHAnsi" w:cstheme="minorHAnsi"/>
          <w:sz w:val="16"/>
          <w:szCs w:val="16"/>
        </w:rPr>
      </w:pPr>
      <w:r w:rsidRPr="0007660D">
        <w:rPr>
          <w:rFonts w:asciiTheme="minorHAnsi" w:hAnsiTheme="minorHAnsi" w:cstheme="minorHAnsi"/>
          <w:sz w:val="21"/>
          <w:szCs w:val="21"/>
        </w:rPr>
        <w:t xml:space="preserve">In 2017/18, Australian women accounted for 17% of CEOs of non-public sector organisations, 31% of their key management personnel, 26% of directors and 14% of chairpersons </w:t>
      </w:r>
      <w:r w:rsidRPr="0007660D">
        <w:rPr>
          <w:rFonts w:asciiTheme="minorHAnsi" w:hAnsiTheme="minorHAnsi" w:cstheme="minorHAnsi"/>
          <w:sz w:val="16"/>
          <w:szCs w:val="16"/>
        </w:rPr>
        <w:t>(</w:t>
      </w:r>
      <w:bookmarkStart w:id="21" w:name="_Hlk52381684"/>
      <w:r w:rsidRPr="0007660D">
        <w:rPr>
          <w:rFonts w:asciiTheme="minorHAnsi" w:hAnsiTheme="minorHAnsi" w:cstheme="minorHAnsi"/>
          <w:sz w:val="16"/>
          <w:szCs w:val="16"/>
        </w:rPr>
        <w:t>Gender Indicators Australia, Nov. 2019, ABS</w:t>
      </w:r>
      <w:bookmarkEnd w:id="21"/>
      <w:r w:rsidRPr="0007660D">
        <w:rPr>
          <w:rFonts w:asciiTheme="minorHAnsi" w:hAnsiTheme="minorHAnsi" w:cstheme="minorHAnsi"/>
          <w:sz w:val="16"/>
          <w:szCs w:val="16"/>
        </w:rPr>
        <w:t>).</w:t>
      </w:r>
    </w:p>
    <w:p w14:paraId="3B87AA02" w14:textId="77777777" w:rsidR="00C65183" w:rsidRPr="0007660D" w:rsidRDefault="00C65183" w:rsidP="00C65183">
      <w:pPr>
        <w:spacing w:before="60"/>
        <w:jc w:val="both"/>
        <w:rPr>
          <w:rFonts w:asciiTheme="minorHAnsi" w:hAnsiTheme="minorHAnsi" w:cstheme="minorHAnsi"/>
          <w:sz w:val="21"/>
          <w:szCs w:val="21"/>
        </w:rPr>
      </w:pPr>
      <w:r w:rsidRPr="0007660D">
        <w:rPr>
          <w:rFonts w:asciiTheme="minorHAnsi" w:hAnsiTheme="minorHAnsi" w:cstheme="minorHAnsi"/>
          <w:sz w:val="21"/>
          <w:szCs w:val="21"/>
        </w:rPr>
        <w:lastRenderedPageBreak/>
        <w:t xml:space="preserve">In 2018, the proportion of women on boards in ASX 200 companies stood at 28% (compared with 8% in 2008) </w:t>
      </w:r>
      <w:r w:rsidRPr="0007660D">
        <w:rPr>
          <w:rFonts w:asciiTheme="minorHAnsi" w:hAnsiTheme="minorHAnsi" w:cstheme="minorHAnsi"/>
          <w:sz w:val="16"/>
          <w:szCs w:val="16"/>
        </w:rPr>
        <w:t>(Women in STEM. Australian Academy of Science, 2019).</w:t>
      </w:r>
    </w:p>
    <w:p w14:paraId="5E91D6E2" w14:textId="77777777" w:rsidR="00C65183" w:rsidRPr="0007660D" w:rsidRDefault="00C65183" w:rsidP="00C65183">
      <w:pPr>
        <w:spacing w:before="60"/>
        <w:jc w:val="both"/>
        <w:rPr>
          <w:rFonts w:asciiTheme="minorHAnsi" w:hAnsiTheme="minorHAnsi" w:cstheme="minorHAnsi"/>
          <w:sz w:val="16"/>
          <w:szCs w:val="16"/>
        </w:rPr>
      </w:pPr>
      <w:r w:rsidRPr="0007660D">
        <w:rPr>
          <w:rFonts w:asciiTheme="minorHAnsi" w:hAnsiTheme="minorHAnsi" w:cstheme="minorHAnsi"/>
          <w:sz w:val="21"/>
          <w:szCs w:val="21"/>
        </w:rPr>
        <w:t xml:space="preserve">In 2018, 19% of 20-64 year-old Australian males and 11% of females, were business owners or managers </w:t>
      </w:r>
      <w:r w:rsidRPr="0007660D">
        <w:rPr>
          <w:rFonts w:asciiTheme="minorHAnsi" w:hAnsiTheme="minorHAnsi" w:cstheme="minorHAnsi"/>
          <w:sz w:val="16"/>
          <w:szCs w:val="16"/>
        </w:rPr>
        <w:t>(Characteristics of Employment, Australia, August 2018, cat. 6333.0).</w:t>
      </w:r>
    </w:p>
    <w:p w14:paraId="1BED72DF" w14:textId="77777777" w:rsidR="00C65183" w:rsidRPr="0007660D" w:rsidRDefault="00C65183" w:rsidP="00C65183">
      <w:pPr>
        <w:spacing w:before="60"/>
        <w:jc w:val="both"/>
        <w:rPr>
          <w:rFonts w:asciiTheme="minorHAnsi" w:hAnsiTheme="minorHAnsi" w:cstheme="minorHAnsi"/>
          <w:sz w:val="21"/>
          <w:szCs w:val="21"/>
        </w:rPr>
      </w:pPr>
      <w:r w:rsidRPr="0007660D">
        <w:rPr>
          <w:rFonts w:asciiTheme="minorHAnsi" w:hAnsiTheme="minorHAnsi" w:cstheme="minorHAnsi"/>
          <w:sz w:val="21"/>
          <w:szCs w:val="21"/>
        </w:rPr>
        <w:t xml:space="preserve">The number of women CEOs of councils in Victoria rose from 11 to 23, between 2000 and 2020 </w:t>
      </w:r>
      <w:r w:rsidRPr="0007660D">
        <w:rPr>
          <w:rFonts w:asciiTheme="minorHAnsi" w:hAnsiTheme="minorHAnsi" w:cstheme="minorHAnsi"/>
          <w:sz w:val="16"/>
          <w:szCs w:val="16"/>
        </w:rPr>
        <w:t>(Victorian Govt, 2020).</w:t>
      </w:r>
    </w:p>
    <w:p w14:paraId="7F5C9585" w14:textId="77777777" w:rsidR="00C65183" w:rsidRPr="0007660D" w:rsidRDefault="00C65183" w:rsidP="00C65183">
      <w:pPr>
        <w:spacing w:before="240"/>
        <w:jc w:val="both"/>
        <w:rPr>
          <w:rFonts w:asciiTheme="minorHAnsi" w:hAnsiTheme="minorHAnsi" w:cstheme="minorHAnsi"/>
          <w:b/>
          <w:color w:val="244061" w:themeColor="accent1" w:themeShade="80"/>
          <w:sz w:val="24"/>
          <w:szCs w:val="24"/>
        </w:rPr>
      </w:pPr>
      <w:r w:rsidRPr="0007660D">
        <w:rPr>
          <w:rFonts w:asciiTheme="minorHAnsi" w:hAnsiTheme="minorHAnsi" w:cstheme="minorHAnsi"/>
          <w:noProof/>
        </w:rPr>
        <w:drawing>
          <wp:anchor distT="0" distB="0" distL="114300" distR="114300" simplePos="0" relativeHeight="251954176" behindDoc="0" locked="0" layoutInCell="1" allowOverlap="1" wp14:anchorId="7708031D" wp14:editId="096C5E48">
            <wp:simplePos x="0" y="0"/>
            <wp:positionH relativeFrom="margin">
              <wp:posOffset>0</wp:posOffset>
            </wp:positionH>
            <wp:positionV relativeFrom="paragraph">
              <wp:posOffset>213360</wp:posOffset>
            </wp:positionV>
            <wp:extent cx="576000" cy="396000"/>
            <wp:effectExtent l="0" t="0" r="0" b="4445"/>
            <wp:wrapSquare wrapText="bothSides"/>
            <wp:docPr id="43" name="Picture 17" descr="1387517_2012_crisis.jpg">
              <a:extLst xmlns:a="http://schemas.openxmlformats.org/drawingml/2006/main">
                <a:ext uri="{FF2B5EF4-FFF2-40B4-BE49-F238E27FC236}">
                  <a16:creationId xmlns:a16="http://schemas.microsoft.com/office/drawing/2014/main" id="{00000000-0008-0000-0300-000012000000}"/>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 name="Picture 17" descr="1387517_2012_crisis.jpg">
                      <a:extLst>
                        <a:ext uri="{FF2B5EF4-FFF2-40B4-BE49-F238E27FC236}">
                          <a16:creationId xmlns:a16="http://schemas.microsoft.com/office/drawing/2014/main" id="{00000000-0008-0000-0300-000012000000}"/>
                        </a:ext>
                      </a:extLst>
                    </pic:cNvPr>
                    <pic:cNvPicPr>
                      <a:picLocks/>
                    </pic:cNvPicPr>
                  </pic:nvPicPr>
                  <pic:blipFill>
                    <a:blip r:embed="rId218" cstate="print">
                      <a:extLst>
                        <a:ext uri="{28A0092B-C50C-407E-A947-70E740481C1C}">
                          <a14:useLocalDpi xmlns:a14="http://schemas.microsoft.com/office/drawing/2010/main" val="0"/>
                        </a:ext>
                      </a:extLst>
                    </a:blip>
                    <a:stretch>
                      <a:fillRect/>
                    </a:stretch>
                  </pic:blipFill>
                  <pic:spPr>
                    <a:xfrm>
                      <a:off x="0" y="0"/>
                      <a:ext cx="576000" cy="396000"/>
                    </a:xfrm>
                    <a:prstGeom prst="rect">
                      <a:avLst/>
                    </a:prstGeom>
                  </pic:spPr>
                </pic:pic>
              </a:graphicData>
            </a:graphic>
            <wp14:sizeRelH relativeFrom="page">
              <wp14:pctWidth>0</wp14:pctWidth>
            </wp14:sizeRelH>
            <wp14:sizeRelV relativeFrom="page">
              <wp14:pctHeight>0</wp14:pctHeight>
            </wp14:sizeRelV>
          </wp:anchor>
        </w:drawing>
      </w:r>
      <w:r w:rsidRPr="0007660D">
        <w:rPr>
          <w:rFonts w:asciiTheme="minorHAnsi" w:hAnsiTheme="minorHAnsi" w:cstheme="minorHAnsi"/>
          <w:b/>
          <w:color w:val="244061" w:themeColor="accent1" w:themeShade="80"/>
          <w:sz w:val="24"/>
          <w:szCs w:val="24"/>
        </w:rPr>
        <w:t>Incomes</w:t>
      </w:r>
    </w:p>
    <w:p w14:paraId="1DE11E95" w14:textId="77777777" w:rsidR="00C65183" w:rsidRPr="0007660D" w:rsidRDefault="00C65183" w:rsidP="00C65183">
      <w:pPr>
        <w:spacing w:before="60"/>
        <w:jc w:val="both"/>
        <w:rPr>
          <w:rFonts w:asciiTheme="minorHAnsi" w:hAnsiTheme="minorHAnsi" w:cstheme="minorHAnsi"/>
          <w:color w:val="244061" w:themeColor="accent1" w:themeShade="80"/>
          <w:sz w:val="21"/>
          <w:szCs w:val="21"/>
        </w:rPr>
      </w:pPr>
      <w:r w:rsidRPr="0007660D">
        <w:rPr>
          <w:rFonts w:asciiTheme="minorHAnsi" w:hAnsiTheme="minorHAnsi" w:cstheme="minorHAnsi"/>
          <w:color w:val="244061" w:themeColor="accent1" w:themeShade="80"/>
          <w:sz w:val="21"/>
          <w:szCs w:val="21"/>
        </w:rPr>
        <w:t>Average hourly rates of pay among women are between 3% and 11% lower than for men. However, on average, women receive far lower incomes and accumulate less superannuation than men, as they are less likely to hold paid employment, work full-time or work overtime.</w:t>
      </w:r>
    </w:p>
    <w:p w14:paraId="605EF8FE" w14:textId="77777777" w:rsidR="00C65183" w:rsidRPr="0007660D" w:rsidRDefault="00C65183" w:rsidP="00C65183">
      <w:pPr>
        <w:spacing w:before="60"/>
        <w:jc w:val="both"/>
        <w:rPr>
          <w:rFonts w:asciiTheme="minorHAnsi" w:hAnsiTheme="minorHAnsi" w:cstheme="minorHAnsi"/>
          <w:sz w:val="16"/>
          <w:szCs w:val="16"/>
        </w:rPr>
      </w:pPr>
      <w:r w:rsidRPr="0007660D">
        <w:rPr>
          <w:rFonts w:asciiTheme="minorHAnsi" w:hAnsiTheme="minorHAnsi" w:cstheme="minorHAnsi"/>
          <w:sz w:val="21"/>
          <w:szCs w:val="21"/>
        </w:rPr>
        <w:t xml:space="preserve">In 2016, median individual gross incomes in Victoria were 37% lower among women than men overall, 12% lower among those in full-time employment, and 3% lower in hourly rates of pay </w:t>
      </w:r>
      <w:r w:rsidRPr="0007660D">
        <w:rPr>
          <w:rFonts w:asciiTheme="minorHAnsi" w:hAnsiTheme="minorHAnsi" w:cstheme="minorHAnsi"/>
          <w:sz w:val="16"/>
          <w:szCs w:val="16"/>
        </w:rPr>
        <w:t>(2016 Census, ABS).</w:t>
      </w:r>
    </w:p>
    <w:p w14:paraId="36831153" w14:textId="77777777" w:rsidR="00C65183" w:rsidRPr="0007660D" w:rsidRDefault="00C65183" w:rsidP="00C65183">
      <w:pPr>
        <w:spacing w:before="60"/>
        <w:jc w:val="both"/>
        <w:rPr>
          <w:rFonts w:asciiTheme="minorHAnsi" w:hAnsiTheme="minorHAnsi" w:cstheme="minorHAnsi"/>
          <w:sz w:val="21"/>
          <w:szCs w:val="21"/>
        </w:rPr>
      </w:pPr>
      <w:r w:rsidRPr="0007660D">
        <w:rPr>
          <w:rFonts w:asciiTheme="minorHAnsi" w:hAnsiTheme="minorHAnsi" w:cstheme="minorHAnsi"/>
        </w:rPr>
        <w:t xml:space="preserve">Applying a slightly difference procedure though, the Australian Bureau of Statistics reported that in 2018, the median average </w:t>
      </w:r>
      <w:r w:rsidRPr="0007660D">
        <w:rPr>
          <w:rFonts w:asciiTheme="minorHAnsi" w:hAnsiTheme="minorHAnsi" w:cstheme="minorHAnsi"/>
          <w:i/>
        </w:rPr>
        <w:t>hourly</w:t>
      </w:r>
      <w:r w:rsidRPr="0007660D">
        <w:rPr>
          <w:rFonts w:asciiTheme="minorHAnsi" w:hAnsiTheme="minorHAnsi" w:cstheme="minorHAnsi"/>
          <w:sz w:val="21"/>
          <w:szCs w:val="21"/>
        </w:rPr>
        <w:t xml:space="preserve"> income of women in employment in Australia was recorded as 89% that of men in employment - an 11% difference </w:t>
      </w:r>
      <w:r w:rsidRPr="0007660D">
        <w:rPr>
          <w:rFonts w:asciiTheme="minorHAnsi" w:hAnsiTheme="minorHAnsi" w:cstheme="minorHAnsi"/>
          <w:sz w:val="16"/>
          <w:szCs w:val="16"/>
        </w:rPr>
        <w:t>(Survey of Employee Earnings and Hours, Australia, August 2018, cat. 6306.0).</w:t>
      </w:r>
    </w:p>
    <w:p w14:paraId="5D3C69F4" w14:textId="77777777" w:rsidR="00C65183" w:rsidRPr="0007660D" w:rsidRDefault="00C65183" w:rsidP="00C65183">
      <w:pPr>
        <w:spacing w:before="60"/>
        <w:jc w:val="both"/>
        <w:rPr>
          <w:rFonts w:asciiTheme="minorHAnsi" w:hAnsiTheme="minorHAnsi" w:cstheme="minorHAnsi"/>
          <w:sz w:val="16"/>
          <w:szCs w:val="16"/>
        </w:rPr>
      </w:pPr>
      <w:r w:rsidRPr="0007660D">
        <w:rPr>
          <w:rFonts w:asciiTheme="minorHAnsi" w:hAnsiTheme="minorHAnsi" w:cstheme="minorHAnsi"/>
          <w:sz w:val="21"/>
          <w:szCs w:val="21"/>
        </w:rPr>
        <w:t xml:space="preserve">In 2017/18, the median superannuation account balance among Australians aged 55-64 was $183,000 among men and $119,000 among women – 65% of the male average </w:t>
      </w:r>
      <w:r w:rsidRPr="0007660D">
        <w:rPr>
          <w:rFonts w:asciiTheme="minorHAnsi" w:hAnsiTheme="minorHAnsi" w:cstheme="minorHAnsi"/>
          <w:sz w:val="16"/>
          <w:szCs w:val="16"/>
        </w:rPr>
        <w:t xml:space="preserve">(Household Income and Wealth, Australia, 2017–18, cat. 6523.0). </w:t>
      </w:r>
      <w:r w:rsidRPr="0007660D">
        <w:rPr>
          <w:rFonts w:asciiTheme="minorHAnsi" w:hAnsiTheme="minorHAnsi" w:cstheme="minorHAnsi"/>
        </w:rPr>
        <w:t xml:space="preserve">Overall account balances for all women and men in 2015/16 stood at $111,853 for men and $68,499 for women. Women’s average balance rose from 54% of men to 61% during the previous two years </w:t>
      </w:r>
      <w:r w:rsidRPr="0007660D">
        <w:rPr>
          <w:rFonts w:asciiTheme="minorHAnsi" w:hAnsiTheme="minorHAnsi" w:cstheme="minorHAnsi"/>
          <w:sz w:val="16"/>
          <w:szCs w:val="16"/>
        </w:rPr>
        <w:t>(Superannuation Account Balances by Age and Gender. Ross Clare, ASFA Research and Resource Centre)</w:t>
      </w:r>
    </w:p>
    <w:p w14:paraId="71B99672" w14:textId="77777777" w:rsidR="00C65183" w:rsidRPr="0007660D" w:rsidRDefault="00C65183" w:rsidP="00C65183">
      <w:pPr>
        <w:spacing w:beforeLines="40" w:before="96"/>
        <w:jc w:val="both"/>
        <w:rPr>
          <w:rFonts w:asciiTheme="minorHAnsi" w:hAnsiTheme="minorHAnsi" w:cstheme="minorHAnsi"/>
          <w:b/>
          <w:color w:val="244061" w:themeColor="accent1" w:themeShade="80"/>
          <w:sz w:val="24"/>
          <w:szCs w:val="24"/>
        </w:rPr>
      </w:pPr>
      <w:r w:rsidRPr="0007660D">
        <w:rPr>
          <w:rFonts w:asciiTheme="minorHAnsi" w:hAnsiTheme="minorHAnsi" w:cstheme="minorHAnsi"/>
          <w:noProof/>
        </w:rPr>
        <w:drawing>
          <wp:anchor distT="0" distB="0" distL="114300" distR="114300" simplePos="0" relativeHeight="251956224" behindDoc="0" locked="0" layoutInCell="1" allowOverlap="1" wp14:anchorId="1D69B59E" wp14:editId="7B69307B">
            <wp:simplePos x="0" y="0"/>
            <wp:positionH relativeFrom="column">
              <wp:posOffset>3810</wp:posOffset>
            </wp:positionH>
            <wp:positionV relativeFrom="paragraph">
              <wp:posOffset>122555</wp:posOffset>
            </wp:positionV>
            <wp:extent cx="576000" cy="396000"/>
            <wp:effectExtent l="0" t="0" r="0" b="4445"/>
            <wp:wrapSquare wrapText="bothSides"/>
            <wp:docPr id="44" name="Picture 8" descr="5 Arrived past 18 months.jpg">
              <a:extLst xmlns:a="http://schemas.openxmlformats.org/drawingml/2006/main">
                <a:ext uri="{FF2B5EF4-FFF2-40B4-BE49-F238E27FC236}">
                  <a16:creationId xmlns:a16="http://schemas.microsoft.com/office/drawing/2014/main" id="{00000000-0008-0000-0300-000009000000}"/>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Picture 8" descr="5 Arrived past 18 months.jpg">
                      <a:extLst>
                        <a:ext uri="{FF2B5EF4-FFF2-40B4-BE49-F238E27FC236}">
                          <a16:creationId xmlns:a16="http://schemas.microsoft.com/office/drawing/2014/main" id="{00000000-0008-0000-0300-000009000000}"/>
                        </a:ext>
                      </a:extLst>
                    </pic:cNvPr>
                    <pic:cNvPicPr>
                      <a:picLocks/>
                    </pic:cNvPicPr>
                  </pic:nvPicPr>
                  <pic:blipFill>
                    <a:blip r:embed="rId219" cstate="print">
                      <a:extLst>
                        <a:ext uri="{28A0092B-C50C-407E-A947-70E740481C1C}">
                          <a14:useLocalDpi xmlns:a14="http://schemas.microsoft.com/office/drawing/2010/main" val="0"/>
                        </a:ext>
                      </a:extLst>
                    </a:blip>
                    <a:stretch>
                      <a:fillRect/>
                    </a:stretch>
                  </pic:blipFill>
                  <pic:spPr>
                    <a:xfrm>
                      <a:off x="0" y="0"/>
                      <a:ext cx="576000" cy="396000"/>
                    </a:xfrm>
                    <a:prstGeom prst="rect">
                      <a:avLst/>
                    </a:prstGeom>
                  </pic:spPr>
                </pic:pic>
              </a:graphicData>
            </a:graphic>
            <wp14:sizeRelH relativeFrom="page">
              <wp14:pctWidth>0</wp14:pctWidth>
            </wp14:sizeRelH>
            <wp14:sizeRelV relativeFrom="page">
              <wp14:pctHeight>0</wp14:pctHeight>
            </wp14:sizeRelV>
          </wp:anchor>
        </w:drawing>
      </w:r>
      <w:r w:rsidRPr="0007660D">
        <w:rPr>
          <w:rFonts w:asciiTheme="minorHAnsi" w:hAnsiTheme="minorHAnsi" w:cstheme="minorHAnsi"/>
          <w:b/>
          <w:color w:val="244061" w:themeColor="accent1" w:themeShade="80"/>
          <w:sz w:val="24"/>
          <w:szCs w:val="24"/>
        </w:rPr>
        <w:t>Families and Households</w:t>
      </w:r>
    </w:p>
    <w:p w14:paraId="77CD8753" w14:textId="77777777" w:rsidR="00C65183" w:rsidRPr="0007660D" w:rsidRDefault="00C65183" w:rsidP="00C65183">
      <w:pPr>
        <w:spacing w:before="60"/>
        <w:jc w:val="both"/>
        <w:rPr>
          <w:rFonts w:asciiTheme="minorHAnsi" w:hAnsiTheme="minorHAnsi" w:cstheme="minorHAnsi"/>
          <w:color w:val="244061" w:themeColor="accent1" w:themeShade="80"/>
          <w:sz w:val="21"/>
          <w:szCs w:val="21"/>
        </w:rPr>
      </w:pPr>
      <w:r w:rsidRPr="0007660D">
        <w:rPr>
          <w:rFonts w:asciiTheme="minorHAnsi" w:hAnsiTheme="minorHAnsi" w:cstheme="minorHAnsi"/>
          <w:color w:val="244061" w:themeColor="accent1" w:themeShade="80"/>
          <w:sz w:val="21"/>
          <w:szCs w:val="21"/>
        </w:rPr>
        <w:t>Women are more likely than men to marry in early adulthood, account for most sole parents, and in older age more often live alone - due largely to their greater longevity.</w:t>
      </w:r>
    </w:p>
    <w:p w14:paraId="22CD7B5B" w14:textId="77777777" w:rsidR="00C65183" w:rsidRPr="0007660D" w:rsidRDefault="00C65183" w:rsidP="00C65183">
      <w:pPr>
        <w:spacing w:before="60"/>
        <w:jc w:val="both"/>
        <w:rPr>
          <w:rFonts w:asciiTheme="minorHAnsi" w:hAnsiTheme="minorHAnsi" w:cstheme="minorHAnsi"/>
          <w:sz w:val="21"/>
          <w:szCs w:val="21"/>
        </w:rPr>
      </w:pPr>
      <w:r w:rsidRPr="0007660D">
        <w:rPr>
          <w:rFonts w:asciiTheme="minorHAnsi" w:hAnsiTheme="minorHAnsi" w:cstheme="minorHAnsi"/>
          <w:sz w:val="21"/>
          <w:szCs w:val="21"/>
        </w:rPr>
        <w:t xml:space="preserve">In 2016, over four-fifths (82%) of sole parents in Victoria were females. Female sole parents in Victoria receive lower median weekly incomes ($602 compared with $826) and less likely to be in paid employment (52% compared with 61%), than their male counterparts </w:t>
      </w:r>
      <w:r w:rsidRPr="0007660D">
        <w:rPr>
          <w:rFonts w:asciiTheme="minorHAnsi" w:hAnsiTheme="minorHAnsi" w:cstheme="minorHAnsi"/>
          <w:sz w:val="16"/>
          <w:szCs w:val="16"/>
        </w:rPr>
        <w:t>(2016 Census, ABS).</w:t>
      </w:r>
    </w:p>
    <w:p w14:paraId="400223CE" w14:textId="77777777" w:rsidR="00C65183" w:rsidRPr="0007660D" w:rsidRDefault="00C65183" w:rsidP="00C65183">
      <w:pPr>
        <w:spacing w:before="60"/>
        <w:jc w:val="both"/>
        <w:rPr>
          <w:rFonts w:asciiTheme="minorHAnsi" w:hAnsiTheme="minorHAnsi" w:cstheme="minorHAnsi"/>
          <w:sz w:val="16"/>
          <w:szCs w:val="16"/>
        </w:rPr>
      </w:pPr>
      <w:r w:rsidRPr="0007660D">
        <w:rPr>
          <w:rFonts w:asciiTheme="minorHAnsi" w:hAnsiTheme="minorHAnsi" w:cstheme="minorHAnsi"/>
          <w:sz w:val="21"/>
          <w:szCs w:val="21"/>
        </w:rPr>
        <w:t xml:space="preserve">In 2016, 6.5% of Victorian women aged 20-24 years, and 2.8% of males, were married </w:t>
      </w:r>
      <w:r w:rsidRPr="0007660D">
        <w:rPr>
          <w:rFonts w:asciiTheme="minorHAnsi" w:hAnsiTheme="minorHAnsi" w:cstheme="minorHAnsi"/>
          <w:sz w:val="16"/>
          <w:szCs w:val="16"/>
        </w:rPr>
        <w:t>(2016 Census, ABS).</w:t>
      </w:r>
    </w:p>
    <w:p w14:paraId="2D247632" w14:textId="77777777" w:rsidR="00C65183" w:rsidRPr="0007660D" w:rsidRDefault="00C65183" w:rsidP="00C65183">
      <w:pPr>
        <w:spacing w:before="60"/>
        <w:jc w:val="both"/>
        <w:rPr>
          <w:rFonts w:asciiTheme="minorHAnsi" w:hAnsiTheme="minorHAnsi" w:cstheme="minorHAnsi"/>
          <w:sz w:val="16"/>
          <w:szCs w:val="16"/>
        </w:rPr>
      </w:pPr>
      <w:r w:rsidRPr="0007660D">
        <w:rPr>
          <w:rFonts w:asciiTheme="minorHAnsi" w:hAnsiTheme="minorHAnsi" w:cstheme="minorHAnsi"/>
          <w:sz w:val="21"/>
          <w:szCs w:val="21"/>
        </w:rPr>
        <w:t>4.6% of Australian two-parent families feature a stay-at-home father and 29% a stay-at-home mother</w:t>
      </w:r>
      <w:r w:rsidRPr="0007660D">
        <w:rPr>
          <w:rFonts w:asciiTheme="minorHAnsi" w:hAnsiTheme="minorHAnsi" w:cstheme="minorHAnsi"/>
          <w:sz w:val="16"/>
          <w:szCs w:val="16"/>
        </w:rPr>
        <w:t xml:space="preserve"> (2018, Inst. Family Studies. Stay at home fathers in Australia).</w:t>
      </w:r>
    </w:p>
    <w:p w14:paraId="6AD72644" w14:textId="77777777" w:rsidR="00C65183" w:rsidRPr="0007660D" w:rsidRDefault="00C65183" w:rsidP="00C65183">
      <w:pPr>
        <w:spacing w:before="60"/>
        <w:jc w:val="both"/>
        <w:rPr>
          <w:rFonts w:asciiTheme="minorHAnsi" w:hAnsiTheme="minorHAnsi" w:cstheme="minorHAnsi"/>
          <w:sz w:val="21"/>
          <w:szCs w:val="21"/>
        </w:rPr>
      </w:pPr>
      <w:r w:rsidRPr="0007660D">
        <w:rPr>
          <w:rFonts w:asciiTheme="minorHAnsi" w:hAnsiTheme="minorHAnsi" w:cstheme="minorHAnsi"/>
        </w:rPr>
        <w:t xml:space="preserve">80% to 95% of women change their name to match that of their husband, while 3% of husbands changed their name to that of their partner </w:t>
      </w:r>
      <w:r w:rsidRPr="0007660D">
        <w:rPr>
          <w:rFonts w:asciiTheme="minorHAnsi" w:hAnsiTheme="minorHAnsi" w:cstheme="minorHAnsi"/>
          <w:sz w:val="16"/>
          <w:szCs w:val="16"/>
        </w:rPr>
        <w:t>(Victorian Registry of Births, Deaths and Marriages between 2005 and 2010).</w:t>
      </w:r>
    </w:p>
    <w:p w14:paraId="5AE3F131" w14:textId="77777777" w:rsidR="00C65183" w:rsidRPr="0007660D" w:rsidRDefault="00C65183" w:rsidP="00C65183">
      <w:pPr>
        <w:spacing w:before="60"/>
        <w:jc w:val="both"/>
        <w:rPr>
          <w:rFonts w:asciiTheme="minorHAnsi" w:hAnsiTheme="minorHAnsi" w:cstheme="minorHAnsi"/>
          <w:sz w:val="21"/>
          <w:szCs w:val="21"/>
        </w:rPr>
      </w:pPr>
      <w:r w:rsidRPr="0007660D">
        <w:rPr>
          <w:rFonts w:asciiTheme="minorHAnsi" w:hAnsiTheme="minorHAnsi" w:cstheme="minorHAnsi"/>
          <w:sz w:val="21"/>
          <w:szCs w:val="21"/>
        </w:rPr>
        <w:t xml:space="preserve">Among Victorian aged 65+ in 2016, 31% of women and 17% of men lived alone </w:t>
      </w:r>
      <w:r w:rsidRPr="0007660D">
        <w:rPr>
          <w:rFonts w:asciiTheme="minorHAnsi" w:hAnsiTheme="minorHAnsi" w:cstheme="minorHAnsi"/>
          <w:sz w:val="16"/>
          <w:szCs w:val="16"/>
        </w:rPr>
        <w:t xml:space="preserve">(2016 Census, ABS). </w:t>
      </w:r>
    </w:p>
    <w:p w14:paraId="75A8D39E" w14:textId="77777777" w:rsidR="00C65183" w:rsidRPr="0007660D" w:rsidRDefault="00C65183" w:rsidP="00C65183">
      <w:pPr>
        <w:spacing w:before="60"/>
        <w:jc w:val="both"/>
        <w:rPr>
          <w:rFonts w:asciiTheme="minorHAnsi" w:hAnsiTheme="minorHAnsi" w:cstheme="minorHAnsi"/>
          <w:sz w:val="21"/>
          <w:szCs w:val="21"/>
        </w:rPr>
      </w:pPr>
      <w:r w:rsidRPr="0007660D">
        <w:rPr>
          <w:rFonts w:asciiTheme="minorHAnsi" w:hAnsiTheme="minorHAnsi" w:cstheme="minorHAnsi"/>
          <w:sz w:val="21"/>
          <w:szCs w:val="21"/>
        </w:rPr>
        <w:t xml:space="preserve">In 2016, males accounted for 63% of people living in hostels for the homeless, night shelters, refuges, boarding houses, squats or improvised shelters, and females for 37% </w:t>
      </w:r>
      <w:r w:rsidRPr="0007660D">
        <w:rPr>
          <w:rFonts w:asciiTheme="minorHAnsi" w:hAnsiTheme="minorHAnsi" w:cstheme="minorHAnsi"/>
          <w:sz w:val="16"/>
          <w:szCs w:val="16"/>
        </w:rPr>
        <w:t>(Census 2016, ABS customised tabulation)</w:t>
      </w:r>
      <w:r w:rsidRPr="0007660D">
        <w:rPr>
          <w:rFonts w:asciiTheme="minorHAnsi" w:hAnsiTheme="minorHAnsi" w:cstheme="minorHAnsi"/>
          <w:sz w:val="21"/>
          <w:szCs w:val="21"/>
        </w:rPr>
        <w:t xml:space="preserve">, while overall, 58% of homeless people in Victoria were males </w:t>
      </w:r>
      <w:r w:rsidRPr="0007660D">
        <w:rPr>
          <w:rFonts w:asciiTheme="minorHAnsi" w:hAnsiTheme="minorHAnsi" w:cstheme="minorHAnsi"/>
          <w:sz w:val="16"/>
          <w:szCs w:val="16"/>
        </w:rPr>
        <w:t>(ABS, Census of Population and Housing: Estimating homelessness, 2016)</w:t>
      </w:r>
      <w:r w:rsidRPr="0007660D">
        <w:rPr>
          <w:rFonts w:asciiTheme="minorHAnsi" w:hAnsiTheme="minorHAnsi" w:cstheme="minorHAnsi"/>
          <w:sz w:val="21"/>
          <w:szCs w:val="21"/>
        </w:rPr>
        <w:t>.</w:t>
      </w:r>
    </w:p>
    <w:p w14:paraId="68CB4709" w14:textId="77777777" w:rsidR="00C65183" w:rsidRPr="0007660D" w:rsidRDefault="00C65183" w:rsidP="00C65183">
      <w:pPr>
        <w:spacing w:before="60"/>
        <w:jc w:val="both"/>
        <w:rPr>
          <w:rFonts w:asciiTheme="minorHAnsi" w:hAnsiTheme="minorHAnsi" w:cstheme="minorHAnsi"/>
          <w:sz w:val="16"/>
          <w:szCs w:val="16"/>
        </w:rPr>
      </w:pPr>
      <w:r w:rsidRPr="0007660D">
        <w:rPr>
          <w:rFonts w:asciiTheme="minorHAnsi" w:hAnsiTheme="minorHAnsi" w:cstheme="minorHAnsi"/>
          <w:sz w:val="21"/>
          <w:szCs w:val="21"/>
        </w:rPr>
        <w:t xml:space="preserve">Women are more likely to seek assistance for housing crises, with 57,700 women accessing Victoria’s Specialist Homelessness Services in 2017/18, compared with 40,100 men </w:t>
      </w:r>
      <w:r w:rsidRPr="0007660D">
        <w:rPr>
          <w:rFonts w:asciiTheme="minorHAnsi" w:hAnsiTheme="minorHAnsi" w:cstheme="minorHAnsi"/>
          <w:sz w:val="16"/>
          <w:szCs w:val="16"/>
        </w:rPr>
        <w:t>(Aust Institute of Health and Welfare, Specialist Homeless Service Collection Client Location, by Sex).</w:t>
      </w:r>
    </w:p>
    <w:p w14:paraId="5971212C" w14:textId="77777777" w:rsidR="00C65183" w:rsidRPr="0007660D" w:rsidRDefault="00C65183" w:rsidP="00C65183">
      <w:pPr>
        <w:spacing w:beforeLines="40" w:before="96"/>
        <w:jc w:val="both"/>
        <w:rPr>
          <w:rFonts w:asciiTheme="minorHAnsi" w:hAnsiTheme="minorHAnsi" w:cstheme="minorHAnsi"/>
          <w:b/>
          <w:color w:val="244061" w:themeColor="accent1" w:themeShade="80"/>
          <w:sz w:val="24"/>
          <w:szCs w:val="24"/>
        </w:rPr>
      </w:pPr>
      <w:r w:rsidRPr="0007660D">
        <w:rPr>
          <w:rFonts w:asciiTheme="minorHAnsi" w:hAnsiTheme="minorHAnsi" w:cstheme="minorHAnsi"/>
          <w:noProof/>
          <w:lang w:eastAsia="en-AU"/>
        </w:rPr>
        <w:drawing>
          <wp:anchor distT="0" distB="0" distL="114300" distR="114300" simplePos="0" relativeHeight="251959296" behindDoc="0" locked="0" layoutInCell="1" allowOverlap="1" wp14:anchorId="0D75E6D5" wp14:editId="7F252E80">
            <wp:simplePos x="0" y="0"/>
            <wp:positionH relativeFrom="margin">
              <wp:posOffset>3810</wp:posOffset>
            </wp:positionH>
            <wp:positionV relativeFrom="paragraph">
              <wp:posOffset>138430</wp:posOffset>
            </wp:positionV>
            <wp:extent cx="576000" cy="396000"/>
            <wp:effectExtent l="0" t="0" r="0" b="4445"/>
            <wp:wrapSquare wrapText="bothSides"/>
            <wp:docPr id="47" name="Picture 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ommunity Ethnic 20.jpg"/>
                    <pic:cNvPicPr/>
                  </pic:nvPicPr>
                  <pic:blipFill>
                    <a:blip r:embed="rId220" cstate="print">
                      <a:extLst>
                        <a:ext uri="{28A0092B-C50C-407E-A947-70E740481C1C}">
                          <a14:useLocalDpi xmlns:a14="http://schemas.microsoft.com/office/drawing/2010/main" val="0"/>
                        </a:ext>
                      </a:extLst>
                    </a:blip>
                    <a:stretch>
                      <a:fillRect/>
                    </a:stretch>
                  </pic:blipFill>
                  <pic:spPr>
                    <a:xfrm>
                      <a:off x="0" y="0"/>
                      <a:ext cx="576000" cy="396000"/>
                    </a:xfrm>
                    <a:prstGeom prst="rect">
                      <a:avLst/>
                    </a:prstGeom>
                    <a:ln>
                      <a:noFill/>
                    </a:ln>
                    <a:effectLst/>
                  </pic:spPr>
                </pic:pic>
              </a:graphicData>
            </a:graphic>
            <wp14:sizeRelH relativeFrom="page">
              <wp14:pctWidth>0</wp14:pctWidth>
            </wp14:sizeRelH>
            <wp14:sizeRelV relativeFrom="page">
              <wp14:pctHeight>0</wp14:pctHeight>
            </wp14:sizeRelV>
          </wp:anchor>
        </w:drawing>
      </w:r>
      <w:r w:rsidRPr="0007660D">
        <w:rPr>
          <w:rFonts w:asciiTheme="minorHAnsi" w:hAnsiTheme="minorHAnsi" w:cstheme="minorHAnsi"/>
          <w:b/>
          <w:color w:val="244061" w:themeColor="accent1" w:themeShade="80"/>
          <w:sz w:val="24"/>
          <w:szCs w:val="24"/>
        </w:rPr>
        <w:t>Civic Engagement</w:t>
      </w:r>
    </w:p>
    <w:p w14:paraId="64128D51" w14:textId="77777777" w:rsidR="00C65183" w:rsidRPr="0007660D" w:rsidRDefault="00C65183" w:rsidP="00C65183">
      <w:pPr>
        <w:spacing w:before="60"/>
        <w:jc w:val="both"/>
        <w:rPr>
          <w:rFonts w:asciiTheme="minorHAnsi" w:hAnsiTheme="minorHAnsi" w:cstheme="minorHAnsi"/>
          <w:color w:val="244061" w:themeColor="accent1" w:themeShade="80"/>
          <w:sz w:val="21"/>
          <w:szCs w:val="21"/>
        </w:rPr>
      </w:pPr>
      <w:r w:rsidRPr="0007660D">
        <w:rPr>
          <w:rFonts w:asciiTheme="minorHAnsi" w:hAnsiTheme="minorHAnsi" w:cstheme="minorHAnsi"/>
          <w:color w:val="244061" w:themeColor="accent1" w:themeShade="80"/>
          <w:sz w:val="21"/>
          <w:szCs w:val="21"/>
        </w:rPr>
        <w:t>Women are under-represented among members of Federal parliament and cabinet, the judiciary, ministers of religion and participants in community support groups.</w:t>
      </w:r>
    </w:p>
    <w:p w14:paraId="36C451B0" w14:textId="77777777" w:rsidR="00C65183" w:rsidRPr="0007660D" w:rsidRDefault="00C65183" w:rsidP="00C65183">
      <w:pPr>
        <w:spacing w:before="60"/>
        <w:jc w:val="both"/>
        <w:rPr>
          <w:rFonts w:asciiTheme="minorHAnsi" w:hAnsiTheme="minorHAnsi" w:cstheme="minorHAnsi"/>
          <w:sz w:val="21"/>
          <w:szCs w:val="21"/>
        </w:rPr>
      </w:pPr>
      <w:r w:rsidRPr="0007660D">
        <w:rPr>
          <w:rFonts w:asciiTheme="minorHAnsi" w:hAnsiTheme="minorHAnsi" w:cstheme="minorHAnsi"/>
          <w:sz w:val="21"/>
          <w:szCs w:val="21"/>
        </w:rPr>
        <w:t xml:space="preserve">In 2014, 28% of Australian men and 37% of women were involved in community support groups </w:t>
      </w:r>
      <w:r w:rsidRPr="0007660D">
        <w:rPr>
          <w:rFonts w:asciiTheme="minorHAnsi" w:hAnsiTheme="minorHAnsi" w:cstheme="minorHAnsi"/>
          <w:sz w:val="16"/>
          <w:szCs w:val="16"/>
        </w:rPr>
        <w:t>(General Social Survey, Australia, 2014, cat. 4159.0).</w:t>
      </w:r>
    </w:p>
    <w:p w14:paraId="247EB10B" w14:textId="77777777" w:rsidR="00C65183" w:rsidRPr="0007660D" w:rsidRDefault="00C65183" w:rsidP="00C65183">
      <w:pPr>
        <w:spacing w:before="60"/>
        <w:jc w:val="both"/>
        <w:rPr>
          <w:rFonts w:asciiTheme="minorHAnsi" w:hAnsiTheme="minorHAnsi" w:cstheme="minorHAnsi"/>
          <w:sz w:val="21"/>
          <w:szCs w:val="21"/>
        </w:rPr>
      </w:pPr>
      <w:r w:rsidRPr="0007660D">
        <w:rPr>
          <w:rFonts w:asciiTheme="minorHAnsi" w:hAnsiTheme="minorHAnsi" w:cstheme="minorHAnsi"/>
          <w:sz w:val="21"/>
          <w:szCs w:val="21"/>
        </w:rPr>
        <w:t xml:space="preserve">In 2016, 19% of Victorian males aged over 14 years, and 22% of females, had volunteered in the previous year </w:t>
      </w:r>
      <w:r w:rsidRPr="0007660D">
        <w:rPr>
          <w:rFonts w:asciiTheme="minorHAnsi" w:hAnsiTheme="minorHAnsi" w:cstheme="minorHAnsi"/>
          <w:sz w:val="16"/>
          <w:szCs w:val="16"/>
        </w:rPr>
        <w:t>(2016 Census, ABS).</w:t>
      </w:r>
    </w:p>
    <w:p w14:paraId="2B5AC040" w14:textId="77777777" w:rsidR="00C65183" w:rsidRPr="0007660D" w:rsidRDefault="00C65183" w:rsidP="00C65183">
      <w:pPr>
        <w:spacing w:before="60"/>
        <w:jc w:val="both"/>
        <w:rPr>
          <w:rFonts w:asciiTheme="minorHAnsi" w:hAnsiTheme="minorHAnsi" w:cstheme="minorHAnsi"/>
          <w:sz w:val="21"/>
          <w:szCs w:val="21"/>
        </w:rPr>
      </w:pPr>
      <w:r w:rsidRPr="0007660D">
        <w:rPr>
          <w:rFonts w:asciiTheme="minorHAnsi" w:hAnsiTheme="minorHAnsi" w:cstheme="minorHAnsi"/>
          <w:sz w:val="21"/>
          <w:szCs w:val="21"/>
        </w:rPr>
        <w:t xml:space="preserve">The 2016 Census disclosed that 31% of Victorian residents whose occupation was classified as 'minister of religion' were women (up slightly, from 29% in 2011) – including none among those who identify as Hindus and Muslims, 5% who adhere to Judaism, 31% of Christians and 40% of Buddhists. </w:t>
      </w:r>
      <w:r w:rsidRPr="0007660D">
        <w:rPr>
          <w:rFonts w:asciiTheme="minorHAnsi" w:hAnsiTheme="minorHAnsi" w:cstheme="minorHAnsi"/>
          <w:sz w:val="16"/>
          <w:szCs w:val="16"/>
        </w:rPr>
        <w:t>(2016 Census, ABS).</w:t>
      </w:r>
    </w:p>
    <w:p w14:paraId="538E1524" w14:textId="77777777" w:rsidR="00C65183" w:rsidRPr="0007660D" w:rsidRDefault="00C65183" w:rsidP="00C65183">
      <w:pPr>
        <w:spacing w:before="60"/>
        <w:jc w:val="both"/>
        <w:rPr>
          <w:rFonts w:asciiTheme="minorHAnsi" w:hAnsiTheme="minorHAnsi" w:cstheme="minorHAnsi"/>
          <w:sz w:val="16"/>
          <w:szCs w:val="16"/>
        </w:rPr>
      </w:pPr>
      <w:r w:rsidRPr="0007660D">
        <w:rPr>
          <w:rFonts w:asciiTheme="minorHAnsi" w:hAnsiTheme="minorHAnsi" w:cstheme="minorHAnsi"/>
          <w:sz w:val="21"/>
          <w:szCs w:val="21"/>
        </w:rPr>
        <w:t xml:space="preserve">In 2019, women accounted for 30% of members of the Federal House of Representatives (or 45 of 150), 40% of Senators (30 of 76), 26% of Federal Government ministers and 26% of cabinet ministers. </w:t>
      </w:r>
      <w:r w:rsidRPr="0007660D">
        <w:rPr>
          <w:rFonts w:asciiTheme="minorHAnsi" w:hAnsiTheme="minorHAnsi" w:cstheme="minorHAnsi"/>
          <w:sz w:val="16"/>
          <w:szCs w:val="16"/>
        </w:rPr>
        <w:t xml:space="preserve">(Commonwealth Parliamentary Library, Australia, Count of Federal parliamentarians). </w:t>
      </w:r>
      <w:r w:rsidRPr="0007660D">
        <w:rPr>
          <w:rFonts w:asciiTheme="minorHAnsi" w:hAnsiTheme="minorHAnsi" w:cstheme="minorHAnsi"/>
        </w:rPr>
        <w:t>Across the world in 2019</w:t>
      </w:r>
      <w:r w:rsidRPr="0007660D">
        <w:rPr>
          <w:rFonts w:asciiTheme="minorHAnsi" w:hAnsiTheme="minorHAnsi" w:cstheme="minorHAnsi"/>
          <w:sz w:val="21"/>
          <w:szCs w:val="21"/>
        </w:rPr>
        <w:t xml:space="preserve">, women accounted for 24% of national leaders, compared with 11% in 1995, and for a median of 26% of elected parliamentarians </w:t>
      </w:r>
      <w:r w:rsidRPr="0007660D">
        <w:rPr>
          <w:rFonts w:asciiTheme="minorHAnsi" w:hAnsiTheme="minorHAnsi" w:cstheme="minorHAnsi"/>
          <w:sz w:val="16"/>
          <w:szCs w:val="16"/>
        </w:rPr>
        <w:t>(UN Women, 2019).</w:t>
      </w:r>
    </w:p>
    <w:p w14:paraId="0CCDE145" w14:textId="77777777" w:rsidR="00C65183" w:rsidRPr="0007660D" w:rsidRDefault="00C65183" w:rsidP="00C65183">
      <w:pPr>
        <w:spacing w:before="60"/>
        <w:jc w:val="both"/>
        <w:rPr>
          <w:rFonts w:asciiTheme="minorHAnsi" w:hAnsiTheme="minorHAnsi" w:cstheme="minorHAnsi"/>
          <w:sz w:val="21"/>
          <w:szCs w:val="21"/>
        </w:rPr>
      </w:pPr>
      <w:r w:rsidRPr="0007660D">
        <w:rPr>
          <w:rFonts w:asciiTheme="minorHAnsi" w:hAnsiTheme="minorHAnsi" w:cstheme="minorHAnsi"/>
          <w:sz w:val="21"/>
          <w:szCs w:val="21"/>
        </w:rPr>
        <w:lastRenderedPageBreak/>
        <w:t xml:space="preserve">In 2018, 43% of judges in the High Court were women, as well as 26% of those in the Federal Court, 43% of those in the Family Court and 26% of judges in the State Supreme Courts or Courts of Appeal </w:t>
      </w:r>
      <w:r w:rsidRPr="0007660D">
        <w:rPr>
          <w:rFonts w:asciiTheme="minorHAnsi" w:hAnsiTheme="minorHAnsi" w:cstheme="minorHAnsi"/>
          <w:sz w:val="16"/>
          <w:szCs w:val="16"/>
        </w:rPr>
        <w:t>(Judicial Gender Statistics, Australasian Institute of Judicial Administration).</w:t>
      </w:r>
    </w:p>
    <w:p w14:paraId="5147C9B7" w14:textId="77777777" w:rsidR="00C65183" w:rsidRPr="0007660D" w:rsidRDefault="00C65183" w:rsidP="00C65183">
      <w:pPr>
        <w:spacing w:before="60"/>
        <w:jc w:val="both"/>
        <w:rPr>
          <w:rFonts w:asciiTheme="minorHAnsi" w:hAnsiTheme="minorHAnsi" w:cstheme="minorHAnsi"/>
          <w:sz w:val="16"/>
          <w:szCs w:val="16"/>
        </w:rPr>
      </w:pPr>
      <w:r w:rsidRPr="0007660D">
        <w:rPr>
          <w:rFonts w:asciiTheme="minorHAnsi" w:hAnsiTheme="minorHAnsi" w:cstheme="minorHAnsi"/>
          <w:sz w:val="21"/>
          <w:szCs w:val="21"/>
        </w:rPr>
        <w:t xml:space="preserve">In 2019, women accounted for 46% of appointments to Commonwealth Government boards </w:t>
      </w:r>
      <w:r w:rsidRPr="0007660D">
        <w:rPr>
          <w:rFonts w:asciiTheme="minorHAnsi" w:hAnsiTheme="minorHAnsi" w:cstheme="minorHAnsi"/>
          <w:sz w:val="16"/>
          <w:szCs w:val="16"/>
        </w:rPr>
        <w:t>(Gender Indicators Australia, Nov. 2019, ABS).</w:t>
      </w:r>
    </w:p>
    <w:p w14:paraId="4A124D6B" w14:textId="77777777" w:rsidR="00C65183" w:rsidRPr="0007660D" w:rsidRDefault="00C65183" w:rsidP="00C65183">
      <w:pPr>
        <w:spacing w:before="60"/>
        <w:jc w:val="both"/>
        <w:rPr>
          <w:rFonts w:asciiTheme="minorHAnsi" w:hAnsiTheme="minorHAnsi" w:cstheme="minorHAnsi"/>
          <w:color w:val="000000" w:themeColor="text1"/>
          <w:sz w:val="16"/>
          <w:szCs w:val="16"/>
          <w:lang w:val="en"/>
        </w:rPr>
      </w:pPr>
      <w:r w:rsidRPr="0007660D">
        <w:rPr>
          <w:rFonts w:asciiTheme="minorHAnsi" w:hAnsiTheme="minorHAnsi" w:cstheme="minorHAnsi"/>
          <w:sz w:val="21"/>
          <w:szCs w:val="21"/>
        </w:rPr>
        <w:t>By early 2018, 53% of paid public board positions in Victoria were held by women</w:t>
      </w:r>
      <w:r w:rsidRPr="0007660D">
        <w:rPr>
          <w:rFonts w:asciiTheme="minorHAnsi" w:hAnsiTheme="minorHAnsi" w:cstheme="minorHAnsi"/>
          <w:color w:val="011A3C"/>
          <w:lang w:val="en"/>
        </w:rPr>
        <w:t xml:space="preserve"> </w:t>
      </w:r>
      <w:r w:rsidRPr="0007660D">
        <w:rPr>
          <w:rFonts w:asciiTheme="minorHAnsi" w:hAnsiTheme="minorHAnsi" w:cstheme="minorHAnsi"/>
          <w:color w:val="000000" w:themeColor="text1"/>
          <w:sz w:val="16"/>
          <w:szCs w:val="16"/>
          <w:lang w:val="en"/>
        </w:rPr>
        <w:t>(Safe and Strong: A Victorian Gender Equality Strategy Achievements Report Year One, Victorian Government, 2019).</w:t>
      </w:r>
    </w:p>
    <w:p w14:paraId="3B30D6D7" w14:textId="77777777" w:rsidR="00C65183" w:rsidRPr="0007660D" w:rsidRDefault="00C65183" w:rsidP="00C65183">
      <w:pPr>
        <w:spacing w:before="60"/>
        <w:jc w:val="both"/>
        <w:rPr>
          <w:rFonts w:asciiTheme="minorHAnsi" w:hAnsiTheme="minorHAnsi" w:cstheme="minorHAnsi"/>
          <w:sz w:val="21"/>
          <w:szCs w:val="21"/>
        </w:rPr>
      </w:pPr>
      <w:r w:rsidRPr="0007660D">
        <w:rPr>
          <w:rFonts w:asciiTheme="minorHAnsi" w:hAnsiTheme="minorHAnsi" w:cstheme="minorHAnsi"/>
          <w:sz w:val="21"/>
          <w:szCs w:val="21"/>
        </w:rPr>
        <w:t xml:space="preserve">In 2020, 44% of Victorian councillors were women </w:t>
      </w:r>
      <w:r w:rsidRPr="0007660D">
        <w:rPr>
          <w:rFonts w:asciiTheme="minorHAnsi" w:hAnsiTheme="minorHAnsi" w:cstheme="minorHAnsi"/>
          <w:sz w:val="16"/>
          <w:szCs w:val="16"/>
        </w:rPr>
        <w:t>(VAGO, ‘Sexual Harassment in Local Government. 2020)</w:t>
      </w:r>
      <w:r w:rsidRPr="0007660D">
        <w:rPr>
          <w:rFonts w:asciiTheme="minorHAnsi" w:hAnsiTheme="minorHAnsi" w:cstheme="minorHAnsi"/>
          <w:sz w:val="21"/>
          <w:szCs w:val="21"/>
        </w:rPr>
        <w:t>.</w:t>
      </w:r>
    </w:p>
    <w:p w14:paraId="5BAECF32" w14:textId="77777777" w:rsidR="00C65183" w:rsidRPr="0007660D" w:rsidRDefault="00C65183" w:rsidP="00C65183">
      <w:pPr>
        <w:spacing w:before="60"/>
        <w:jc w:val="both"/>
        <w:rPr>
          <w:rFonts w:asciiTheme="minorHAnsi" w:hAnsiTheme="minorHAnsi" w:cstheme="minorHAnsi"/>
          <w:sz w:val="21"/>
          <w:szCs w:val="21"/>
        </w:rPr>
      </w:pPr>
      <w:r w:rsidRPr="0007660D">
        <w:rPr>
          <w:rFonts w:asciiTheme="minorHAnsi" w:hAnsiTheme="minorHAnsi" w:cstheme="minorHAnsi"/>
          <w:sz w:val="21"/>
          <w:szCs w:val="21"/>
        </w:rPr>
        <w:t xml:space="preserve">In 2020, there were 36 female mayors in Victoria, representing 46% of municipalities and the highest proportion in Victorian history </w:t>
      </w:r>
      <w:r w:rsidRPr="0007660D">
        <w:rPr>
          <w:rFonts w:asciiTheme="minorHAnsi" w:hAnsiTheme="minorHAnsi" w:cstheme="minorHAnsi"/>
          <w:sz w:val="16"/>
          <w:szCs w:val="16"/>
        </w:rPr>
        <w:t>(Victorian Govt., 2020)</w:t>
      </w:r>
      <w:r w:rsidRPr="0007660D">
        <w:rPr>
          <w:rFonts w:asciiTheme="minorHAnsi" w:hAnsiTheme="minorHAnsi" w:cstheme="minorHAnsi"/>
          <w:sz w:val="21"/>
          <w:szCs w:val="21"/>
        </w:rPr>
        <w:t>.</w:t>
      </w:r>
    </w:p>
    <w:p w14:paraId="5C4F89E1" w14:textId="77777777" w:rsidR="00C65183" w:rsidRPr="0007660D" w:rsidRDefault="00C65183" w:rsidP="00C65183">
      <w:pPr>
        <w:spacing w:before="60"/>
        <w:jc w:val="both"/>
        <w:rPr>
          <w:rFonts w:asciiTheme="minorHAnsi" w:hAnsiTheme="minorHAnsi" w:cstheme="minorHAnsi"/>
          <w:color w:val="313131"/>
          <w:sz w:val="16"/>
          <w:szCs w:val="16"/>
          <w:lang w:val="en"/>
        </w:rPr>
      </w:pPr>
      <w:r w:rsidRPr="0007660D">
        <w:rPr>
          <w:rFonts w:asciiTheme="minorHAnsi" w:hAnsiTheme="minorHAnsi" w:cstheme="minorHAnsi"/>
          <w:color w:val="000000" w:themeColor="text1"/>
          <w:lang w:val="en"/>
        </w:rPr>
        <w:t xml:space="preserve">Women accounted for 42% of the 2020 recipients of Australia Day honors </w:t>
      </w:r>
      <w:r w:rsidRPr="0007660D">
        <w:rPr>
          <w:rFonts w:asciiTheme="minorHAnsi" w:hAnsiTheme="minorHAnsi" w:cstheme="minorHAnsi"/>
          <w:color w:val="000000" w:themeColor="text1"/>
          <w:sz w:val="16"/>
          <w:szCs w:val="16"/>
          <w:lang w:val="en"/>
        </w:rPr>
        <w:t>(</w:t>
      </w:r>
      <w:r w:rsidRPr="0007660D">
        <w:rPr>
          <w:rFonts w:asciiTheme="minorHAnsi" w:hAnsiTheme="minorHAnsi" w:cstheme="minorHAnsi"/>
          <w:color w:val="313131"/>
          <w:sz w:val="16"/>
          <w:szCs w:val="16"/>
          <w:lang w:val="en"/>
        </w:rPr>
        <w:t>Australia Day 2020 Honors List. Governor-General of the Commonwealth of Australia)</w:t>
      </w:r>
    </w:p>
    <w:p w14:paraId="726958F9" w14:textId="77777777" w:rsidR="00C65183" w:rsidRPr="0007660D" w:rsidRDefault="00C65183" w:rsidP="00C65183">
      <w:pPr>
        <w:spacing w:before="60"/>
        <w:jc w:val="both"/>
        <w:rPr>
          <w:rFonts w:asciiTheme="minorHAnsi" w:hAnsiTheme="minorHAnsi" w:cstheme="minorHAnsi"/>
        </w:rPr>
      </w:pPr>
      <w:r w:rsidRPr="0007660D">
        <w:rPr>
          <w:rFonts w:asciiTheme="minorHAnsi" w:hAnsiTheme="minorHAnsi" w:cstheme="minorHAnsi"/>
        </w:rPr>
        <w:t>Women account for 6% of Nobel prize winners between 1901 and 2019, including 6% of laureates in medicine, 3% in Chemistry, and 1% in physics and economics.</w:t>
      </w:r>
    </w:p>
    <w:p w14:paraId="4E87394C" w14:textId="77777777" w:rsidR="00C65183" w:rsidRPr="0007660D" w:rsidRDefault="00C65183" w:rsidP="00C65183">
      <w:pPr>
        <w:jc w:val="both"/>
        <w:rPr>
          <w:rFonts w:asciiTheme="minorHAnsi" w:hAnsiTheme="minorHAnsi" w:cstheme="minorHAnsi"/>
          <w:sz w:val="24"/>
          <w:szCs w:val="24"/>
        </w:rPr>
      </w:pPr>
    </w:p>
    <w:p w14:paraId="34AE07BB" w14:textId="77777777" w:rsidR="00C65183" w:rsidRPr="0007660D" w:rsidRDefault="00C65183" w:rsidP="00C65183">
      <w:pPr>
        <w:spacing w:before="40"/>
        <w:jc w:val="both"/>
        <w:rPr>
          <w:rFonts w:asciiTheme="minorHAnsi" w:hAnsiTheme="minorHAnsi" w:cstheme="minorHAnsi"/>
          <w:b/>
          <w:color w:val="244061" w:themeColor="accent1" w:themeShade="80"/>
          <w:sz w:val="24"/>
          <w:szCs w:val="24"/>
        </w:rPr>
      </w:pPr>
      <w:r w:rsidRPr="0007660D">
        <w:rPr>
          <w:rFonts w:asciiTheme="minorHAnsi" w:hAnsiTheme="minorHAnsi" w:cstheme="minorHAnsi"/>
          <w:b/>
          <w:noProof/>
          <w:color w:val="4F81BD" w:themeColor="accent1"/>
          <w:sz w:val="24"/>
          <w:szCs w:val="24"/>
        </w:rPr>
        <w:drawing>
          <wp:anchor distT="0" distB="0" distL="114300" distR="114300" simplePos="0" relativeHeight="251964416" behindDoc="0" locked="0" layoutInCell="1" allowOverlap="1" wp14:anchorId="5075DC62" wp14:editId="54948D6B">
            <wp:simplePos x="0" y="0"/>
            <wp:positionH relativeFrom="margin">
              <wp:align>left</wp:align>
            </wp:positionH>
            <wp:positionV relativeFrom="paragraph">
              <wp:posOffset>81915</wp:posOffset>
            </wp:positionV>
            <wp:extent cx="576000" cy="396000"/>
            <wp:effectExtent l="0" t="0" r="0" b="4445"/>
            <wp:wrapSquare wrapText="bothSides"/>
            <wp:docPr id="54" name="Picture 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Community Ethnic 25.jpg"/>
                    <pic:cNvPicPr/>
                  </pic:nvPicPr>
                  <pic:blipFill>
                    <a:blip r:embed="rId221" cstate="print">
                      <a:extLst>
                        <a:ext uri="{28A0092B-C50C-407E-A947-70E740481C1C}">
                          <a14:useLocalDpi xmlns:a14="http://schemas.microsoft.com/office/drawing/2010/main" val="0"/>
                        </a:ext>
                      </a:extLst>
                    </a:blip>
                    <a:stretch>
                      <a:fillRect/>
                    </a:stretch>
                  </pic:blipFill>
                  <pic:spPr>
                    <a:xfrm>
                      <a:off x="0" y="0"/>
                      <a:ext cx="576000" cy="396000"/>
                    </a:xfrm>
                    <a:prstGeom prst="rect">
                      <a:avLst/>
                    </a:prstGeom>
                  </pic:spPr>
                </pic:pic>
              </a:graphicData>
            </a:graphic>
            <wp14:sizeRelH relativeFrom="page">
              <wp14:pctWidth>0</wp14:pctWidth>
            </wp14:sizeRelH>
            <wp14:sizeRelV relativeFrom="page">
              <wp14:pctHeight>0</wp14:pctHeight>
            </wp14:sizeRelV>
          </wp:anchor>
        </w:drawing>
      </w:r>
      <w:r w:rsidRPr="0007660D">
        <w:rPr>
          <w:rFonts w:asciiTheme="minorHAnsi" w:hAnsiTheme="minorHAnsi" w:cstheme="minorHAnsi"/>
          <w:b/>
          <w:color w:val="244061" w:themeColor="accent1" w:themeShade="80"/>
          <w:sz w:val="24"/>
          <w:szCs w:val="24"/>
        </w:rPr>
        <w:t>Unpaid Work</w:t>
      </w:r>
    </w:p>
    <w:p w14:paraId="136B52B9" w14:textId="77777777" w:rsidR="00C65183" w:rsidRPr="0007660D" w:rsidRDefault="00C65183" w:rsidP="00C65183">
      <w:pPr>
        <w:spacing w:before="60"/>
        <w:jc w:val="both"/>
        <w:rPr>
          <w:rFonts w:asciiTheme="minorHAnsi" w:hAnsiTheme="minorHAnsi" w:cstheme="minorHAnsi"/>
          <w:color w:val="244061" w:themeColor="accent1" w:themeShade="80"/>
          <w:sz w:val="21"/>
          <w:szCs w:val="21"/>
        </w:rPr>
      </w:pPr>
      <w:r w:rsidRPr="0007660D">
        <w:rPr>
          <w:rFonts w:asciiTheme="minorHAnsi" w:hAnsiTheme="minorHAnsi" w:cstheme="minorHAnsi"/>
          <w:color w:val="244061" w:themeColor="accent1" w:themeShade="80"/>
          <w:sz w:val="21"/>
          <w:szCs w:val="21"/>
        </w:rPr>
        <w:t>Women perform an average of twice as much childcare and other unpaid work at home than men, even where both are in full-time paid employment, and more often provide unpaid care to a person with a disability.</w:t>
      </w:r>
    </w:p>
    <w:p w14:paraId="1751491E" w14:textId="77777777" w:rsidR="00C65183" w:rsidRPr="0007660D" w:rsidRDefault="00C65183" w:rsidP="00C65183">
      <w:pPr>
        <w:spacing w:before="60"/>
        <w:jc w:val="both"/>
        <w:rPr>
          <w:rFonts w:asciiTheme="minorHAnsi" w:hAnsiTheme="minorHAnsi" w:cstheme="minorHAnsi"/>
          <w:sz w:val="21"/>
          <w:szCs w:val="21"/>
        </w:rPr>
      </w:pPr>
      <w:r w:rsidRPr="0007660D">
        <w:rPr>
          <w:rFonts w:asciiTheme="minorHAnsi" w:hAnsiTheme="minorHAnsi" w:cstheme="minorHAnsi"/>
          <w:sz w:val="21"/>
          <w:szCs w:val="21"/>
        </w:rPr>
        <w:t xml:space="preserve">In 2016, Victorian women performed an average of 15.9 hours unpaid work at home, compared with 7.5 for men </w:t>
      </w:r>
      <w:r w:rsidRPr="0007660D">
        <w:rPr>
          <w:rFonts w:asciiTheme="minorHAnsi" w:hAnsiTheme="minorHAnsi" w:cstheme="minorHAnsi"/>
          <w:sz w:val="16"/>
          <w:szCs w:val="16"/>
        </w:rPr>
        <w:t>(2016 Census, ABS).</w:t>
      </w:r>
      <w:r w:rsidRPr="0007660D">
        <w:rPr>
          <w:rFonts w:asciiTheme="minorHAnsi" w:hAnsiTheme="minorHAnsi" w:cstheme="minorHAnsi"/>
          <w:sz w:val="21"/>
          <w:szCs w:val="21"/>
        </w:rPr>
        <w:t xml:space="preserve"> A wide difference persisted among people in full-time employment, with such women performing an average of 9.1 hours each week in unpaid work at home, compared with 5.8 hours by men.</w:t>
      </w:r>
    </w:p>
    <w:p w14:paraId="246EC96F" w14:textId="77777777" w:rsidR="00C65183" w:rsidRPr="0007660D" w:rsidRDefault="00C65183" w:rsidP="00C65183">
      <w:pPr>
        <w:spacing w:before="60"/>
        <w:jc w:val="both"/>
        <w:rPr>
          <w:rFonts w:asciiTheme="minorHAnsi" w:hAnsiTheme="minorHAnsi" w:cstheme="minorHAnsi"/>
          <w:sz w:val="16"/>
          <w:szCs w:val="16"/>
        </w:rPr>
      </w:pPr>
      <w:r w:rsidRPr="0007660D">
        <w:rPr>
          <w:rFonts w:asciiTheme="minorHAnsi" w:hAnsiTheme="minorHAnsi" w:cstheme="minorHAnsi"/>
          <w:sz w:val="21"/>
          <w:szCs w:val="21"/>
        </w:rPr>
        <w:t xml:space="preserve">Among Australian parents in 2006, women spent a daily average of 8.6 hours caring for children, compared with 3.9 hours among men. Of parents in full-time employment, women spent an average of 6.7 hours per day caring for children, compared with 3.7 among men </w:t>
      </w:r>
      <w:r w:rsidRPr="0007660D">
        <w:rPr>
          <w:rFonts w:asciiTheme="minorHAnsi" w:hAnsiTheme="minorHAnsi" w:cstheme="minorHAnsi"/>
          <w:sz w:val="16"/>
          <w:szCs w:val="16"/>
        </w:rPr>
        <w:t>(Time Use Survey, cat. 4153.0, ABS).</w:t>
      </w:r>
    </w:p>
    <w:p w14:paraId="49327061" w14:textId="77777777" w:rsidR="00C65183" w:rsidRPr="0007660D" w:rsidRDefault="00C65183" w:rsidP="00C65183">
      <w:pPr>
        <w:spacing w:before="60"/>
        <w:jc w:val="both"/>
        <w:rPr>
          <w:rFonts w:asciiTheme="minorHAnsi" w:hAnsiTheme="minorHAnsi" w:cstheme="minorHAnsi"/>
          <w:sz w:val="16"/>
          <w:szCs w:val="16"/>
          <w:lang w:val="en-US"/>
        </w:rPr>
      </w:pPr>
      <w:r w:rsidRPr="0007660D">
        <w:rPr>
          <w:rFonts w:asciiTheme="minorHAnsi" w:hAnsiTheme="minorHAnsi" w:cstheme="minorHAnsi"/>
          <w:lang w:val="en-US"/>
        </w:rPr>
        <w:t xml:space="preserve">72% primary unpaid carers are women </w:t>
      </w:r>
      <w:r w:rsidRPr="0007660D">
        <w:rPr>
          <w:rFonts w:asciiTheme="minorHAnsi" w:hAnsiTheme="minorHAnsi" w:cstheme="minorHAnsi"/>
          <w:sz w:val="16"/>
          <w:szCs w:val="16"/>
          <w:lang w:val="en-US"/>
        </w:rPr>
        <w:t>(Disability, Ageing and Carers, Australia 2018)</w:t>
      </w:r>
    </w:p>
    <w:p w14:paraId="2F0E16E6" w14:textId="77777777" w:rsidR="00C65183" w:rsidRPr="0007660D" w:rsidRDefault="00C65183" w:rsidP="00C65183">
      <w:pPr>
        <w:jc w:val="both"/>
        <w:rPr>
          <w:rFonts w:asciiTheme="minorHAnsi" w:hAnsiTheme="minorHAnsi" w:cstheme="minorHAnsi"/>
          <w:sz w:val="24"/>
          <w:szCs w:val="24"/>
        </w:rPr>
      </w:pPr>
    </w:p>
    <w:p w14:paraId="4A915157" w14:textId="77777777" w:rsidR="00C65183" w:rsidRPr="0007660D" w:rsidRDefault="00C65183" w:rsidP="00C65183">
      <w:pPr>
        <w:spacing w:before="40"/>
        <w:jc w:val="both"/>
        <w:rPr>
          <w:rFonts w:asciiTheme="minorHAnsi" w:hAnsiTheme="minorHAnsi" w:cstheme="minorHAnsi"/>
          <w:b/>
          <w:color w:val="244061" w:themeColor="accent1" w:themeShade="80"/>
          <w:sz w:val="24"/>
          <w:szCs w:val="24"/>
        </w:rPr>
      </w:pPr>
      <w:r w:rsidRPr="0007660D">
        <w:rPr>
          <w:rFonts w:asciiTheme="minorHAnsi" w:hAnsiTheme="minorHAnsi" w:cstheme="minorHAnsi"/>
          <w:noProof/>
          <w:lang w:val="en-US"/>
        </w:rPr>
        <w:drawing>
          <wp:anchor distT="0" distB="0" distL="114300" distR="114300" simplePos="0" relativeHeight="251960320" behindDoc="0" locked="0" layoutInCell="1" allowOverlap="1" wp14:anchorId="62021856" wp14:editId="056C8C9D">
            <wp:simplePos x="0" y="0"/>
            <wp:positionH relativeFrom="margin">
              <wp:posOffset>38100</wp:posOffset>
            </wp:positionH>
            <wp:positionV relativeFrom="paragraph">
              <wp:posOffset>83820</wp:posOffset>
            </wp:positionV>
            <wp:extent cx="576000" cy="396000"/>
            <wp:effectExtent l="0" t="0" r="0" b="4445"/>
            <wp:wrapSquare wrapText="bothSides"/>
            <wp:docPr id="55" name="Picture 1" descr="netball.png"/>
            <wp:cNvGraphicFramePr/>
            <a:graphic xmlns:a="http://schemas.openxmlformats.org/drawingml/2006/main">
              <a:graphicData uri="http://schemas.openxmlformats.org/drawingml/2006/picture">
                <pic:pic xmlns:pic="http://schemas.openxmlformats.org/drawingml/2006/picture">
                  <pic:nvPicPr>
                    <pic:cNvPr id="161" name="Picture 160" descr="netball.png"/>
                    <pic:cNvPicPr>
                      <a:picLocks/>
                    </pic:cNvPicPr>
                  </pic:nvPicPr>
                  <pic:blipFill>
                    <a:blip r:embed="rId222" cstate="print"/>
                    <a:stretch>
                      <a:fillRect/>
                    </a:stretch>
                  </pic:blipFill>
                  <pic:spPr>
                    <a:xfrm>
                      <a:off x="0" y="0"/>
                      <a:ext cx="576000" cy="396000"/>
                    </a:xfrm>
                    <a:prstGeom prst="rect">
                      <a:avLst/>
                    </a:prstGeom>
                    <a:ln>
                      <a:noFill/>
                    </a:ln>
                    <a:effectLst/>
                  </pic:spPr>
                </pic:pic>
              </a:graphicData>
            </a:graphic>
            <wp14:sizeRelH relativeFrom="margin">
              <wp14:pctWidth>0</wp14:pctWidth>
            </wp14:sizeRelH>
            <wp14:sizeRelV relativeFrom="margin">
              <wp14:pctHeight>0</wp14:pctHeight>
            </wp14:sizeRelV>
          </wp:anchor>
        </w:drawing>
      </w:r>
      <w:r w:rsidRPr="0007660D">
        <w:rPr>
          <w:rFonts w:asciiTheme="minorHAnsi" w:hAnsiTheme="minorHAnsi" w:cstheme="minorHAnsi"/>
          <w:b/>
          <w:color w:val="244061" w:themeColor="accent1" w:themeShade="80"/>
          <w:sz w:val="24"/>
          <w:szCs w:val="24"/>
        </w:rPr>
        <w:t>Sport and Physical Recreation</w:t>
      </w:r>
    </w:p>
    <w:p w14:paraId="43EA6400" w14:textId="77777777" w:rsidR="00C65183" w:rsidRPr="0007660D" w:rsidRDefault="00C65183" w:rsidP="00C65183">
      <w:pPr>
        <w:spacing w:before="60"/>
        <w:jc w:val="both"/>
        <w:rPr>
          <w:rFonts w:asciiTheme="minorHAnsi" w:hAnsiTheme="minorHAnsi" w:cstheme="minorHAnsi"/>
          <w:color w:val="244061" w:themeColor="accent1" w:themeShade="80"/>
          <w:sz w:val="21"/>
          <w:szCs w:val="21"/>
        </w:rPr>
      </w:pPr>
      <w:r w:rsidRPr="0007660D">
        <w:rPr>
          <w:rFonts w:asciiTheme="minorHAnsi" w:hAnsiTheme="minorHAnsi" w:cstheme="minorHAnsi"/>
          <w:color w:val="244061" w:themeColor="accent1" w:themeShade="80"/>
          <w:sz w:val="21"/>
          <w:szCs w:val="21"/>
        </w:rPr>
        <w:t>Women account for a slight majority of participants in sport and physical recreation, including organised sports, but are half as likely to participate at sports clubs as men, and attract far less publicity and funding in elite sports, than men.</w:t>
      </w:r>
    </w:p>
    <w:p w14:paraId="120B3556" w14:textId="77777777" w:rsidR="00C65183" w:rsidRPr="0007660D" w:rsidRDefault="00C65183" w:rsidP="00C65183">
      <w:pPr>
        <w:spacing w:before="60"/>
        <w:jc w:val="both"/>
        <w:rPr>
          <w:rFonts w:asciiTheme="minorHAnsi" w:hAnsiTheme="minorHAnsi" w:cstheme="minorHAnsi"/>
          <w:sz w:val="16"/>
          <w:szCs w:val="16"/>
        </w:rPr>
      </w:pPr>
      <w:r w:rsidRPr="0007660D">
        <w:rPr>
          <w:rFonts w:asciiTheme="minorHAnsi" w:hAnsiTheme="minorHAnsi" w:cstheme="minorHAnsi"/>
          <w:sz w:val="21"/>
          <w:szCs w:val="21"/>
        </w:rPr>
        <w:t xml:space="preserve">85% of Victorian women and 83% of men engage in sport or physical recreation at least once a week, and slightly more women (67%) than men (62%) participate three or more times per week </w:t>
      </w:r>
      <w:r w:rsidRPr="0007660D">
        <w:rPr>
          <w:rFonts w:asciiTheme="minorHAnsi" w:hAnsiTheme="minorHAnsi" w:cstheme="minorHAnsi"/>
          <w:sz w:val="16"/>
          <w:szCs w:val="16"/>
        </w:rPr>
        <w:t>(AusPlay survey results 2018/2019).</w:t>
      </w:r>
    </w:p>
    <w:p w14:paraId="5309D5D8" w14:textId="77777777" w:rsidR="00C65183" w:rsidRPr="0007660D" w:rsidRDefault="00C65183" w:rsidP="00C65183">
      <w:pPr>
        <w:spacing w:before="60"/>
        <w:jc w:val="both"/>
        <w:rPr>
          <w:rFonts w:asciiTheme="minorHAnsi" w:hAnsiTheme="minorHAnsi" w:cstheme="minorHAnsi"/>
          <w:sz w:val="21"/>
          <w:szCs w:val="21"/>
        </w:rPr>
      </w:pPr>
      <w:r w:rsidRPr="0007660D">
        <w:rPr>
          <w:rFonts w:asciiTheme="minorHAnsi" w:hAnsiTheme="minorHAnsi" w:cstheme="minorHAnsi"/>
          <w:sz w:val="21"/>
          <w:szCs w:val="21"/>
        </w:rPr>
        <w:t>However, women represent only a third (36%) of people who play sports at Victorian sports clubs or associations</w:t>
      </w:r>
      <w:r w:rsidRPr="0007660D">
        <w:rPr>
          <w:rFonts w:asciiTheme="minorHAnsi" w:hAnsiTheme="minorHAnsi" w:cstheme="minorHAnsi"/>
          <w:sz w:val="16"/>
          <w:szCs w:val="16"/>
        </w:rPr>
        <w:t xml:space="preserve"> (AusPlay survey results 2018/2019). </w:t>
      </w:r>
    </w:p>
    <w:p w14:paraId="3B5DA2C0" w14:textId="77777777" w:rsidR="00C65183" w:rsidRPr="0007660D" w:rsidRDefault="00C65183" w:rsidP="00C65183">
      <w:pPr>
        <w:spacing w:before="60"/>
        <w:jc w:val="both"/>
        <w:rPr>
          <w:rFonts w:asciiTheme="minorHAnsi" w:hAnsiTheme="minorHAnsi" w:cstheme="minorHAnsi"/>
          <w:sz w:val="21"/>
          <w:szCs w:val="21"/>
        </w:rPr>
      </w:pPr>
      <w:r w:rsidRPr="0007660D">
        <w:rPr>
          <w:rFonts w:asciiTheme="minorHAnsi" w:hAnsiTheme="minorHAnsi" w:cstheme="minorHAnsi"/>
          <w:sz w:val="21"/>
          <w:szCs w:val="21"/>
        </w:rPr>
        <w:t xml:space="preserve">Australian males predominate among participants in soccer, golf, cricket, Aussie rules football, motor cycling, surfing, fishing, rugby, martial arts, shooting, fencing, paintball, gridiron, wood chopping, billiards and rock climbing, while females account for most participants in walking, yoga, Pilates, dance, gymnastics, equestrian, ice skating and netball </w:t>
      </w:r>
      <w:r w:rsidRPr="0007660D">
        <w:rPr>
          <w:rFonts w:asciiTheme="minorHAnsi" w:hAnsiTheme="minorHAnsi" w:cstheme="minorHAnsi"/>
          <w:sz w:val="16"/>
          <w:szCs w:val="16"/>
        </w:rPr>
        <w:t>(AusPlay survey results 2018/2019)</w:t>
      </w:r>
      <w:r w:rsidRPr="0007660D">
        <w:rPr>
          <w:rFonts w:asciiTheme="minorHAnsi" w:hAnsiTheme="minorHAnsi" w:cstheme="minorHAnsi"/>
          <w:sz w:val="21"/>
          <w:szCs w:val="21"/>
        </w:rPr>
        <w:t>.</w:t>
      </w:r>
    </w:p>
    <w:p w14:paraId="12396D14" w14:textId="77777777" w:rsidR="00C65183" w:rsidRPr="0007660D" w:rsidRDefault="00C65183" w:rsidP="00C65183">
      <w:pPr>
        <w:spacing w:before="60"/>
        <w:jc w:val="both"/>
        <w:rPr>
          <w:rFonts w:asciiTheme="minorHAnsi" w:hAnsiTheme="minorHAnsi" w:cstheme="minorHAnsi"/>
          <w:sz w:val="21"/>
          <w:szCs w:val="21"/>
        </w:rPr>
      </w:pPr>
      <w:r w:rsidRPr="0007660D">
        <w:rPr>
          <w:rFonts w:asciiTheme="minorHAnsi" w:hAnsiTheme="minorHAnsi" w:cstheme="minorHAnsi"/>
          <w:sz w:val="21"/>
          <w:szCs w:val="21"/>
        </w:rPr>
        <w:t>Women’s sports receive just 4% of all worldwide sports media coverage</w:t>
      </w:r>
      <w:r w:rsidRPr="0007660D">
        <w:rPr>
          <w:rFonts w:asciiTheme="minorHAnsi" w:hAnsiTheme="minorHAnsi" w:cstheme="minorHAnsi"/>
          <w:sz w:val="16"/>
          <w:szCs w:val="16"/>
        </w:rPr>
        <w:t xml:space="preserve"> (Tucker Centre for Research on Girls and Women in Sport), </w:t>
      </w:r>
      <w:r w:rsidRPr="0007660D">
        <w:rPr>
          <w:rFonts w:asciiTheme="minorHAnsi" w:hAnsiTheme="minorHAnsi" w:cstheme="minorHAnsi"/>
          <w:sz w:val="21"/>
          <w:szCs w:val="21"/>
        </w:rPr>
        <w:t>and in Victoria, 93 per cent of TV sports coverage is about men</w:t>
      </w:r>
      <w:r w:rsidRPr="0007660D">
        <w:rPr>
          <w:rFonts w:asciiTheme="minorHAnsi" w:hAnsiTheme="minorHAnsi" w:cstheme="minorHAnsi"/>
        </w:rPr>
        <w:t xml:space="preserve"> </w:t>
      </w:r>
      <w:r w:rsidRPr="0007660D">
        <w:rPr>
          <w:rFonts w:asciiTheme="minorHAnsi" w:hAnsiTheme="minorHAnsi" w:cstheme="minorHAnsi"/>
          <w:sz w:val="16"/>
          <w:szCs w:val="16"/>
        </w:rPr>
        <w:t>(Victorian Gender Equality Strategy, State Govt.).</w:t>
      </w:r>
    </w:p>
    <w:p w14:paraId="401A5D20" w14:textId="77777777" w:rsidR="00C65183" w:rsidRPr="0007660D" w:rsidRDefault="00C65183" w:rsidP="00C65183">
      <w:pPr>
        <w:spacing w:before="60"/>
        <w:jc w:val="both"/>
        <w:rPr>
          <w:rFonts w:asciiTheme="minorHAnsi" w:hAnsiTheme="minorHAnsi" w:cstheme="minorHAnsi"/>
          <w:sz w:val="16"/>
          <w:szCs w:val="16"/>
        </w:rPr>
      </w:pPr>
      <w:r w:rsidRPr="0007660D">
        <w:rPr>
          <w:rFonts w:asciiTheme="minorHAnsi" w:hAnsiTheme="minorHAnsi" w:cstheme="minorHAnsi"/>
          <w:sz w:val="21"/>
          <w:szCs w:val="21"/>
        </w:rPr>
        <w:t xml:space="preserve">Moreover, women are paid less in professional sport than men: the U.S. Women’s National Team earned $2 million dollars for their 2015 Women’s World Cup Soccer victory, while the U.S. men’s team – ranking 11th in 2014 - collected $9 million. And while tennis is the most lucrative sport for female athletes, Novak Djokovic, the men’s number one, earned twice as much as Serena Williams, the women’s number one </w:t>
      </w:r>
      <w:r w:rsidRPr="0007660D">
        <w:rPr>
          <w:rFonts w:asciiTheme="minorHAnsi" w:hAnsiTheme="minorHAnsi" w:cstheme="minorHAnsi"/>
          <w:sz w:val="16"/>
          <w:szCs w:val="16"/>
        </w:rPr>
        <w:t>(Forbes Magazine).</w:t>
      </w:r>
    </w:p>
    <w:p w14:paraId="4E736BB1" w14:textId="77777777" w:rsidR="00C65183" w:rsidRPr="0007660D" w:rsidRDefault="00C65183" w:rsidP="00C65183">
      <w:pPr>
        <w:spacing w:before="40"/>
        <w:jc w:val="both"/>
        <w:rPr>
          <w:rFonts w:asciiTheme="minorHAnsi" w:hAnsiTheme="minorHAnsi" w:cstheme="minorHAnsi"/>
          <w:b/>
          <w:color w:val="244061" w:themeColor="accent1" w:themeShade="80"/>
          <w:sz w:val="24"/>
          <w:szCs w:val="24"/>
        </w:rPr>
      </w:pPr>
      <w:r w:rsidRPr="0007660D">
        <w:rPr>
          <w:rFonts w:asciiTheme="minorHAnsi" w:hAnsiTheme="minorHAnsi" w:cstheme="minorHAnsi"/>
          <w:b/>
          <w:noProof/>
          <w:lang w:eastAsia="en-AU"/>
        </w:rPr>
        <w:drawing>
          <wp:anchor distT="0" distB="0" distL="114300" distR="114300" simplePos="0" relativeHeight="251963392" behindDoc="0" locked="0" layoutInCell="1" allowOverlap="1" wp14:anchorId="305B0FB2" wp14:editId="3075DD08">
            <wp:simplePos x="0" y="0"/>
            <wp:positionH relativeFrom="column">
              <wp:posOffset>13335</wp:posOffset>
            </wp:positionH>
            <wp:positionV relativeFrom="paragraph">
              <wp:posOffset>99695</wp:posOffset>
            </wp:positionV>
            <wp:extent cx="576000" cy="396000"/>
            <wp:effectExtent l="0" t="0" r="0" b="4445"/>
            <wp:wrapSquare wrapText="bothSides"/>
            <wp:docPr id="56" name="Picture 51" descr="White ros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1" descr="White rose"/>
                    <pic:cNvPicPr>
                      <a:picLocks noChangeAspect="1" noChangeArrowheads="1"/>
                    </pic:cNvPicPr>
                  </pic:nvPicPr>
                  <pic:blipFill>
                    <a:blip r:embed="rId213" cstate="print"/>
                    <a:srcRect t="4781" r="9596" b="16675"/>
                    <a:stretch>
                      <a:fillRect/>
                    </a:stretch>
                  </pic:blipFill>
                  <pic:spPr bwMode="auto">
                    <a:xfrm>
                      <a:off x="0" y="0"/>
                      <a:ext cx="576000" cy="396000"/>
                    </a:xfrm>
                    <a:prstGeom prst="rect">
                      <a:avLst/>
                    </a:prstGeom>
                    <a:ln>
                      <a:noFill/>
                    </a:ln>
                    <a:effectLst/>
                  </pic:spPr>
                </pic:pic>
              </a:graphicData>
            </a:graphic>
            <wp14:sizeRelH relativeFrom="margin">
              <wp14:pctWidth>0</wp14:pctWidth>
            </wp14:sizeRelH>
            <wp14:sizeRelV relativeFrom="margin">
              <wp14:pctHeight>0</wp14:pctHeight>
            </wp14:sizeRelV>
          </wp:anchor>
        </w:drawing>
      </w:r>
      <w:r w:rsidRPr="0007660D">
        <w:rPr>
          <w:rFonts w:asciiTheme="minorHAnsi" w:hAnsiTheme="minorHAnsi" w:cstheme="minorHAnsi"/>
          <w:b/>
          <w:color w:val="244061" w:themeColor="accent1" w:themeShade="80"/>
          <w:sz w:val="24"/>
          <w:szCs w:val="24"/>
        </w:rPr>
        <w:t>Health and Mortality</w:t>
      </w:r>
    </w:p>
    <w:p w14:paraId="3CF741B0" w14:textId="77777777" w:rsidR="00C65183" w:rsidRPr="0007660D" w:rsidRDefault="00C65183" w:rsidP="00C65183">
      <w:pPr>
        <w:spacing w:before="60"/>
        <w:jc w:val="both"/>
        <w:rPr>
          <w:rFonts w:asciiTheme="minorHAnsi" w:hAnsiTheme="minorHAnsi" w:cstheme="minorHAnsi"/>
          <w:color w:val="244061" w:themeColor="accent1" w:themeShade="80"/>
          <w:sz w:val="21"/>
          <w:szCs w:val="21"/>
        </w:rPr>
      </w:pPr>
      <w:r w:rsidRPr="0007660D">
        <w:rPr>
          <w:rFonts w:asciiTheme="minorHAnsi" w:hAnsiTheme="minorHAnsi" w:cstheme="minorHAnsi"/>
          <w:color w:val="244061" w:themeColor="accent1" w:themeShade="80"/>
          <w:sz w:val="21"/>
          <w:szCs w:val="21"/>
        </w:rPr>
        <w:t>Men have a higher mortality rate than women throughout life - experiencing particularly high death rates from assault, transport accidents and suicides – resulting in a lower life expectancy.</w:t>
      </w:r>
    </w:p>
    <w:p w14:paraId="749FD55A" w14:textId="77777777" w:rsidR="00C65183" w:rsidRPr="0007660D" w:rsidRDefault="00C65183" w:rsidP="00C65183">
      <w:pPr>
        <w:spacing w:before="60"/>
        <w:jc w:val="both"/>
        <w:rPr>
          <w:rFonts w:asciiTheme="minorHAnsi" w:hAnsiTheme="minorHAnsi" w:cstheme="minorHAnsi"/>
          <w:sz w:val="21"/>
          <w:szCs w:val="21"/>
        </w:rPr>
      </w:pPr>
      <w:r w:rsidRPr="0007660D">
        <w:rPr>
          <w:rFonts w:asciiTheme="minorHAnsi" w:hAnsiTheme="minorHAnsi" w:cstheme="minorHAnsi"/>
          <w:sz w:val="21"/>
          <w:szCs w:val="21"/>
        </w:rPr>
        <w:t xml:space="preserve">In 2016, a similar proportion of Victorian females (5.9%) and of males (5.4%) (age-adjusted) had a disability requiring them to obtain daily assistance with mobility, self-care or communication </w:t>
      </w:r>
      <w:r w:rsidRPr="0007660D">
        <w:rPr>
          <w:rFonts w:asciiTheme="minorHAnsi" w:hAnsiTheme="minorHAnsi" w:cstheme="minorHAnsi"/>
          <w:sz w:val="16"/>
          <w:szCs w:val="16"/>
        </w:rPr>
        <w:t>(2016 Census, ABS).</w:t>
      </w:r>
    </w:p>
    <w:p w14:paraId="32C8C46C" w14:textId="77777777" w:rsidR="00C65183" w:rsidRPr="0007660D" w:rsidRDefault="00C65183" w:rsidP="00C65183">
      <w:pPr>
        <w:spacing w:before="60"/>
        <w:jc w:val="both"/>
        <w:rPr>
          <w:rFonts w:asciiTheme="minorHAnsi" w:hAnsiTheme="minorHAnsi" w:cstheme="minorHAnsi"/>
          <w:sz w:val="21"/>
          <w:szCs w:val="21"/>
        </w:rPr>
      </w:pPr>
      <w:r w:rsidRPr="0007660D">
        <w:rPr>
          <w:rFonts w:asciiTheme="minorHAnsi" w:hAnsiTheme="minorHAnsi" w:cstheme="minorHAnsi"/>
          <w:sz w:val="21"/>
          <w:szCs w:val="21"/>
        </w:rPr>
        <w:t>In 2018, the proportion of Australian women and men who assessed their own health as 'fair' or 'poor' also differed little, at 15% among women and 16% among men</w:t>
      </w:r>
      <w:r w:rsidRPr="0007660D">
        <w:rPr>
          <w:rFonts w:asciiTheme="minorHAnsi" w:hAnsiTheme="minorHAnsi" w:cstheme="minorHAnsi"/>
          <w:sz w:val="16"/>
          <w:szCs w:val="16"/>
        </w:rPr>
        <w:t xml:space="preserve"> (2018 National Health Survey).</w:t>
      </w:r>
    </w:p>
    <w:p w14:paraId="5B243E45" w14:textId="77777777" w:rsidR="00C65183" w:rsidRPr="0007660D" w:rsidRDefault="00C65183" w:rsidP="00C65183">
      <w:pPr>
        <w:spacing w:before="60"/>
        <w:jc w:val="both"/>
        <w:rPr>
          <w:rFonts w:asciiTheme="minorHAnsi" w:hAnsiTheme="minorHAnsi" w:cstheme="minorHAnsi"/>
          <w:sz w:val="21"/>
          <w:szCs w:val="21"/>
        </w:rPr>
      </w:pPr>
      <w:r w:rsidRPr="0007660D">
        <w:rPr>
          <w:rFonts w:asciiTheme="minorHAnsi" w:hAnsiTheme="minorHAnsi" w:cstheme="minorHAnsi"/>
          <w:sz w:val="21"/>
          <w:szCs w:val="21"/>
        </w:rPr>
        <w:lastRenderedPageBreak/>
        <w:t xml:space="preserve">Mortality rates among Australian males are higher than for females throughout the lifespan. In 2018, the probability of death by 60 years was 8% for males and 5% for females </w:t>
      </w:r>
      <w:r w:rsidRPr="0007660D">
        <w:rPr>
          <w:rFonts w:asciiTheme="minorHAnsi" w:hAnsiTheme="minorHAnsi" w:cstheme="minorHAnsi"/>
          <w:sz w:val="16"/>
          <w:szCs w:val="16"/>
        </w:rPr>
        <w:t>(Deaths Australia, 2018, ABS).</w:t>
      </w:r>
    </w:p>
    <w:p w14:paraId="1875D182" w14:textId="77777777" w:rsidR="00C65183" w:rsidRPr="0007660D" w:rsidRDefault="00C65183" w:rsidP="00C65183">
      <w:pPr>
        <w:spacing w:before="60"/>
        <w:jc w:val="both"/>
        <w:rPr>
          <w:rFonts w:asciiTheme="minorHAnsi" w:hAnsiTheme="minorHAnsi" w:cstheme="minorHAnsi"/>
          <w:sz w:val="21"/>
          <w:szCs w:val="21"/>
        </w:rPr>
      </w:pPr>
      <w:r w:rsidRPr="0007660D">
        <w:rPr>
          <w:rFonts w:asciiTheme="minorHAnsi" w:hAnsiTheme="minorHAnsi" w:cstheme="minorHAnsi"/>
          <w:sz w:val="21"/>
          <w:szCs w:val="21"/>
        </w:rPr>
        <w:t xml:space="preserve">In 2018, 5.7 deaths per 100,000 population resulted from transport accidents among men, compared with 1.9 per 100,000 women; and mortality rates of 7.2 per 100,000 from poisoning were recorded among men, compared with 2.8 among women </w:t>
      </w:r>
      <w:r w:rsidRPr="0007660D">
        <w:rPr>
          <w:rFonts w:asciiTheme="minorHAnsi" w:hAnsiTheme="minorHAnsi" w:cstheme="minorHAnsi"/>
          <w:sz w:val="16"/>
          <w:szCs w:val="16"/>
        </w:rPr>
        <w:t>(Deaths Australia 2018, ABS).</w:t>
      </w:r>
    </w:p>
    <w:p w14:paraId="7AF3260A" w14:textId="77777777" w:rsidR="00C65183" w:rsidRPr="0007660D" w:rsidRDefault="00C65183" w:rsidP="00C65183">
      <w:pPr>
        <w:spacing w:before="60"/>
        <w:jc w:val="both"/>
        <w:rPr>
          <w:rFonts w:asciiTheme="minorHAnsi" w:hAnsiTheme="minorHAnsi" w:cstheme="minorHAnsi"/>
          <w:sz w:val="16"/>
          <w:szCs w:val="16"/>
        </w:rPr>
      </w:pPr>
      <w:r w:rsidRPr="0007660D">
        <w:rPr>
          <w:rFonts w:asciiTheme="minorHAnsi" w:hAnsiTheme="minorHAnsi" w:cstheme="minorHAnsi"/>
          <w:sz w:val="21"/>
          <w:szCs w:val="21"/>
        </w:rPr>
        <w:t xml:space="preserve">In 2016/17, average Australian life expectancies were 80.7 years for males and 84.9 for females  </w:t>
      </w:r>
      <w:r w:rsidRPr="0007660D">
        <w:rPr>
          <w:rFonts w:asciiTheme="minorHAnsi" w:hAnsiTheme="minorHAnsi" w:cstheme="minorHAnsi"/>
          <w:sz w:val="16"/>
          <w:szCs w:val="16"/>
        </w:rPr>
        <w:t>(Deaths, Australia, 2018 cat. 3302.0).</w:t>
      </w:r>
    </w:p>
    <w:p w14:paraId="5D074837" w14:textId="77777777" w:rsidR="00C65183" w:rsidRPr="0007660D" w:rsidRDefault="00C65183" w:rsidP="00C65183">
      <w:pPr>
        <w:jc w:val="both"/>
        <w:rPr>
          <w:rFonts w:asciiTheme="minorHAnsi" w:hAnsiTheme="minorHAnsi" w:cstheme="minorHAnsi"/>
          <w:sz w:val="8"/>
          <w:szCs w:val="8"/>
        </w:rPr>
      </w:pPr>
    </w:p>
    <w:p w14:paraId="7B6A461C" w14:textId="77777777" w:rsidR="00C65183" w:rsidRPr="0007660D" w:rsidRDefault="00C65183" w:rsidP="00C65183">
      <w:pPr>
        <w:spacing w:before="40"/>
        <w:jc w:val="both"/>
        <w:rPr>
          <w:rFonts w:asciiTheme="minorHAnsi" w:hAnsiTheme="minorHAnsi" w:cstheme="minorHAnsi"/>
          <w:b/>
          <w:color w:val="244061" w:themeColor="accent1" w:themeShade="80"/>
          <w:sz w:val="24"/>
          <w:szCs w:val="24"/>
        </w:rPr>
      </w:pPr>
      <w:r w:rsidRPr="0007660D">
        <w:rPr>
          <w:rFonts w:asciiTheme="minorHAnsi" w:hAnsiTheme="minorHAnsi" w:cstheme="minorHAnsi"/>
          <w:noProof/>
          <w:color w:val="000000" w:themeColor="text1"/>
          <w:lang w:val="en-US"/>
        </w:rPr>
        <w:drawing>
          <wp:anchor distT="0" distB="0" distL="114300" distR="114300" simplePos="0" relativeHeight="251965440" behindDoc="0" locked="0" layoutInCell="1" allowOverlap="1" wp14:anchorId="34AD4CAE" wp14:editId="776381B4">
            <wp:simplePos x="0" y="0"/>
            <wp:positionH relativeFrom="margin">
              <wp:posOffset>0</wp:posOffset>
            </wp:positionH>
            <wp:positionV relativeFrom="paragraph">
              <wp:posOffset>54610</wp:posOffset>
            </wp:positionV>
            <wp:extent cx="575945" cy="395605"/>
            <wp:effectExtent l="0" t="0" r="0" b="4445"/>
            <wp:wrapSquare wrapText="bothSides"/>
            <wp:docPr id="57" name="Picture 73" descr="obesity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3" descr="obesity 1"/>
                    <pic:cNvPicPr>
                      <a:picLocks noChangeAspect="1" noChangeArrowheads="1"/>
                    </pic:cNvPicPr>
                  </pic:nvPicPr>
                  <pic:blipFill>
                    <a:blip r:embed="rId223" cstate="print"/>
                    <a:srcRect/>
                    <a:stretch>
                      <a:fillRect/>
                    </a:stretch>
                  </pic:blipFill>
                  <pic:spPr bwMode="auto">
                    <a:xfrm>
                      <a:off x="0" y="0"/>
                      <a:ext cx="575945" cy="395605"/>
                    </a:xfrm>
                    <a:prstGeom prst="rect">
                      <a:avLst/>
                    </a:prstGeom>
                    <a:ln>
                      <a:noFill/>
                    </a:ln>
                    <a:effectLst/>
                  </pic:spPr>
                </pic:pic>
              </a:graphicData>
            </a:graphic>
            <wp14:sizeRelH relativeFrom="margin">
              <wp14:pctWidth>0</wp14:pctWidth>
            </wp14:sizeRelH>
            <wp14:sizeRelV relativeFrom="margin">
              <wp14:pctHeight>0</wp14:pctHeight>
            </wp14:sizeRelV>
          </wp:anchor>
        </w:drawing>
      </w:r>
      <w:r w:rsidRPr="0007660D">
        <w:rPr>
          <w:rFonts w:asciiTheme="minorHAnsi" w:hAnsiTheme="minorHAnsi" w:cstheme="minorHAnsi"/>
          <w:b/>
          <w:color w:val="244061" w:themeColor="accent1" w:themeShade="80"/>
          <w:sz w:val="24"/>
          <w:szCs w:val="24"/>
        </w:rPr>
        <w:t>Lifestyle and Drug Use</w:t>
      </w:r>
    </w:p>
    <w:p w14:paraId="3710A219" w14:textId="77777777" w:rsidR="00C65183" w:rsidRPr="0007660D" w:rsidRDefault="00C65183" w:rsidP="00C65183">
      <w:pPr>
        <w:spacing w:before="60"/>
        <w:jc w:val="both"/>
        <w:rPr>
          <w:rFonts w:asciiTheme="minorHAnsi" w:hAnsiTheme="minorHAnsi" w:cstheme="minorHAnsi"/>
          <w:color w:val="244061" w:themeColor="accent1" w:themeShade="80"/>
          <w:sz w:val="21"/>
          <w:szCs w:val="21"/>
        </w:rPr>
      </w:pPr>
      <w:r w:rsidRPr="0007660D">
        <w:rPr>
          <w:rFonts w:asciiTheme="minorHAnsi" w:hAnsiTheme="minorHAnsi" w:cstheme="minorHAnsi"/>
          <w:color w:val="244061" w:themeColor="accent1" w:themeShade="80"/>
          <w:sz w:val="21"/>
          <w:szCs w:val="21"/>
        </w:rPr>
        <w:t>Men exhibit a greater prevalence of nutritional imbalance, sugary drink consumption, obesity, smoking, excessive drinking and deficiency in exercise, than women.</w:t>
      </w:r>
    </w:p>
    <w:p w14:paraId="142771BA" w14:textId="77777777" w:rsidR="00C65183" w:rsidRPr="0007660D" w:rsidRDefault="00C65183" w:rsidP="00C65183">
      <w:pPr>
        <w:spacing w:before="60"/>
        <w:jc w:val="both"/>
        <w:rPr>
          <w:rFonts w:asciiTheme="minorHAnsi" w:hAnsiTheme="minorHAnsi" w:cstheme="minorHAnsi"/>
          <w:sz w:val="21"/>
          <w:szCs w:val="21"/>
        </w:rPr>
      </w:pPr>
      <w:r w:rsidRPr="0007660D">
        <w:rPr>
          <w:rFonts w:asciiTheme="minorHAnsi" w:hAnsiTheme="minorHAnsi" w:cstheme="minorHAnsi"/>
        </w:rPr>
        <w:t xml:space="preserve">In 2014, 3% of Victorian males and 4.1% of females had run out of food at some-time and could not afford more – a condition termed ‘food insecurity with hunger’ </w:t>
      </w:r>
      <w:r w:rsidRPr="0007660D">
        <w:rPr>
          <w:rFonts w:asciiTheme="minorHAnsi" w:hAnsiTheme="minorHAnsi" w:cstheme="minorHAnsi"/>
          <w:sz w:val="16"/>
          <w:szCs w:val="16"/>
        </w:rPr>
        <w:t>(2014 Victorian Population Health Survey)</w:t>
      </w:r>
      <w:r w:rsidRPr="0007660D">
        <w:rPr>
          <w:rFonts w:asciiTheme="minorHAnsi" w:hAnsiTheme="minorHAnsi" w:cstheme="minorHAnsi"/>
        </w:rPr>
        <w:t>.</w:t>
      </w:r>
    </w:p>
    <w:p w14:paraId="48429B7A" w14:textId="77777777" w:rsidR="00C65183" w:rsidRPr="0007660D" w:rsidRDefault="00C65183" w:rsidP="00C65183">
      <w:pPr>
        <w:spacing w:before="60"/>
        <w:jc w:val="both"/>
        <w:rPr>
          <w:rFonts w:asciiTheme="minorHAnsi" w:hAnsiTheme="minorHAnsi" w:cstheme="minorHAnsi"/>
          <w:sz w:val="21"/>
          <w:szCs w:val="21"/>
        </w:rPr>
      </w:pPr>
      <w:r w:rsidRPr="0007660D">
        <w:rPr>
          <w:rFonts w:asciiTheme="minorHAnsi" w:hAnsiTheme="minorHAnsi" w:cstheme="minorHAnsi"/>
          <w:sz w:val="21"/>
          <w:szCs w:val="21"/>
        </w:rPr>
        <w:t xml:space="preserve">In 2018, 14% of Australian women and 22% of men consumed less than one serve of fruit per day </w:t>
      </w:r>
      <w:r w:rsidRPr="0007660D">
        <w:rPr>
          <w:rFonts w:asciiTheme="minorHAnsi" w:hAnsiTheme="minorHAnsi" w:cstheme="minorHAnsi"/>
          <w:sz w:val="16"/>
          <w:szCs w:val="16"/>
        </w:rPr>
        <w:t>(2018 National Health Survey).</w:t>
      </w:r>
    </w:p>
    <w:p w14:paraId="3E5365EC" w14:textId="77777777" w:rsidR="00C65183" w:rsidRPr="0007660D" w:rsidRDefault="00C65183" w:rsidP="00C65183">
      <w:pPr>
        <w:spacing w:before="60"/>
        <w:jc w:val="both"/>
        <w:rPr>
          <w:rFonts w:asciiTheme="minorHAnsi" w:hAnsiTheme="minorHAnsi" w:cstheme="minorHAnsi"/>
          <w:sz w:val="21"/>
          <w:szCs w:val="21"/>
        </w:rPr>
      </w:pPr>
      <w:r w:rsidRPr="0007660D">
        <w:rPr>
          <w:rFonts w:asciiTheme="minorHAnsi" w:hAnsiTheme="minorHAnsi" w:cstheme="minorHAnsi"/>
          <w:sz w:val="21"/>
          <w:szCs w:val="21"/>
        </w:rPr>
        <w:t>In 2018, 9.8% of Australian males consumed two or more metric cups per day of sugar-sweetened drinks, more than twice the corresponding proportion of 4% among women. Similarly, 2% of girls and 5.5% of boys consume two or more metric cups of sugar-sweetened drinks per day (</w:t>
      </w:r>
      <w:r w:rsidRPr="0007660D">
        <w:rPr>
          <w:rFonts w:asciiTheme="minorHAnsi" w:hAnsiTheme="minorHAnsi" w:cstheme="minorHAnsi"/>
          <w:sz w:val="16"/>
          <w:szCs w:val="16"/>
        </w:rPr>
        <w:t>2018 National Health Survey).</w:t>
      </w:r>
    </w:p>
    <w:p w14:paraId="2079D6F8" w14:textId="77777777" w:rsidR="00C65183" w:rsidRPr="0007660D" w:rsidRDefault="00C65183" w:rsidP="00C65183">
      <w:pPr>
        <w:spacing w:before="60"/>
        <w:jc w:val="both"/>
        <w:rPr>
          <w:rFonts w:asciiTheme="minorHAnsi" w:hAnsiTheme="minorHAnsi" w:cstheme="minorHAnsi"/>
          <w:sz w:val="21"/>
          <w:szCs w:val="21"/>
        </w:rPr>
      </w:pPr>
      <w:r w:rsidRPr="0007660D">
        <w:rPr>
          <w:rFonts w:asciiTheme="minorHAnsi" w:hAnsiTheme="minorHAnsi" w:cstheme="minorHAnsi"/>
          <w:sz w:val="21"/>
          <w:szCs w:val="21"/>
        </w:rPr>
        <w:t xml:space="preserve">Obesity is slightly more widespread among Australian males, at 33%, than females, at 30% </w:t>
      </w:r>
      <w:r w:rsidRPr="0007660D">
        <w:rPr>
          <w:rFonts w:asciiTheme="minorHAnsi" w:hAnsiTheme="minorHAnsi" w:cstheme="minorHAnsi"/>
          <w:sz w:val="16"/>
          <w:szCs w:val="16"/>
        </w:rPr>
        <w:t>(2018 National Health Survey).</w:t>
      </w:r>
    </w:p>
    <w:p w14:paraId="7D389F76" w14:textId="77777777" w:rsidR="00C65183" w:rsidRPr="0007660D" w:rsidRDefault="00C65183" w:rsidP="00C65183">
      <w:pPr>
        <w:spacing w:before="60"/>
        <w:jc w:val="both"/>
        <w:rPr>
          <w:rFonts w:asciiTheme="minorHAnsi" w:hAnsiTheme="minorHAnsi" w:cstheme="minorHAnsi"/>
          <w:sz w:val="21"/>
          <w:szCs w:val="21"/>
        </w:rPr>
      </w:pPr>
      <w:r w:rsidRPr="0007660D">
        <w:rPr>
          <w:rFonts w:asciiTheme="minorHAnsi" w:hAnsiTheme="minorHAnsi" w:cstheme="minorHAnsi"/>
          <w:sz w:val="21"/>
          <w:szCs w:val="21"/>
        </w:rPr>
        <w:t xml:space="preserve">In 2018, 18% of Australian women and 19% of men obtained no exercise in a typical week </w:t>
      </w:r>
      <w:r w:rsidRPr="0007660D">
        <w:rPr>
          <w:rFonts w:asciiTheme="minorHAnsi" w:hAnsiTheme="minorHAnsi" w:cstheme="minorHAnsi"/>
          <w:sz w:val="16"/>
          <w:szCs w:val="16"/>
        </w:rPr>
        <w:t>(2018 National Health Survey).</w:t>
      </w:r>
    </w:p>
    <w:p w14:paraId="004A7AFD" w14:textId="77777777" w:rsidR="00C65183" w:rsidRPr="0007660D" w:rsidRDefault="00C65183" w:rsidP="00C65183">
      <w:pPr>
        <w:spacing w:before="60"/>
        <w:jc w:val="both"/>
        <w:rPr>
          <w:rFonts w:asciiTheme="minorHAnsi" w:hAnsiTheme="minorHAnsi" w:cstheme="minorHAnsi"/>
        </w:rPr>
      </w:pPr>
      <w:r w:rsidRPr="0007660D">
        <w:rPr>
          <w:rFonts w:asciiTheme="minorHAnsi" w:hAnsiTheme="minorHAnsi" w:cstheme="minorHAnsi"/>
          <w:sz w:val="21"/>
          <w:szCs w:val="21"/>
        </w:rPr>
        <w:t xml:space="preserve">In 2019, 11% of Australians aged 14 or more smoked, including 12.2% of males and 9.9% of females. </w:t>
      </w:r>
      <w:r w:rsidRPr="0007660D">
        <w:rPr>
          <w:rFonts w:asciiTheme="minorHAnsi" w:hAnsiTheme="minorHAnsi" w:cstheme="minorHAnsi"/>
        </w:rPr>
        <w:t>(</w:t>
      </w:r>
      <w:r w:rsidRPr="0007660D">
        <w:rPr>
          <w:rFonts w:asciiTheme="minorHAnsi" w:hAnsiTheme="minorHAnsi" w:cstheme="minorHAnsi"/>
          <w:sz w:val="16"/>
          <w:szCs w:val="16"/>
        </w:rPr>
        <w:t>National Drug Strategy Household Survey 2019)</w:t>
      </w:r>
    </w:p>
    <w:p w14:paraId="445CFEF9" w14:textId="77777777" w:rsidR="00C65183" w:rsidRPr="0007660D" w:rsidRDefault="00C65183" w:rsidP="00C65183">
      <w:pPr>
        <w:spacing w:before="40" w:after="60"/>
        <w:jc w:val="both"/>
        <w:rPr>
          <w:rFonts w:asciiTheme="minorHAnsi" w:hAnsiTheme="minorHAnsi" w:cstheme="minorHAnsi"/>
          <w:sz w:val="16"/>
          <w:szCs w:val="16"/>
        </w:rPr>
      </w:pPr>
      <w:r w:rsidRPr="0007660D">
        <w:rPr>
          <w:rFonts w:asciiTheme="minorHAnsi" w:hAnsiTheme="minorHAnsi" w:cstheme="minorHAnsi"/>
          <w:sz w:val="21"/>
          <w:szCs w:val="21"/>
        </w:rPr>
        <w:t xml:space="preserve">In 2019 26% of Australian male adults, and 10% of females, consumed alcohol to levels which placed them at lifetime risk </w:t>
      </w:r>
      <w:r w:rsidRPr="0007660D">
        <w:rPr>
          <w:rFonts w:asciiTheme="minorHAnsi" w:hAnsiTheme="minorHAnsi" w:cstheme="minorHAnsi"/>
          <w:sz w:val="16"/>
          <w:szCs w:val="16"/>
        </w:rPr>
        <w:t>(National Drug Strategy Household Survey 2019)</w:t>
      </w:r>
    </w:p>
    <w:p w14:paraId="3EAE5FBD" w14:textId="77777777" w:rsidR="00C65183" w:rsidRPr="0007660D" w:rsidRDefault="00C65183" w:rsidP="00C65183">
      <w:pPr>
        <w:jc w:val="both"/>
        <w:rPr>
          <w:rFonts w:asciiTheme="minorHAnsi" w:hAnsiTheme="minorHAnsi" w:cstheme="minorHAnsi"/>
          <w:sz w:val="12"/>
          <w:szCs w:val="12"/>
        </w:rPr>
      </w:pPr>
    </w:p>
    <w:p w14:paraId="429BB040" w14:textId="77777777" w:rsidR="00C65183" w:rsidRPr="0007660D" w:rsidRDefault="00C65183" w:rsidP="00C65183">
      <w:pPr>
        <w:spacing w:before="140"/>
        <w:jc w:val="both"/>
        <w:rPr>
          <w:rFonts w:asciiTheme="minorHAnsi" w:hAnsiTheme="minorHAnsi" w:cstheme="minorHAnsi"/>
          <w:b/>
          <w:color w:val="244061" w:themeColor="accent1" w:themeShade="80"/>
          <w:sz w:val="24"/>
          <w:szCs w:val="24"/>
        </w:rPr>
      </w:pPr>
      <w:r w:rsidRPr="0007660D">
        <w:rPr>
          <w:rFonts w:asciiTheme="minorHAnsi" w:hAnsiTheme="minorHAnsi" w:cstheme="minorHAnsi"/>
          <w:b/>
          <w:noProof/>
          <w:lang w:val="en-US"/>
        </w:rPr>
        <w:drawing>
          <wp:anchor distT="0" distB="0" distL="114300" distR="114300" simplePos="0" relativeHeight="251961344" behindDoc="0" locked="0" layoutInCell="1" allowOverlap="1" wp14:anchorId="3F73D612" wp14:editId="59E837CB">
            <wp:simplePos x="0" y="0"/>
            <wp:positionH relativeFrom="margin">
              <wp:posOffset>0</wp:posOffset>
            </wp:positionH>
            <wp:positionV relativeFrom="paragraph">
              <wp:posOffset>80010</wp:posOffset>
            </wp:positionV>
            <wp:extent cx="396000" cy="576000"/>
            <wp:effectExtent l="0" t="0" r="4445" b="0"/>
            <wp:wrapSquare wrapText="bothSides"/>
            <wp:docPr id="64" name="Picture 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204" cstate="print"/>
                    <a:srcRect/>
                    <a:stretch>
                      <a:fillRect/>
                    </a:stretch>
                  </pic:blipFill>
                  <pic:spPr bwMode="auto">
                    <a:xfrm>
                      <a:off x="0" y="0"/>
                      <a:ext cx="396000" cy="576000"/>
                    </a:xfrm>
                    <a:prstGeom prst="rect">
                      <a:avLst/>
                    </a:prstGeom>
                    <a:ln>
                      <a:noFill/>
                    </a:ln>
                    <a:effectLst/>
                  </pic:spPr>
                </pic:pic>
              </a:graphicData>
            </a:graphic>
            <wp14:sizeRelH relativeFrom="margin">
              <wp14:pctWidth>0</wp14:pctWidth>
            </wp14:sizeRelH>
            <wp14:sizeRelV relativeFrom="margin">
              <wp14:pctHeight>0</wp14:pctHeight>
            </wp14:sizeRelV>
          </wp:anchor>
        </w:drawing>
      </w:r>
      <w:r w:rsidRPr="0007660D">
        <w:rPr>
          <w:rFonts w:asciiTheme="minorHAnsi" w:hAnsiTheme="minorHAnsi" w:cstheme="minorHAnsi"/>
          <w:b/>
          <w:color w:val="244061" w:themeColor="accent1" w:themeShade="80"/>
          <w:sz w:val="24"/>
          <w:szCs w:val="24"/>
        </w:rPr>
        <w:t>Mental Health</w:t>
      </w:r>
    </w:p>
    <w:p w14:paraId="69C551E0" w14:textId="77777777" w:rsidR="00C65183" w:rsidRPr="0007660D" w:rsidRDefault="00C65183" w:rsidP="00C65183">
      <w:pPr>
        <w:spacing w:before="60"/>
        <w:jc w:val="both"/>
        <w:rPr>
          <w:rFonts w:asciiTheme="minorHAnsi" w:hAnsiTheme="minorHAnsi" w:cstheme="minorHAnsi"/>
          <w:color w:val="244061" w:themeColor="accent1" w:themeShade="80"/>
          <w:sz w:val="21"/>
          <w:szCs w:val="21"/>
        </w:rPr>
      </w:pPr>
      <w:r w:rsidRPr="0007660D">
        <w:rPr>
          <w:rFonts w:asciiTheme="minorHAnsi" w:hAnsiTheme="minorHAnsi" w:cstheme="minorHAnsi"/>
          <w:color w:val="244061" w:themeColor="accent1" w:themeShade="80"/>
          <w:sz w:val="21"/>
          <w:szCs w:val="21"/>
        </w:rPr>
        <w:t>Women experience a markedly higher prevalence of psychological distress, anxiety, depression and post-traumatic disorder than men. However, male suicide rates are three times those of females.</w:t>
      </w:r>
    </w:p>
    <w:p w14:paraId="51E2FB48" w14:textId="77777777" w:rsidR="00C65183" w:rsidRPr="0007660D" w:rsidRDefault="00C65183" w:rsidP="00C65183">
      <w:pPr>
        <w:spacing w:before="60"/>
        <w:jc w:val="both"/>
        <w:rPr>
          <w:rFonts w:asciiTheme="minorHAnsi" w:hAnsiTheme="minorHAnsi" w:cstheme="minorHAnsi"/>
          <w:sz w:val="21"/>
          <w:szCs w:val="21"/>
        </w:rPr>
      </w:pPr>
      <w:r w:rsidRPr="0007660D">
        <w:rPr>
          <w:rFonts w:asciiTheme="minorHAnsi" w:hAnsiTheme="minorHAnsi" w:cstheme="minorHAnsi"/>
          <w:sz w:val="21"/>
          <w:szCs w:val="21"/>
        </w:rPr>
        <w:t xml:space="preserve">In the 2018 National Health Survey, 15% of women and 11% of men reported that they experienced ‘high’ or ‘very high’ levels of psychological distress </w:t>
      </w:r>
      <w:r w:rsidRPr="0007660D">
        <w:rPr>
          <w:rFonts w:asciiTheme="minorHAnsi" w:hAnsiTheme="minorHAnsi" w:cstheme="minorHAnsi"/>
          <w:sz w:val="16"/>
          <w:szCs w:val="16"/>
        </w:rPr>
        <w:t>(2018 National Health Survey).</w:t>
      </w:r>
    </w:p>
    <w:p w14:paraId="0BCECB22" w14:textId="77777777" w:rsidR="00C65183" w:rsidRPr="0007660D" w:rsidRDefault="00C65183" w:rsidP="00C65183">
      <w:pPr>
        <w:spacing w:before="60"/>
        <w:jc w:val="both"/>
        <w:rPr>
          <w:rFonts w:asciiTheme="minorHAnsi" w:hAnsiTheme="minorHAnsi" w:cstheme="minorHAnsi"/>
          <w:sz w:val="16"/>
          <w:szCs w:val="16"/>
        </w:rPr>
      </w:pPr>
      <w:r w:rsidRPr="0007660D">
        <w:rPr>
          <w:rFonts w:asciiTheme="minorHAnsi" w:hAnsiTheme="minorHAnsi" w:cstheme="minorHAnsi"/>
          <w:sz w:val="21"/>
          <w:szCs w:val="21"/>
        </w:rPr>
        <w:t xml:space="preserve">The prevalence of post-traumatic stress disorder is almost twice as high among Australian women (15.8%) as for men (8.6%), while depression (at 14.5% among women and 8.6% among men), social phobia (12.8% and 8.4% respectively) and generalised anxiety disorder (7.3% vs. 4.4%) are also more widespread among women </w:t>
      </w:r>
      <w:r w:rsidRPr="0007660D">
        <w:rPr>
          <w:rFonts w:asciiTheme="minorHAnsi" w:hAnsiTheme="minorHAnsi" w:cstheme="minorHAnsi"/>
          <w:sz w:val="16"/>
          <w:szCs w:val="16"/>
        </w:rPr>
        <w:t>(National Survey of Mental Health and Wellbeing, 2007, ABS).</w:t>
      </w:r>
    </w:p>
    <w:p w14:paraId="17537FE4" w14:textId="77777777" w:rsidR="00C65183" w:rsidRPr="0007660D" w:rsidRDefault="00C65183" w:rsidP="00C65183">
      <w:pPr>
        <w:spacing w:before="60"/>
        <w:rPr>
          <w:rFonts w:asciiTheme="minorHAnsi" w:hAnsiTheme="minorHAnsi" w:cstheme="minorHAnsi"/>
          <w:sz w:val="16"/>
          <w:szCs w:val="16"/>
        </w:rPr>
      </w:pPr>
      <w:r w:rsidRPr="0007660D">
        <w:rPr>
          <w:rFonts w:asciiTheme="minorHAnsi" w:hAnsiTheme="minorHAnsi" w:cstheme="minorHAnsi"/>
          <w:sz w:val="21"/>
          <w:szCs w:val="21"/>
        </w:rPr>
        <w:t xml:space="preserve">Males are approximately four times more likely to be diagnosed with autism spectrum disorder as females </w:t>
      </w:r>
      <w:r w:rsidRPr="0007660D">
        <w:rPr>
          <w:rFonts w:asciiTheme="minorHAnsi" w:hAnsiTheme="minorHAnsi" w:cstheme="minorHAnsi"/>
          <w:sz w:val="16"/>
          <w:szCs w:val="16"/>
        </w:rPr>
        <w:t xml:space="preserve">(Morbidity and mortality weekly report: </w:t>
      </w:r>
      <w:r w:rsidRPr="0007660D">
        <w:rPr>
          <w:rStyle w:val="Emphasis"/>
          <w:rFonts w:asciiTheme="minorHAnsi" w:hAnsiTheme="minorHAnsi" w:cstheme="minorHAnsi"/>
          <w:sz w:val="16"/>
          <w:szCs w:val="16"/>
          <w:lang w:val="en-US"/>
        </w:rPr>
        <w:t>Surveillance Summaries</w:t>
      </w:r>
      <w:r w:rsidRPr="0007660D">
        <w:rPr>
          <w:rFonts w:asciiTheme="minorHAnsi" w:hAnsiTheme="minorHAnsi" w:cstheme="minorHAnsi"/>
          <w:sz w:val="16"/>
          <w:szCs w:val="16"/>
          <w:lang w:val="en-US"/>
        </w:rPr>
        <w:t xml:space="preserve"> / April 27, 2018 / 67(6);1–23</w:t>
      </w:r>
      <w:r w:rsidRPr="0007660D">
        <w:rPr>
          <w:rFonts w:asciiTheme="minorHAnsi" w:hAnsiTheme="minorHAnsi" w:cstheme="minorHAnsi"/>
          <w:sz w:val="16"/>
          <w:szCs w:val="16"/>
        </w:rPr>
        <w:t>)</w:t>
      </w:r>
    </w:p>
    <w:p w14:paraId="795E0B91" w14:textId="77777777" w:rsidR="00C65183" w:rsidRPr="0007660D" w:rsidRDefault="00C65183" w:rsidP="00C65183">
      <w:pPr>
        <w:spacing w:before="60"/>
        <w:jc w:val="both"/>
        <w:rPr>
          <w:rFonts w:asciiTheme="minorHAnsi" w:hAnsiTheme="minorHAnsi" w:cstheme="minorHAnsi"/>
          <w:color w:val="252525"/>
        </w:rPr>
      </w:pPr>
      <w:r w:rsidRPr="0007660D">
        <w:rPr>
          <w:rFonts w:asciiTheme="minorHAnsi" w:hAnsiTheme="minorHAnsi" w:cstheme="minorHAnsi"/>
          <w:sz w:val="21"/>
          <w:szCs w:val="21"/>
        </w:rPr>
        <w:t xml:space="preserve">A 2018 survey of a national sample of 500 Australian adults detected </w:t>
      </w:r>
      <w:r w:rsidRPr="0007660D">
        <w:rPr>
          <w:rFonts w:asciiTheme="minorHAnsi" w:hAnsiTheme="minorHAnsi" w:cstheme="minorHAnsi"/>
          <w:color w:val="252525"/>
          <w:sz w:val="21"/>
          <w:szCs w:val="21"/>
        </w:rPr>
        <w:t xml:space="preserve">no differences in loneliness by gender </w:t>
      </w:r>
      <w:r w:rsidRPr="0007660D">
        <w:rPr>
          <w:rFonts w:asciiTheme="minorHAnsi" w:hAnsiTheme="minorHAnsi" w:cstheme="minorHAnsi"/>
          <w:color w:val="000000" w:themeColor="text1"/>
          <w:sz w:val="21"/>
          <w:szCs w:val="21"/>
        </w:rPr>
        <w:t>Australian Psychological Society.</w:t>
      </w:r>
      <w:r w:rsidRPr="0007660D">
        <w:rPr>
          <w:rFonts w:asciiTheme="minorHAnsi" w:hAnsiTheme="minorHAnsi" w:cstheme="minorHAnsi"/>
          <w:color w:val="000000" w:themeColor="text1"/>
        </w:rPr>
        <w:t xml:space="preserve"> </w:t>
      </w:r>
      <w:r w:rsidRPr="0007660D">
        <w:rPr>
          <w:rFonts w:asciiTheme="minorHAnsi" w:hAnsiTheme="minorHAnsi" w:cstheme="minorHAnsi"/>
          <w:bCs/>
          <w:color w:val="000000" w:themeColor="text1"/>
          <w:sz w:val="16"/>
          <w:szCs w:val="16"/>
        </w:rPr>
        <w:t>Australian Loneliness Report: A survey exploring the loneliness levels of Australians and the impact on their health and wellbeing.</w:t>
      </w:r>
    </w:p>
    <w:p w14:paraId="27EEAD4B" w14:textId="77777777" w:rsidR="00C65183" w:rsidRPr="0007660D" w:rsidRDefault="00C65183" w:rsidP="00C65183">
      <w:pPr>
        <w:spacing w:before="60"/>
        <w:jc w:val="both"/>
        <w:rPr>
          <w:rFonts w:asciiTheme="minorHAnsi" w:hAnsiTheme="minorHAnsi" w:cstheme="minorHAnsi"/>
          <w:sz w:val="16"/>
          <w:szCs w:val="16"/>
        </w:rPr>
      </w:pPr>
      <w:r w:rsidRPr="0007660D">
        <w:rPr>
          <w:rFonts w:asciiTheme="minorHAnsi" w:hAnsiTheme="minorHAnsi" w:cstheme="minorHAnsi"/>
          <w:sz w:val="21"/>
          <w:szCs w:val="21"/>
        </w:rPr>
        <w:t xml:space="preserve">In 2018, the suicide rate among Victorians was 13.6 per 10,000 persons among males and 4.7 per 10,000 among females – reflecting a long-standing disparity </w:t>
      </w:r>
      <w:r w:rsidRPr="0007660D">
        <w:rPr>
          <w:rFonts w:asciiTheme="minorHAnsi" w:hAnsiTheme="minorHAnsi" w:cstheme="minorHAnsi"/>
          <w:sz w:val="16"/>
          <w:szCs w:val="16"/>
        </w:rPr>
        <w:t>(Causes of Death Australia, 2018. ABS).</w:t>
      </w:r>
    </w:p>
    <w:p w14:paraId="0A7AD437" w14:textId="77777777" w:rsidR="00C65183" w:rsidRPr="0007660D" w:rsidRDefault="00C65183" w:rsidP="00C65183">
      <w:pPr>
        <w:spacing w:before="60"/>
        <w:rPr>
          <w:rFonts w:asciiTheme="minorHAnsi" w:hAnsiTheme="minorHAnsi" w:cstheme="minorHAnsi"/>
          <w:lang w:val="en-GB"/>
        </w:rPr>
      </w:pPr>
      <w:r w:rsidRPr="0007660D">
        <w:rPr>
          <w:rFonts w:asciiTheme="minorHAnsi" w:hAnsiTheme="minorHAnsi" w:cstheme="minorHAnsi"/>
          <w:lang w:val="en-GB"/>
        </w:rPr>
        <w:t xml:space="preserve">In 2019, 4.4% of Victorian men and 1.9% of women were found to be moderate-risk or problem gamblers </w:t>
      </w:r>
      <w:r w:rsidRPr="0007660D">
        <w:rPr>
          <w:rFonts w:asciiTheme="minorHAnsi" w:hAnsiTheme="minorHAnsi" w:cstheme="minorHAnsi"/>
          <w:sz w:val="16"/>
          <w:szCs w:val="16"/>
          <w:lang w:val="en-GB"/>
        </w:rPr>
        <w:t>(Victorian Population Gambling and Health Study 2018/19)</w:t>
      </w:r>
    </w:p>
    <w:p w14:paraId="252BFDC6" w14:textId="77777777" w:rsidR="00C65183" w:rsidRPr="0007660D" w:rsidRDefault="00C65183" w:rsidP="00C65183">
      <w:pPr>
        <w:spacing w:before="40"/>
        <w:jc w:val="both"/>
        <w:rPr>
          <w:rFonts w:asciiTheme="minorHAnsi" w:hAnsiTheme="minorHAnsi" w:cstheme="minorHAnsi"/>
          <w:sz w:val="12"/>
          <w:szCs w:val="12"/>
        </w:rPr>
      </w:pPr>
    </w:p>
    <w:p w14:paraId="23B36CD3" w14:textId="77777777" w:rsidR="00C65183" w:rsidRPr="0007660D" w:rsidRDefault="00C65183" w:rsidP="00C65183">
      <w:pPr>
        <w:spacing w:before="40"/>
        <w:jc w:val="both"/>
        <w:rPr>
          <w:rFonts w:asciiTheme="minorHAnsi" w:hAnsiTheme="minorHAnsi" w:cstheme="minorHAnsi"/>
          <w:b/>
          <w:color w:val="244061" w:themeColor="accent1" w:themeShade="80"/>
          <w:sz w:val="24"/>
          <w:szCs w:val="24"/>
        </w:rPr>
      </w:pPr>
      <w:r w:rsidRPr="0007660D">
        <w:rPr>
          <w:rFonts w:asciiTheme="minorHAnsi" w:hAnsiTheme="minorHAnsi" w:cstheme="minorHAnsi"/>
          <w:noProof/>
          <w:color w:val="000000"/>
          <w:lang w:eastAsia="en-AU"/>
        </w:rPr>
        <w:drawing>
          <wp:anchor distT="0" distB="0" distL="114300" distR="114300" simplePos="0" relativeHeight="251962368" behindDoc="0" locked="0" layoutInCell="1" allowOverlap="1" wp14:anchorId="3CB15CFC" wp14:editId="7B48FB25">
            <wp:simplePos x="0" y="0"/>
            <wp:positionH relativeFrom="column">
              <wp:posOffset>3810</wp:posOffset>
            </wp:positionH>
            <wp:positionV relativeFrom="paragraph">
              <wp:posOffset>86995</wp:posOffset>
            </wp:positionV>
            <wp:extent cx="575945" cy="395605"/>
            <wp:effectExtent l="0" t="0" r="0" b="4445"/>
            <wp:wrapSquare wrapText="bothSides"/>
            <wp:docPr id="66" name="Picture 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ommunity Older 4.jpg"/>
                    <pic:cNvPicPr/>
                  </pic:nvPicPr>
                  <pic:blipFill>
                    <a:blip r:embed="rId224" cstate="print">
                      <a:extLst>
                        <a:ext uri="{28A0092B-C50C-407E-A947-70E740481C1C}">
                          <a14:useLocalDpi xmlns:a14="http://schemas.microsoft.com/office/drawing/2010/main" val="0"/>
                        </a:ext>
                      </a:extLst>
                    </a:blip>
                    <a:stretch>
                      <a:fillRect/>
                    </a:stretch>
                  </pic:blipFill>
                  <pic:spPr>
                    <a:xfrm>
                      <a:off x="0" y="0"/>
                      <a:ext cx="575945" cy="395605"/>
                    </a:xfrm>
                    <a:prstGeom prst="rect">
                      <a:avLst/>
                    </a:prstGeom>
                    <a:ln>
                      <a:noFill/>
                    </a:ln>
                    <a:effectLst/>
                  </pic:spPr>
                </pic:pic>
              </a:graphicData>
            </a:graphic>
            <wp14:sizeRelH relativeFrom="page">
              <wp14:pctWidth>0</wp14:pctWidth>
            </wp14:sizeRelH>
            <wp14:sizeRelV relativeFrom="page">
              <wp14:pctHeight>0</wp14:pctHeight>
            </wp14:sizeRelV>
          </wp:anchor>
        </w:drawing>
      </w:r>
      <w:r w:rsidRPr="0007660D">
        <w:rPr>
          <w:rFonts w:asciiTheme="minorHAnsi" w:hAnsiTheme="minorHAnsi" w:cstheme="minorHAnsi"/>
          <w:b/>
          <w:color w:val="244061" w:themeColor="accent1" w:themeShade="80"/>
          <w:sz w:val="24"/>
          <w:szCs w:val="24"/>
        </w:rPr>
        <w:t>Attitudes to Gender Equity and Equality</w:t>
      </w:r>
    </w:p>
    <w:p w14:paraId="3562909A" w14:textId="77777777" w:rsidR="00C65183" w:rsidRPr="0007660D" w:rsidRDefault="00C65183" w:rsidP="00C65183">
      <w:pPr>
        <w:spacing w:before="60"/>
        <w:jc w:val="both"/>
        <w:rPr>
          <w:rFonts w:asciiTheme="minorHAnsi" w:hAnsiTheme="minorHAnsi" w:cstheme="minorHAnsi"/>
          <w:color w:val="244061" w:themeColor="accent1" w:themeShade="80"/>
          <w:sz w:val="21"/>
          <w:szCs w:val="21"/>
        </w:rPr>
      </w:pPr>
      <w:r w:rsidRPr="0007660D">
        <w:rPr>
          <w:rFonts w:asciiTheme="minorHAnsi" w:hAnsiTheme="minorHAnsi" w:cstheme="minorHAnsi"/>
          <w:color w:val="244061" w:themeColor="accent1" w:themeShade="80"/>
          <w:sz w:val="21"/>
          <w:szCs w:val="21"/>
        </w:rPr>
        <w:t>The proportion of people who do not support gender equity is highest among men, younger people, those with limited formal education and unemployed people.</w:t>
      </w:r>
    </w:p>
    <w:p w14:paraId="21523565" w14:textId="77777777" w:rsidR="00C65183" w:rsidRPr="0007660D" w:rsidRDefault="00C65183" w:rsidP="00C65183">
      <w:pPr>
        <w:spacing w:before="60"/>
        <w:jc w:val="both"/>
        <w:rPr>
          <w:rFonts w:asciiTheme="minorHAnsi" w:hAnsiTheme="minorHAnsi" w:cstheme="minorHAnsi"/>
          <w:sz w:val="21"/>
          <w:szCs w:val="21"/>
        </w:rPr>
      </w:pPr>
      <w:r w:rsidRPr="0007660D">
        <w:rPr>
          <w:rFonts w:asciiTheme="minorHAnsi" w:hAnsiTheme="minorHAnsi" w:cstheme="minorHAnsi"/>
          <w:sz w:val="21"/>
          <w:szCs w:val="21"/>
        </w:rPr>
        <w:t>The 2015 VicHealth Indicators Survey measured support for gender equality, based upon the level of agreement among respondents with two statements:</w:t>
      </w:r>
      <w:r w:rsidRPr="0007660D">
        <w:rPr>
          <w:rFonts w:asciiTheme="minorHAnsi" w:hAnsiTheme="minorHAnsi" w:cstheme="minorHAnsi"/>
          <w:sz w:val="21"/>
          <w:szCs w:val="21"/>
        </w:rPr>
        <w:tab/>
        <w:t>‘Men should take control in relationships and be head of the household’ and ‘Women prefer a man to be in charge in a relationship’.</w:t>
      </w:r>
    </w:p>
    <w:p w14:paraId="69D7282C" w14:textId="77777777" w:rsidR="00C65183" w:rsidRPr="0007660D" w:rsidRDefault="00C65183" w:rsidP="00C65183">
      <w:pPr>
        <w:spacing w:before="60"/>
        <w:jc w:val="both"/>
        <w:rPr>
          <w:rFonts w:asciiTheme="minorHAnsi" w:hAnsiTheme="minorHAnsi" w:cstheme="minorHAnsi"/>
          <w:sz w:val="16"/>
          <w:szCs w:val="16"/>
        </w:rPr>
      </w:pPr>
      <w:r w:rsidRPr="0007660D">
        <w:rPr>
          <w:rFonts w:asciiTheme="minorHAnsi" w:hAnsiTheme="minorHAnsi" w:cstheme="minorHAnsi"/>
          <w:sz w:val="21"/>
          <w:szCs w:val="21"/>
        </w:rPr>
        <w:t xml:space="preserve">Segments of the community which expressed the </w:t>
      </w:r>
      <w:r w:rsidRPr="0007660D">
        <w:rPr>
          <w:rFonts w:asciiTheme="minorHAnsi" w:hAnsiTheme="minorHAnsi" w:cstheme="minorHAnsi"/>
          <w:i/>
          <w:sz w:val="21"/>
          <w:szCs w:val="21"/>
        </w:rPr>
        <w:t>lowest</w:t>
      </w:r>
      <w:r w:rsidRPr="0007660D">
        <w:rPr>
          <w:rFonts w:asciiTheme="minorHAnsi" w:hAnsiTheme="minorHAnsi" w:cstheme="minorHAnsi"/>
          <w:sz w:val="21"/>
          <w:szCs w:val="21"/>
        </w:rPr>
        <w:t xml:space="preserve"> support for gender equality included younger people, men, people with limited education, unemployed people, those from non-English-speaking countries and people living in outer-metropolitan localities </w:t>
      </w:r>
      <w:r w:rsidRPr="0007660D">
        <w:rPr>
          <w:rFonts w:asciiTheme="minorHAnsi" w:hAnsiTheme="minorHAnsi" w:cstheme="minorHAnsi"/>
          <w:sz w:val="16"/>
          <w:szCs w:val="16"/>
        </w:rPr>
        <w:t>(2015 VicHealth Indicators Survey).</w:t>
      </w:r>
    </w:p>
    <w:p w14:paraId="7E2D20EF" w14:textId="77777777" w:rsidR="00C65183" w:rsidRPr="0007660D" w:rsidRDefault="00C65183" w:rsidP="00C65183">
      <w:pPr>
        <w:spacing w:before="60"/>
        <w:jc w:val="both"/>
        <w:rPr>
          <w:rFonts w:asciiTheme="minorHAnsi" w:hAnsiTheme="minorHAnsi" w:cstheme="minorHAnsi"/>
          <w:sz w:val="21"/>
          <w:szCs w:val="21"/>
        </w:rPr>
      </w:pPr>
      <w:r w:rsidRPr="0007660D">
        <w:rPr>
          <w:rFonts w:asciiTheme="minorHAnsi" w:hAnsiTheme="minorHAnsi" w:cstheme="minorHAnsi"/>
          <w:sz w:val="21"/>
          <w:szCs w:val="21"/>
        </w:rPr>
        <w:lastRenderedPageBreak/>
        <w:t>Among young Australian men, surveyed in 2018:</w:t>
      </w:r>
    </w:p>
    <w:p w14:paraId="245561D1" w14:textId="77777777" w:rsidR="00C65183" w:rsidRPr="0007660D" w:rsidRDefault="00C65183" w:rsidP="00C65183">
      <w:pPr>
        <w:spacing w:before="60"/>
        <w:jc w:val="both"/>
        <w:rPr>
          <w:rFonts w:asciiTheme="minorHAnsi" w:hAnsiTheme="minorHAnsi" w:cstheme="minorHAnsi"/>
          <w:sz w:val="21"/>
          <w:szCs w:val="21"/>
        </w:rPr>
      </w:pPr>
      <w:r w:rsidRPr="0007660D">
        <w:rPr>
          <w:rFonts w:asciiTheme="minorHAnsi" w:hAnsiTheme="minorHAnsi" w:cstheme="minorHAnsi"/>
          <w:sz w:val="21"/>
          <w:szCs w:val="21"/>
        </w:rPr>
        <w:t>* 13% expressed the opinion that men, not women, should bring money home for their families.</w:t>
      </w:r>
    </w:p>
    <w:p w14:paraId="7A966577" w14:textId="77777777" w:rsidR="00C65183" w:rsidRPr="0007660D" w:rsidRDefault="00C65183" w:rsidP="00C65183">
      <w:pPr>
        <w:spacing w:before="60"/>
        <w:jc w:val="both"/>
        <w:rPr>
          <w:rFonts w:asciiTheme="minorHAnsi" w:hAnsiTheme="minorHAnsi" w:cstheme="minorHAnsi"/>
          <w:sz w:val="21"/>
          <w:szCs w:val="21"/>
        </w:rPr>
      </w:pPr>
      <w:r w:rsidRPr="0007660D">
        <w:rPr>
          <w:rFonts w:asciiTheme="minorHAnsi" w:hAnsiTheme="minorHAnsi" w:cstheme="minorHAnsi"/>
          <w:sz w:val="21"/>
          <w:szCs w:val="21"/>
        </w:rPr>
        <w:t>* 19% believed that a man shouldn’t have to do household chores.</w:t>
      </w:r>
    </w:p>
    <w:p w14:paraId="76BF7E90" w14:textId="77777777" w:rsidR="00C65183" w:rsidRPr="0007660D" w:rsidRDefault="00C65183" w:rsidP="00C65183">
      <w:pPr>
        <w:spacing w:before="60"/>
        <w:jc w:val="both"/>
        <w:rPr>
          <w:rFonts w:asciiTheme="minorHAnsi" w:hAnsiTheme="minorHAnsi" w:cstheme="minorHAnsi"/>
          <w:sz w:val="21"/>
          <w:szCs w:val="21"/>
        </w:rPr>
      </w:pPr>
      <w:r w:rsidRPr="0007660D">
        <w:rPr>
          <w:rFonts w:asciiTheme="minorHAnsi" w:hAnsiTheme="minorHAnsi" w:cstheme="minorHAnsi"/>
          <w:sz w:val="21"/>
          <w:szCs w:val="21"/>
        </w:rPr>
        <w:t>* 27% held the view that a man should always have the final say about decisions in his relationship or marriage.</w:t>
      </w:r>
    </w:p>
    <w:p w14:paraId="2B674FBA" w14:textId="77777777" w:rsidR="00C65183" w:rsidRPr="0007660D" w:rsidRDefault="00C65183" w:rsidP="00C65183">
      <w:pPr>
        <w:spacing w:before="60"/>
        <w:jc w:val="both"/>
        <w:rPr>
          <w:rFonts w:asciiTheme="minorHAnsi" w:hAnsiTheme="minorHAnsi" w:cstheme="minorHAnsi"/>
          <w:sz w:val="21"/>
          <w:szCs w:val="21"/>
        </w:rPr>
      </w:pPr>
      <w:r w:rsidRPr="0007660D">
        <w:rPr>
          <w:rFonts w:asciiTheme="minorHAnsi" w:hAnsiTheme="minorHAnsi" w:cstheme="minorHAnsi"/>
          <w:sz w:val="21"/>
          <w:szCs w:val="21"/>
        </w:rPr>
        <w:t>* 37% maintained that if a man has a girlfriend or wife, he deserves to know where she is all the time.</w:t>
      </w:r>
    </w:p>
    <w:p w14:paraId="356A5E53" w14:textId="77777777" w:rsidR="00C65183" w:rsidRPr="0007660D" w:rsidRDefault="00C65183" w:rsidP="00C65183">
      <w:pPr>
        <w:spacing w:before="60"/>
        <w:jc w:val="both"/>
        <w:rPr>
          <w:rFonts w:asciiTheme="minorHAnsi" w:hAnsiTheme="minorHAnsi" w:cstheme="minorHAnsi"/>
          <w:sz w:val="16"/>
          <w:szCs w:val="16"/>
        </w:rPr>
      </w:pPr>
      <w:r w:rsidRPr="0007660D">
        <w:rPr>
          <w:rFonts w:asciiTheme="minorHAnsi" w:hAnsiTheme="minorHAnsi" w:cstheme="minorHAnsi"/>
          <w:sz w:val="16"/>
          <w:szCs w:val="16"/>
        </w:rPr>
        <w:t>(The Man Box: a study on being a young man in Australia’, by The Men’s Project and Flood, M. (2018). Jesuit Social Services).</w:t>
      </w:r>
    </w:p>
    <w:p w14:paraId="4CB16221" w14:textId="77777777" w:rsidR="00C65183" w:rsidRDefault="00C65183" w:rsidP="00C65183">
      <w:pPr>
        <w:spacing w:before="40"/>
        <w:jc w:val="both"/>
        <w:rPr>
          <w:rFonts w:asciiTheme="minorHAnsi" w:hAnsiTheme="minorHAnsi" w:cstheme="minorHAnsi"/>
          <w:b/>
          <w:color w:val="244061" w:themeColor="accent1" w:themeShade="80"/>
          <w:sz w:val="12"/>
          <w:szCs w:val="12"/>
        </w:rPr>
      </w:pPr>
    </w:p>
    <w:p w14:paraId="4C0E6CDF" w14:textId="77777777" w:rsidR="00C65183" w:rsidRPr="0007660D" w:rsidRDefault="00C65183" w:rsidP="00C65183">
      <w:pPr>
        <w:spacing w:before="40"/>
        <w:jc w:val="both"/>
        <w:rPr>
          <w:rFonts w:asciiTheme="minorHAnsi" w:hAnsiTheme="minorHAnsi" w:cstheme="minorHAnsi"/>
          <w:b/>
          <w:color w:val="244061" w:themeColor="accent1" w:themeShade="80"/>
          <w:sz w:val="24"/>
          <w:szCs w:val="24"/>
        </w:rPr>
      </w:pPr>
      <w:r w:rsidRPr="0007660D">
        <w:rPr>
          <w:rFonts w:asciiTheme="minorHAnsi" w:hAnsiTheme="minorHAnsi" w:cstheme="minorHAnsi"/>
          <w:noProof/>
          <w:lang w:eastAsia="en-AU"/>
        </w:rPr>
        <w:drawing>
          <wp:anchor distT="0" distB="0" distL="114300" distR="114300" simplePos="0" relativeHeight="251966464" behindDoc="0" locked="0" layoutInCell="1" allowOverlap="1" wp14:anchorId="39D7C536" wp14:editId="25B56B61">
            <wp:simplePos x="0" y="0"/>
            <wp:positionH relativeFrom="margin">
              <wp:align>left</wp:align>
            </wp:positionH>
            <wp:positionV relativeFrom="paragraph">
              <wp:posOffset>56515</wp:posOffset>
            </wp:positionV>
            <wp:extent cx="575945" cy="395605"/>
            <wp:effectExtent l="0" t="0" r="0" b="4445"/>
            <wp:wrapSquare wrapText="bothSides"/>
            <wp:docPr id="69" name="Picture 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ommerce Employment 2.jpg"/>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575945" cy="395605"/>
                    </a:xfrm>
                    <a:prstGeom prst="rect">
                      <a:avLst/>
                    </a:prstGeom>
                    <a:ln>
                      <a:noFill/>
                    </a:ln>
                    <a:effectLst/>
                  </pic:spPr>
                </pic:pic>
              </a:graphicData>
            </a:graphic>
            <wp14:sizeRelH relativeFrom="page">
              <wp14:pctWidth>0</wp14:pctWidth>
            </wp14:sizeRelH>
            <wp14:sizeRelV relativeFrom="page">
              <wp14:pctHeight>0</wp14:pctHeight>
            </wp14:sizeRelV>
          </wp:anchor>
        </w:drawing>
      </w:r>
      <w:r w:rsidRPr="0007660D">
        <w:rPr>
          <w:rFonts w:asciiTheme="minorHAnsi" w:hAnsiTheme="minorHAnsi" w:cstheme="minorHAnsi"/>
          <w:b/>
          <w:color w:val="244061" w:themeColor="accent1" w:themeShade="80"/>
          <w:sz w:val="24"/>
          <w:szCs w:val="24"/>
        </w:rPr>
        <w:t>Workplace &amp; Street Harassment</w:t>
      </w:r>
    </w:p>
    <w:p w14:paraId="60737B87" w14:textId="77777777" w:rsidR="00C65183" w:rsidRPr="0007660D" w:rsidRDefault="00C65183" w:rsidP="00C65183">
      <w:pPr>
        <w:spacing w:before="60"/>
        <w:jc w:val="both"/>
        <w:rPr>
          <w:rFonts w:asciiTheme="minorHAnsi" w:hAnsiTheme="minorHAnsi" w:cstheme="minorHAnsi"/>
          <w:color w:val="244061" w:themeColor="accent1" w:themeShade="80"/>
          <w:sz w:val="21"/>
          <w:szCs w:val="21"/>
        </w:rPr>
      </w:pPr>
      <w:r w:rsidRPr="0007660D">
        <w:rPr>
          <w:rFonts w:asciiTheme="minorHAnsi" w:hAnsiTheme="minorHAnsi" w:cstheme="minorHAnsi"/>
          <w:color w:val="244061" w:themeColor="accent1" w:themeShade="80"/>
          <w:sz w:val="21"/>
          <w:szCs w:val="21"/>
        </w:rPr>
        <w:t>A substantial proportion of women and men experience sexual harassment at work, while many women endure discrimination associated with pregnancy or return to work after caring for children.</w:t>
      </w:r>
    </w:p>
    <w:p w14:paraId="4956E60D" w14:textId="77777777" w:rsidR="00C65183" w:rsidRPr="0007660D" w:rsidRDefault="00C65183" w:rsidP="00C65183">
      <w:pPr>
        <w:spacing w:before="60"/>
        <w:jc w:val="both"/>
        <w:rPr>
          <w:rFonts w:asciiTheme="minorHAnsi" w:hAnsiTheme="minorHAnsi" w:cstheme="minorHAnsi"/>
          <w:sz w:val="21"/>
          <w:szCs w:val="21"/>
        </w:rPr>
      </w:pPr>
      <w:r w:rsidRPr="0007660D">
        <w:rPr>
          <w:rFonts w:asciiTheme="minorHAnsi" w:hAnsiTheme="minorHAnsi" w:cstheme="minorHAnsi"/>
          <w:sz w:val="21"/>
          <w:szCs w:val="21"/>
        </w:rPr>
        <w:t xml:space="preserve">In 2019, 20% of employed Australians, including 23% of females and 16% of males, had been sexually harassed at the workplace in the previous 12 months </w:t>
      </w:r>
      <w:r w:rsidRPr="0007660D">
        <w:rPr>
          <w:rFonts w:asciiTheme="minorHAnsi" w:hAnsiTheme="minorHAnsi" w:cstheme="minorHAnsi"/>
          <w:sz w:val="16"/>
          <w:szCs w:val="16"/>
        </w:rPr>
        <w:t>(2018 Australian Human Rights Commission national survey).</w:t>
      </w:r>
    </w:p>
    <w:p w14:paraId="25C44BCD" w14:textId="77777777" w:rsidR="00C65183" w:rsidRPr="0007660D" w:rsidRDefault="00C65183" w:rsidP="00C65183">
      <w:pPr>
        <w:spacing w:before="60"/>
        <w:jc w:val="both"/>
        <w:rPr>
          <w:rFonts w:asciiTheme="minorHAnsi" w:hAnsiTheme="minorHAnsi" w:cstheme="minorHAnsi"/>
          <w:sz w:val="21"/>
          <w:szCs w:val="21"/>
        </w:rPr>
      </w:pPr>
      <w:r w:rsidRPr="0007660D">
        <w:rPr>
          <w:rFonts w:asciiTheme="minorHAnsi" w:hAnsiTheme="minorHAnsi" w:cstheme="minorHAnsi"/>
          <w:sz w:val="21"/>
          <w:szCs w:val="21"/>
        </w:rPr>
        <w:t xml:space="preserve">In 2014, half of all employed mothers had experienced discrimination in the workplace in relation to pregnancy or returning work. Among them, 32% sought another job or resigned </w:t>
      </w:r>
      <w:r w:rsidRPr="0007660D">
        <w:rPr>
          <w:rFonts w:asciiTheme="minorHAnsi" w:hAnsiTheme="minorHAnsi" w:cstheme="minorHAnsi"/>
          <w:sz w:val="16"/>
          <w:szCs w:val="16"/>
        </w:rPr>
        <w:t>(Australian Human Rights Commission. Supporting Working Parents: pregnancy and return to work national review report, 2014)</w:t>
      </w:r>
      <w:r w:rsidRPr="0007660D">
        <w:rPr>
          <w:rFonts w:asciiTheme="minorHAnsi" w:hAnsiTheme="minorHAnsi" w:cstheme="minorHAnsi"/>
          <w:sz w:val="21"/>
          <w:szCs w:val="21"/>
        </w:rPr>
        <w:t>.</w:t>
      </w:r>
    </w:p>
    <w:p w14:paraId="769CD175" w14:textId="77777777" w:rsidR="00C65183" w:rsidRPr="0007660D" w:rsidRDefault="00C65183" w:rsidP="00C65183">
      <w:pPr>
        <w:spacing w:before="60"/>
        <w:jc w:val="both"/>
        <w:rPr>
          <w:rFonts w:asciiTheme="minorHAnsi" w:hAnsiTheme="minorHAnsi" w:cstheme="minorHAnsi"/>
          <w:sz w:val="16"/>
          <w:szCs w:val="16"/>
          <w:lang w:val="en-GB"/>
        </w:rPr>
      </w:pPr>
      <w:r w:rsidRPr="0007660D">
        <w:rPr>
          <w:rFonts w:asciiTheme="minorHAnsi" w:hAnsiTheme="minorHAnsi" w:cstheme="minorHAnsi"/>
          <w:lang w:val="en-GB"/>
        </w:rPr>
        <w:t xml:space="preserve">84% of women had experienced some form of non-physical harassment during their lives, including honking, wolf-whistling, leering, vulgar gestures, lewd or sexist comments or repeated, unwelcome sexual advances. Men are the perpetrators in 87% of harassment of women on the street </w:t>
      </w:r>
      <w:r w:rsidRPr="0007660D">
        <w:rPr>
          <w:rFonts w:asciiTheme="minorHAnsi" w:hAnsiTheme="minorHAnsi" w:cstheme="minorHAnsi"/>
          <w:sz w:val="16"/>
          <w:szCs w:val="16"/>
          <w:lang w:val="en-GB"/>
        </w:rPr>
        <w:t>(Everyday Sexism, Aust. Institute, 2015).</w:t>
      </w:r>
    </w:p>
    <w:p w14:paraId="791C7B79" w14:textId="77777777" w:rsidR="00C65183" w:rsidRPr="0007660D" w:rsidRDefault="00C65183" w:rsidP="00C65183">
      <w:pPr>
        <w:spacing w:before="60"/>
        <w:jc w:val="both"/>
        <w:rPr>
          <w:rFonts w:asciiTheme="minorHAnsi" w:hAnsiTheme="minorHAnsi" w:cstheme="minorHAnsi"/>
          <w:sz w:val="16"/>
          <w:szCs w:val="16"/>
          <w:lang w:val="en-GB"/>
        </w:rPr>
      </w:pPr>
    </w:p>
    <w:p w14:paraId="54B9C877" w14:textId="77777777" w:rsidR="00C65183" w:rsidRPr="0007660D" w:rsidRDefault="00C65183" w:rsidP="00C65183">
      <w:pPr>
        <w:jc w:val="both"/>
        <w:rPr>
          <w:rFonts w:asciiTheme="minorHAnsi" w:hAnsiTheme="minorHAnsi" w:cstheme="minorHAnsi"/>
          <w:b/>
          <w:color w:val="244061" w:themeColor="accent1" w:themeShade="80"/>
          <w:sz w:val="24"/>
          <w:szCs w:val="24"/>
        </w:rPr>
      </w:pPr>
      <w:r w:rsidRPr="0007660D">
        <w:rPr>
          <w:rFonts w:asciiTheme="minorHAnsi" w:hAnsiTheme="minorHAnsi" w:cstheme="minorHAnsi"/>
          <w:b/>
          <w:noProof/>
          <w:color w:val="000000" w:themeColor="text1"/>
        </w:rPr>
        <w:drawing>
          <wp:anchor distT="0" distB="0" distL="114300" distR="114300" simplePos="0" relativeHeight="251958272" behindDoc="0" locked="0" layoutInCell="1" allowOverlap="1" wp14:anchorId="3BE53C02" wp14:editId="643BF569">
            <wp:simplePos x="0" y="0"/>
            <wp:positionH relativeFrom="margin">
              <wp:posOffset>0</wp:posOffset>
            </wp:positionH>
            <wp:positionV relativeFrom="paragraph">
              <wp:posOffset>218440</wp:posOffset>
            </wp:positionV>
            <wp:extent cx="576000" cy="396000"/>
            <wp:effectExtent l="0" t="0" r="0" b="4445"/>
            <wp:wrapSquare wrapText="bothSides"/>
            <wp:docPr id="73" name="Picture 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Family 9.jpg"/>
                    <pic:cNvPicPr/>
                  </pic:nvPicPr>
                  <pic:blipFill>
                    <a:blip r:embed="rId225" cstate="print">
                      <a:extLst>
                        <a:ext uri="{28A0092B-C50C-407E-A947-70E740481C1C}">
                          <a14:useLocalDpi xmlns:a14="http://schemas.microsoft.com/office/drawing/2010/main" val="0"/>
                        </a:ext>
                      </a:extLst>
                    </a:blip>
                    <a:stretch>
                      <a:fillRect/>
                    </a:stretch>
                  </pic:blipFill>
                  <pic:spPr>
                    <a:xfrm>
                      <a:off x="0" y="0"/>
                      <a:ext cx="576000" cy="396000"/>
                    </a:xfrm>
                    <a:prstGeom prst="rect">
                      <a:avLst/>
                    </a:prstGeom>
                    <a:ln>
                      <a:noFill/>
                    </a:ln>
                    <a:effectLst/>
                  </pic:spPr>
                </pic:pic>
              </a:graphicData>
            </a:graphic>
            <wp14:sizeRelH relativeFrom="page">
              <wp14:pctWidth>0</wp14:pctWidth>
            </wp14:sizeRelH>
            <wp14:sizeRelV relativeFrom="page">
              <wp14:pctHeight>0</wp14:pctHeight>
            </wp14:sizeRelV>
          </wp:anchor>
        </w:drawing>
      </w:r>
      <w:r w:rsidRPr="0007660D">
        <w:rPr>
          <w:rFonts w:asciiTheme="minorHAnsi" w:hAnsiTheme="minorHAnsi" w:cstheme="minorHAnsi"/>
          <w:b/>
          <w:color w:val="244061" w:themeColor="accent1" w:themeShade="80"/>
          <w:sz w:val="24"/>
          <w:szCs w:val="24"/>
        </w:rPr>
        <w:t>Violence and Abuse</w:t>
      </w:r>
    </w:p>
    <w:p w14:paraId="764C72A4" w14:textId="77777777" w:rsidR="00C65183" w:rsidRPr="0007660D" w:rsidRDefault="00C65183" w:rsidP="00C65183">
      <w:pPr>
        <w:spacing w:before="60"/>
        <w:jc w:val="both"/>
        <w:rPr>
          <w:rFonts w:asciiTheme="minorHAnsi" w:hAnsiTheme="minorHAnsi" w:cstheme="minorHAnsi"/>
          <w:color w:val="244061" w:themeColor="accent1" w:themeShade="80"/>
          <w:sz w:val="21"/>
          <w:szCs w:val="21"/>
        </w:rPr>
      </w:pPr>
      <w:r w:rsidRPr="0007660D">
        <w:rPr>
          <w:rFonts w:asciiTheme="minorHAnsi" w:hAnsiTheme="minorHAnsi" w:cstheme="minorHAnsi"/>
          <w:color w:val="244061" w:themeColor="accent1" w:themeShade="80"/>
          <w:sz w:val="21"/>
          <w:szCs w:val="21"/>
        </w:rPr>
        <w:t>While a similar proportion of women and men have been assaulted, women are three times more likely to be physically assaulted or murdered by a partner, four times more likely to be sexually assaulted, twice as likely to be stalked, and more than twice as likely as men to feel concerned for their personal safety alone outdoors at night, as men. Men on the other hand, account for most perpetrators of assault, stalking and general crime.</w:t>
      </w:r>
    </w:p>
    <w:p w14:paraId="6DD6EF9E" w14:textId="77777777" w:rsidR="00C65183" w:rsidRPr="0007660D" w:rsidRDefault="00C65183" w:rsidP="00C65183">
      <w:pPr>
        <w:spacing w:before="120" w:after="40"/>
        <w:jc w:val="both"/>
        <w:rPr>
          <w:rFonts w:asciiTheme="minorHAnsi" w:hAnsiTheme="minorHAnsi" w:cstheme="minorHAnsi"/>
          <w:b/>
          <w:sz w:val="21"/>
          <w:szCs w:val="21"/>
        </w:rPr>
      </w:pPr>
      <w:r w:rsidRPr="0007660D">
        <w:rPr>
          <w:rFonts w:asciiTheme="minorHAnsi" w:hAnsiTheme="minorHAnsi" w:cstheme="minorHAnsi"/>
          <w:b/>
          <w:sz w:val="21"/>
          <w:szCs w:val="21"/>
        </w:rPr>
        <w:t>Assault</w:t>
      </w:r>
    </w:p>
    <w:p w14:paraId="69B36BEB" w14:textId="77777777" w:rsidR="00C65183" w:rsidRPr="0007660D" w:rsidRDefault="00C65183" w:rsidP="00C65183">
      <w:pPr>
        <w:spacing w:before="60"/>
        <w:jc w:val="both"/>
        <w:rPr>
          <w:rFonts w:asciiTheme="minorHAnsi" w:hAnsiTheme="minorHAnsi" w:cstheme="minorHAnsi"/>
          <w:sz w:val="21"/>
          <w:szCs w:val="21"/>
        </w:rPr>
      </w:pPr>
      <w:r w:rsidRPr="0007660D">
        <w:rPr>
          <w:rFonts w:asciiTheme="minorHAnsi" w:hAnsiTheme="minorHAnsi" w:cstheme="minorHAnsi"/>
          <w:sz w:val="21"/>
          <w:szCs w:val="21"/>
        </w:rPr>
        <w:t xml:space="preserve">Approximately a third of Australian adults, including 34% of women and 36% of men, have been assaulted since the age of 15, while 3.7% of women and 4% of men are assaulted each year </w:t>
      </w:r>
      <w:r w:rsidRPr="0007660D">
        <w:rPr>
          <w:rFonts w:asciiTheme="minorHAnsi" w:hAnsiTheme="minorHAnsi" w:cstheme="minorHAnsi"/>
          <w:sz w:val="16"/>
          <w:szCs w:val="16"/>
        </w:rPr>
        <w:t>(Personal Safety, Australia, 2016).</w:t>
      </w:r>
    </w:p>
    <w:p w14:paraId="23400963" w14:textId="77777777" w:rsidR="00C65183" w:rsidRPr="0007660D" w:rsidRDefault="00C65183" w:rsidP="00C65183">
      <w:pPr>
        <w:spacing w:before="60"/>
        <w:jc w:val="both"/>
        <w:rPr>
          <w:rFonts w:asciiTheme="minorHAnsi" w:hAnsiTheme="minorHAnsi" w:cstheme="minorHAnsi"/>
        </w:rPr>
      </w:pPr>
      <w:r w:rsidRPr="0007660D">
        <w:rPr>
          <w:rFonts w:asciiTheme="minorHAnsi" w:hAnsiTheme="minorHAnsi" w:cstheme="minorHAnsi"/>
        </w:rPr>
        <w:t xml:space="preserve">Approximately one-quarter (27%) of women and a third (34%) of men, have been </w:t>
      </w:r>
      <w:r w:rsidRPr="0007660D">
        <w:rPr>
          <w:rFonts w:asciiTheme="minorHAnsi" w:hAnsiTheme="minorHAnsi" w:cstheme="minorHAnsi"/>
          <w:i/>
        </w:rPr>
        <w:t>physically</w:t>
      </w:r>
      <w:r w:rsidRPr="0007660D">
        <w:rPr>
          <w:rFonts w:asciiTheme="minorHAnsi" w:hAnsiTheme="minorHAnsi" w:cstheme="minorHAnsi"/>
        </w:rPr>
        <w:t xml:space="preserve"> assaulted since age 15, and 3.4% of males and 2.7% of females are physically assaulted each year</w:t>
      </w:r>
      <w:r w:rsidRPr="0007660D">
        <w:rPr>
          <w:rFonts w:asciiTheme="minorHAnsi" w:hAnsiTheme="minorHAnsi" w:cstheme="minorHAnsi"/>
          <w:sz w:val="16"/>
          <w:szCs w:val="16"/>
        </w:rPr>
        <w:t xml:space="preserve"> (Personal Safety, Australia, 2016).</w:t>
      </w:r>
    </w:p>
    <w:p w14:paraId="6AB4EDD5" w14:textId="77777777" w:rsidR="00C65183" w:rsidRPr="0007660D" w:rsidRDefault="00C65183" w:rsidP="00C65183">
      <w:pPr>
        <w:spacing w:before="60"/>
        <w:jc w:val="both"/>
        <w:rPr>
          <w:rFonts w:asciiTheme="minorHAnsi" w:hAnsiTheme="minorHAnsi" w:cstheme="minorHAnsi"/>
          <w:sz w:val="21"/>
          <w:szCs w:val="21"/>
        </w:rPr>
      </w:pPr>
      <w:r w:rsidRPr="0007660D">
        <w:rPr>
          <w:rFonts w:asciiTheme="minorHAnsi" w:hAnsiTheme="minorHAnsi" w:cstheme="minorHAnsi"/>
        </w:rPr>
        <w:t xml:space="preserve">One in six women (17%) and one in twenty-five men (4.3%) have been </w:t>
      </w:r>
      <w:r w:rsidRPr="0007660D">
        <w:rPr>
          <w:rFonts w:asciiTheme="minorHAnsi" w:hAnsiTheme="minorHAnsi" w:cstheme="minorHAnsi"/>
          <w:i/>
        </w:rPr>
        <w:t>sexually assaulted</w:t>
      </w:r>
      <w:r w:rsidRPr="0007660D">
        <w:rPr>
          <w:rFonts w:asciiTheme="minorHAnsi" w:hAnsiTheme="minorHAnsi" w:cstheme="minorHAnsi"/>
        </w:rPr>
        <w:t xml:space="preserve"> since age 15, and 1.6% of women and 0.6% of men in a 12-month period </w:t>
      </w:r>
      <w:r w:rsidRPr="0007660D">
        <w:rPr>
          <w:rFonts w:asciiTheme="minorHAnsi" w:hAnsiTheme="minorHAnsi" w:cstheme="minorHAnsi"/>
          <w:sz w:val="16"/>
          <w:szCs w:val="16"/>
        </w:rPr>
        <w:t>(Personal Safety, Australia, 2016).</w:t>
      </w:r>
    </w:p>
    <w:p w14:paraId="3A150089" w14:textId="77777777" w:rsidR="00C65183" w:rsidRPr="0007660D" w:rsidRDefault="00C65183" w:rsidP="00C65183">
      <w:pPr>
        <w:spacing w:before="120" w:after="40"/>
        <w:jc w:val="both"/>
        <w:rPr>
          <w:rFonts w:asciiTheme="minorHAnsi" w:hAnsiTheme="minorHAnsi" w:cstheme="minorHAnsi"/>
          <w:b/>
          <w:sz w:val="21"/>
          <w:szCs w:val="21"/>
        </w:rPr>
      </w:pPr>
      <w:r w:rsidRPr="0007660D">
        <w:rPr>
          <w:rFonts w:asciiTheme="minorHAnsi" w:hAnsiTheme="minorHAnsi" w:cstheme="minorHAnsi"/>
          <w:b/>
          <w:sz w:val="21"/>
          <w:szCs w:val="21"/>
        </w:rPr>
        <w:t>Intimate-partner violence</w:t>
      </w:r>
    </w:p>
    <w:p w14:paraId="52C260C9" w14:textId="77777777" w:rsidR="00C65183" w:rsidRPr="0007660D" w:rsidRDefault="00C65183" w:rsidP="00C65183">
      <w:pPr>
        <w:spacing w:before="60"/>
        <w:jc w:val="both"/>
        <w:rPr>
          <w:rFonts w:asciiTheme="minorHAnsi" w:hAnsiTheme="minorHAnsi" w:cstheme="minorHAnsi"/>
          <w:sz w:val="16"/>
          <w:szCs w:val="16"/>
        </w:rPr>
      </w:pPr>
      <w:r w:rsidRPr="0007660D">
        <w:rPr>
          <w:rFonts w:asciiTheme="minorHAnsi" w:hAnsiTheme="minorHAnsi" w:cstheme="minorHAnsi"/>
        </w:rPr>
        <w:t xml:space="preserve">22% of </w:t>
      </w:r>
      <w:r w:rsidRPr="0007660D">
        <w:rPr>
          <w:rFonts w:asciiTheme="minorHAnsi" w:hAnsiTheme="minorHAnsi" w:cstheme="minorHAnsi"/>
          <w:sz w:val="21"/>
          <w:szCs w:val="21"/>
        </w:rPr>
        <w:t xml:space="preserve">Australian </w:t>
      </w:r>
      <w:r w:rsidRPr="0007660D">
        <w:rPr>
          <w:rFonts w:asciiTheme="minorHAnsi" w:hAnsiTheme="minorHAnsi" w:cstheme="minorHAnsi"/>
        </w:rPr>
        <w:t xml:space="preserve">women and 7% of men have been assaulted by a partner since 15 </w:t>
      </w:r>
      <w:r w:rsidRPr="0007660D">
        <w:rPr>
          <w:rFonts w:asciiTheme="minorHAnsi" w:hAnsiTheme="minorHAnsi" w:cstheme="minorHAnsi"/>
          <w:sz w:val="16"/>
          <w:szCs w:val="16"/>
        </w:rPr>
        <w:t>(Personal Safety, Australia, 2016).</w:t>
      </w:r>
    </w:p>
    <w:p w14:paraId="0607D0C5" w14:textId="77777777" w:rsidR="00C65183" w:rsidRPr="0007660D" w:rsidRDefault="00C65183" w:rsidP="00C65183">
      <w:pPr>
        <w:spacing w:before="60"/>
        <w:jc w:val="both"/>
        <w:rPr>
          <w:rFonts w:asciiTheme="minorHAnsi" w:hAnsiTheme="minorHAnsi" w:cstheme="minorHAnsi"/>
          <w:sz w:val="16"/>
          <w:szCs w:val="16"/>
        </w:rPr>
      </w:pPr>
      <w:r w:rsidRPr="0007660D">
        <w:rPr>
          <w:rFonts w:asciiTheme="minorHAnsi" w:hAnsiTheme="minorHAnsi" w:cstheme="minorHAnsi"/>
        </w:rPr>
        <w:t xml:space="preserve">2% cent of women and 1.1% of men are assaulted by an intimate partner in a 12-month period – almost all by perpetrators of the opposite sex </w:t>
      </w:r>
      <w:r w:rsidRPr="0007660D">
        <w:rPr>
          <w:rFonts w:asciiTheme="minorHAnsi" w:hAnsiTheme="minorHAnsi" w:cstheme="minorHAnsi"/>
          <w:sz w:val="16"/>
          <w:szCs w:val="16"/>
        </w:rPr>
        <w:t>(Personal Safety, Australia, 2016).</w:t>
      </w:r>
    </w:p>
    <w:p w14:paraId="74E0CF8F" w14:textId="77777777" w:rsidR="00C65183" w:rsidRPr="0007660D" w:rsidRDefault="00C65183" w:rsidP="00C65183">
      <w:pPr>
        <w:spacing w:before="60"/>
        <w:jc w:val="both"/>
        <w:rPr>
          <w:rFonts w:asciiTheme="minorHAnsi" w:hAnsiTheme="minorHAnsi" w:cstheme="minorHAnsi"/>
          <w:sz w:val="21"/>
          <w:szCs w:val="21"/>
        </w:rPr>
      </w:pPr>
      <w:r w:rsidRPr="0007660D">
        <w:rPr>
          <w:rFonts w:asciiTheme="minorHAnsi" w:hAnsiTheme="minorHAnsi" w:cstheme="minorHAnsi"/>
          <w:sz w:val="21"/>
          <w:szCs w:val="21"/>
        </w:rPr>
        <w:t xml:space="preserve">Indigenous adults were 32 times as likely to be hospitalized for family violence as non-Indigenous adults </w:t>
      </w:r>
      <w:r w:rsidRPr="0007660D">
        <w:rPr>
          <w:rFonts w:asciiTheme="minorHAnsi" w:hAnsiTheme="minorHAnsi" w:cstheme="minorHAnsi"/>
          <w:sz w:val="16"/>
          <w:szCs w:val="16"/>
        </w:rPr>
        <w:t>(AIHW analysis of National Hospital Morbidity Database).</w:t>
      </w:r>
    </w:p>
    <w:p w14:paraId="6F87916A" w14:textId="77777777" w:rsidR="00C65183" w:rsidRPr="0007660D" w:rsidRDefault="00C65183" w:rsidP="00C65183">
      <w:pPr>
        <w:spacing w:before="60"/>
        <w:jc w:val="both"/>
        <w:rPr>
          <w:rFonts w:asciiTheme="minorHAnsi" w:hAnsiTheme="minorHAnsi" w:cstheme="minorHAnsi"/>
          <w:sz w:val="16"/>
          <w:szCs w:val="16"/>
        </w:rPr>
      </w:pPr>
      <w:r w:rsidRPr="0007660D">
        <w:rPr>
          <w:rFonts w:asciiTheme="minorHAnsi" w:hAnsiTheme="minorHAnsi" w:cstheme="minorHAnsi"/>
          <w:sz w:val="21"/>
          <w:szCs w:val="21"/>
        </w:rPr>
        <w:t xml:space="preserve">In 2019/20 in Victoria, females accounted for three-quarters (74%) of victim reports in incidents of alleged family violence recorded by Victoria Police </w:t>
      </w:r>
      <w:r w:rsidRPr="0007660D">
        <w:rPr>
          <w:rFonts w:asciiTheme="minorHAnsi" w:hAnsiTheme="minorHAnsi" w:cstheme="minorHAnsi"/>
          <w:sz w:val="16"/>
          <w:szCs w:val="16"/>
        </w:rPr>
        <w:t>(Crime Statistics Agency, customised tabulation, 2020).</w:t>
      </w:r>
    </w:p>
    <w:p w14:paraId="3EE28213" w14:textId="77777777" w:rsidR="00C65183" w:rsidRPr="0007660D" w:rsidRDefault="00C65183" w:rsidP="00C65183">
      <w:pPr>
        <w:spacing w:before="60"/>
        <w:jc w:val="both"/>
        <w:rPr>
          <w:rFonts w:asciiTheme="minorHAnsi" w:hAnsiTheme="minorHAnsi" w:cstheme="minorHAnsi"/>
          <w:sz w:val="21"/>
          <w:szCs w:val="21"/>
        </w:rPr>
      </w:pPr>
      <w:r w:rsidRPr="0007660D">
        <w:rPr>
          <w:rFonts w:asciiTheme="minorHAnsi" w:hAnsiTheme="minorHAnsi" w:cstheme="minorHAnsi"/>
        </w:rPr>
        <w:t xml:space="preserve">Women are five times more likely than men to require medical attention or hospitalization, and five times more likely to report fearing for their lives, due to intimate partner violence </w:t>
      </w:r>
      <w:r w:rsidRPr="0007660D">
        <w:rPr>
          <w:rFonts w:asciiTheme="minorHAnsi" w:hAnsiTheme="minorHAnsi" w:cstheme="minorHAnsi"/>
          <w:sz w:val="16"/>
          <w:szCs w:val="16"/>
        </w:rPr>
        <w:t>(Source: Mouzos, J. 1999. Feticide: and overview of major findings. No 124 Australian Institute of Criminology. Canberra).</w:t>
      </w:r>
    </w:p>
    <w:p w14:paraId="12A4E268" w14:textId="77777777" w:rsidR="00C65183" w:rsidRPr="0007660D" w:rsidRDefault="00C65183" w:rsidP="00C65183">
      <w:pPr>
        <w:spacing w:before="60"/>
        <w:jc w:val="both"/>
        <w:rPr>
          <w:rFonts w:asciiTheme="minorHAnsi" w:hAnsiTheme="minorHAnsi" w:cstheme="minorHAnsi"/>
          <w:sz w:val="16"/>
          <w:szCs w:val="16"/>
        </w:rPr>
      </w:pPr>
      <w:r w:rsidRPr="0007660D">
        <w:rPr>
          <w:rFonts w:asciiTheme="minorHAnsi" w:hAnsiTheme="minorHAnsi" w:cstheme="minorHAnsi"/>
          <w:sz w:val="21"/>
          <w:szCs w:val="21"/>
        </w:rPr>
        <w:t xml:space="preserve">Between 1989/90 and 2015/16 in Australia, there were 1,460 intimate partner homicides featuring a female victim, equivalent to 56 such incidents each year, compared with an average of 18 male victims per annum in the same period (representing 24% of intimate partner homicides) </w:t>
      </w:r>
      <w:r w:rsidRPr="0007660D">
        <w:rPr>
          <w:rFonts w:asciiTheme="minorHAnsi" w:hAnsiTheme="minorHAnsi" w:cstheme="minorHAnsi"/>
          <w:sz w:val="16"/>
          <w:szCs w:val="16"/>
        </w:rPr>
        <w:t>(Brichnell, S. (2019). Homicide in Australia 2015/16).</w:t>
      </w:r>
    </w:p>
    <w:p w14:paraId="5A8E588A" w14:textId="77777777" w:rsidR="00C65183" w:rsidRPr="0007660D" w:rsidRDefault="00C65183" w:rsidP="00C65183">
      <w:pPr>
        <w:spacing w:before="60"/>
        <w:jc w:val="both"/>
        <w:rPr>
          <w:rFonts w:asciiTheme="minorHAnsi" w:hAnsiTheme="minorHAnsi" w:cstheme="minorHAnsi"/>
          <w:lang w:val="en-US"/>
        </w:rPr>
      </w:pPr>
      <w:r w:rsidRPr="0007660D">
        <w:rPr>
          <w:rFonts w:asciiTheme="minorHAnsi" w:hAnsiTheme="minorHAnsi" w:cstheme="minorHAnsi"/>
          <w:lang w:val="en-US"/>
        </w:rPr>
        <w:t xml:space="preserve">In 2017/18, there were 33 female victims and 13 male victims of intimate partner homicide. Women therefore represented 71% of the victims in intimate partner homicides, while in the same year, males accounted for 71% of perpetrators of such crimes </w:t>
      </w:r>
      <w:r w:rsidRPr="0007660D">
        <w:rPr>
          <w:rFonts w:asciiTheme="minorHAnsi" w:hAnsiTheme="minorHAnsi" w:cstheme="minorHAnsi"/>
          <w:sz w:val="16"/>
          <w:szCs w:val="16"/>
          <w:lang w:val="en-US"/>
        </w:rPr>
        <w:t>(Homicide in Australia 2017/18 Samantha Bricknell, Aus. Institute of Criminology)</w:t>
      </w:r>
    </w:p>
    <w:p w14:paraId="21E79F25" w14:textId="77777777" w:rsidR="00C65183" w:rsidRPr="0007660D" w:rsidRDefault="00C65183" w:rsidP="00C65183">
      <w:pPr>
        <w:spacing w:before="60"/>
        <w:jc w:val="both"/>
        <w:rPr>
          <w:rFonts w:asciiTheme="minorHAnsi" w:hAnsiTheme="minorHAnsi" w:cstheme="minorHAnsi"/>
          <w:sz w:val="16"/>
          <w:szCs w:val="16"/>
        </w:rPr>
      </w:pPr>
      <w:r w:rsidRPr="0007660D">
        <w:rPr>
          <w:rFonts w:asciiTheme="minorHAnsi" w:hAnsiTheme="minorHAnsi" w:cstheme="minorHAnsi"/>
          <w:sz w:val="21"/>
          <w:szCs w:val="21"/>
        </w:rPr>
        <w:lastRenderedPageBreak/>
        <w:t xml:space="preserve">4.8% of men and 21.1% of women have experienced sexual coercion, i.e. being forced or frightened into unwanted sexual activity. </w:t>
      </w:r>
      <w:r w:rsidRPr="0007660D">
        <w:rPr>
          <w:rFonts w:asciiTheme="minorHAnsi" w:hAnsiTheme="minorHAnsi" w:cstheme="minorHAnsi"/>
          <w:sz w:val="16"/>
          <w:szCs w:val="16"/>
        </w:rPr>
        <w:t>(Sex in Australia: experiences of sexual coercion among a representative sample of adults. Australia and New Zealand Journal of Public Health. Vol. 27(2):198-203, 2003).</w:t>
      </w:r>
    </w:p>
    <w:p w14:paraId="4DD10F54" w14:textId="77777777" w:rsidR="00C65183" w:rsidRPr="0007660D" w:rsidRDefault="00C65183" w:rsidP="00C65183">
      <w:pPr>
        <w:spacing w:before="120" w:after="40"/>
        <w:jc w:val="both"/>
        <w:rPr>
          <w:rFonts w:asciiTheme="minorHAnsi" w:hAnsiTheme="minorHAnsi" w:cstheme="minorHAnsi"/>
          <w:b/>
          <w:sz w:val="21"/>
          <w:szCs w:val="21"/>
        </w:rPr>
      </w:pPr>
      <w:r w:rsidRPr="0007660D">
        <w:rPr>
          <w:rFonts w:asciiTheme="minorHAnsi" w:hAnsiTheme="minorHAnsi" w:cstheme="minorHAnsi"/>
          <w:b/>
          <w:sz w:val="21"/>
          <w:szCs w:val="21"/>
        </w:rPr>
        <w:t>Stalking and perceptions of safety</w:t>
      </w:r>
    </w:p>
    <w:p w14:paraId="6845EEE4" w14:textId="77777777" w:rsidR="00C65183" w:rsidRPr="0007660D" w:rsidRDefault="00C65183" w:rsidP="00C65183">
      <w:pPr>
        <w:spacing w:before="60"/>
        <w:jc w:val="both"/>
        <w:rPr>
          <w:rFonts w:asciiTheme="minorHAnsi" w:hAnsiTheme="minorHAnsi" w:cstheme="minorHAnsi"/>
          <w:sz w:val="21"/>
          <w:szCs w:val="21"/>
        </w:rPr>
      </w:pPr>
      <w:r w:rsidRPr="0007660D">
        <w:rPr>
          <w:rFonts w:asciiTheme="minorHAnsi" w:hAnsiTheme="minorHAnsi" w:cstheme="minorHAnsi"/>
          <w:sz w:val="21"/>
          <w:szCs w:val="21"/>
        </w:rPr>
        <w:t xml:space="preserve">In 2016, 3.4% of Australian women had been stalked in the previous 12 months - twice the corresponding proportion of 1.7%, among men </w:t>
      </w:r>
      <w:r w:rsidRPr="0007660D">
        <w:rPr>
          <w:rFonts w:asciiTheme="minorHAnsi" w:hAnsiTheme="minorHAnsi" w:cstheme="minorHAnsi"/>
          <w:sz w:val="16"/>
          <w:szCs w:val="16"/>
        </w:rPr>
        <w:t>(Personal Safety, Australia, 2016, ABS).</w:t>
      </w:r>
    </w:p>
    <w:p w14:paraId="5DEA97D0" w14:textId="77777777" w:rsidR="00C65183" w:rsidRPr="0007660D" w:rsidRDefault="00C65183" w:rsidP="00C65183">
      <w:pPr>
        <w:spacing w:before="60"/>
        <w:jc w:val="both"/>
        <w:rPr>
          <w:rFonts w:asciiTheme="minorHAnsi" w:hAnsiTheme="minorHAnsi" w:cstheme="minorHAnsi"/>
          <w:sz w:val="16"/>
          <w:szCs w:val="16"/>
        </w:rPr>
      </w:pPr>
      <w:r w:rsidRPr="0007660D">
        <w:rPr>
          <w:rFonts w:asciiTheme="minorHAnsi" w:hAnsiTheme="minorHAnsi" w:cstheme="minorHAnsi"/>
          <w:sz w:val="21"/>
          <w:szCs w:val="21"/>
        </w:rPr>
        <w:t xml:space="preserve">In 2015, nearly two-thirds (61%) of Victorian women and about a quarter (26%) of men reported that they felt unsafe while walking alone at night </w:t>
      </w:r>
      <w:r w:rsidRPr="0007660D">
        <w:rPr>
          <w:rFonts w:asciiTheme="minorHAnsi" w:hAnsiTheme="minorHAnsi" w:cstheme="minorHAnsi"/>
          <w:i/>
          <w:sz w:val="21"/>
          <w:szCs w:val="21"/>
        </w:rPr>
        <w:t>in their neighbourhood</w:t>
      </w:r>
      <w:r w:rsidRPr="0007660D">
        <w:rPr>
          <w:rFonts w:asciiTheme="minorHAnsi" w:hAnsiTheme="minorHAnsi" w:cstheme="minorHAnsi"/>
          <w:sz w:val="21"/>
          <w:szCs w:val="21"/>
        </w:rPr>
        <w:t xml:space="preserve"> </w:t>
      </w:r>
      <w:r w:rsidRPr="0007660D">
        <w:rPr>
          <w:rFonts w:asciiTheme="minorHAnsi" w:hAnsiTheme="minorHAnsi" w:cstheme="minorHAnsi"/>
          <w:sz w:val="16"/>
          <w:szCs w:val="16"/>
        </w:rPr>
        <w:t xml:space="preserve">(2015 VicHealth Indicators Survey). </w:t>
      </w:r>
      <w:r w:rsidRPr="0007660D">
        <w:rPr>
          <w:rFonts w:asciiTheme="minorHAnsi" w:hAnsiTheme="minorHAnsi" w:cstheme="minorHAnsi"/>
          <w:sz w:val="21"/>
          <w:szCs w:val="21"/>
        </w:rPr>
        <w:t>Moreover, women are nearly five times more likely to feel unsafe alone at night</w:t>
      </w:r>
      <w:r w:rsidRPr="0007660D">
        <w:rPr>
          <w:rFonts w:asciiTheme="minorHAnsi" w:hAnsiTheme="minorHAnsi" w:cstheme="minorHAnsi"/>
          <w:i/>
          <w:sz w:val="21"/>
          <w:szCs w:val="21"/>
        </w:rPr>
        <w:t xml:space="preserve"> in their home</w:t>
      </w:r>
      <w:r w:rsidRPr="0007660D">
        <w:rPr>
          <w:rFonts w:asciiTheme="minorHAnsi" w:hAnsiTheme="minorHAnsi" w:cstheme="minorHAnsi"/>
          <w:sz w:val="21"/>
          <w:szCs w:val="21"/>
        </w:rPr>
        <w:t>, with 10.8% feeling unsafe under these circumstances, compared with 2.3% of men</w:t>
      </w:r>
      <w:r w:rsidRPr="0007660D">
        <w:rPr>
          <w:rFonts w:asciiTheme="minorHAnsi" w:hAnsiTheme="minorHAnsi" w:cstheme="minorHAnsi"/>
          <w:sz w:val="16"/>
          <w:szCs w:val="16"/>
        </w:rPr>
        <w:t xml:space="preserve"> (General Social Survey, 2010, ABS).</w:t>
      </w:r>
    </w:p>
    <w:p w14:paraId="0BCEF17D" w14:textId="77777777" w:rsidR="00C65183" w:rsidRPr="0007660D" w:rsidRDefault="00C65183" w:rsidP="00C65183">
      <w:pPr>
        <w:spacing w:before="120" w:after="40"/>
        <w:jc w:val="both"/>
        <w:rPr>
          <w:rFonts w:asciiTheme="minorHAnsi" w:hAnsiTheme="minorHAnsi" w:cstheme="minorHAnsi"/>
          <w:b/>
          <w:sz w:val="21"/>
          <w:szCs w:val="21"/>
        </w:rPr>
      </w:pPr>
      <w:r w:rsidRPr="0007660D">
        <w:rPr>
          <w:rFonts w:asciiTheme="minorHAnsi" w:hAnsiTheme="minorHAnsi" w:cstheme="minorHAnsi"/>
          <w:b/>
          <w:sz w:val="21"/>
          <w:szCs w:val="21"/>
        </w:rPr>
        <w:t>Perpetrators of violence</w:t>
      </w:r>
    </w:p>
    <w:p w14:paraId="1D13039B" w14:textId="77777777" w:rsidR="00C65183" w:rsidRPr="0007660D" w:rsidRDefault="00C65183" w:rsidP="00C65183">
      <w:pPr>
        <w:spacing w:before="60"/>
        <w:jc w:val="both"/>
        <w:rPr>
          <w:rFonts w:asciiTheme="minorHAnsi" w:hAnsiTheme="minorHAnsi" w:cstheme="minorHAnsi"/>
          <w:sz w:val="21"/>
          <w:szCs w:val="21"/>
        </w:rPr>
      </w:pPr>
      <w:r w:rsidRPr="0007660D">
        <w:rPr>
          <w:rFonts w:asciiTheme="minorHAnsi" w:hAnsiTheme="minorHAnsi" w:cstheme="minorHAnsi"/>
          <w:sz w:val="21"/>
          <w:szCs w:val="21"/>
        </w:rPr>
        <w:t xml:space="preserve">Males are responsible for most violence in Australia, with 36% of adults reporting that they had ever experienced violence from a male, and 11% by a female </w:t>
      </w:r>
      <w:r w:rsidRPr="0007660D">
        <w:rPr>
          <w:rFonts w:asciiTheme="minorHAnsi" w:hAnsiTheme="minorHAnsi" w:cstheme="minorHAnsi"/>
          <w:sz w:val="16"/>
          <w:szCs w:val="16"/>
        </w:rPr>
        <w:t>(Personal Safety, Australia, 2016, ABS).</w:t>
      </w:r>
    </w:p>
    <w:p w14:paraId="7D7E17D0" w14:textId="77777777" w:rsidR="00C65183" w:rsidRPr="0007660D" w:rsidRDefault="00C65183" w:rsidP="00C65183">
      <w:pPr>
        <w:spacing w:before="60"/>
        <w:jc w:val="both"/>
        <w:rPr>
          <w:rFonts w:asciiTheme="minorHAnsi" w:hAnsiTheme="minorHAnsi" w:cstheme="minorHAnsi"/>
          <w:sz w:val="16"/>
          <w:szCs w:val="16"/>
        </w:rPr>
      </w:pPr>
      <w:r w:rsidRPr="0007660D">
        <w:rPr>
          <w:rFonts w:asciiTheme="minorHAnsi" w:hAnsiTheme="minorHAnsi" w:cstheme="minorHAnsi"/>
          <w:sz w:val="21"/>
          <w:szCs w:val="21"/>
        </w:rPr>
        <w:t xml:space="preserve">In the year ending September 2019 in Victoria, males accounted for 78% of offenders recorded by Victoria Police </w:t>
      </w:r>
      <w:r w:rsidRPr="0007660D">
        <w:rPr>
          <w:rFonts w:asciiTheme="minorHAnsi" w:hAnsiTheme="minorHAnsi" w:cstheme="minorHAnsi"/>
          <w:sz w:val="16"/>
          <w:szCs w:val="16"/>
        </w:rPr>
        <w:t>(Victorian Crime Statistics Agency).</w:t>
      </w:r>
    </w:p>
    <w:p w14:paraId="696483D7" w14:textId="77777777" w:rsidR="00C65183" w:rsidRPr="0007660D" w:rsidRDefault="00C65183" w:rsidP="00C65183">
      <w:pPr>
        <w:spacing w:before="60"/>
        <w:jc w:val="both"/>
        <w:rPr>
          <w:rFonts w:asciiTheme="minorHAnsi" w:hAnsiTheme="minorHAnsi" w:cstheme="minorHAnsi"/>
          <w:lang w:val="en-US"/>
        </w:rPr>
      </w:pPr>
      <w:r w:rsidRPr="0007660D">
        <w:rPr>
          <w:rFonts w:asciiTheme="minorHAnsi" w:hAnsiTheme="minorHAnsi" w:cstheme="minorHAnsi"/>
          <w:sz w:val="21"/>
          <w:szCs w:val="21"/>
        </w:rPr>
        <w:t xml:space="preserve">Across Australia in 2017/18, males were four times more likely as women to commit physical assault, 16 times more likely to commit sexual assault and five times more likely to commit murder </w:t>
      </w:r>
      <w:r w:rsidRPr="0007660D">
        <w:rPr>
          <w:rFonts w:asciiTheme="minorHAnsi" w:hAnsiTheme="minorHAnsi" w:cstheme="minorHAnsi"/>
          <w:sz w:val="16"/>
          <w:szCs w:val="16"/>
        </w:rPr>
        <w:t>(Recorded Crime – Offenders, 2017–18 Australian Bureau of Statistics</w:t>
      </w:r>
      <w:r w:rsidRPr="0007660D">
        <w:rPr>
          <w:rFonts w:asciiTheme="minorHAnsi" w:hAnsiTheme="minorHAnsi" w:cstheme="minorHAnsi"/>
          <w:sz w:val="21"/>
          <w:szCs w:val="21"/>
        </w:rPr>
        <w:t>), and four times more likely to sexually harass work colleagues (79% vs. 21%)</w:t>
      </w:r>
      <w:r w:rsidRPr="0007660D">
        <w:rPr>
          <w:rFonts w:asciiTheme="minorHAnsi" w:hAnsiTheme="minorHAnsi" w:cstheme="minorHAnsi"/>
          <w:sz w:val="16"/>
          <w:szCs w:val="16"/>
        </w:rPr>
        <w:t xml:space="preserve"> (Australian Human Rights Commission National Survey 2018)</w:t>
      </w:r>
      <w:r w:rsidRPr="0007660D">
        <w:rPr>
          <w:rFonts w:asciiTheme="minorHAnsi" w:hAnsiTheme="minorHAnsi" w:cstheme="minorHAnsi"/>
          <w:sz w:val="21"/>
          <w:szCs w:val="21"/>
        </w:rPr>
        <w:t xml:space="preserve">. In addition, </w:t>
      </w:r>
      <w:r w:rsidRPr="0007660D">
        <w:rPr>
          <w:rFonts w:asciiTheme="minorHAnsi" w:hAnsiTheme="minorHAnsi" w:cstheme="minorHAnsi"/>
          <w:lang w:val="en-US"/>
        </w:rPr>
        <w:t>men accounted for 84 percent (n=178) of identified homicide offenders in 2017/18.</w:t>
      </w:r>
    </w:p>
    <w:p w14:paraId="5022C3EB" w14:textId="77777777" w:rsidR="00C65183" w:rsidRPr="0007660D" w:rsidRDefault="00C65183" w:rsidP="00C65183">
      <w:pPr>
        <w:spacing w:before="60"/>
        <w:jc w:val="both"/>
        <w:rPr>
          <w:rFonts w:asciiTheme="minorHAnsi" w:hAnsiTheme="minorHAnsi" w:cstheme="minorHAnsi"/>
          <w:sz w:val="16"/>
          <w:szCs w:val="16"/>
        </w:rPr>
      </w:pPr>
      <w:r w:rsidRPr="0007660D">
        <w:rPr>
          <w:rFonts w:asciiTheme="minorHAnsi" w:hAnsiTheme="minorHAnsi" w:cstheme="minorHAnsi"/>
          <w:sz w:val="21"/>
          <w:szCs w:val="21"/>
        </w:rPr>
        <w:t xml:space="preserve">In 2019, 93% of Victorian prisoners were males and 7% female </w:t>
      </w:r>
      <w:r w:rsidRPr="0007660D">
        <w:rPr>
          <w:rFonts w:asciiTheme="minorHAnsi" w:hAnsiTheme="minorHAnsi" w:cstheme="minorHAnsi"/>
          <w:sz w:val="16"/>
          <w:szCs w:val="16"/>
        </w:rPr>
        <w:t>(Annual Prisoner Statistical Profile, 2006-07 to 2018-19. Vic. Dep Corrections).</w:t>
      </w:r>
    </w:p>
    <w:p w14:paraId="60C2EF07" w14:textId="77777777" w:rsidR="00C65183" w:rsidRPr="0007660D" w:rsidRDefault="00C65183" w:rsidP="00C65183">
      <w:pPr>
        <w:spacing w:before="120" w:after="40"/>
        <w:jc w:val="both"/>
        <w:rPr>
          <w:rFonts w:asciiTheme="minorHAnsi" w:hAnsiTheme="minorHAnsi" w:cstheme="minorHAnsi"/>
          <w:b/>
          <w:sz w:val="21"/>
          <w:szCs w:val="21"/>
        </w:rPr>
      </w:pPr>
      <w:r w:rsidRPr="0007660D">
        <w:rPr>
          <w:rFonts w:asciiTheme="minorHAnsi" w:hAnsiTheme="minorHAnsi" w:cstheme="minorHAnsi"/>
          <w:b/>
          <w:sz w:val="21"/>
          <w:szCs w:val="21"/>
        </w:rPr>
        <w:t>Elder Abuse</w:t>
      </w:r>
    </w:p>
    <w:p w14:paraId="3158C586" w14:textId="77777777" w:rsidR="00C65183" w:rsidRPr="0007660D" w:rsidRDefault="00C65183" w:rsidP="00C65183">
      <w:pPr>
        <w:spacing w:before="60"/>
        <w:rPr>
          <w:rFonts w:asciiTheme="minorHAnsi" w:hAnsiTheme="minorHAnsi" w:cstheme="minorHAnsi"/>
          <w:color w:val="000000" w:themeColor="text1"/>
        </w:rPr>
      </w:pPr>
      <w:r w:rsidRPr="0007660D">
        <w:rPr>
          <w:rFonts w:asciiTheme="minorHAnsi" w:hAnsiTheme="minorHAnsi" w:cstheme="minorHAnsi"/>
          <w:color w:val="000000" w:themeColor="text1"/>
        </w:rPr>
        <w:t xml:space="preserve">72% of 2,385 calls to the Seniors Rights Victoria state-wide helpline were by women and 28% men. </w:t>
      </w:r>
    </w:p>
    <w:p w14:paraId="359E6153" w14:textId="77777777" w:rsidR="00C65183" w:rsidRDefault="00C65183" w:rsidP="00C65183">
      <w:pPr>
        <w:spacing w:before="60"/>
        <w:rPr>
          <w:rFonts w:asciiTheme="minorHAnsi" w:hAnsiTheme="minorHAnsi" w:cstheme="minorHAnsi"/>
          <w:color w:val="000000" w:themeColor="text1"/>
          <w:sz w:val="16"/>
          <w:szCs w:val="16"/>
        </w:rPr>
      </w:pPr>
      <w:r w:rsidRPr="0007660D">
        <w:rPr>
          <w:rFonts w:asciiTheme="minorHAnsi" w:hAnsiTheme="minorHAnsi" w:cstheme="minorHAnsi"/>
        </w:rPr>
        <w:t xml:space="preserve">54% of perpetrators were men and 46% women  </w:t>
      </w:r>
      <w:r w:rsidRPr="0007660D">
        <w:rPr>
          <w:rFonts w:asciiTheme="minorHAnsi" w:hAnsiTheme="minorHAnsi" w:cstheme="minorHAnsi"/>
          <w:color w:val="000000" w:themeColor="text1"/>
          <w:sz w:val="16"/>
          <w:szCs w:val="16"/>
        </w:rPr>
        <w:t>(Jooston, M., Cartalla, P., Feldman, P. Brijanth, B., Dow, B. (2020). Seven Years of Elder Abuse Data in Victoria. National Ageing Research Institute)</w:t>
      </w:r>
    </w:p>
    <w:p w14:paraId="1808771C" w14:textId="77777777" w:rsidR="00C65183" w:rsidRPr="0007660D" w:rsidRDefault="00C65183" w:rsidP="00C65183">
      <w:pPr>
        <w:spacing w:before="60"/>
        <w:rPr>
          <w:rFonts w:asciiTheme="minorHAnsi" w:hAnsiTheme="minorHAnsi" w:cstheme="minorHAnsi"/>
        </w:rPr>
      </w:pPr>
    </w:p>
    <w:p w14:paraId="17CE2B5D" w14:textId="77777777" w:rsidR="00C65183" w:rsidRPr="0007660D" w:rsidRDefault="00C65183" w:rsidP="00C65183">
      <w:pPr>
        <w:spacing w:before="240"/>
        <w:jc w:val="both"/>
        <w:rPr>
          <w:rFonts w:asciiTheme="minorHAnsi" w:hAnsiTheme="minorHAnsi" w:cstheme="minorHAnsi"/>
          <w:b/>
          <w:color w:val="244061" w:themeColor="accent1" w:themeShade="80"/>
          <w:sz w:val="24"/>
          <w:szCs w:val="24"/>
        </w:rPr>
      </w:pPr>
      <w:r w:rsidRPr="0007660D">
        <w:rPr>
          <w:rFonts w:asciiTheme="minorHAnsi" w:hAnsiTheme="minorHAnsi" w:cstheme="minorHAnsi"/>
          <w:b/>
          <w:noProof/>
          <w:color w:val="244061" w:themeColor="accent1" w:themeShade="80"/>
          <w:sz w:val="24"/>
          <w:szCs w:val="24"/>
        </w:rPr>
        <w:drawing>
          <wp:inline distT="0" distB="0" distL="0" distR="0" wp14:anchorId="6B42B16E" wp14:editId="789DC590">
            <wp:extent cx="396000" cy="396000"/>
            <wp:effectExtent l="0" t="0" r="4445" b="4445"/>
            <wp:docPr id="77" name="Picture 77" descr="A close up of a logo&#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Community Ethnic 17.jpg"/>
                    <pic:cNvPicPr/>
                  </pic:nvPicPr>
                  <pic:blipFill>
                    <a:blip r:embed="rId226" cstate="print">
                      <a:extLst>
                        <a:ext uri="{28A0092B-C50C-407E-A947-70E740481C1C}">
                          <a14:useLocalDpi xmlns:a14="http://schemas.microsoft.com/office/drawing/2010/main" val="0"/>
                        </a:ext>
                      </a:extLst>
                    </a:blip>
                    <a:stretch>
                      <a:fillRect/>
                    </a:stretch>
                  </pic:blipFill>
                  <pic:spPr>
                    <a:xfrm flipH="1">
                      <a:off x="0" y="0"/>
                      <a:ext cx="396000" cy="396000"/>
                    </a:xfrm>
                    <a:prstGeom prst="rect">
                      <a:avLst/>
                    </a:prstGeom>
                  </pic:spPr>
                </pic:pic>
              </a:graphicData>
            </a:graphic>
          </wp:inline>
        </w:drawing>
      </w:r>
      <w:r w:rsidRPr="0007660D">
        <w:rPr>
          <w:rFonts w:asciiTheme="minorHAnsi" w:hAnsiTheme="minorHAnsi" w:cstheme="minorHAnsi"/>
          <w:b/>
          <w:color w:val="244061" w:themeColor="accent1" w:themeShade="80"/>
          <w:sz w:val="24"/>
          <w:szCs w:val="24"/>
        </w:rPr>
        <w:t>International Conditions</w:t>
      </w:r>
    </w:p>
    <w:p w14:paraId="5B625F7B" w14:textId="77777777" w:rsidR="00C65183" w:rsidRPr="0007660D" w:rsidRDefault="00C65183" w:rsidP="00C65183">
      <w:pPr>
        <w:spacing w:before="60"/>
        <w:jc w:val="both"/>
        <w:rPr>
          <w:rFonts w:asciiTheme="minorHAnsi" w:hAnsiTheme="minorHAnsi" w:cstheme="minorHAnsi"/>
          <w:sz w:val="21"/>
          <w:szCs w:val="21"/>
        </w:rPr>
      </w:pPr>
      <w:r w:rsidRPr="0007660D">
        <w:rPr>
          <w:rFonts w:asciiTheme="minorHAnsi" w:hAnsiTheme="minorHAnsi" w:cstheme="minorHAnsi"/>
          <w:sz w:val="21"/>
          <w:szCs w:val="21"/>
        </w:rPr>
        <w:t xml:space="preserve">Girls in the developing world are less likely to go to school or receive adequate food or health care, and more likely to die in their early adulthood, be forced to marry in their childhood, and experience sexual and domestic violence </w:t>
      </w:r>
      <w:r w:rsidRPr="0007660D">
        <w:rPr>
          <w:rFonts w:asciiTheme="minorHAnsi" w:hAnsiTheme="minorHAnsi" w:cstheme="minorHAnsi"/>
          <w:sz w:val="16"/>
          <w:szCs w:val="16"/>
        </w:rPr>
        <w:t>(Various sources).</w:t>
      </w:r>
    </w:p>
    <w:p w14:paraId="67F5E393" w14:textId="77777777" w:rsidR="00C65183" w:rsidRPr="0007660D" w:rsidRDefault="00C65183" w:rsidP="00C65183">
      <w:pPr>
        <w:spacing w:before="60"/>
        <w:jc w:val="both"/>
        <w:rPr>
          <w:rFonts w:asciiTheme="minorHAnsi" w:hAnsiTheme="minorHAnsi" w:cstheme="minorHAnsi"/>
          <w:color w:val="000000" w:themeColor="text1"/>
          <w:sz w:val="16"/>
          <w:szCs w:val="16"/>
        </w:rPr>
      </w:pPr>
      <w:r w:rsidRPr="0007660D">
        <w:rPr>
          <w:rFonts w:asciiTheme="minorHAnsi" w:hAnsiTheme="minorHAnsi" w:cstheme="minorHAnsi"/>
          <w:sz w:val="21"/>
          <w:szCs w:val="21"/>
        </w:rPr>
        <w:t xml:space="preserve">Genital mutilation is practised in 28 countries of the world, with an estimated 140 million women having endured this procedure </w:t>
      </w:r>
      <w:r w:rsidRPr="0007660D">
        <w:rPr>
          <w:rFonts w:asciiTheme="minorHAnsi" w:hAnsiTheme="minorHAnsi" w:cstheme="minorHAnsi"/>
          <w:sz w:val="16"/>
          <w:szCs w:val="16"/>
        </w:rPr>
        <w:t>(</w:t>
      </w:r>
      <w:r w:rsidRPr="0007660D">
        <w:rPr>
          <w:rFonts w:asciiTheme="minorHAnsi" w:hAnsiTheme="minorHAnsi" w:cstheme="minorHAnsi"/>
          <w:color w:val="000000" w:themeColor="text1"/>
          <w:sz w:val="16"/>
          <w:szCs w:val="16"/>
        </w:rPr>
        <w:t>Female Genital Mutilation, WHO, Sexual and Reproductive Health).</w:t>
      </w:r>
    </w:p>
    <w:p w14:paraId="5F285BD6" w14:textId="77777777" w:rsidR="00C65183" w:rsidRPr="0007660D" w:rsidRDefault="00C65183" w:rsidP="00C65183">
      <w:pPr>
        <w:spacing w:before="60"/>
        <w:jc w:val="both"/>
        <w:rPr>
          <w:rFonts w:asciiTheme="minorHAnsi" w:hAnsiTheme="minorHAnsi" w:cstheme="minorHAnsi"/>
          <w:sz w:val="21"/>
          <w:szCs w:val="21"/>
        </w:rPr>
      </w:pPr>
      <w:r w:rsidRPr="0007660D">
        <w:rPr>
          <w:rFonts w:asciiTheme="minorHAnsi" w:hAnsiTheme="minorHAnsi" w:cstheme="minorHAnsi"/>
          <w:sz w:val="21"/>
          <w:szCs w:val="21"/>
        </w:rPr>
        <w:t xml:space="preserve">In many developing countries, boys are valued more than girls. In one nation alone, an estimated 39 million and girls are “missing” due to infanticide and sex-selective abortions </w:t>
      </w:r>
      <w:r w:rsidRPr="0007660D">
        <w:rPr>
          <w:rFonts w:asciiTheme="minorHAnsi" w:hAnsiTheme="minorHAnsi" w:cstheme="minorHAnsi"/>
          <w:sz w:val="16"/>
          <w:szCs w:val="16"/>
        </w:rPr>
        <w:t>(United Nations, Report of the International Workshop on Skewed Sex Ratios at Birth, 2011).</w:t>
      </w:r>
    </w:p>
    <w:p w14:paraId="2A580DFD" w14:textId="77777777" w:rsidR="00C65183" w:rsidRPr="0007660D" w:rsidRDefault="00C65183" w:rsidP="00C65183">
      <w:pPr>
        <w:spacing w:before="60"/>
        <w:jc w:val="both"/>
        <w:rPr>
          <w:rFonts w:asciiTheme="minorHAnsi" w:hAnsiTheme="minorHAnsi" w:cstheme="minorHAnsi"/>
          <w:sz w:val="21"/>
          <w:szCs w:val="21"/>
        </w:rPr>
      </w:pPr>
      <w:r w:rsidRPr="0007660D">
        <w:rPr>
          <w:rFonts w:asciiTheme="minorHAnsi" w:hAnsiTheme="minorHAnsi" w:cstheme="minorHAnsi"/>
          <w:sz w:val="21"/>
          <w:szCs w:val="21"/>
        </w:rPr>
        <w:t xml:space="preserve">Women perform 66% of the world’s work but receive only 11% of its income and own 1% of all land </w:t>
      </w:r>
      <w:r w:rsidRPr="0007660D">
        <w:rPr>
          <w:rFonts w:asciiTheme="minorHAnsi" w:hAnsiTheme="minorHAnsi" w:cstheme="minorHAnsi"/>
          <w:sz w:val="16"/>
          <w:szCs w:val="16"/>
        </w:rPr>
        <w:t>(Various sources).</w:t>
      </w:r>
    </w:p>
    <w:p w14:paraId="0F1D764F" w14:textId="77777777" w:rsidR="00C65183" w:rsidRPr="0007660D" w:rsidRDefault="00C65183" w:rsidP="00C65183">
      <w:pPr>
        <w:spacing w:before="60"/>
        <w:jc w:val="both"/>
        <w:rPr>
          <w:rFonts w:asciiTheme="minorHAnsi" w:hAnsiTheme="minorHAnsi" w:cstheme="minorHAnsi"/>
          <w:sz w:val="21"/>
          <w:szCs w:val="21"/>
        </w:rPr>
      </w:pPr>
      <w:r w:rsidRPr="0007660D">
        <w:rPr>
          <w:rFonts w:asciiTheme="minorHAnsi" w:hAnsiTheme="minorHAnsi" w:cstheme="minorHAnsi"/>
          <w:sz w:val="21"/>
          <w:szCs w:val="21"/>
        </w:rPr>
        <w:t xml:space="preserve">As former UN Secretary-General Kofi Anan explains: “No tool for development is more powerful than the empowerment of women.” </w:t>
      </w:r>
      <w:r w:rsidRPr="0007660D">
        <w:rPr>
          <w:rFonts w:asciiTheme="minorHAnsi" w:hAnsiTheme="minorHAnsi" w:cstheme="minorHAnsi"/>
          <w:sz w:val="16"/>
          <w:szCs w:val="16"/>
        </w:rPr>
        <w:t>(United Nations, Women’s Commission, 2005).</w:t>
      </w:r>
    </w:p>
    <w:p w14:paraId="78506E8A" w14:textId="77777777" w:rsidR="00C65183" w:rsidRPr="0007660D" w:rsidRDefault="00C65183" w:rsidP="00C65183">
      <w:pPr>
        <w:spacing w:line="360" w:lineRule="auto"/>
        <w:jc w:val="both"/>
        <w:rPr>
          <w:rFonts w:asciiTheme="minorHAnsi" w:hAnsiTheme="minorHAnsi" w:cstheme="minorHAnsi"/>
          <w:lang w:val="en-GB"/>
        </w:rPr>
      </w:pPr>
    </w:p>
    <w:p w14:paraId="40ADAD07" w14:textId="77777777" w:rsidR="00C65183" w:rsidRDefault="00C65183" w:rsidP="00C65183">
      <w:pPr>
        <w:rPr>
          <w:rFonts w:asciiTheme="minorHAnsi" w:hAnsiTheme="minorHAnsi" w:cstheme="minorHAnsi"/>
        </w:rPr>
      </w:pPr>
      <w:r>
        <w:rPr>
          <w:rFonts w:asciiTheme="minorHAnsi" w:hAnsiTheme="minorHAnsi" w:cstheme="minorHAnsi"/>
        </w:rPr>
        <w:br w:type="page"/>
      </w:r>
    </w:p>
    <w:p w14:paraId="61D3B9FC" w14:textId="77777777" w:rsidR="00C65183" w:rsidRPr="00827F47" w:rsidRDefault="00C65183" w:rsidP="00C65183">
      <w:pPr>
        <w:pBdr>
          <w:top w:val="single" w:sz="4" w:space="0" w:color="244061" w:themeColor="accent1" w:themeShade="80"/>
          <w:bottom w:val="single" w:sz="4" w:space="1" w:color="244061" w:themeColor="accent1" w:themeShade="80"/>
        </w:pBdr>
        <w:tabs>
          <w:tab w:val="center" w:pos="4678"/>
        </w:tabs>
        <w:jc w:val="center"/>
        <w:rPr>
          <w:rFonts w:ascii="Garamond" w:hAnsi="Garamond"/>
          <w:noProof/>
          <w:color w:val="244061" w:themeColor="accent1" w:themeShade="80"/>
          <w:sz w:val="34"/>
          <w:szCs w:val="34"/>
        </w:rPr>
      </w:pPr>
      <w:r w:rsidRPr="00827F47">
        <w:rPr>
          <w:rFonts w:ascii="Garamond" w:hAnsi="Garamond"/>
          <w:noProof/>
          <w:color w:val="244061" w:themeColor="accent1" w:themeShade="80"/>
          <w:sz w:val="34"/>
          <w:szCs w:val="34"/>
        </w:rPr>
        <w:lastRenderedPageBreak/>
        <w:t>Physical Health</w:t>
      </w:r>
    </w:p>
    <w:p w14:paraId="1292ED97" w14:textId="77777777" w:rsidR="00C65183" w:rsidRPr="00640FEC" w:rsidRDefault="00C65183" w:rsidP="00C65183">
      <w:pPr>
        <w:tabs>
          <w:tab w:val="left" w:pos="284"/>
        </w:tabs>
        <w:spacing w:before="80" w:line="360" w:lineRule="auto"/>
        <w:jc w:val="both"/>
        <w:rPr>
          <w:rFonts w:ascii="Calibri" w:hAnsi="Calibri"/>
          <w:b/>
          <w:color w:val="000000"/>
          <w:lang w:val="en-US"/>
        </w:rPr>
      </w:pPr>
      <w:r>
        <w:rPr>
          <w:rFonts w:ascii="Calibri" w:hAnsi="Calibri"/>
          <w:b/>
          <w:color w:val="000000"/>
          <w:lang w:val="en-US"/>
        </w:rPr>
        <w:t>Self-assessed Health</w:t>
      </w:r>
    </w:p>
    <w:p w14:paraId="29B162B1" w14:textId="77777777" w:rsidR="00C65183" w:rsidRPr="006B22B1" w:rsidRDefault="00C65183" w:rsidP="00C65183">
      <w:pPr>
        <w:tabs>
          <w:tab w:val="left" w:pos="284"/>
        </w:tabs>
        <w:spacing w:before="80" w:line="360" w:lineRule="auto"/>
        <w:jc w:val="both"/>
        <w:rPr>
          <w:rFonts w:ascii="Calibri" w:hAnsi="Calibri"/>
          <w:color w:val="000000"/>
          <w:lang w:val="en-US"/>
        </w:rPr>
      </w:pPr>
      <w:r>
        <w:rPr>
          <w:rFonts w:asciiTheme="minorHAnsi" w:hAnsiTheme="minorHAnsi"/>
          <w:noProof/>
          <w:lang w:val="en-US"/>
        </w:rPr>
        <w:drawing>
          <wp:anchor distT="0" distB="0" distL="114300" distR="114300" simplePos="0" relativeHeight="251979776" behindDoc="0" locked="0" layoutInCell="1" allowOverlap="1" wp14:anchorId="57B12836" wp14:editId="4260860B">
            <wp:simplePos x="0" y="0"/>
            <wp:positionH relativeFrom="margin">
              <wp:posOffset>3394392</wp:posOffset>
            </wp:positionH>
            <wp:positionV relativeFrom="paragraph">
              <wp:posOffset>908050</wp:posOffset>
            </wp:positionV>
            <wp:extent cx="1447800" cy="867419"/>
            <wp:effectExtent l="0" t="0" r="0" b="8890"/>
            <wp:wrapNone/>
            <wp:docPr id="343" name="Picture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bby Dance 4.png"/>
                    <pic:cNvPicPr/>
                  </pic:nvPicPr>
                  <pic:blipFill>
                    <a:blip r:embed="rId227" cstate="print">
                      <a:extLst>
                        <a:ext uri="{28A0092B-C50C-407E-A947-70E740481C1C}">
                          <a14:useLocalDpi xmlns:a14="http://schemas.microsoft.com/office/drawing/2010/main" val="0"/>
                        </a:ext>
                      </a:extLst>
                    </a:blip>
                    <a:stretch>
                      <a:fillRect/>
                    </a:stretch>
                  </pic:blipFill>
                  <pic:spPr>
                    <a:xfrm>
                      <a:off x="0" y="0"/>
                      <a:ext cx="1447800" cy="867419"/>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rFonts w:asciiTheme="minorHAnsi" w:hAnsiTheme="minorHAnsi"/>
          <w:noProof/>
          <w:lang w:val="en-US"/>
        </w:rPr>
        <w:drawing>
          <wp:anchor distT="0" distB="0" distL="114300" distR="114300" simplePos="0" relativeHeight="251865088" behindDoc="0" locked="0" layoutInCell="1" allowOverlap="1" wp14:anchorId="0C033974" wp14:editId="72BFC85E">
            <wp:simplePos x="0" y="0"/>
            <wp:positionH relativeFrom="column">
              <wp:posOffset>2926080</wp:posOffset>
            </wp:positionH>
            <wp:positionV relativeFrom="paragraph">
              <wp:posOffset>431165</wp:posOffset>
            </wp:positionV>
            <wp:extent cx="3238500" cy="2448560"/>
            <wp:effectExtent l="0" t="0" r="0" b="8890"/>
            <wp:wrapSquare wrapText="bothSides"/>
            <wp:docPr id="339" name="Pictur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a:off x="0" y="0"/>
                      <a:ext cx="3238500" cy="2448560"/>
                    </a:xfrm>
                    <a:prstGeom prst="rect">
                      <a:avLst/>
                    </a:prstGeom>
                    <a:noFill/>
                  </pic:spPr>
                </pic:pic>
              </a:graphicData>
            </a:graphic>
            <wp14:sizeRelH relativeFrom="margin">
              <wp14:pctWidth>0</wp14:pctWidth>
            </wp14:sizeRelH>
            <wp14:sizeRelV relativeFrom="margin">
              <wp14:pctHeight>0</wp14:pctHeight>
            </wp14:sizeRelV>
          </wp:anchor>
        </w:drawing>
      </w:r>
      <w:r w:rsidRPr="00640FEC">
        <w:rPr>
          <w:rFonts w:ascii="Calibri" w:hAnsi="Calibri"/>
          <w:color w:val="000000"/>
          <w:lang w:val="en-US"/>
        </w:rPr>
        <w:t>The 201</w:t>
      </w:r>
      <w:r>
        <w:rPr>
          <w:rFonts w:ascii="Calibri" w:hAnsi="Calibri"/>
          <w:color w:val="000000"/>
          <w:lang w:val="en-US"/>
        </w:rPr>
        <w:t>7</w:t>
      </w:r>
      <w:r w:rsidRPr="00640FEC">
        <w:rPr>
          <w:rFonts w:ascii="Calibri" w:hAnsi="Calibri"/>
          <w:color w:val="000000"/>
          <w:lang w:val="en-US"/>
        </w:rPr>
        <w:t xml:space="preserve"> V</w:t>
      </w:r>
      <w:r>
        <w:rPr>
          <w:rFonts w:ascii="Calibri" w:hAnsi="Calibri"/>
          <w:color w:val="000000"/>
          <w:lang w:val="en-US"/>
        </w:rPr>
        <w:t>ictorian Population Health Surv</w:t>
      </w:r>
      <w:r w:rsidRPr="00640FEC">
        <w:rPr>
          <w:rFonts w:ascii="Calibri" w:hAnsi="Calibri"/>
          <w:color w:val="000000"/>
          <w:lang w:val="en-US"/>
        </w:rPr>
        <w:t>ey fou</w:t>
      </w:r>
      <w:r>
        <w:rPr>
          <w:rFonts w:ascii="Calibri" w:hAnsi="Calibri"/>
          <w:color w:val="000000"/>
          <w:lang w:val="en-US"/>
        </w:rPr>
        <w:t>nd that 25% of residents in Greater Dandenong percei</w:t>
      </w:r>
      <w:r w:rsidRPr="00640FEC">
        <w:rPr>
          <w:rFonts w:ascii="Calibri" w:hAnsi="Calibri"/>
          <w:color w:val="000000"/>
          <w:lang w:val="en-US"/>
        </w:rPr>
        <w:t xml:space="preserve">ved their </w:t>
      </w:r>
      <w:r>
        <w:rPr>
          <w:rFonts w:ascii="Calibri" w:hAnsi="Calibri"/>
          <w:color w:val="000000"/>
          <w:lang w:val="en-US"/>
        </w:rPr>
        <w:t>health</w:t>
      </w:r>
      <w:r w:rsidRPr="00640FEC">
        <w:rPr>
          <w:rFonts w:ascii="Calibri" w:hAnsi="Calibri"/>
          <w:color w:val="000000"/>
          <w:lang w:val="en-US"/>
        </w:rPr>
        <w:t xml:space="preserve"> as either ‘fair’ or ‘poor’ – the </w:t>
      </w:r>
      <w:r>
        <w:rPr>
          <w:rFonts w:ascii="Calibri" w:hAnsi="Calibri"/>
          <w:color w:val="000000"/>
          <w:lang w:val="en-US"/>
        </w:rPr>
        <w:t>tenth</w:t>
      </w:r>
      <w:r w:rsidRPr="00640FEC">
        <w:rPr>
          <w:rFonts w:ascii="Calibri" w:hAnsi="Calibri"/>
          <w:color w:val="000000"/>
          <w:lang w:val="en-US"/>
        </w:rPr>
        <w:t xml:space="preserve"> highest level in </w:t>
      </w:r>
      <w:r>
        <w:rPr>
          <w:rFonts w:ascii="Calibri" w:hAnsi="Calibri"/>
          <w:color w:val="000000"/>
          <w:lang w:val="en-US"/>
        </w:rPr>
        <w:t>Victoria</w:t>
      </w:r>
      <w:r w:rsidRPr="00640FEC">
        <w:rPr>
          <w:rFonts w:ascii="Calibri" w:hAnsi="Calibri"/>
          <w:color w:val="000000"/>
          <w:lang w:val="en-US"/>
        </w:rPr>
        <w:t>, and substantially more than the State average of 20%.</w:t>
      </w:r>
      <w:r>
        <w:rPr>
          <w:rFonts w:ascii="Calibri" w:hAnsi="Calibri"/>
          <w:color w:val="000000"/>
          <w:lang w:val="en-US"/>
        </w:rPr>
        <w:t xml:space="preserve">   </w:t>
      </w:r>
    </w:p>
    <w:p w14:paraId="1523F9EB" w14:textId="77777777" w:rsidR="00C65183" w:rsidRPr="00C84DBF" w:rsidRDefault="00C65183" w:rsidP="00C65183">
      <w:pPr>
        <w:spacing w:line="360" w:lineRule="auto"/>
        <w:jc w:val="both"/>
        <w:rPr>
          <w:rFonts w:asciiTheme="minorHAnsi" w:hAnsiTheme="minorHAnsi"/>
        </w:rPr>
      </w:pPr>
      <w:r w:rsidRPr="00C84DBF">
        <w:rPr>
          <w:rFonts w:asciiTheme="minorHAnsi" w:hAnsiTheme="minorHAnsi"/>
        </w:rPr>
        <w:t xml:space="preserve">The proportion of </w:t>
      </w:r>
      <w:r>
        <w:rPr>
          <w:rFonts w:asciiTheme="minorHAnsi" w:hAnsiTheme="minorHAnsi"/>
        </w:rPr>
        <w:t>Victorians</w:t>
      </w:r>
      <w:r w:rsidRPr="00C84DBF">
        <w:rPr>
          <w:rFonts w:asciiTheme="minorHAnsi" w:hAnsiTheme="minorHAnsi"/>
        </w:rPr>
        <w:t xml:space="preserve"> who assess their own health </w:t>
      </w:r>
      <w:r>
        <w:rPr>
          <w:rFonts w:asciiTheme="minorHAnsi" w:hAnsiTheme="minorHAnsi"/>
        </w:rPr>
        <w:t>unfavorably</w:t>
      </w:r>
      <w:r w:rsidRPr="00C84DBF">
        <w:rPr>
          <w:rFonts w:asciiTheme="minorHAnsi" w:hAnsiTheme="minorHAnsi"/>
        </w:rPr>
        <w:t xml:space="preserve"> rises </w:t>
      </w:r>
      <w:r>
        <w:rPr>
          <w:rFonts w:asciiTheme="minorHAnsi" w:hAnsiTheme="minorHAnsi"/>
        </w:rPr>
        <w:t xml:space="preserve">steeply </w:t>
      </w:r>
      <w:r w:rsidRPr="00C84DBF">
        <w:rPr>
          <w:rFonts w:asciiTheme="minorHAnsi" w:hAnsiTheme="minorHAnsi"/>
        </w:rPr>
        <w:t xml:space="preserve">with age to about 36% among those aged 85 years or more, </w:t>
      </w:r>
      <w:r>
        <w:rPr>
          <w:rFonts w:asciiTheme="minorHAnsi" w:hAnsiTheme="minorHAnsi"/>
        </w:rPr>
        <w:t>but</w:t>
      </w:r>
      <w:r w:rsidRPr="00C84DBF">
        <w:rPr>
          <w:rFonts w:asciiTheme="minorHAnsi" w:hAnsiTheme="minorHAnsi"/>
        </w:rPr>
        <w:t xml:space="preserve"> differs little between </w:t>
      </w:r>
      <w:r>
        <w:rPr>
          <w:rFonts w:asciiTheme="minorHAnsi" w:hAnsiTheme="minorHAnsi"/>
        </w:rPr>
        <w:t>women and men</w:t>
      </w:r>
      <w:r w:rsidRPr="00C84DBF">
        <w:rPr>
          <w:rFonts w:asciiTheme="minorHAnsi" w:hAnsiTheme="minorHAnsi"/>
        </w:rPr>
        <w:t>.</w:t>
      </w:r>
    </w:p>
    <w:p w14:paraId="20376924" w14:textId="77777777" w:rsidR="00C65183" w:rsidRPr="00723321" w:rsidRDefault="00C65183" w:rsidP="00C65183">
      <w:pPr>
        <w:spacing w:line="360" w:lineRule="auto"/>
        <w:jc w:val="both"/>
        <w:rPr>
          <w:rFonts w:asciiTheme="minorHAnsi" w:hAnsiTheme="minorHAnsi"/>
          <w:sz w:val="10"/>
          <w:szCs w:val="10"/>
        </w:rPr>
      </w:pPr>
    </w:p>
    <w:p w14:paraId="08C94979" w14:textId="77777777" w:rsidR="00C65183" w:rsidRPr="006B22B1" w:rsidRDefault="00C65183" w:rsidP="00C65183">
      <w:pPr>
        <w:jc w:val="both"/>
        <w:rPr>
          <w:rFonts w:asciiTheme="minorHAnsi" w:hAnsiTheme="minorHAnsi"/>
          <w:color w:val="7F7F7F" w:themeColor="text1" w:themeTint="80"/>
          <w:sz w:val="20"/>
          <w:szCs w:val="20"/>
        </w:rPr>
      </w:pPr>
      <w:r w:rsidRPr="006B22B1">
        <w:rPr>
          <w:rFonts w:asciiTheme="minorHAnsi" w:hAnsiTheme="minorHAnsi"/>
          <w:color w:val="7F7F7F" w:themeColor="text1" w:themeTint="80"/>
          <w:sz w:val="20"/>
          <w:szCs w:val="20"/>
        </w:rPr>
        <w:t>Self-assessed health, by age and gender: Victoria</w:t>
      </w:r>
      <w:r>
        <w:rPr>
          <w:rFonts w:asciiTheme="minorHAnsi" w:hAnsiTheme="minorHAnsi"/>
          <w:color w:val="7F7F7F" w:themeColor="text1" w:themeTint="80"/>
          <w:sz w:val="20"/>
          <w:szCs w:val="20"/>
        </w:rPr>
        <w:t>,</w:t>
      </w:r>
      <w:r w:rsidRPr="006B22B1">
        <w:rPr>
          <w:rFonts w:asciiTheme="minorHAnsi" w:hAnsiTheme="minorHAnsi"/>
          <w:color w:val="7F7F7F" w:themeColor="text1" w:themeTint="80"/>
          <w:sz w:val="20"/>
          <w:szCs w:val="20"/>
        </w:rPr>
        <w:t xml:space="preserve"> 2017</w:t>
      </w:r>
    </w:p>
    <w:p w14:paraId="2D144DB2" w14:textId="77777777" w:rsidR="00C65183" w:rsidRDefault="00C65183" w:rsidP="00C65183">
      <w:pPr>
        <w:tabs>
          <w:tab w:val="left" w:pos="284"/>
        </w:tabs>
        <w:spacing w:before="80" w:line="360" w:lineRule="auto"/>
        <w:jc w:val="both"/>
        <w:rPr>
          <w:rFonts w:ascii="Calibri" w:hAnsi="Calibri"/>
          <w:color w:val="000000"/>
          <w:lang w:val="en-US"/>
        </w:rPr>
      </w:pPr>
    </w:p>
    <w:p w14:paraId="7EF57BFA" w14:textId="77777777" w:rsidR="00C65183" w:rsidRDefault="00C65183" w:rsidP="00C65183">
      <w:pPr>
        <w:tabs>
          <w:tab w:val="left" w:pos="284"/>
        </w:tabs>
        <w:spacing w:before="80" w:line="360" w:lineRule="auto"/>
        <w:jc w:val="both"/>
        <w:rPr>
          <w:rFonts w:ascii="Calibri" w:hAnsi="Calibri"/>
          <w:color w:val="000000"/>
          <w:lang w:val="en-US"/>
        </w:rPr>
      </w:pPr>
    </w:p>
    <w:p w14:paraId="2AA22F9D" w14:textId="77777777" w:rsidR="00C65183" w:rsidRPr="003B5BC3" w:rsidRDefault="00C65183" w:rsidP="00C65183">
      <w:pPr>
        <w:tabs>
          <w:tab w:val="left" w:pos="284"/>
        </w:tabs>
        <w:spacing w:before="80" w:line="360" w:lineRule="auto"/>
        <w:jc w:val="both"/>
        <w:rPr>
          <w:rFonts w:ascii="Calibri" w:hAnsi="Calibri"/>
          <w:color w:val="7F7F7F" w:themeColor="text1" w:themeTint="80"/>
          <w:sz w:val="20"/>
          <w:szCs w:val="20"/>
          <w:lang w:val="en-US"/>
        </w:rPr>
      </w:pPr>
      <w:r w:rsidRPr="00F5746D">
        <w:rPr>
          <w:rFonts w:ascii="Calibri" w:hAnsi="Calibri"/>
          <w:b/>
          <w:color w:val="000000"/>
          <w:lang w:val="en-US"/>
        </w:rPr>
        <w:t>Chronic Illness</w:t>
      </w:r>
      <w:r>
        <w:rPr>
          <w:rFonts w:ascii="Calibri" w:hAnsi="Calibri"/>
          <w:b/>
          <w:color w:val="000000"/>
          <w:lang w:val="en-US"/>
        </w:rPr>
        <w:t xml:space="preserve">                                                                                 </w:t>
      </w:r>
      <w:r>
        <w:rPr>
          <w:rFonts w:ascii="Calibri" w:hAnsi="Calibri"/>
          <w:color w:val="7F7F7F" w:themeColor="text1" w:themeTint="80"/>
          <w:sz w:val="20"/>
          <w:szCs w:val="20"/>
          <w:lang w:val="en-US"/>
        </w:rPr>
        <w:t>Prevalence of</w:t>
      </w:r>
      <w:r w:rsidRPr="003B5BC3">
        <w:rPr>
          <w:rFonts w:ascii="Calibri" w:hAnsi="Calibri"/>
          <w:color w:val="7F7F7F" w:themeColor="text1" w:themeTint="80"/>
          <w:sz w:val="20"/>
          <w:szCs w:val="20"/>
          <w:lang w:val="en-US"/>
        </w:rPr>
        <w:t xml:space="preserve"> </w:t>
      </w:r>
      <w:r>
        <w:rPr>
          <w:rFonts w:ascii="Calibri" w:hAnsi="Calibri"/>
          <w:color w:val="7F7F7F" w:themeColor="text1" w:themeTint="80"/>
          <w:sz w:val="20"/>
          <w:szCs w:val="20"/>
          <w:lang w:val="en-US"/>
        </w:rPr>
        <w:t>Chronic</w:t>
      </w:r>
      <w:r w:rsidRPr="003B5BC3">
        <w:rPr>
          <w:rFonts w:ascii="Calibri" w:hAnsi="Calibri"/>
          <w:color w:val="7F7F7F" w:themeColor="text1" w:themeTint="80"/>
          <w:sz w:val="20"/>
          <w:szCs w:val="20"/>
          <w:lang w:val="en-US"/>
        </w:rPr>
        <w:t xml:space="preserve"> Illnesses: </w:t>
      </w:r>
      <w:r>
        <w:rPr>
          <w:rFonts w:ascii="Calibri" w:hAnsi="Calibri"/>
          <w:color w:val="7F7F7F" w:themeColor="text1" w:themeTint="80"/>
          <w:sz w:val="20"/>
          <w:szCs w:val="20"/>
          <w:lang w:val="en-US"/>
        </w:rPr>
        <w:t>Australia</w:t>
      </w:r>
      <w:r w:rsidRPr="003B5BC3">
        <w:rPr>
          <w:rFonts w:ascii="Calibri" w:hAnsi="Calibri"/>
          <w:color w:val="7F7F7F" w:themeColor="text1" w:themeTint="80"/>
          <w:sz w:val="20"/>
          <w:szCs w:val="20"/>
          <w:lang w:val="en-US"/>
        </w:rPr>
        <w:t xml:space="preserve">, </w:t>
      </w:r>
      <w:r>
        <w:rPr>
          <w:rFonts w:ascii="Calibri" w:hAnsi="Calibri"/>
          <w:color w:val="7F7F7F" w:themeColor="text1" w:themeTint="80"/>
          <w:sz w:val="20"/>
          <w:szCs w:val="20"/>
          <w:lang w:val="en-US"/>
        </w:rPr>
        <w:t>2018</w:t>
      </w:r>
    </w:p>
    <w:p w14:paraId="2B097560" w14:textId="77777777" w:rsidR="00C65183" w:rsidRDefault="00C65183" w:rsidP="00C65183">
      <w:pPr>
        <w:tabs>
          <w:tab w:val="left" w:pos="284"/>
        </w:tabs>
        <w:jc w:val="both"/>
        <w:rPr>
          <w:rFonts w:ascii="Calibri" w:hAnsi="Calibri"/>
          <w:color w:val="000000"/>
          <w:sz w:val="10"/>
          <w:szCs w:val="10"/>
          <w:lang w:val="en-US"/>
        </w:rPr>
      </w:pPr>
      <w:r>
        <w:rPr>
          <w:rFonts w:asciiTheme="minorHAnsi" w:hAnsiTheme="minorHAnsi"/>
          <w:noProof/>
          <w:lang w:val="en-US"/>
        </w:rPr>
        <w:drawing>
          <wp:anchor distT="0" distB="0" distL="114300" distR="114300" simplePos="0" relativeHeight="251862016" behindDoc="0" locked="0" layoutInCell="1" allowOverlap="1" wp14:anchorId="4276A4F3" wp14:editId="5CA2E035">
            <wp:simplePos x="0" y="0"/>
            <wp:positionH relativeFrom="column">
              <wp:posOffset>2154555</wp:posOffset>
            </wp:positionH>
            <wp:positionV relativeFrom="paragraph">
              <wp:posOffset>1905</wp:posOffset>
            </wp:positionV>
            <wp:extent cx="3851275" cy="2576195"/>
            <wp:effectExtent l="0" t="0" r="0" b="0"/>
            <wp:wrapSquare wrapText="bothSides"/>
            <wp:docPr id="340" name="Picture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29" cstate="print">
                      <a:extLst>
                        <a:ext uri="{28A0092B-C50C-407E-A947-70E740481C1C}">
                          <a14:useLocalDpi xmlns:a14="http://schemas.microsoft.com/office/drawing/2010/main" val="0"/>
                        </a:ext>
                      </a:extLst>
                    </a:blip>
                    <a:srcRect r="10330"/>
                    <a:stretch/>
                  </pic:blipFill>
                  <pic:spPr bwMode="auto">
                    <a:xfrm>
                      <a:off x="0" y="0"/>
                      <a:ext cx="3851275" cy="2576195"/>
                    </a:xfrm>
                    <a:prstGeom prst="rect">
                      <a:avLst/>
                    </a:prstGeom>
                    <a:noFill/>
                    <a:ln>
                      <a:noFill/>
                    </a:ln>
                    <a:extLst>
                      <a:ext uri="{53640926-AAD7-44D8-BBD7-CCE9431645EC}">
                        <a14:shadowObscured xmlns:a14="http://schemas.microsoft.com/office/drawing/2010/main"/>
                      </a:ext>
                    </a:extLst>
                  </pic:spPr>
                </pic:pic>
              </a:graphicData>
            </a:graphic>
          </wp:anchor>
        </w:drawing>
      </w:r>
    </w:p>
    <w:p w14:paraId="24E8A776" w14:textId="77777777" w:rsidR="00C65183" w:rsidRDefault="00C65183" w:rsidP="00C65183">
      <w:pPr>
        <w:spacing w:line="360" w:lineRule="auto"/>
        <w:jc w:val="both"/>
        <w:rPr>
          <w:rFonts w:asciiTheme="minorHAnsi" w:hAnsiTheme="minorHAnsi"/>
        </w:rPr>
      </w:pPr>
      <w:r>
        <w:rPr>
          <w:rFonts w:asciiTheme="minorHAnsi" w:hAnsiTheme="minorHAnsi"/>
        </w:rPr>
        <w:t>The 2018 National Health Survey found that m</w:t>
      </w:r>
      <w:r w:rsidRPr="00E3446B">
        <w:rPr>
          <w:rFonts w:asciiTheme="minorHAnsi" w:hAnsiTheme="minorHAnsi"/>
        </w:rPr>
        <w:t>ental health conditions</w:t>
      </w:r>
      <w:r>
        <w:rPr>
          <w:rFonts w:asciiTheme="minorHAnsi" w:hAnsiTheme="minorHAnsi"/>
        </w:rPr>
        <w:t xml:space="preserve">, </w:t>
      </w:r>
      <w:r w:rsidRPr="00E3446B">
        <w:rPr>
          <w:rFonts w:asciiTheme="minorHAnsi" w:hAnsiTheme="minorHAnsi"/>
        </w:rPr>
        <w:t>back problems and arthritis</w:t>
      </w:r>
      <w:r>
        <w:rPr>
          <w:rFonts w:asciiTheme="minorHAnsi" w:hAnsiTheme="minorHAnsi"/>
        </w:rPr>
        <w:t xml:space="preserve"> are among the most widespread chronic conditions</w:t>
      </w:r>
      <w:r w:rsidRPr="00E3446B">
        <w:rPr>
          <w:rFonts w:asciiTheme="minorHAnsi" w:hAnsiTheme="minorHAnsi"/>
        </w:rPr>
        <w:t xml:space="preserve">. In addition, about one in 25 people have cardiac or vascular conditions and </w:t>
      </w:r>
      <w:r>
        <w:rPr>
          <w:rFonts w:asciiTheme="minorHAnsi" w:hAnsiTheme="minorHAnsi"/>
        </w:rPr>
        <w:t>one</w:t>
      </w:r>
      <w:r w:rsidRPr="00E3446B">
        <w:rPr>
          <w:rFonts w:asciiTheme="minorHAnsi" w:hAnsiTheme="minorHAnsi"/>
        </w:rPr>
        <w:t xml:space="preserve"> in 40 </w:t>
      </w:r>
      <w:r>
        <w:rPr>
          <w:rFonts w:asciiTheme="minorHAnsi" w:hAnsiTheme="minorHAnsi"/>
        </w:rPr>
        <w:t xml:space="preserve">report that they </w:t>
      </w:r>
      <w:r w:rsidRPr="00E3446B">
        <w:rPr>
          <w:rFonts w:asciiTheme="minorHAnsi" w:hAnsiTheme="minorHAnsi"/>
        </w:rPr>
        <w:t>are living with cancer</w:t>
      </w:r>
      <w:r>
        <w:rPr>
          <w:rFonts w:asciiTheme="minorHAnsi" w:hAnsiTheme="minorHAnsi"/>
        </w:rPr>
        <w:t xml:space="preserve"> – equivalent to 4,400 people in Greater Dandenong</w:t>
      </w:r>
      <w:r w:rsidRPr="00E3446B">
        <w:rPr>
          <w:rFonts w:asciiTheme="minorHAnsi" w:hAnsiTheme="minorHAnsi"/>
        </w:rPr>
        <w:t>.</w:t>
      </w:r>
    </w:p>
    <w:p w14:paraId="0C6D2D91" w14:textId="77777777" w:rsidR="00C65183" w:rsidRDefault="00C65183" w:rsidP="00C65183">
      <w:pPr>
        <w:spacing w:line="360" w:lineRule="auto"/>
        <w:jc w:val="both"/>
        <w:rPr>
          <w:rFonts w:asciiTheme="minorHAnsi" w:hAnsiTheme="minorHAnsi"/>
        </w:rPr>
      </w:pPr>
    </w:p>
    <w:p w14:paraId="5379C308" w14:textId="77777777" w:rsidR="00C65183" w:rsidRDefault="00C65183" w:rsidP="00C65183">
      <w:pPr>
        <w:spacing w:line="360" w:lineRule="auto"/>
        <w:jc w:val="both"/>
        <w:rPr>
          <w:rFonts w:asciiTheme="minorHAnsi" w:hAnsiTheme="minorHAnsi"/>
        </w:rPr>
      </w:pPr>
      <w:r>
        <w:rPr>
          <w:rFonts w:asciiTheme="minorHAnsi" w:hAnsiTheme="minorHAnsi"/>
          <w:noProof/>
          <w:lang w:val="en-US"/>
        </w:rPr>
        <w:drawing>
          <wp:anchor distT="0" distB="0" distL="114300" distR="114300" simplePos="0" relativeHeight="251864064" behindDoc="0" locked="0" layoutInCell="1" allowOverlap="1" wp14:anchorId="6F803A9A" wp14:editId="25550E9F">
            <wp:simplePos x="0" y="0"/>
            <wp:positionH relativeFrom="margin">
              <wp:posOffset>28575</wp:posOffset>
            </wp:positionH>
            <wp:positionV relativeFrom="paragraph">
              <wp:posOffset>153987</wp:posOffset>
            </wp:positionV>
            <wp:extent cx="3276600" cy="2197735"/>
            <wp:effectExtent l="0" t="0" r="0" b="0"/>
            <wp:wrapSquare wrapText="bothSides"/>
            <wp:docPr id="341" name="Picture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a:off x="0" y="0"/>
                      <a:ext cx="3276600" cy="2197735"/>
                    </a:xfrm>
                    <a:prstGeom prst="rect">
                      <a:avLst/>
                    </a:prstGeom>
                    <a:noFill/>
                  </pic:spPr>
                </pic:pic>
              </a:graphicData>
            </a:graphic>
          </wp:anchor>
        </w:drawing>
      </w:r>
      <w:r w:rsidRPr="00C84DBF">
        <w:rPr>
          <w:rFonts w:asciiTheme="minorHAnsi" w:hAnsiTheme="minorHAnsi"/>
        </w:rPr>
        <w:t xml:space="preserve">The accompanying chart illustrates the </w:t>
      </w:r>
      <w:r>
        <w:rPr>
          <w:rFonts w:asciiTheme="minorHAnsi" w:hAnsiTheme="minorHAnsi"/>
        </w:rPr>
        <w:t>steep rise in the</w:t>
      </w:r>
      <w:r w:rsidRPr="00C84DBF">
        <w:rPr>
          <w:rFonts w:asciiTheme="minorHAnsi" w:hAnsiTheme="minorHAnsi"/>
        </w:rPr>
        <w:t xml:space="preserve"> prevalence of chronic illnesses</w:t>
      </w:r>
      <w:r>
        <w:rPr>
          <w:rFonts w:asciiTheme="minorHAnsi" w:hAnsiTheme="minorHAnsi"/>
        </w:rPr>
        <w:t xml:space="preserve"> with age, confirmed by the findings of the 2018 National Health Survey</w:t>
      </w:r>
      <w:r w:rsidRPr="00C84DBF">
        <w:rPr>
          <w:rFonts w:asciiTheme="minorHAnsi" w:hAnsiTheme="minorHAnsi"/>
        </w:rPr>
        <w:t xml:space="preserve">. </w:t>
      </w:r>
      <w:r>
        <w:rPr>
          <w:rFonts w:asciiTheme="minorHAnsi" w:hAnsiTheme="minorHAnsi"/>
        </w:rPr>
        <w:t>Of</w:t>
      </w:r>
      <w:r w:rsidRPr="00C84DBF">
        <w:rPr>
          <w:rFonts w:asciiTheme="minorHAnsi" w:hAnsiTheme="minorHAnsi"/>
        </w:rPr>
        <w:t xml:space="preserve"> 15-44 year</w:t>
      </w:r>
      <w:r>
        <w:rPr>
          <w:rFonts w:asciiTheme="minorHAnsi" w:hAnsiTheme="minorHAnsi"/>
        </w:rPr>
        <w:t>-olds</w:t>
      </w:r>
      <w:r w:rsidRPr="00C84DBF">
        <w:rPr>
          <w:rFonts w:asciiTheme="minorHAnsi" w:hAnsiTheme="minorHAnsi"/>
        </w:rPr>
        <w:t xml:space="preserve">, 2.8% </w:t>
      </w:r>
      <w:r>
        <w:rPr>
          <w:rFonts w:asciiTheme="minorHAnsi" w:hAnsiTheme="minorHAnsi"/>
        </w:rPr>
        <w:t>have</w:t>
      </w:r>
      <w:r w:rsidRPr="00C84DBF">
        <w:rPr>
          <w:rFonts w:asciiTheme="minorHAnsi" w:hAnsiTheme="minorHAnsi"/>
        </w:rPr>
        <w:t xml:space="preserve"> three or more chronic conditions, a </w:t>
      </w:r>
      <w:r>
        <w:rPr>
          <w:rFonts w:asciiTheme="minorHAnsi" w:hAnsiTheme="minorHAnsi"/>
        </w:rPr>
        <w:t>prevalence</w:t>
      </w:r>
      <w:r w:rsidRPr="00C84DBF">
        <w:rPr>
          <w:rFonts w:asciiTheme="minorHAnsi" w:hAnsiTheme="minorHAnsi"/>
        </w:rPr>
        <w:t xml:space="preserve"> that </w:t>
      </w:r>
      <w:r>
        <w:rPr>
          <w:rFonts w:asciiTheme="minorHAnsi" w:hAnsiTheme="minorHAnsi"/>
        </w:rPr>
        <w:t>rises</w:t>
      </w:r>
      <w:r w:rsidRPr="00C84DBF">
        <w:rPr>
          <w:rFonts w:asciiTheme="minorHAnsi" w:hAnsiTheme="minorHAnsi"/>
        </w:rPr>
        <w:t xml:space="preserve"> to 28% among people </w:t>
      </w:r>
      <w:r>
        <w:rPr>
          <w:rFonts w:asciiTheme="minorHAnsi" w:hAnsiTheme="minorHAnsi"/>
        </w:rPr>
        <w:t>aged 65 or more.</w:t>
      </w:r>
    </w:p>
    <w:p w14:paraId="013BDBF5" w14:textId="77777777" w:rsidR="00C65183" w:rsidRPr="00DC5C63" w:rsidRDefault="00C65183" w:rsidP="00C65183">
      <w:pPr>
        <w:jc w:val="both"/>
        <w:rPr>
          <w:rFonts w:asciiTheme="minorHAnsi" w:hAnsiTheme="minorHAnsi"/>
          <w:sz w:val="10"/>
          <w:szCs w:val="10"/>
        </w:rPr>
      </w:pPr>
    </w:p>
    <w:p w14:paraId="7071F581" w14:textId="77777777" w:rsidR="00C65183" w:rsidRPr="00DE2B01" w:rsidRDefault="00C65183" w:rsidP="00C65183">
      <w:pPr>
        <w:jc w:val="both"/>
        <w:rPr>
          <w:rFonts w:asciiTheme="minorHAnsi" w:hAnsiTheme="minorHAnsi"/>
          <w:color w:val="7F7F7F" w:themeColor="text1" w:themeTint="80"/>
          <w:sz w:val="20"/>
          <w:szCs w:val="20"/>
        </w:rPr>
      </w:pPr>
      <w:r w:rsidRPr="00DE2B01">
        <w:rPr>
          <w:rFonts w:asciiTheme="minorHAnsi" w:hAnsiTheme="minorHAnsi"/>
          <w:color w:val="7F7F7F" w:themeColor="text1" w:themeTint="80"/>
          <w:sz w:val="20"/>
          <w:szCs w:val="20"/>
        </w:rPr>
        <w:t>Per cent of persons with a chronic illness, by age: Australia, 2019</w:t>
      </w:r>
    </w:p>
    <w:p w14:paraId="5EE45C36" w14:textId="77777777" w:rsidR="00C65183" w:rsidRPr="00E3446B" w:rsidRDefault="00C65183" w:rsidP="00C65183">
      <w:pPr>
        <w:spacing w:line="360" w:lineRule="auto"/>
        <w:jc w:val="both"/>
        <w:rPr>
          <w:rFonts w:asciiTheme="minorHAnsi" w:hAnsiTheme="minorHAnsi"/>
        </w:rPr>
      </w:pPr>
      <w:r>
        <w:rPr>
          <w:rFonts w:asciiTheme="minorHAnsi" w:hAnsiTheme="minorHAnsi"/>
          <w:noProof/>
          <w:lang w:val="en-US"/>
        </w:rPr>
        <w:lastRenderedPageBreak/>
        <w:drawing>
          <wp:anchor distT="0" distB="0" distL="114300" distR="114300" simplePos="0" relativeHeight="251863040" behindDoc="0" locked="0" layoutInCell="1" allowOverlap="1" wp14:anchorId="4B1EBA29" wp14:editId="74D88CE9">
            <wp:simplePos x="0" y="0"/>
            <wp:positionH relativeFrom="column">
              <wp:posOffset>1938655</wp:posOffset>
            </wp:positionH>
            <wp:positionV relativeFrom="paragraph">
              <wp:posOffset>13970</wp:posOffset>
            </wp:positionV>
            <wp:extent cx="4297680" cy="3482340"/>
            <wp:effectExtent l="0" t="0" r="7620" b="3810"/>
            <wp:wrapSquare wrapText="bothSides"/>
            <wp:docPr id="342" name="Picture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31" cstate="print">
                      <a:extLst>
                        <a:ext uri="{28A0092B-C50C-407E-A947-70E740481C1C}">
                          <a14:useLocalDpi xmlns:a14="http://schemas.microsoft.com/office/drawing/2010/main" val="0"/>
                        </a:ext>
                      </a:extLst>
                    </a:blip>
                    <a:srcRect l="2294" r="6577"/>
                    <a:stretch/>
                  </pic:blipFill>
                  <pic:spPr bwMode="auto">
                    <a:xfrm>
                      <a:off x="0" y="0"/>
                      <a:ext cx="4297680" cy="3482340"/>
                    </a:xfrm>
                    <a:prstGeom prst="rect">
                      <a:avLst/>
                    </a:prstGeom>
                    <a:noFill/>
                    <a:ln>
                      <a:noFill/>
                    </a:ln>
                    <a:extLst>
                      <a:ext uri="{53640926-AAD7-44D8-BBD7-CCE9431645EC}">
                        <a14:shadowObscured xmlns:a14="http://schemas.microsoft.com/office/drawing/2010/main"/>
                      </a:ext>
                    </a:extLst>
                  </pic:spPr>
                </pic:pic>
              </a:graphicData>
            </a:graphic>
          </wp:anchor>
        </w:drawing>
      </w:r>
      <w:r w:rsidRPr="00E3446B">
        <w:rPr>
          <w:rFonts w:asciiTheme="minorHAnsi" w:hAnsiTheme="minorHAnsi"/>
        </w:rPr>
        <w:t xml:space="preserve">Percentage changes in </w:t>
      </w:r>
      <w:r>
        <w:rPr>
          <w:rFonts w:asciiTheme="minorHAnsi" w:hAnsiTheme="minorHAnsi"/>
        </w:rPr>
        <w:t>the prevalence of</w:t>
      </w:r>
      <w:r w:rsidRPr="00E3446B">
        <w:rPr>
          <w:rFonts w:asciiTheme="minorHAnsi" w:hAnsiTheme="minorHAnsi"/>
        </w:rPr>
        <w:t xml:space="preserve"> health conditions, between 2001 </w:t>
      </w:r>
      <w:r>
        <w:rPr>
          <w:rFonts w:asciiTheme="minorHAnsi" w:hAnsiTheme="minorHAnsi"/>
        </w:rPr>
        <w:t>and</w:t>
      </w:r>
      <w:r w:rsidRPr="00E3446B">
        <w:rPr>
          <w:rFonts w:asciiTheme="minorHAnsi" w:hAnsiTheme="minorHAnsi"/>
        </w:rPr>
        <w:t xml:space="preserve"> 2017/18, are illustrated</w:t>
      </w:r>
      <w:r>
        <w:rPr>
          <w:rFonts w:asciiTheme="minorHAnsi" w:hAnsiTheme="minorHAnsi"/>
        </w:rPr>
        <w:t xml:space="preserve"> at</w:t>
      </w:r>
      <w:r w:rsidRPr="00E3446B">
        <w:rPr>
          <w:rFonts w:asciiTheme="minorHAnsi" w:hAnsiTheme="minorHAnsi"/>
        </w:rPr>
        <w:t xml:space="preserve"> </w:t>
      </w:r>
      <w:r>
        <w:rPr>
          <w:rFonts w:asciiTheme="minorHAnsi" w:hAnsiTheme="minorHAnsi"/>
        </w:rPr>
        <w:t>right</w:t>
      </w:r>
      <w:r w:rsidRPr="00E3446B">
        <w:rPr>
          <w:rFonts w:asciiTheme="minorHAnsi" w:hAnsiTheme="minorHAnsi"/>
        </w:rPr>
        <w:t>.</w:t>
      </w:r>
    </w:p>
    <w:p w14:paraId="79B25CDB" w14:textId="77777777" w:rsidR="00C65183" w:rsidRPr="00723321" w:rsidRDefault="00C65183" w:rsidP="00C65183">
      <w:pPr>
        <w:jc w:val="both"/>
        <w:rPr>
          <w:rFonts w:asciiTheme="minorHAnsi" w:hAnsiTheme="minorHAnsi"/>
          <w:sz w:val="12"/>
          <w:szCs w:val="12"/>
        </w:rPr>
      </w:pPr>
    </w:p>
    <w:p w14:paraId="4AA12436" w14:textId="77777777" w:rsidR="00C65183" w:rsidRPr="00723321" w:rsidRDefault="00C65183" w:rsidP="00C65183">
      <w:pPr>
        <w:jc w:val="both"/>
        <w:rPr>
          <w:rFonts w:asciiTheme="minorHAnsi" w:hAnsiTheme="minorHAnsi"/>
          <w:color w:val="7F7F7F" w:themeColor="text1" w:themeTint="80"/>
          <w:sz w:val="20"/>
          <w:szCs w:val="20"/>
        </w:rPr>
      </w:pPr>
      <w:r w:rsidRPr="00723321">
        <w:rPr>
          <w:rFonts w:asciiTheme="minorHAnsi" w:hAnsiTheme="minorHAnsi"/>
          <w:color w:val="7F7F7F" w:themeColor="text1" w:themeTint="80"/>
          <w:sz w:val="20"/>
          <w:szCs w:val="20"/>
        </w:rPr>
        <w:t>Per cent changes in the proportion of adults with selected chronic illnesses: Australia 2001 to 2017/18</w:t>
      </w:r>
    </w:p>
    <w:p w14:paraId="22F6FFC4" w14:textId="77777777" w:rsidR="00C65183" w:rsidRPr="00723321" w:rsidRDefault="00C65183" w:rsidP="00C65183">
      <w:pPr>
        <w:jc w:val="both"/>
        <w:rPr>
          <w:rFonts w:asciiTheme="minorHAnsi" w:hAnsiTheme="minorHAnsi"/>
          <w:sz w:val="12"/>
          <w:szCs w:val="12"/>
        </w:rPr>
      </w:pPr>
    </w:p>
    <w:p w14:paraId="78BEB500" w14:textId="77777777" w:rsidR="00C65183" w:rsidRDefault="00C65183" w:rsidP="00C65183">
      <w:pPr>
        <w:spacing w:line="360" w:lineRule="auto"/>
        <w:jc w:val="both"/>
        <w:rPr>
          <w:rFonts w:asciiTheme="minorHAnsi" w:hAnsiTheme="minorHAnsi"/>
        </w:rPr>
      </w:pPr>
      <w:r>
        <w:rPr>
          <w:rFonts w:asciiTheme="minorHAnsi" w:hAnsiTheme="minorHAnsi"/>
        </w:rPr>
        <w:t>Large</w:t>
      </w:r>
      <w:r w:rsidRPr="00E3446B">
        <w:rPr>
          <w:rFonts w:asciiTheme="minorHAnsi" w:hAnsiTheme="minorHAnsi"/>
        </w:rPr>
        <w:t xml:space="preserve"> rises were recorded for kidney disease, mental </w:t>
      </w:r>
      <w:r>
        <w:rPr>
          <w:rFonts w:asciiTheme="minorHAnsi" w:hAnsiTheme="minorHAnsi"/>
        </w:rPr>
        <w:t>disorders</w:t>
      </w:r>
      <w:r w:rsidRPr="00E3446B">
        <w:rPr>
          <w:rFonts w:asciiTheme="minorHAnsi" w:hAnsiTheme="minorHAnsi"/>
        </w:rPr>
        <w:t xml:space="preserve"> and osteoporosis. </w:t>
      </w:r>
    </w:p>
    <w:p w14:paraId="4732C70C" w14:textId="77777777" w:rsidR="00C65183" w:rsidRDefault="00C65183" w:rsidP="00C65183">
      <w:pPr>
        <w:spacing w:line="360" w:lineRule="auto"/>
        <w:jc w:val="both"/>
        <w:rPr>
          <w:rFonts w:asciiTheme="minorHAnsi" w:hAnsiTheme="minorHAnsi"/>
        </w:rPr>
      </w:pPr>
      <w:r w:rsidRPr="00E3446B">
        <w:rPr>
          <w:rFonts w:asciiTheme="minorHAnsi" w:hAnsiTheme="minorHAnsi"/>
        </w:rPr>
        <w:t>By contrast, declines were documented in the prevalence of chronic obstructive pulmonary disease ('COPD', including disorders such as emphysema) and smoking - itself a leading cause of COPD.</w:t>
      </w:r>
    </w:p>
    <w:p w14:paraId="020AEF8E" w14:textId="77777777" w:rsidR="00C65183" w:rsidRDefault="00C65183" w:rsidP="00C65183">
      <w:pPr>
        <w:tabs>
          <w:tab w:val="left" w:pos="284"/>
        </w:tabs>
        <w:jc w:val="both"/>
        <w:rPr>
          <w:rFonts w:ascii="Calibri" w:hAnsi="Calibri"/>
          <w:color w:val="000000"/>
          <w:sz w:val="10"/>
          <w:szCs w:val="10"/>
          <w:lang w:val="en-US"/>
        </w:rPr>
      </w:pPr>
    </w:p>
    <w:p w14:paraId="7894C60B" w14:textId="77777777" w:rsidR="00C65183" w:rsidRDefault="00C65183" w:rsidP="00C65183">
      <w:pPr>
        <w:tabs>
          <w:tab w:val="left" w:pos="284"/>
        </w:tabs>
        <w:jc w:val="both"/>
        <w:rPr>
          <w:rFonts w:ascii="Calibri" w:hAnsi="Calibri"/>
          <w:color w:val="000000"/>
          <w:sz w:val="10"/>
          <w:szCs w:val="10"/>
          <w:lang w:val="en-US"/>
        </w:rPr>
      </w:pPr>
    </w:p>
    <w:p w14:paraId="7E7E7B52" w14:textId="77777777" w:rsidR="00C65183" w:rsidRPr="004B107E" w:rsidRDefault="00C65183" w:rsidP="00C65183">
      <w:pPr>
        <w:tabs>
          <w:tab w:val="left" w:pos="284"/>
        </w:tabs>
        <w:jc w:val="both"/>
        <w:rPr>
          <w:rFonts w:ascii="Calibri" w:hAnsi="Calibri"/>
          <w:color w:val="000000"/>
          <w:sz w:val="10"/>
          <w:szCs w:val="10"/>
          <w:lang w:val="en-US"/>
        </w:rPr>
      </w:pPr>
    </w:p>
    <w:p w14:paraId="554DFC23" w14:textId="77777777" w:rsidR="00C65183" w:rsidRPr="00F5746D" w:rsidRDefault="00C65183" w:rsidP="00C65183">
      <w:pPr>
        <w:tabs>
          <w:tab w:val="left" w:pos="284"/>
        </w:tabs>
        <w:spacing w:before="80" w:line="360" w:lineRule="auto"/>
        <w:jc w:val="both"/>
        <w:rPr>
          <w:rFonts w:ascii="Calibri" w:hAnsi="Calibri"/>
          <w:b/>
          <w:color w:val="000000"/>
          <w:lang w:val="en-US"/>
        </w:rPr>
      </w:pPr>
      <w:r w:rsidRPr="00F5746D">
        <w:rPr>
          <w:rFonts w:ascii="Calibri" w:hAnsi="Calibri"/>
          <w:b/>
          <w:color w:val="000000"/>
          <w:lang w:val="en-US"/>
        </w:rPr>
        <w:t>Health Surveillance</w:t>
      </w:r>
    </w:p>
    <w:p w14:paraId="2BCEB497" w14:textId="77777777" w:rsidR="00C65183" w:rsidRDefault="00C65183" w:rsidP="00C65183">
      <w:pPr>
        <w:tabs>
          <w:tab w:val="left" w:pos="284"/>
        </w:tabs>
        <w:spacing w:before="80" w:line="360" w:lineRule="auto"/>
        <w:jc w:val="both"/>
        <w:rPr>
          <w:rFonts w:ascii="Calibri" w:hAnsi="Calibri"/>
          <w:color w:val="000000"/>
          <w:lang w:val="en-US"/>
        </w:rPr>
      </w:pPr>
      <w:r>
        <w:rPr>
          <w:rFonts w:ascii="Calibri" w:hAnsi="Calibri"/>
          <w:color w:val="000000"/>
          <w:lang w:val="en-US"/>
        </w:rPr>
        <w:t xml:space="preserve">The Victorian Population Health Survey 2017 inquired about range of health screening checks undertaken during the previous two years. The proportions of Greater Dandenong residents who had received checks on their blood pressure, cholesterol, blood sugar levels, fecal occult blood, or cervical screening, were all similar to State levels. </w:t>
      </w:r>
    </w:p>
    <w:p w14:paraId="33F2D195" w14:textId="77777777" w:rsidR="00C65183" w:rsidRDefault="00C65183" w:rsidP="00C65183">
      <w:pPr>
        <w:tabs>
          <w:tab w:val="left" w:pos="284"/>
        </w:tabs>
        <w:spacing w:before="80" w:line="360" w:lineRule="auto"/>
        <w:jc w:val="both"/>
        <w:rPr>
          <w:rFonts w:ascii="Calibri" w:hAnsi="Calibri"/>
          <w:color w:val="000000"/>
          <w:lang w:val="en-US"/>
        </w:rPr>
      </w:pPr>
      <w:r>
        <w:rPr>
          <w:rFonts w:ascii="Calibri" w:hAnsi="Calibri"/>
          <w:color w:val="000000"/>
          <w:lang w:val="en-US"/>
        </w:rPr>
        <w:t>Similarly, the proportion of residents who had been deterred from attending the dentist due to its cost, at 32%, was similar the Victorian average of 34%.</w:t>
      </w:r>
    </w:p>
    <w:p w14:paraId="055F1AF9" w14:textId="77777777" w:rsidR="00C65183" w:rsidRDefault="00C65183" w:rsidP="00C65183">
      <w:pPr>
        <w:rPr>
          <w:rFonts w:asciiTheme="minorHAnsi" w:hAnsiTheme="minorHAnsi" w:cstheme="minorHAnsi"/>
        </w:rPr>
      </w:pPr>
      <w:r>
        <w:rPr>
          <w:rFonts w:asciiTheme="minorHAnsi" w:hAnsiTheme="minorHAnsi" w:cstheme="minorHAnsi"/>
        </w:rPr>
        <w:br w:type="page"/>
      </w:r>
    </w:p>
    <w:p w14:paraId="2C9A6DC4" w14:textId="77777777" w:rsidR="00C65183" w:rsidRPr="00827F47" w:rsidRDefault="00C65183" w:rsidP="00C65183">
      <w:pPr>
        <w:pBdr>
          <w:top w:val="single" w:sz="4" w:space="0" w:color="244061" w:themeColor="accent1" w:themeShade="80"/>
          <w:bottom w:val="single" w:sz="4" w:space="1" w:color="244061" w:themeColor="accent1" w:themeShade="80"/>
        </w:pBdr>
        <w:tabs>
          <w:tab w:val="center" w:pos="4678"/>
        </w:tabs>
        <w:jc w:val="center"/>
        <w:rPr>
          <w:rFonts w:ascii="Garamond" w:hAnsi="Garamond"/>
          <w:noProof/>
          <w:color w:val="244061" w:themeColor="accent1" w:themeShade="80"/>
          <w:sz w:val="34"/>
          <w:szCs w:val="34"/>
        </w:rPr>
      </w:pPr>
      <w:r w:rsidRPr="00827F47">
        <w:rPr>
          <w:rFonts w:ascii="Garamond" w:hAnsi="Garamond"/>
          <w:noProof/>
          <w:color w:val="244061" w:themeColor="accent1" w:themeShade="80"/>
          <w:sz w:val="34"/>
          <w:szCs w:val="34"/>
        </w:rPr>
        <w:lastRenderedPageBreak/>
        <w:t>Disability</w:t>
      </w:r>
    </w:p>
    <w:p w14:paraId="3B71D198" w14:textId="77777777" w:rsidR="00C65183" w:rsidRPr="00A3683D" w:rsidRDefault="00C65183" w:rsidP="00C65183">
      <w:pPr>
        <w:spacing w:line="360" w:lineRule="auto"/>
      </w:pPr>
    </w:p>
    <w:p w14:paraId="18828272" w14:textId="77777777" w:rsidR="00C65183" w:rsidRDefault="00C65183" w:rsidP="00C65183">
      <w:pPr>
        <w:spacing w:line="360" w:lineRule="auto"/>
        <w:jc w:val="both"/>
        <w:rPr>
          <w:noProof/>
          <w:sz w:val="12"/>
          <w:szCs w:val="12"/>
          <w:lang w:eastAsia="en-AU"/>
        </w:rPr>
      </w:pPr>
      <w:r>
        <w:rPr>
          <w:rFonts w:ascii="Calibri" w:hAnsi="Calibri"/>
        </w:rPr>
        <w:t>The 2016 Census inquired as to whether respondents had a severe or profound disability requiring them to obtain daily assistance with mobility, communication or personal care. Such individuals were considered to have severe or profound disabilities. Within Greater Dandenong, 9,645 residents, or 6.8% of the population, recorded that they had a severe or profound disability. This percentage is slightly higher than the level of 6.0%, recorded ten years earlier in the 2006 Census.</w:t>
      </w:r>
      <w:r w:rsidRPr="00797407">
        <w:rPr>
          <w:noProof/>
          <w:sz w:val="12"/>
          <w:szCs w:val="12"/>
          <w:lang w:eastAsia="en-AU"/>
        </w:rPr>
        <w:t xml:space="preserve"> </w:t>
      </w:r>
    </w:p>
    <w:p w14:paraId="61D31B2A" w14:textId="77777777" w:rsidR="00C65183" w:rsidRDefault="00C65183" w:rsidP="00C65183">
      <w:pPr>
        <w:spacing w:line="360" w:lineRule="auto"/>
        <w:jc w:val="both"/>
        <w:rPr>
          <w:rFonts w:ascii="Calibri" w:hAnsi="Calibri"/>
        </w:rPr>
      </w:pPr>
      <w:r w:rsidRPr="00627614">
        <w:rPr>
          <w:rFonts w:ascii="Calibri" w:hAnsi="Calibri"/>
        </w:rPr>
        <w:t xml:space="preserve">Notably, </w:t>
      </w:r>
      <w:r>
        <w:rPr>
          <w:rFonts w:ascii="Calibri" w:hAnsi="Calibri"/>
        </w:rPr>
        <w:t>the 5.5% of Australians recorded by the 2016 Census as having a disability that required them to obtain daily assistance, represented approximately a third of the 18% of Australians found to have a mild, moderate, severe or profound disability by the 2015 National Survey of Ageing and Disability.</w:t>
      </w:r>
    </w:p>
    <w:p w14:paraId="7AC60C98" w14:textId="77777777" w:rsidR="00C65183" w:rsidRPr="00E27010" w:rsidRDefault="00C65183" w:rsidP="00C65183">
      <w:pPr>
        <w:spacing w:line="360" w:lineRule="auto"/>
        <w:jc w:val="both"/>
        <w:rPr>
          <w:rFonts w:ascii="Calibri" w:hAnsi="Calibri"/>
          <w:b/>
        </w:rPr>
      </w:pPr>
      <w:r w:rsidRPr="00E27010">
        <w:rPr>
          <w:rFonts w:ascii="Calibri" w:hAnsi="Calibri"/>
          <w:b/>
        </w:rPr>
        <w:t>Overview</w:t>
      </w:r>
    </w:p>
    <w:p w14:paraId="1ADE2A78" w14:textId="77777777" w:rsidR="00C65183" w:rsidRDefault="00C65183" w:rsidP="00C65183">
      <w:pPr>
        <w:spacing w:line="360" w:lineRule="auto"/>
        <w:jc w:val="both"/>
        <w:rPr>
          <w:rFonts w:ascii="Calibri" w:hAnsi="Calibri"/>
        </w:rPr>
      </w:pPr>
      <w:r>
        <w:rPr>
          <w:rFonts w:ascii="Calibri" w:hAnsi="Calibri"/>
        </w:rPr>
        <w:t>The table below presents an overview of the number and proportion of severely or profoundly disabled residents in Greater Dandenong, by sex, age, birthplace and type of accommodation.</w:t>
      </w:r>
    </w:p>
    <w:p w14:paraId="580FEBD3" w14:textId="77777777" w:rsidR="00C65183" w:rsidRDefault="00C65183" w:rsidP="00C65183">
      <w:pPr>
        <w:spacing w:line="360" w:lineRule="auto"/>
        <w:jc w:val="center"/>
      </w:pPr>
      <w:r w:rsidRPr="006A2F93">
        <w:rPr>
          <w:noProof/>
          <w:lang w:eastAsia="en-AU"/>
        </w:rPr>
        <w:drawing>
          <wp:inline distT="0" distB="0" distL="0" distR="0" wp14:anchorId="32A2B491" wp14:editId="26F5E423">
            <wp:extent cx="5698744" cy="5867400"/>
            <wp:effectExtent l="0" t="0" r="0" b="0"/>
            <wp:docPr id="347" name="Picture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5698744" cy="5867400"/>
                    </a:xfrm>
                    <a:prstGeom prst="rect">
                      <a:avLst/>
                    </a:prstGeom>
                    <a:noFill/>
                    <a:ln>
                      <a:noFill/>
                    </a:ln>
                  </pic:spPr>
                </pic:pic>
              </a:graphicData>
            </a:graphic>
          </wp:inline>
        </w:drawing>
      </w:r>
    </w:p>
    <w:p w14:paraId="75D6DA43" w14:textId="77777777" w:rsidR="00C65183" w:rsidRPr="00094216" w:rsidRDefault="00C65183" w:rsidP="00C65183">
      <w:pPr>
        <w:tabs>
          <w:tab w:val="left" w:pos="4536"/>
        </w:tabs>
        <w:spacing w:line="360" w:lineRule="auto"/>
        <w:jc w:val="both"/>
        <w:rPr>
          <w:rFonts w:ascii="Calibri" w:hAnsi="Calibri"/>
          <w:color w:val="7F7F7F"/>
        </w:rPr>
      </w:pPr>
      <w:r>
        <w:rPr>
          <w:rFonts w:ascii="Calibri" w:hAnsi="Calibri"/>
          <w:noProof/>
          <w:lang w:eastAsia="en-AU"/>
        </w:rPr>
        <w:lastRenderedPageBreak/>
        <w:drawing>
          <wp:anchor distT="0" distB="0" distL="114300" distR="114300" simplePos="0" relativeHeight="251866112" behindDoc="1" locked="0" layoutInCell="1" allowOverlap="1" wp14:anchorId="423DD4CD" wp14:editId="59199E41">
            <wp:simplePos x="0" y="0"/>
            <wp:positionH relativeFrom="column">
              <wp:posOffset>2214245</wp:posOffset>
            </wp:positionH>
            <wp:positionV relativeFrom="paragraph">
              <wp:posOffset>184785</wp:posOffset>
            </wp:positionV>
            <wp:extent cx="3837305" cy="2809875"/>
            <wp:effectExtent l="0" t="0" r="0" b="9525"/>
            <wp:wrapTight wrapText="bothSides">
              <wp:wrapPolygon edited="0">
                <wp:start x="0" y="0"/>
                <wp:lineTo x="0" y="21527"/>
                <wp:lineTo x="21446" y="21527"/>
                <wp:lineTo x="21446" y="0"/>
                <wp:lineTo x="0" y="0"/>
              </wp:wrapPolygon>
            </wp:wrapTight>
            <wp:docPr id="348" name="Picture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3837305" cy="2809875"/>
                    </a:xfrm>
                    <a:prstGeom prst="rect">
                      <a:avLst/>
                    </a:prstGeom>
                    <a:noFill/>
                  </pic:spPr>
                </pic:pic>
              </a:graphicData>
            </a:graphic>
            <wp14:sizeRelH relativeFrom="page">
              <wp14:pctWidth>0</wp14:pctWidth>
            </wp14:sizeRelH>
            <wp14:sizeRelV relativeFrom="page">
              <wp14:pctHeight>0</wp14:pctHeight>
            </wp14:sizeRelV>
          </wp:anchor>
        </w:drawing>
      </w:r>
      <w:r w:rsidRPr="00512570">
        <w:rPr>
          <w:rFonts w:ascii="Calibri" w:hAnsi="Calibri"/>
          <w:b/>
          <w:color w:val="000000"/>
        </w:rPr>
        <w:t>Age</w:t>
      </w:r>
      <w:r>
        <w:rPr>
          <w:rFonts w:ascii="Calibri" w:hAnsi="Calibri"/>
          <w:b/>
          <w:color w:val="000000"/>
        </w:rPr>
        <w:t xml:space="preserve">                                    </w:t>
      </w:r>
      <w:r w:rsidRPr="002069E5">
        <w:rPr>
          <w:rFonts w:ascii="Calibri" w:hAnsi="Calibri"/>
          <w:color w:val="7F7F7F"/>
          <w:sz w:val="20"/>
          <w:szCs w:val="20"/>
        </w:rPr>
        <w:t xml:space="preserve">Prevalence of </w:t>
      </w:r>
      <w:r>
        <w:rPr>
          <w:rFonts w:ascii="Calibri" w:hAnsi="Calibri"/>
          <w:color w:val="7F7F7F"/>
          <w:sz w:val="20"/>
          <w:szCs w:val="20"/>
        </w:rPr>
        <w:t>d</w:t>
      </w:r>
      <w:r w:rsidRPr="002069E5">
        <w:rPr>
          <w:rFonts w:ascii="Calibri" w:hAnsi="Calibri"/>
          <w:color w:val="7F7F7F"/>
          <w:sz w:val="20"/>
          <w:szCs w:val="20"/>
        </w:rPr>
        <w:t xml:space="preserve">isability by </w:t>
      </w:r>
      <w:r>
        <w:rPr>
          <w:rFonts w:ascii="Calibri" w:hAnsi="Calibri"/>
          <w:color w:val="7F7F7F"/>
          <w:sz w:val="20"/>
          <w:szCs w:val="20"/>
        </w:rPr>
        <w:t>a</w:t>
      </w:r>
      <w:r w:rsidRPr="002069E5">
        <w:rPr>
          <w:rFonts w:ascii="Calibri" w:hAnsi="Calibri"/>
          <w:color w:val="7F7F7F"/>
          <w:sz w:val="20"/>
          <w:szCs w:val="20"/>
        </w:rPr>
        <w:t>ge: Greater Dandenong and metropolitan Melbourne, 2016</w:t>
      </w:r>
    </w:p>
    <w:p w14:paraId="4E8029A9" w14:textId="77777777" w:rsidR="00C65183" w:rsidRDefault="00C65183" w:rsidP="00C65183">
      <w:pPr>
        <w:spacing w:line="360" w:lineRule="auto"/>
        <w:jc w:val="both"/>
        <w:rPr>
          <w:rFonts w:ascii="Calibri" w:hAnsi="Calibri"/>
        </w:rPr>
      </w:pPr>
      <w:r>
        <w:rPr>
          <w:rFonts w:ascii="Calibri" w:hAnsi="Calibri"/>
        </w:rPr>
        <w:t xml:space="preserve">The prevalence of severe or profound disability rises markedly with age, from less than 2% among residents aged up to 24 years, to 4.6% among those aged 25-64, then 13% of those aged 65-69, before escalating to 71% of those over 90. </w:t>
      </w:r>
    </w:p>
    <w:p w14:paraId="25CB12D6" w14:textId="77777777" w:rsidR="00C65183" w:rsidRDefault="00C65183" w:rsidP="00C65183">
      <w:pPr>
        <w:spacing w:line="360" w:lineRule="auto"/>
        <w:jc w:val="both"/>
        <w:rPr>
          <w:rFonts w:ascii="Calibri" w:hAnsi="Calibri"/>
        </w:rPr>
      </w:pPr>
    </w:p>
    <w:p w14:paraId="7A9E586E" w14:textId="77777777" w:rsidR="00C65183" w:rsidRDefault="00C65183" w:rsidP="00C65183">
      <w:pPr>
        <w:spacing w:line="360" w:lineRule="auto"/>
        <w:jc w:val="both"/>
        <w:rPr>
          <w:rFonts w:ascii="Calibri" w:hAnsi="Calibri"/>
        </w:rPr>
      </w:pPr>
    </w:p>
    <w:p w14:paraId="27B3791C" w14:textId="77777777" w:rsidR="00C65183" w:rsidRDefault="00C65183" w:rsidP="00C65183">
      <w:pPr>
        <w:spacing w:line="360" w:lineRule="auto"/>
        <w:jc w:val="both"/>
        <w:rPr>
          <w:rFonts w:ascii="Calibri" w:hAnsi="Calibri"/>
        </w:rPr>
      </w:pPr>
    </w:p>
    <w:p w14:paraId="2B39F878" w14:textId="77777777" w:rsidR="00C65183" w:rsidRPr="002069E5" w:rsidRDefault="00C65183" w:rsidP="00C65183">
      <w:pPr>
        <w:spacing w:line="360" w:lineRule="auto"/>
        <w:jc w:val="both"/>
        <w:rPr>
          <w:rFonts w:ascii="Calibri" w:hAnsi="Calibri"/>
          <w:sz w:val="20"/>
          <w:szCs w:val="20"/>
        </w:rPr>
      </w:pPr>
    </w:p>
    <w:p w14:paraId="69FDF081" w14:textId="77777777" w:rsidR="00C65183" w:rsidRPr="002069E5" w:rsidRDefault="00C65183" w:rsidP="00C65183">
      <w:pPr>
        <w:tabs>
          <w:tab w:val="left" w:pos="4536"/>
        </w:tabs>
        <w:jc w:val="both"/>
        <w:rPr>
          <w:rFonts w:ascii="Calibri" w:hAnsi="Calibri"/>
          <w:b/>
          <w:color w:val="7F7F7F"/>
          <w:sz w:val="20"/>
          <w:szCs w:val="20"/>
        </w:rPr>
      </w:pPr>
      <w:r w:rsidRPr="002069E5">
        <w:rPr>
          <w:rFonts w:ascii="Calibri" w:hAnsi="Calibri"/>
          <w:b/>
          <w:sz w:val="20"/>
          <w:szCs w:val="20"/>
        </w:rPr>
        <w:tab/>
      </w:r>
      <w:r w:rsidRPr="002069E5">
        <w:rPr>
          <w:rFonts w:ascii="Calibri" w:hAnsi="Calibri"/>
          <w:color w:val="7F7F7F"/>
          <w:sz w:val="20"/>
          <w:szCs w:val="20"/>
        </w:rPr>
        <w:t xml:space="preserve">Number of </w:t>
      </w:r>
      <w:r>
        <w:rPr>
          <w:rFonts w:ascii="Calibri" w:hAnsi="Calibri"/>
          <w:color w:val="7F7F7F"/>
          <w:sz w:val="20"/>
          <w:szCs w:val="20"/>
        </w:rPr>
        <w:t>p</w:t>
      </w:r>
      <w:r w:rsidRPr="002069E5">
        <w:rPr>
          <w:rFonts w:ascii="Calibri" w:hAnsi="Calibri"/>
          <w:color w:val="7F7F7F"/>
          <w:sz w:val="20"/>
          <w:szCs w:val="20"/>
        </w:rPr>
        <w:t xml:space="preserve">ersons with a </w:t>
      </w:r>
      <w:r>
        <w:rPr>
          <w:rFonts w:ascii="Calibri" w:hAnsi="Calibri"/>
          <w:color w:val="7F7F7F"/>
          <w:sz w:val="20"/>
          <w:szCs w:val="20"/>
        </w:rPr>
        <w:t>d</w:t>
      </w:r>
      <w:r w:rsidRPr="002069E5">
        <w:rPr>
          <w:rFonts w:ascii="Calibri" w:hAnsi="Calibri"/>
          <w:color w:val="7F7F7F"/>
          <w:sz w:val="20"/>
          <w:szCs w:val="20"/>
        </w:rPr>
        <w:t xml:space="preserve">isability, by </w:t>
      </w:r>
      <w:r>
        <w:rPr>
          <w:rFonts w:ascii="Calibri" w:hAnsi="Calibri"/>
          <w:color w:val="7F7F7F"/>
          <w:sz w:val="20"/>
          <w:szCs w:val="20"/>
        </w:rPr>
        <w:t>sex</w:t>
      </w:r>
      <w:r w:rsidRPr="002069E5">
        <w:rPr>
          <w:rFonts w:ascii="Calibri" w:hAnsi="Calibri"/>
          <w:color w:val="7F7F7F"/>
          <w:sz w:val="20"/>
          <w:szCs w:val="20"/>
        </w:rPr>
        <w:t>:</w:t>
      </w:r>
      <w:r w:rsidRPr="002069E5">
        <w:rPr>
          <w:rFonts w:ascii="Calibri" w:hAnsi="Calibri"/>
          <w:b/>
          <w:color w:val="7F7F7F"/>
          <w:sz w:val="20"/>
          <w:szCs w:val="20"/>
        </w:rPr>
        <w:t xml:space="preserve"> </w:t>
      </w:r>
    </w:p>
    <w:p w14:paraId="4E0067B1" w14:textId="77777777" w:rsidR="00C65183" w:rsidRPr="00094216" w:rsidRDefault="00C65183" w:rsidP="00C65183">
      <w:pPr>
        <w:tabs>
          <w:tab w:val="left" w:pos="4536"/>
        </w:tabs>
        <w:jc w:val="both"/>
        <w:rPr>
          <w:rFonts w:ascii="Calibri" w:hAnsi="Calibri"/>
          <w:color w:val="7F7F7F"/>
        </w:rPr>
      </w:pPr>
      <w:r>
        <w:rPr>
          <w:rFonts w:ascii="Calibri" w:hAnsi="Calibri"/>
          <w:b/>
        </w:rPr>
        <w:t>Disability by Sex</w:t>
      </w:r>
      <w:r w:rsidRPr="00512570">
        <w:rPr>
          <w:rFonts w:ascii="Calibri" w:hAnsi="Calibri"/>
          <w:b/>
          <w:color w:val="7F7F7F"/>
        </w:rPr>
        <w:tab/>
      </w:r>
      <w:r w:rsidRPr="002069E5">
        <w:rPr>
          <w:rFonts w:ascii="Calibri" w:hAnsi="Calibri"/>
          <w:color w:val="7F7F7F"/>
          <w:sz w:val="20"/>
          <w:szCs w:val="20"/>
        </w:rPr>
        <w:t>Greater Dandenong, 2016</w:t>
      </w:r>
    </w:p>
    <w:p w14:paraId="0096E18C" w14:textId="77777777" w:rsidR="00C65183" w:rsidRDefault="00C65183" w:rsidP="00C65183">
      <w:pPr>
        <w:spacing w:line="360" w:lineRule="auto"/>
        <w:jc w:val="both"/>
        <w:rPr>
          <w:rFonts w:ascii="Calibri" w:hAnsi="Calibri"/>
        </w:rPr>
      </w:pPr>
      <w:r>
        <w:rPr>
          <w:rFonts w:ascii="Calibri" w:hAnsi="Calibri"/>
          <w:noProof/>
          <w:lang w:eastAsia="en-AU"/>
        </w:rPr>
        <w:drawing>
          <wp:anchor distT="0" distB="0" distL="114300" distR="114300" simplePos="0" relativeHeight="251867136" behindDoc="0" locked="0" layoutInCell="1" allowOverlap="1" wp14:anchorId="46D8FF07" wp14:editId="0DBC7A1A">
            <wp:simplePos x="0" y="0"/>
            <wp:positionH relativeFrom="margin">
              <wp:align>right</wp:align>
            </wp:positionH>
            <wp:positionV relativeFrom="paragraph">
              <wp:posOffset>55880</wp:posOffset>
            </wp:positionV>
            <wp:extent cx="3827780" cy="2847975"/>
            <wp:effectExtent l="0" t="0" r="1270" b="9525"/>
            <wp:wrapSquare wrapText="bothSides"/>
            <wp:docPr id="349" name="Picture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3827780" cy="2847975"/>
                    </a:xfrm>
                    <a:prstGeom prst="rect">
                      <a:avLst/>
                    </a:prstGeom>
                    <a:noFill/>
                  </pic:spPr>
                </pic:pic>
              </a:graphicData>
            </a:graphic>
            <wp14:sizeRelH relativeFrom="page">
              <wp14:pctWidth>0</wp14:pctWidth>
            </wp14:sizeRelH>
            <wp14:sizeRelV relativeFrom="page">
              <wp14:pctHeight>0</wp14:pctHeight>
            </wp14:sizeRelV>
          </wp:anchor>
        </w:drawing>
      </w:r>
      <w:r>
        <w:rPr>
          <w:rFonts w:ascii="Calibri" w:hAnsi="Calibri"/>
        </w:rPr>
        <w:t xml:space="preserve">Females account for 56% of Greater Dandenong residents with a severe or profound disability and males for 44%. For younger residents, males predominate among those with a disability, while among people aged over 75 years, women form a majority, due to their greater longevity. </w:t>
      </w:r>
    </w:p>
    <w:p w14:paraId="37576F15" w14:textId="77777777" w:rsidR="00C65183" w:rsidRDefault="00C65183" w:rsidP="00C65183">
      <w:pPr>
        <w:spacing w:line="360" w:lineRule="auto"/>
        <w:jc w:val="both"/>
        <w:rPr>
          <w:rFonts w:ascii="Calibri" w:hAnsi="Calibri"/>
        </w:rPr>
      </w:pPr>
    </w:p>
    <w:p w14:paraId="304D4D73" w14:textId="77777777" w:rsidR="00C65183" w:rsidRDefault="00C65183" w:rsidP="00C65183">
      <w:pPr>
        <w:tabs>
          <w:tab w:val="left" w:pos="5670"/>
        </w:tabs>
        <w:jc w:val="both"/>
        <w:rPr>
          <w:rFonts w:ascii="Calibri" w:hAnsi="Calibri"/>
          <w:b/>
          <w:color w:val="000000"/>
        </w:rPr>
      </w:pPr>
      <w:r>
        <w:rPr>
          <w:rFonts w:ascii="Calibri" w:hAnsi="Calibri"/>
          <w:b/>
          <w:color w:val="7F7F7F"/>
        </w:rPr>
        <w:tab/>
      </w:r>
    </w:p>
    <w:p w14:paraId="20A10B66" w14:textId="77777777" w:rsidR="00C65183" w:rsidRPr="002069E5" w:rsidRDefault="00C65183" w:rsidP="00C65183">
      <w:pPr>
        <w:jc w:val="both"/>
        <w:rPr>
          <w:rFonts w:ascii="Calibri" w:hAnsi="Calibri"/>
          <w:color w:val="7F7F7F"/>
          <w:sz w:val="20"/>
          <w:szCs w:val="20"/>
        </w:rPr>
      </w:pPr>
      <w:r w:rsidRPr="002069E5">
        <w:rPr>
          <w:rFonts w:ascii="Calibri" w:hAnsi="Calibri"/>
          <w:color w:val="7F7F7F"/>
          <w:sz w:val="20"/>
          <w:szCs w:val="20"/>
        </w:rPr>
        <w:t xml:space="preserve">Number of </w:t>
      </w:r>
      <w:r>
        <w:rPr>
          <w:rFonts w:ascii="Calibri" w:hAnsi="Calibri"/>
          <w:color w:val="7F7F7F"/>
          <w:sz w:val="20"/>
          <w:szCs w:val="20"/>
        </w:rPr>
        <w:t>p</w:t>
      </w:r>
      <w:r w:rsidRPr="002069E5">
        <w:rPr>
          <w:rFonts w:ascii="Calibri" w:hAnsi="Calibri"/>
          <w:color w:val="7F7F7F"/>
          <w:sz w:val="20"/>
          <w:szCs w:val="20"/>
        </w:rPr>
        <w:t xml:space="preserve">ersons with a </w:t>
      </w:r>
      <w:r>
        <w:rPr>
          <w:rFonts w:ascii="Calibri" w:hAnsi="Calibri"/>
          <w:color w:val="7F7F7F"/>
          <w:sz w:val="20"/>
          <w:szCs w:val="20"/>
        </w:rPr>
        <w:t>d</w:t>
      </w:r>
      <w:r w:rsidRPr="002069E5">
        <w:rPr>
          <w:rFonts w:ascii="Calibri" w:hAnsi="Calibri"/>
          <w:color w:val="7F7F7F"/>
          <w:sz w:val="20"/>
          <w:szCs w:val="20"/>
        </w:rPr>
        <w:t xml:space="preserve">isability, </w:t>
      </w:r>
    </w:p>
    <w:p w14:paraId="5D3EFAA1" w14:textId="77777777" w:rsidR="00C65183" w:rsidRPr="002069E5" w:rsidRDefault="00C65183" w:rsidP="00C65183">
      <w:pPr>
        <w:tabs>
          <w:tab w:val="left" w:pos="5670"/>
        </w:tabs>
        <w:jc w:val="both"/>
        <w:rPr>
          <w:rFonts w:ascii="Calibri" w:hAnsi="Calibri"/>
          <w:b/>
          <w:color w:val="000000"/>
          <w:sz w:val="20"/>
          <w:szCs w:val="20"/>
        </w:rPr>
      </w:pPr>
      <w:r w:rsidRPr="002069E5">
        <w:rPr>
          <w:rFonts w:ascii="Calibri" w:hAnsi="Calibri"/>
          <w:color w:val="7F7F7F"/>
          <w:sz w:val="20"/>
          <w:szCs w:val="20"/>
        </w:rPr>
        <w:t xml:space="preserve">by </w:t>
      </w:r>
      <w:r>
        <w:rPr>
          <w:rFonts w:ascii="Calibri" w:hAnsi="Calibri"/>
          <w:color w:val="7F7F7F"/>
          <w:sz w:val="20"/>
          <w:szCs w:val="20"/>
        </w:rPr>
        <w:t>bi</w:t>
      </w:r>
      <w:r w:rsidRPr="002069E5">
        <w:rPr>
          <w:rFonts w:ascii="Calibri" w:hAnsi="Calibri"/>
          <w:color w:val="7F7F7F"/>
          <w:sz w:val="20"/>
          <w:szCs w:val="20"/>
        </w:rPr>
        <w:t>rthplace: Greater Dandenong, 2016</w:t>
      </w:r>
    </w:p>
    <w:p w14:paraId="5421E3A1" w14:textId="77777777" w:rsidR="00C65183" w:rsidRPr="00094216" w:rsidRDefault="00C65183" w:rsidP="00C65183">
      <w:pPr>
        <w:tabs>
          <w:tab w:val="left" w:pos="5670"/>
        </w:tabs>
        <w:jc w:val="both"/>
        <w:rPr>
          <w:rFonts w:ascii="Calibri" w:hAnsi="Calibri"/>
          <w:color w:val="7F7F7F"/>
        </w:rPr>
      </w:pPr>
      <w:r>
        <w:rPr>
          <w:rFonts w:ascii="Calibri" w:hAnsi="Calibri"/>
          <w:noProof/>
          <w:lang w:eastAsia="en-AU"/>
        </w:rPr>
        <w:drawing>
          <wp:anchor distT="0" distB="0" distL="114300" distR="114300" simplePos="0" relativeHeight="251870208" behindDoc="0" locked="0" layoutInCell="1" allowOverlap="1" wp14:anchorId="12A4E0A9" wp14:editId="5A4B631F">
            <wp:simplePos x="0" y="0"/>
            <wp:positionH relativeFrom="margin">
              <wp:posOffset>-28575</wp:posOffset>
            </wp:positionH>
            <wp:positionV relativeFrom="paragraph">
              <wp:posOffset>40957</wp:posOffset>
            </wp:positionV>
            <wp:extent cx="3367405" cy="2438400"/>
            <wp:effectExtent l="0" t="0" r="4445" b="0"/>
            <wp:wrapSquare wrapText="bothSides"/>
            <wp:docPr id="350" name="Picture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3367405" cy="2438400"/>
                    </a:xfrm>
                    <a:prstGeom prst="rect">
                      <a:avLst/>
                    </a:prstGeom>
                    <a:noFill/>
                  </pic:spPr>
                </pic:pic>
              </a:graphicData>
            </a:graphic>
            <wp14:sizeRelH relativeFrom="page">
              <wp14:pctWidth>0</wp14:pctWidth>
            </wp14:sizeRelH>
            <wp14:sizeRelV relativeFrom="page">
              <wp14:pctHeight>0</wp14:pctHeight>
            </wp14:sizeRelV>
          </wp:anchor>
        </w:drawing>
      </w:r>
      <w:r w:rsidRPr="00A664AB">
        <w:rPr>
          <w:rFonts w:ascii="Calibri" w:hAnsi="Calibri"/>
          <w:b/>
          <w:color w:val="000000"/>
        </w:rPr>
        <w:t>Birthplaces</w:t>
      </w:r>
    </w:p>
    <w:p w14:paraId="33267BF8" w14:textId="77777777" w:rsidR="00C65183" w:rsidRPr="00A664AB" w:rsidRDefault="00C65183" w:rsidP="00C65183">
      <w:pPr>
        <w:tabs>
          <w:tab w:val="left" w:pos="5954"/>
        </w:tabs>
        <w:spacing w:line="360" w:lineRule="auto"/>
        <w:jc w:val="both"/>
        <w:rPr>
          <w:rFonts w:ascii="Calibri" w:hAnsi="Calibri"/>
          <w:b/>
        </w:rPr>
      </w:pPr>
      <w:r>
        <w:rPr>
          <w:rFonts w:ascii="Calibri" w:hAnsi="Calibri"/>
        </w:rPr>
        <w:t xml:space="preserve">The number of people of each birthplace who have a severe or profound disability largely reflects the overall mix of birthplaces in Greater Dandenong and the age profile of residents of each birthplace. </w:t>
      </w:r>
    </w:p>
    <w:p w14:paraId="666EA2D2" w14:textId="77777777" w:rsidR="00C65183" w:rsidRPr="002069E5" w:rsidRDefault="00C65183" w:rsidP="00C65183">
      <w:pPr>
        <w:spacing w:line="360" w:lineRule="auto"/>
        <w:jc w:val="both"/>
        <w:rPr>
          <w:rFonts w:ascii="Calibri" w:hAnsi="Calibri"/>
        </w:rPr>
      </w:pPr>
      <w:r>
        <w:rPr>
          <w:rFonts w:ascii="Calibri" w:hAnsi="Calibri"/>
        </w:rPr>
        <w:t xml:space="preserve">Of severely or profoundly disabled residents in Greater Dandenong, 28% were born in Australia, 9% in Vietnam, 5% in Italy, 4.5% in Cambodia and 4% in China. </w:t>
      </w:r>
    </w:p>
    <w:p w14:paraId="3D69484D" w14:textId="77777777" w:rsidR="00C65183" w:rsidRPr="00094216" w:rsidRDefault="00C65183" w:rsidP="00C65183">
      <w:pPr>
        <w:ind w:left="3686"/>
        <w:jc w:val="both"/>
        <w:rPr>
          <w:rFonts w:ascii="Calibri" w:hAnsi="Calibri"/>
          <w:color w:val="7F7F7F"/>
        </w:rPr>
      </w:pPr>
      <w:r w:rsidRPr="002069E5">
        <w:rPr>
          <w:rFonts w:ascii="Calibri" w:hAnsi="Calibri"/>
          <w:color w:val="7F7F7F"/>
          <w:sz w:val="20"/>
          <w:szCs w:val="20"/>
        </w:rPr>
        <w:t xml:space="preserve">Disabled </w:t>
      </w:r>
      <w:r>
        <w:rPr>
          <w:rFonts w:ascii="Calibri" w:hAnsi="Calibri"/>
          <w:color w:val="7F7F7F"/>
          <w:sz w:val="20"/>
          <w:szCs w:val="20"/>
        </w:rPr>
        <w:t>p</w:t>
      </w:r>
      <w:r w:rsidRPr="002069E5">
        <w:rPr>
          <w:rFonts w:ascii="Calibri" w:hAnsi="Calibri"/>
          <w:color w:val="7F7F7F"/>
          <w:sz w:val="20"/>
          <w:szCs w:val="20"/>
        </w:rPr>
        <w:t>ersons in non-</w:t>
      </w:r>
      <w:r>
        <w:rPr>
          <w:rFonts w:ascii="Calibri" w:hAnsi="Calibri"/>
          <w:color w:val="7F7F7F"/>
          <w:sz w:val="20"/>
          <w:szCs w:val="20"/>
        </w:rPr>
        <w:t>p</w:t>
      </w:r>
      <w:r w:rsidRPr="002069E5">
        <w:rPr>
          <w:rFonts w:ascii="Calibri" w:hAnsi="Calibri"/>
          <w:color w:val="7F7F7F"/>
          <w:sz w:val="20"/>
          <w:szCs w:val="20"/>
        </w:rPr>
        <w:t xml:space="preserve">rivate </w:t>
      </w:r>
      <w:r>
        <w:rPr>
          <w:rFonts w:ascii="Calibri" w:hAnsi="Calibri"/>
          <w:color w:val="7F7F7F"/>
          <w:sz w:val="20"/>
          <w:szCs w:val="20"/>
        </w:rPr>
        <w:t>a</w:t>
      </w:r>
      <w:r w:rsidRPr="002069E5">
        <w:rPr>
          <w:rFonts w:ascii="Calibri" w:hAnsi="Calibri"/>
          <w:color w:val="7F7F7F"/>
          <w:sz w:val="20"/>
          <w:szCs w:val="20"/>
        </w:rPr>
        <w:t xml:space="preserve">ccommodation, by </w:t>
      </w:r>
      <w:r>
        <w:rPr>
          <w:rFonts w:ascii="Calibri" w:hAnsi="Calibri"/>
          <w:color w:val="7F7F7F"/>
          <w:sz w:val="20"/>
          <w:szCs w:val="20"/>
        </w:rPr>
        <w:t>t</w:t>
      </w:r>
      <w:r w:rsidRPr="002069E5">
        <w:rPr>
          <w:rFonts w:ascii="Calibri" w:hAnsi="Calibri"/>
          <w:color w:val="7F7F7F"/>
          <w:sz w:val="20"/>
          <w:szCs w:val="20"/>
        </w:rPr>
        <w:t>ype of</w:t>
      </w:r>
      <w:r w:rsidRPr="00094216">
        <w:rPr>
          <w:rFonts w:ascii="Calibri" w:hAnsi="Calibri"/>
          <w:color w:val="7F7F7F"/>
        </w:rPr>
        <w:t xml:space="preserve"> </w:t>
      </w:r>
      <w:r>
        <w:rPr>
          <w:rFonts w:ascii="Calibri" w:hAnsi="Calibri"/>
          <w:color w:val="7F7F7F"/>
        </w:rPr>
        <w:t>d</w:t>
      </w:r>
      <w:r w:rsidRPr="00094216">
        <w:rPr>
          <w:rFonts w:ascii="Calibri" w:hAnsi="Calibri"/>
          <w:color w:val="7F7F7F"/>
        </w:rPr>
        <w:t xml:space="preserve">welling: </w:t>
      </w:r>
      <w:r w:rsidRPr="002069E5">
        <w:rPr>
          <w:rFonts w:ascii="Calibri" w:hAnsi="Calibri"/>
          <w:color w:val="7F7F7F"/>
          <w:sz w:val="20"/>
          <w:szCs w:val="20"/>
        </w:rPr>
        <w:t>Greater Dandenong, 2016</w:t>
      </w:r>
    </w:p>
    <w:p w14:paraId="0B078F0A" w14:textId="77777777" w:rsidR="00C65183" w:rsidRPr="00E27010" w:rsidRDefault="00C65183" w:rsidP="00C65183">
      <w:pPr>
        <w:spacing w:line="360" w:lineRule="auto"/>
        <w:jc w:val="both"/>
        <w:rPr>
          <w:rFonts w:ascii="Calibri" w:hAnsi="Calibri"/>
          <w:b/>
        </w:rPr>
      </w:pPr>
      <w:r>
        <w:rPr>
          <w:rFonts w:ascii="Calibri" w:hAnsi="Calibri"/>
          <w:b/>
          <w:noProof/>
          <w:lang w:eastAsia="en-AU"/>
        </w:rPr>
        <w:lastRenderedPageBreak/>
        <w:drawing>
          <wp:anchor distT="0" distB="0" distL="114300" distR="114300" simplePos="0" relativeHeight="251869184" behindDoc="0" locked="0" layoutInCell="1" allowOverlap="1" wp14:anchorId="19269127" wp14:editId="779B466D">
            <wp:simplePos x="0" y="0"/>
            <wp:positionH relativeFrom="column">
              <wp:posOffset>2204085</wp:posOffset>
            </wp:positionH>
            <wp:positionV relativeFrom="paragraph">
              <wp:posOffset>7620</wp:posOffset>
            </wp:positionV>
            <wp:extent cx="3914775" cy="2924175"/>
            <wp:effectExtent l="0" t="0" r="9525" b="9525"/>
            <wp:wrapSquare wrapText="bothSides"/>
            <wp:docPr id="351" name="Picture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3914775" cy="2924175"/>
                    </a:xfrm>
                    <a:prstGeom prst="rect">
                      <a:avLst/>
                    </a:prstGeom>
                    <a:noFill/>
                  </pic:spPr>
                </pic:pic>
              </a:graphicData>
            </a:graphic>
            <wp14:sizeRelH relativeFrom="page">
              <wp14:pctWidth>0</wp14:pctWidth>
            </wp14:sizeRelH>
            <wp14:sizeRelV relativeFrom="page">
              <wp14:pctHeight>0</wp14:pctHeight>
            </wp14:sizeRelV>
          </wp:anchor>
        </w:drawing>
      </w:r>
      <w:r w:rsidRPr="00E27010">
        <w:rPr>
          <w:rFonts w:ascii="Calibri" w:hAnsi="Calibri"/>
          <w:b/>
        </w:rPr>
        <w:t>Living at Home</w:t>
      </w:r>
    </w:p>
    <w:p w14:paraId="3C0716AD" w14:textId="77777777" w:rsidR="00C65183" w:rsidRDefault="00C65183" w:rsidP="00C65183">
      <w:pPr>
        <w:spacing w:line="360" w:lineRule="auto"/>
        <w:jc w:val="both"/>
        <w:rPr>
          <w:rFonts w:ascii="Calibri" w:hAnsi="Calibri"/>
        </w:rPr>
      </w:pPr>
      <w:r>
        <w:rPr>
          <w:rFonts w:ascii="Calibri" w:hAnsi="Calibri"/>
        </w:rPr>
        <w:t xml:space="preserve">Of all persons with a severe or profound disability in Greater Dandenong, 85% reside in private dwellings and 15% in non-private settings such as a nursing home or other age accommodation. </w:t>
      </w:r>
    </w:p>
    <w:p w14:paraId="76FDAC7B" w14:textId="77777777" w:rsidR="00C65183" w:rsidRDefault="00C65183" w:rsidP="00C65183">
      <w:pPr>
        <w:spacing w:line="360" w:lineRule="auto"/>
        <w:jc w:val="both"/>
        <w:rPr>
          <w:rFonts w:ascii="Calibri" w:hAnsi="Calibri"/>
        </w:rPr>
      </w:pPr>
      <w:r>
        <w:rPr>
          <w:rFonts w:ascii="Calibri" w:hAnsi="Calibri"/>
        </w:rPr>
        <w:t xml:space="preserve">Among those living at home, 14% or 1,165, live alone. </w:t>
      </w:r>
    </w:p>
    <w:p w14:paraId="7CCEEF61" w14:textId="77777777" w:rsidR="00C65183" w:rsidRDefault="00C65183" w:rsidP="00C65183">
      <w:pPr>
        <w:spacing w:line="360" w:lineRule="auto"/>
        <w:jc w:val="both"/>
        <w:rPr>
          <w:rFonts w:ascii="Calibri" w:hAnsi="Calibri"/>
        </w:rPr>
      </w:pPr>
    </w:p>
    <w:p w14:paraId="29C25074" w14:textId="77777777" w:rsidR="00C65183" w:rsidRDefault="00C65183" w:rsidP="00C65183">
      <w:pPr>
        <w:spacing w:line="360" w:lineRule="auto"/>
        <w:jc w:val="both"/>
        <w:rPr>
          <w:rFonts w:ascii="Calibri" w:hAnsi="Calibri"/>
        </w:rPr>
      </w:pPr>
    </w:p>
    <w:p w14:paraId="1E95417E" w14:textId="77777777" w:rsidR="00C65183" w:rsidRPr="00F43BC5" w:rsidRDefault="00C65183" w:rsidP="00C65183">
      <w:pPr>
        <w:jc w:val="both"/>
        <w:rPr>
          <w:rFonts w:ascii="Calibri" w:hAnsi="Calibri"/>
          <w:sz w:val="10"/>
          <w:szCs w:val="10"/>
        </w:rPr>
      </w:pPr>
    </w:p>
    <w:p w14:paraId="5EFE3FF6" w14:textId="77777777" w:rsidR="00C65183" w:rsidRPr="00F43BC5" w:rsidRDefault="00C65183" w:rsidP="00C65183">
      <w:pPr>
        <w:spacing w:line="360" w:lineRule="auto"/>
        <w:jc w:val="both"/>
        <w:rPr>
          <w:rFonts w:ascii="Calibri" w:hAnsi="Calibri"/>
          <w:b/>
        </w:rPr>
      </w:pPr>
      <w:r w:rsidRPr="00F43BC5">
        <w:rPr>
          <w:rFonts w:ascii="Calibri" w:hAnsi="Calibri"/>
          <w:b/>
        </w:rPr>
        <w:t>Education</w:t>
      </w:r>
    </w:p>
    <w:p w14:paraId="5AE89B41" w14:textId="77777777" w:rsidR="00C65183" w:rsidRPr="002069E5" w:rsidRDefault="00C65183" w:rsidP="00C65183">
      <w:pPr>
        <w:jc w:val="both"/>
        <w:rPr>
          <w:rFonts w:ascii="Calibri" w:hAnsi="Calibri"/>
          <w:color w:val="7F7F7F"/>
          <w:sz w:val="20"/>
          <w:szCs w:val="20"/>
        </w:rPr>
      </w:pPr>
      <w:r>
        <w:rPr>
          <w:rFonts w:ascii="Calibri" w:hAnsi="Calibri"/>
          <w:noProof/>
          <w:color w:val="7F7F7F"/>
        </w:rPr>
        <w:drawing>
          <wp:anchor distT="0" distB="0" distL="114300" distR="114300" simplePos="0" relativeHeight="251868160" behindDoc="0" locked="0" layoutInCell="1" allowOverlap="1" wp14:anchorId="1AE9CBD2" wp14:editId="163CF376">
            <wp:simplePos x="0" y="0"/>
            <wp:positionH relativeFrom="margin">
              <wp:posOffset>3175</wp:posOffset>
            </wp:positionH>
            <wp:positionV relativeFrom="paragraph">
              <wp:posOffset>22225</wp:posOffset>
            </wp:positionV>
            <wp:extent cx="4200525" cy="2545080"/>
            <wp:effectExtent l="0" t="0" r="9525" b="7620"/>
            <wp:wrapSquare wrapText="bothSides"/>
            <wp:docPr id="352" name="Picture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37">
                      <a:extLst>
                        <a:ext uri="{28A0092B-C50C-407E-A947-70E740481C1C}">
                          <a14:useLocalDpi xmlns:a14="http://schemas.microsoft.com/office/drawing/2010/main" val="0"/>
                        </a:ext>
                      </a:extLst>
                    </a:blip>
                    <a:srcRect l="3951" t="17468" b="13024"/>
                    <a:stretch/>
                  </pic:blipFill>
                  <pic:spPr bwMode="auto">
                    <a:xfrm>
                      <a:off x="0" y="0"/>
                      <a:ext cx="4200525" cy="25450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C01BB">
        <w:rPr>
          <w:rFonts w:ascii="Calibri" w:hAnsi="Calibri"/>
          <w:color w:val="7F7F7F"/>
        </w:rPr>
        <w:t>Yea</w:t>
      </w:r>
      <w:r w:rsidRPr="002069E5">
        <w:rPr>
          <w:rFonts w:ascii="Calibri" w:hAnsi="Calibri"/>
          <w:color w:val="7F7F7F"/>
          <w:sz w:val="20"/>
          <w:szCs w:val="20"/>
        </w:rPr>
        <w:t xml:space="preserve">r of </w:t>
      </w:r>
      <w:r>
        <w:rPr>
          <w:rFonts w:ascii="Calibri" w:hAnsi="Calibri"/>
          <w:color w:val="7F7F7F"/>
          <w:sz w:val="20"/>
          <w:szCs w:val="20"/>
        </w:rPr>
        <w:t>s</w:t>
      </w:r>
      <w:r w:rsidRPr="002069E5">
        <w:rPr>
          <w:rFonts w:ascii="Calibri" w:hAnsi="Calibri"/>
          <w:color w:val="7F7F7F"/>
          <w:sz w:val="20"/>
          <w:szCs w:val="20"/>
        </w:rPr>
        <w:t xml:space="preserve">chool </w:t>
      </w:r>
      <w:r>
        <w:rPr>
          <w:rFonts w:ascii="Calibri" w:hAnsi="Calibri"/>
          <w:color w:val="7F7F7F"/>
          <w:sz w:val="20"/>
          <w:szCs w:val="20"/>
        </w:rPr>
        <w:t>l</w:t>
      </w:r>
      <w:r w:rsidRPr="002069E5">
        <w:rPr>
          <w:rFonts w:ascii="Calibri" w:hAnsi="Calibri"/>
          <w:color w:val="7F7F7F"/>
          <w:sz w:val="20"/>
          <w:szCs w:val="20"/>
        </w:rPr>
        <w:t xml:space="preserve">eaving by </w:t>
      </w:r>
      <w:r>
        <w:rPr>
          <w:rFonts w:ascii="Calibri" w:hAnsi="Calibri"/>
          <w:color w:val="7F7F7F"/>
          <w:sz w:val="20"/>
          <w:szCs w:val="20"/>
        </w:rPr>
        <w:t>d</w:t>
      </w:r>
      <w:r w:rsidRPr="002069E5">
        <w:rPr>
          <w:rFonts w:ascii="Calibri" w:hAnsi="Calibri"/>
          <w:color w:val="7F7F7F"/>
          <w:sz w:val="20"/>
          <w:szCs w:val="20"/>
        </w:rPr>
        <w:t xml:space="preserve">isability </w:t>
      </w:r>
      <w:r>
        <w:rPr>
          <w:rFonts w:ascii="Calibri" w:hAnsi="Calibri"/>
          <w:color w:val="7F7F7F"/>
          <w:sz w:val="20"/>
          <w:szCs w:val="20"/>
        </w:rPr>
        <w:t>s</w:t>
      </w:r>
      <w:r w:rsidRPr="002069E5">
        <w:rPr>
          <w:rFonts w:ascii="Calibri" w:hAnsi="Calibri"/>
          <w:color w:val="7F7F7F"/>
          <w:sz w:val="20"/>
          <w:szCs w:val="20"/>
        </w:rPr>
        <w:t xml:space="preserve">tatus: </w:t>
      </w:r>
      <w:r>
        <w:rPr>
          <w:rFonts w:ascii="Calibri" w:hAnsi="Calibri"/>
          <w:color w:val="7F7F7F"/>
          <w:sz w:val="20"/>
          <w:szCs w:val="20"/>
        </w:rPr>
        <w:t>m</w:t>
      </w:r>
      <w:r w:rsidRPr="002069E5">
        <w:rPr>
          <w:rFonts w:ascii="Calibri" w:hAnsi="Calibri"/>
          <w:color w:val="7F7F7F"/>
          <w:sz w:val="20"/>
          <w:szCs w:val="20"/>
        </w:rPr>
        <w:t>etro</w:t>
      </w:r>
      <w:r>
        <w:rPr>
          <w:rFonts w:ascii="Calibri" w:hAnsi="Calibri"/>
          <w:color w:val="7F7F7F"/>
          <w:sz w:val="20"/>
          <w:szCs w:val="20"/>
        </w:rPr>
        <w:t>.</w:t>
      </w:r>
      <w:r w:rsidRPr="002069E5">
        <w:rPr>
          <w:rFonts w:ascii="Calibri" w:hAnsi="Calibri"/>
          <w:color w:val="7F7F7F"/>
          <w:sz w:val="20"/>
          <w:szCs w:val="20"/>
        </w:rPr>
        <w:t xml:space="preserve"> Melbourne, 2016</w:t>
      </w:r>
    </w:p>
    <w:p w14:paraId="2898F31E" w14:textId="77777777" w:rsidR="00C65183" w:rsidRPr="003C01BB" w:rsidRDefault="00C65183" w:rsidP="00C65183">
      <w:pPr>
        <w:jc w:val="both"/>
        <w:rPr>
          <w:rFonts w:ascii="Calibri" w:hAnsi="Calibri"/>
          <w:color w:val="7F7F7F"/>
        </w:rPr>
      </w:pPr>
    </w:p>
    <w:p w14:paraId="0EB38BF6" w14:textId="77777777" w:rsidR="00C65183" w:rsidRDefault="00C65183" w:rsidP="00C65183">
      <w:pPr>
        <w:spacing w:line="360" w:lineRule="auto"/>
        <w:jc w:val="both"/>
        <w:rPr>
          <w:rFonts w:ascii="Calibri" w:hAnsi="Calibri"/>
        </w:rPr>
      </w:pPr>
      <w:r>
        <w:rPr>
          <w:rFonts w:ascii="Calibri" w:hAnsi="Calibri"/>
        </w:rPr>
        <w:t>Among Greater Dandenong residents aged 25-54 years, about half (51%) of those with severe or profound disabilities had left school before completing year 11, compared with approximately a quarter (24%) of others the same age (diagram left).</w:t>
      </w:r>
    </w:p>
    <w:p w14:paraId="190D097A" w14:textId="77777777" w:rsidR="00C65183" w:rsidRDefault="00C65183" w:rsidP="00C65183">
      <w:pPr>
        <w:jc w:val="both"/>
        <w:rPr>
          <w:rFonts w:ascii="Calibri" w:hAnsi="Calibri"/>
        </w:rPr>
      </w:pPr>
    </w:p>
    <w:p w14:paraId="24314E23" w14:textId="77777777" w:rsidR="00C65183" w:rsidRPr="002069E5" w:rsidRDefault="00C65183" w:rsidP="00C65183">
      <w:pPr>
        <w:ind w:left="3544"/>
        <w:jc w:val="both"/>
        <w:rPr>
          <w:rFonts w:ascii="Calibri" w:hAnsi="Calibri"/>
          <w:color w:val="7F7F7F"/>
          <w:sz w:val="20"/>
          <w:szCs w:val="20"/>
        </w:rPr>
      </w:pPr>
    </w:p>
    <w:p w14:paraId="128F4CC4" w14:textId="77777777" w:rsidR="00C65183" w:rsidRPr="00212BC1" w:rsidRDefault="00C65183" w:rsidP="00C65183">
      <w:pPr>
        <w:spacing w:line="360" w:lineRule="auto"/>
        <w:jc w:val="both"/>
        <w:rPr>
          <w:rFonts w:ascii="Calibri" w:hAnsi="Calibri"/>
          <w:b/>
        </w:rPr>
      </w:pPr>
      <w:r w:rsidRPr="00212BC1">
        <w:rPr>
          <w:rFonts w:ascii="Calibri" w:hAnsi="Calibri"/>
          <w:b/>
        </w:rPr>
        <w:t>Employment</w:t>
      </w:r>
    </w:p>
    <w:p w14:paraId="1E80A996" w14:textId="77777777" w:rsidR="00C65183" w:rsidRDefault="00C65183" w:rsidP="00C65183">
      <w:pPr>
        <w:spacing w:line="360" w:lineRule="auto"/>
        <w:jc w:val="both"/>
        <w:rPr>
          <w:rFonts w:ascii="Calibri" w:hAnsi="Calibri"/>
        </w:rPr>
      </w:pPr>
      <w:r>
        <w:rPr>
          <w:rFonts w:ascii="Calibri" w:hAnsi="Calibri"/>
          <w:noProof/>
          <w:lang w:eastAsia="en-AU"/>
        </w:rPr>
        <w:drawing>
          <wp:anchor distT="0" distB="0" distL="114300" distR="114300" simplePos="0" relativeHeight="251871232" behindDoc="0" locked="0" layoutInCell="1" allowOverlap="1" wp14:anchorId="3B54A3E0" wp14:editId="391F9015">
            <wp:simplePos x="0" y="0"/>
            <wp:positionH relativeFrom="margin">
              <wp:posOffset>2848292</wp:posOffset>
            </wp:positionH>
            <wp:positionV relativeFrom="paragraph">
              <wp:posOffset>64135</wp:posOffset>
            </wp:positionV>
            <wp:extent cx="3314065" cy="2305050"/>
            <wp:effectExtent l="0" t="0" r="635" b="0"/>
            <wp:wrapSquare wrapText="bothSides"/>
            <wp:docPr id="353" name="Picture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38" cstate="print">
                      <a:extLst>
                        <a:ext uri="{28A0092B-C50C-407E-A947-70E740481C1C}">
                          <a14:useLocalDpi xmlns:a14="http://schemas.microsoft.com/office/drawing/2010/main" val="0"/>
                        </a:ext>
                      </a:extLst>
                    </a:blip>
                    <a:srcRect l="3324" t="18042" r="4433"/>
                    <a:stretch/>
                  </pic:blipFill>
                  <pic:spPr bwMode="auto">
                    <a:xfrm>
                      <a:off x="0" y="0"/>
                      <a:ext cx="3314065" cy="23050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alibri" w:hAnsi="Calibri"/>
        </w:rPr>
        <w:t xml:space="preserve">The findings of the 2016 Census reveal that 20% of disabled people in Greater Dandenong, aged 20-44, were in paid employment, compared with 71% of residents of the same age without a disability. </w:t>
      </w:r>
    </w:p>
    <w:p w14:paraId="48F6A3AD" w14:textId="77777777" w:rsidR="00C65183" w:rsidRPr="00DC5C63" w:rsidRDefault="00C65183" w:rsidP="00C65183">
      <w:pPr>
        <w:jc w:val="both"/>
        <w:rPr>
          <w:rFonts w:ascii="Calibri" w:hAnsi="Calibri"/>
          <w:sz w:val="10"/>
          <w:szCs w:val="10"/>
        </w:rPr>
      </w:pPr>
    </w:p>
    <w:p w14:paraId="38F208ED" w14:textId="77777777" w:rsidR="00C65183" w:rsidRDefault="00C65183" w:rsidP="00C65183">
      <w:pPr>
        <w:jc w:val="both"/>
        <w:rPr>
          <w:rFonts w:ascii="Calibri" w:hAnsi="Calibri"/>
        </w:rPr>
      </w:pPr>
      <w:r w:rsidRPr="002069E5">
        <w:rPr>
          <w:rFonts w:ascii="Calibri" w:hAnsi="Calibri"/>
          <w:color w:val="7F7F7F"/>
          <w:sz w:val="20"/>
          <w:szCs w:val="20"/>
        </w:rPr>
        <w:t xml:space="preserve">Employment by </w:t>
      </w:r>
      <w:r>
        <w:rPr>
          <w:rFonts w:ascii="Calibri" w:hAnsi="Calibri"/>
          <w:color w:val="7F7F7F"/>
          <w:sz w:val="20"/>
          <w:szCs w:val="20"/>
        </w:rPr>
        <w:t>d</w:t>
      </w:r>
      <w:r w:rsidRPr="002069E5">
        <w:rPr>
          <w:rFonts w:ascii="Calibri" w:hAnsi="Calibri"/>
          <w:color w:val="7F7F7F"/>
          <w:sz w:val="20"/>
          <w:szCs w:val="20"/>
        </w:rPr>
        <w:t xml:space="preserve">isability </w:t>
      </w:r>
      <w:r>
        <w:rPr>
          <w:rFonts w:ascii="Calibri" w:hAnsi="Calibri"/>
          <w:color w:val="7F7F7F"/>
          <w:sz w:val="20"/>
          <w:szCs w:val="20"/>
        </w:rPr>
        <w:t>s</w:t>
      </w:r>
      <w:r w:rsidRPr="002069E5">
        <w:rPr>
          <w:rFonts w:ascii="Calibri" w:hAnsi="Calibri"/>
          <w:color w:val="7F7F7F"/>
          <w:sz w:val="20"/>
          <w:szCs w:val="20"/>
        </w:rPr>
        <w:t xml:space="preserve">tatus: persons </w:t>
      </w:r>
      <w:r>
        <w:rPr>
          <w:rFonts w:ascii="Calibri" w:hAnsi="Calibri"/>
          <w:color w:val="7F7F7F"/>
          <w:sz w:val="20"/>
          <w:szCs w:val="20"/>
        </w:rPr>
        <w:t xml:space="preserve">aged </w:t>
      </w:r>
      <w:r w:rsidRPr="002069E5">
        <w:rPr>
          <w:rFonts w:ascii="Calibri" w:hAnsi="Calibri"/>
          <w:color w:val="7F7F7F"/>
          <w:sz w:val="20"/>
          <w:szCs w:val="20"/>
        </w:rPr>
        <w:t>20-45, Greater Dandenong, 2016</w:t>
      </w:r>
    </w:p>
    <w:p w14:paraId="384D4736" w14:textId="77777777" w:rsidR="00C65183" w:rsidRDefault="00C65183" w:rsidP="00C65183">
      <w:pPr>
        <w:rPr>
          <w:rFonts w:ascii="Calibri" w:hAnsi="Calibri"/>
        </w:rPr>
      </w:pPr>
      <w:r>
        <w:rPr>
          <w:rFonts w:ascii="Calibri" w:hAnsi="Calibri"/>
        </w:rPr>
        <w:br w:type="page"/>
      </w:r>
    </w:p>
    <w:p w14:paraId="07B1B7AA" w14:textId="77777777" w:rsidR="00C65183" w:rsidRPr="00827F47" w:rsidRDefault="00C65183" w:rsidP="00C65183">
      <w:pPr>
        <w:pBdr>
          <w:top w:val="single" w:sz="4" w:space="0" w:color="244061" w:themeColor="accent1" w:themeShade="80"/>
          <w:bottom w:val="single" w:sz="4" w:space="1" w:color="244061" w:themeColor="accent1" w:themeShade="80"/>
        </w:pBdr>
        <w:tabs>
          <w:tab w:val="center" w:pos="4678"/>
        </w:tabs>
        <w:jc w:val="center"/>
        <w:rPr>
          <w:rFonts w:ascii="Garamond" w:hAnsi="Garamond"/>
          <w:noProof/>
          <w:color w:val="244061" w:themeColor="accent1" w:themeShade="80"/>
          <w:sz w:val="34"/>
          <w:szCs w:val="34"/>
        </w:rPr>
      </w:pPr>
      <w:r w:rsidRPr="00827F47">
        <w:rPr>
          <w:rFonts w:ascii="Garamond" w:hAnsi="Garamond"/>
          <w:noProof/>
          <w:color w:val="244061" w:themeColor="accent1" w:themeShade="80"/>
          <w:sz w:val="34"/>
          <w:szCs w:val="34"/>
        </w:rPr>
        <w:lastRenderedPageBreak/>
        <w:t>Sexual and Reproductive Health</w:t>
      </w:r>
    </w:p>
    <w:p w14:paraId="47DFAE74" w14:textId="77777777" w:rsidR="00C65183" w:rsidRPr="00F64853" w:rsidRDefault="00C65183" w:rsidP="00C65183">
      <w:pPr>
        <w:spacing w:line="336" w:lineRule="auto"/>
        <w:jc w:val="both"/>
        <w:rPr>
          <w:rFonts w:asciiTheme="minorHAnsi" w:hAnsiTheme="minorHAnsi" w:cstheme="minorHAnsi"/>
          <w:b/>
          <w:bCs/>
        </w:rPr>
      </w:pPr>
      <w:r w:rsidRPr="00F64853">
        <w:rPr>
          <w:rFonts w:asciiTheme="minorHAnsi" w:hAnsiTheme="minorHAnsi" w:cstheme="minorHAnsi"/>
          <w:b/>
          <w:bCs/>
        </w:rPr>
        <w:t xml:space="preserve">Sexually Transmitted Infection </w:t>
      </w:r>
    </w:p>
    <w:p w14:paraId="6B346CBB" w14:textId="77777777" w:rsidR="00C65183" w:rsidRPr="00F64853" w:rsidRDefault="00C65183" w:rsidP="00C65183">
      <w:pPr>
        <w:spacing w:line="336" w:lineRule="auto"/>
        <w:jc w:val="both"/>
        <w:rPr>
          <w:rFonts w:asciiTheme="minorHAnsi" w:hAnsiTheme="minorHAnsi" w:cstheme="minorHAnsi"/>
          <w:lang w:val="en-GB"/>
        </w:rPr>
      </w:pPr>
      <w:r w:rsidRPr="00F64853">
        <w:rPr>
          <w:rFonts w:asciiTheme="minorHAnsi" w:hAnsiTheme="minorHAnsi" w:cstheme="minorHAnsi"/>
        </w:rPr>
        <w:t xml:space="preserve">The continued spread of sexually transmitted infections (STIs) among segments of Australian community is of particular concern to health authorities. </w:t>
      </w:r>
    </w:p>
    <w:p w14:paraId="553C44E8" w14:textId="77777777" w:rsidR="00C65183" w:rsidRPr="00F64853" w:rsidRDefault="00C65183" w:rsidP="00C65183">
      <w:pPr>
        <w:spacing w:line="336" w:lineRule="auto"/>
        <w:jc w:val="both"/>
        <w:rPr>
          <w:rFonts w:asciiTheme="minorHAnsi" w:eastAsia="Times New Roman" w:hAnsiTheme="minorHAnsi" w:cstheme="minorHAnsi"/>
          <w:color w:val="000000" w:themeColor="text1"/>
          <w:lang w:val="en-US"/>
        </w:rPr>
      </w:pPr>
      <w:r w:rsidRPr="00F64853">
        <w:rPr>
          <w:rFonts w:asciiTheme="minorHAnsi" w:hAnsiTheme="minorHAnsi" w:cstheme="minorHAnsi"/>
          <w:lang w:val="en-GB"/>
        </w:rPr>
        <w:t xml:space="preserve">By 2018, the </w:t>
      </w:r>
      <w:r w:rsidRPr="00F64853">
        <w:rPr>
          <w:rFonts w:asciiTheme="minorHAnsi" w:hAnsiTheme="minorHAnsi" w:cstheme="minorHAnsi"/>
          <w:color w:val="000000" w:themeColor="text1"/>
          <w:lang w:val="en-GB"/>
        </w:rPr>
        <w:t>Victorian Dept. Health and Human Services</w:t>
      </w:r>
      <w:r>
        <w:rPr>
          <w:rStyle w:val="FootnoteReference"/>
          <w:rFonts w:asciiTheme="minorHAnsi" w:hAnsiTheme="minorHAnsi" w:cstheme="minorHAnsi"/>
          <w:color w:val="000000" w:themeColor="text1"/>
          <w:lang w:val="en-GB"/>
        </w:rPr>
        <w:footnoteReference w:id="51"/>
      </w:r>
      <w:r w:rsidRPr="00F64853">
        <w:rPr>
          <w:rFonts w:asciiTheme="minorHAnsi" w:hAnsiTheme="minorHAnsi" w:cstheme="minorHAnsi"/>
          <w:color w:val="000000" w:themeColor="text1"/>
          <w:lang w:val="en-GB"/>
        </w:rPr>
        <w:t xml:space="preserve"> had documented the highest rates of notifications for chlamydia and gonorrhoea on record, with increases of 11% and 16% respectively during the previous 12 months alone. </w:t>
      </w:r>
      <w:r>
        <w:rPr>
          <w:rFonts w:asciiTheme="minorHAnsi" w:hAnsiTheme="minorHAnsi" w:cstheme="minorHAnsi"/>
          <w:color w:val="000000" w:themeColor="text1"/>
          <w:lang w:val="en-GB"/>
        </w:rPr>
        <w:t>And i</w:t>
      </w:r>
      <w:r w:rsidRPr="00F64853">
        <w:rPr>
          <w:rFonts w:asciiTheme="minorHAnsi" w:hAnsiTheme="minorHAnsi" w:cstheme="minorHAnsi"/>
          <w:color w:val="000000" w:themeColor="text1"/>
          <w:lang w:val="en-GB"/>
        </w:rPr>
        <w:t xml:space="preserve">n 2020, the Victorian Government had reported a near-trebling of reports of infectious syphilis </w:t>
      </w:r>
      <w:r w:rsidRPr="00F64853">
        <w:rPr>
          <w:rFonts w:asciiTheme="minorHAnsi" w:eastAsia="Times New Roman" w:hAnsiTheme="minorHAnsi" w:cstheme="minorHAnsi"/>
          <w:color w:val="000000" w:themeColor="text1"/>
          <w:lang w:val="en-US"/>
        </w:rPr>
        <w:t>from 634 in 2014, to 1,670 by 2019.</w:t>
      </w:r>
    </w:p>
    <w:p w14:paraId="042C659B" w14:textId="77777777" w:rsidR="00C65183" w:rsidRPr="00F64853" w:rsidRDefault="00C65183" w:rsidP="00C65183">
      <w:pPr>
        <w:spacing w:line="336" w:lineRule="auto"/>
        <w:jc w:val="both"/>
        <w:rPr>
          <w:rFonts w:asciiTheme="minorHAnsi" w:hAnsiTheme="minorHAnsi" w:cstheme="minorHAnsi"/>
        </w:rPr>
      </w:pPr>
      <w:r w:rsidRPr="00F64853">
        <w:rPr>
          <w:rFonts w:asciiTheme="minorHAnsi" w:hAnsiTheme="minorHAnsi" w:cstheme="minorHAnsi"/>
        </w:rPr>
        <w:t>In 2018, Aboriginal and Torres Strait Islanders featured the highest rates of notifications for STIs in Victoria</w:t>
      </w:r>
      <w:r>
        <w:rPr>
          <w:rStyle w:val="FootnoteReference"/>
          <w:rFonts w:asciiTheme="minorHAnsi" w:hAnsiTheme="minorHAnsi" w:cstheme="minorHAnsi"/>
        </w:rPr>
        <w:footnoteReference w:id="52"/>
      </w:r>
      <w:r>
        <w:rPr>
          <w:rFonts w:asciiTheme="minorHAnsi" w:hAnsiTheme="minorHAnsi" w:cstheme="minorHAnsi"/>
        </w:rPr>
        <w:t>.</w:t>
      </w:r>
      <w:r w:rsidRPr="00F64853">
        <w:rPr>
          <w:rFonts w:asciiTheme="minorHAnsi" w:hAnsiTheme="minorHAnsi" w:cstheme="minorHAnsi"/>
        </w:rPr>
        <w:t xml:space="preserve"> </w:t>
      </w:r>
      <w:r>
        <w:rPr>
          <w:rFonts w:asciiTheme="minorHAnsi" w:hAnsiTheme="minorHAnsi" w:cstheme="minorHAnsi"/>
        </w:rPr>
        <w:t>Others at risk include</w:t>
      </w:r>
      <w:r w:rsidRPr="00F64853">
        <w:rPr>
          <w:rFonts w:asciiTheme="minorHAnsi" w:hAnsiTheme="minorHAnsi" w:cstheme="minorHAnsi"/>
        </w:rPr>
        <w:t xml:space="preserve"> people who abuse alcohol or drugs, gender</w:t>
      </w:r>
      <w:r>
        <w:rPr>
          <w:rFonts w:asciiTheme="minorHAnsi" w:hAnsiTheme="minorHAnsi" w:cstheme="minorHAnsi"/>
        </w:rPr>
        <w:t>-</w:t>
      </w:r>
      <w:r w:rsidRPr="00F64853">
        <w:rPr>
          <w:rFonts w:asciiTheme="minorHAnsi" w:hAnsiTheme="minorHAnsi" w:cstheme="minorHAnsi"/>
        </w:rPr>
        <w:t>diverse individuals, culturally diverse groups, transient workers, sex workers and prisoners.</w:t>
      </w:r>
      <w:r>
        <w:rPr>
          <w:rStyle w:val="FootnoteReference"/>
          <w:rFonts w:asciiTheme="minorHAnsi" w:hAnsiTheme="minorHAnsi" w:cstheme="minorHAnsi"/>
        </w:rPr>
        <w:footnoteReference w:id="53"/>
      </w:r>
      <w:r w:rsidRPr="00F64853">
        <w:rPr>
          <w:rFonts w:asciiTheme="minorHAnsi" w:hAnsiTheme="minorHAnsi" w:cstheme="minorHAnsi"/>
        </w:rPr>
        <w:t xml:space="preserve">. </w:t>
      </w:r>
    </w:p>
    <w:p w14:paraId="36429F4F" w14:textId="77777777" w:rsidR="00C65183" w:rsidRPr="00F64853" w:rsidRDefault="00C65183" w:rsidP="00C65183">
      <w:pPr>
        <w:spacing w:line="336" w:lineRule="auto"/>
        <w:jc w:val="both"/>
        <w:rPr>
          <w:rFonts w:asciiTheme="minorHAnsi" w:hAnsiTheme="minorHAnsi" w:cstheme="minorHAnsi"/>
          <w:lang w:val="en-GB"/>
        </w:rPr>
      </w:pPr>
      <w:r w:rsidRPr="00F64853">
        <w:rPr>
          <w:rFonts w:asciiTheme="minorHAnsi" w:eastAsia="Times New Roman" w:hAnsiTheme="minorHAnsi" w:cstheme="minorHAnsi"/>
          <w:noProof/>
          <w:color w:val="000000" w:themeColor="text1"/>
          <w:lang w:val="en-US"/>
        </w:rPr>
        <w:drawing>
          <wp:anchor distT="0" distB="0" distL="114300" distR="114300" simplePos="0" relativeHeight="251948032" behindDoc="0" locked="0" layoutInCell="1" allowOverlap="1" wp14:anchorId="0AE748F4" wp14:editId="65E66B84">
            <wp:simplePos x="0" y="0"/>
            <wp:positionH relativeFrom="margin">
              <wp:align>right</wp:align>
            </wp:positionH>
            <wp:positionV relativeFrom="paragraph">
              <wp:posOffset>5715</wp:posOffset>
            </wp:positionV>
            <wp:extent cx="3928745" cy="2533650"/>
            <wp:effectExtent l="0" t="0" r="0" b="0"/>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3928745" cy="2533650"/>
                    </a:xfrm>
                    <a:prstGeom prst="rect">
                      <a:avLst/>
                    </a:prstGeom>
                    <a:noFill/>
                  </pic:spPr>
                </pic:pic>
              </a:graphicData>
            </a:graphic>
            <wp14:sizeRelH relativeFrom="page">
              <wp14:pctWidth>0</wp14:pctWidth>
            </wp14:sizeRelH>
            <wp14:sizeRelV relativeFrom="page">
              <wp14:pctHeight>0</wp14:pctHeight>
            </wp14:sizeRelV>
          </wp:anchor>
        </w:drawing>
      </w:r>
      <w:r w:rsidRPr="00F64853">
        <w:rPr>
          <w:rFonts w:asciiTheme="minorHAnsi" w:hAnsiTheme="minorHAnsi" w:cstheme="minorHAnsi"/>
          <w:lang w:val="en-GB"/>
        </w:rPr>
        <w:t xml:space="preserve">The State Government reports that in 2019, rates of infectious syphilis, Gonococcal infection and Chlamydia were lower in Greater Dandenong than the metropolitan average. </w:t>
      </w:r>
      <w:r>
        <w:rPr>
          <w:rFonts w:asciiTheme="minorHAnsi" w:hAnsiTheme="minorHAnsi" w:cstheme="minorHAnsi"/>
          <w:lang w:val="en-GB"/>
        </w:rPr>
        <w:t>Local r</w:t>
      </w:r>
      <w:r w:rsidRPr="00F64853">
        <w:rPr>
          <w:rFonts w:asciiTheme="minorHAnsi" w:hAnsiTheme="minorHAnsi" w:cstheme="minorHAnsi"/>
          <w:lang w:val="en-GB"/>
        </w:rPr>
        <w:t>ates of Hepatisis B however, were more than twice metropolitan levels.</w:t>
      </w:r>
    </w:p>
    <w:p w14:paraId="34E675C9" w14:textId="77777777" w:rsidR="00C65183" w:rsidRPr="00F64853" w:rsidRDefault="00C65183" w:rsidP="00C65183">
      <w:pPr>
        <w:jc w:val="both"/>
        <w:rPr>
          <w:rFonts w:asciiTheme="minorHAnsi" w:eastAsia="Times New Roman" w:hAnsiTheme="minorHAnsi" w:cstheme="minorHAnsi"/>
          <w:color w:val="000000" w:themeColor="text1"/>
          <w:sz w:val="12"/>
          <w:szCs w:val="12"/>
          <w:lang w:val="en-US"/>
        </w:rPr>
      </w:pPr>
    </w:p>
    <w:p w14:paraId="084182EE" w14:textId="77777777" w:rsidR="00C65183" w:rsidRPr="00F64853" w:rsidRDefault="00C65183" w:rsidP="00C65183">
      <w:pPr>
        <w:jc w:val="both"/>
        <w:rPr>
          <w:rFonts w:asciiTheme="minorHAnsi" w:eastAsia="Times New Roman" w:hAnsiTheme="minorHAnsi" w:cstheme="minorHAnsi"/>
          <w:color w:val="7F7F7F" w:themeColor="text1" w:themeTint="80"/>
          <w:sz w:val="20"/>
          <w:szCs w:val="20"/>
          <w:lang w:val="en-US"/>
        </w:rPr>
      </w:pPr>
      <w:r w:rsidRPr="00F64853">
        <w:rPr>
          <w:rFonts w:asciiTheme="minorHAnsi" w:eastAsia="Times New Roman" w:hAnsiTheme="minorHAnsi" w:cstheme="minorHAnsi"/>
          <w:color w:val="7F7F7F" w:themeColor="text1" w:themeTint="80"/>
          <w:sz w:val="20"/>
          <w:szCs w:val="20"/>
          <w:lang w:val="en-US"/>
        </w:rPr>
        <w:t>Rate of sexually transmitted infections (per 1,000 pop.): Greater Dandenong and metropolitan Melbourne, 2019</w:t>
      </w:r>
    </w:p>
    <w:p w14:paraId="54488EF2" w14:textId="77777777" w:rsidR="00C65183" w:rsidRDefault="00C65183" w:rsidP="00C65183">
      <w:pPr>
        <w:jc w:val="both"/>
        <w:rPr>
          <w:rFonts w:asciiTheme="minorHAnsi" w:hAnsiTheme="minorHAnsi" w:cstheme="minorHAnsi"/>
          <w:color w:val="7F7F7F" w:themeColor="text1" w:themeTint="80"/>
          <w:sz w:val="12"/>
          <w:szCs w:val="12"/>
          <w:lang w:val="en-GB"/>
        </w:rPr>
      </w:pPr>
    </w:p>
    <w:p w14:paraId="7EA0B360" w14:textId="77777777" w:rsidR="00C65183" w:rsidRDefault="00C65183" w:rsidP="00C65183">
      <w:pPr>
        <w:jc w:val="both"/>
        <w:rPr>
          <w:rFonts w:asciiTheme="minorHAnsi" w:hAnsiTheme="minorHAnsi" w:cstheme="minorHAnsi"/>
          <w:color w:val="7F7F7F" w:themeColor="text1" w:themeTint="80"/>
          <w:sz w:val="12"/>
          <w:szCs w:val="12"/>
          <w:lang w:val="en-GB"/>
        </w:rPr>
      </w:pPr>
    </w:p>
    <w:p w14:paraId="760E656E" w14:textId="77777777" w:rsidR="00C65183" w:rsidRPr="00F64853" w:rsidRDefault="00C65183" w:rsidP="00C65183">
      <w:pPr>
        <w:spacing w:line="336" w:lineRule="auto"/>
        <w:jc w:val="both"/>
        <w:rPr>
          <w:rFonts w:asciiTheme="minorHAnsi" w:hAnsiTheme="minorHAnsi" w:cstheme="minorHAnsi"/>
          <w:b/>
          <w:bCs/>
        </w:rPr>
      </w:pPr>
      <w:r w:rsidRPr="00F64853">
        <w:rPr>
          <w:rFonts w:asciiTheme="minorHAnsi" w:hAnsiTheme="minorHAnsi" w:cstheme="minorHAnsi"/>
          <w:b/>
          <w:bCs/>
        </w:rPr>
        <w:t>Condom Use</w:t>
      </w:r>
    </w:p>
    <w:p w14:paraId="21561B08" w14:textId="77777777" w:rsidR="00C65183" w:rsidRDefault="00C65183" w:rsidP="00C65183">
      <w:pPr>
        <w:spacing w:line="336" w:lineRule="auto"/>
        <w:jc w:val="both"/>
        <w:rPr>
          <w:rFonts w:asciiTheme="minorHAnsi" w:hAnsiTheme="minorHAnsi" w:cstheme="minorHAnsi"/>
        </w:rPr>
      </w:pPr>
      <w:r w:rsidRPr="003C666D">
        <w:rPr>
          <w:rFonts w:asciiTheme="minorHAnsi" w:hAnsiTheme="minorHAnsi" w:cstheme="minorHAnsi"/>
        </w:rPr>
        <w:t>Lack of condom use during sexual intercourse is of particular concern, as it remains the most effective means to arrest the spread of sexually transmitted infections.</w:t>
      </w:r>
      <w:r w:rsidRPr="00F64853">
        <w:rPr>
          <w:rFonts w:asciiTheme="minorHAnsi" w:hAnsiTheme="minorHAnsi" w:cstheme="minorHAnsi"/>
        </w:rPr>
        <w:t xml:space="preserve"> The 2018 Sixth National Survey of Australian Secondary Students and Sexual Health, found that 31% of males and 43% of females either 'sometimes', 'occasionally' or 'never' used condoms - including 12% of males and 13% of females who 'never' used condoms. Asked about their first sexual episode, approximately three-quarters of both males and females stated that they had not used condoms</w:t>
      </w:r>
      <w:r>
        <w:rPr>
          <w:rStyle w:val="FootnoteReference"/>
          <w:rFonts w:asciiTheme="minorHAnsi" w:hAnsiTheme="minorHAnsi" w:cstheme="minorHAnsi"/>
        </w:rPr>
        <w:footnoteReference w:id="54"/>
      </w:r>
      <w:r w:rsidRPr="00F64853">
        <w:rPr>
          <w:rFonts w:asciiTheme="minorHAnsi" w:hAnsiTheme="minorHAnsi" w:cstheme="minorHAnsi"/>
        </w:rPr>
        <w:t xml:space="preserve">. </w:t>
      </w:r>
    </w:p>
    <w:p w14:paraId="7F57D54C" w14:textId="77777777" w:rsidR="00C65183" w:rsidRDefault="00C65183" w:rsidP="00C65183">
      <w:pPr>
        <w:spacing w:line="336" w:lineRule="auto"/>
        <w:jc w:val="both"/>
        <w:rPr>
          <w:rFonts w:asciiTheme="minorHAnsi" w:hAnsiTheme="minorHAnsi" w:cstheme="minorHAnsi"/>
        </w:rPr>
      </w:pPr>
      <w:r w:rsidRPr="00F64853">
        <w:rPr>
          <w:rFonts w:asciiTheme="minorHAnsi" w:hAnsiTheme="minorHAnsi" w:cstheme="minorHAnsi"/>
        </w:rPr>
        <w:t xml:space="preserve">Reasons for non-use of condoms in Australia and elsewhere include religious and ethical values, failure to discuss condom use with partners, reluctance of partners to use them, the consumption of alcohol and other </w:t>
      </w:r>
    </w:p>
    <w:p w14:paraId="679ECB2E" w14:textId="77777777" w:rsidR="00C65183" w:rsidRDefault="00C65183" w:rsidP="00C65183">
      <w:pPr>
        <w:spacing w:line="336" w:lineRule="auto"/>
        <w:jc w:val="both"/>
        <w:rPr>
          <w:rFonts w:asciiTheme="minorHAnsi" w:hAnsiTheme="minorHAnsi" w:cstheme="minorHAnsi"/>
        </w:rPr>
      </w:pPr>
      <w:r w:rsidRPr="00F64853">
        <w:rPr>
          <w:rFonts w:asciiTheme="minorHAnsi" w:hAnsiTheme="minorHAnsi" w:cstheme="minorHAnsi"/>
        </w:rPr>
        <w:t>drugs, anxiety and depression, reduced comfort or pleasure associated with their use, and forced sex</w:t>
      </w:r>
      <w:r>
        <w:rPr>
          <w:rStyle w:val="FootnoteReference"/>
          <w:rFonts w:asciiTheme="minorHAnsi" w:hAnsiTheme="minorHAnsi" w:cstheme="minorHAnsi"/>
        </w:rPr>
        <w:footnoteReference w:id="55"/>
      </w:r>
      <w:r w:rsidRPr="00F64853">
        <w:rPr>
          <w:rFonts w:asciiTheme="minorHAnsi" w:hAnsiTheme="minorHAnsi" w:cstheme="minorHAnsi"/>
          <w:color w:val="000000" w:themeColor="text1"/>
        </w:rPr>
        <w:t xml:space="preserve"> and dismissive peer attitudes</w:t>
      </w:r>
      <w:r>
        <w:rPr>
          <w:rStyle w:val="FootnoteReference"/>
          <w:rFonts w:asciiTheme="minorHAnsi" w:hAnsiTheme="minorHAnsi" w:cstheme="minorHAnsi"/>
          <w:color w:val="000000" w:themeColor="text1"/>
        </w:rPr>
        <w:footnoteReference w:id="56"/>
      </w:r>
      <w:r>
        <w:rPr>
          <w:rFonts w:asciiTheme="minorHAnsi" w:hAnsiTheme="minorHAnsi" w:cstheme="minorHAnsi"/>
        </w:rPr>
        <w:t>.</w:t>
      </w:r>
    </w:p>
    <w:p w14:paraId="51E5863E" w14:textId="77777777" w:rsidR="00C65183" w:rsidRPr="00F64853" w:rsidRDefault="00C65183" w:rsidP="00C65183">
      <w:pPr>
        <w:spacing w:line="336" w:lineRule="auto"/>
        <w:jc w:val="both"/>
        <w:rPr>
          <w:rFonts w:asciiTheme="minorHAnsi" w:hAnsiTheme="minorHAnsi" w:cstheme="minorHAnsi"/>
          <w:b/>
          <w:bCs/>
        </w:rPr>
      </w:pPr>
      <w:r w:rsidRPr="00F64853">
        <w:rPr>
          <w:rFonts w:asciiTheme="minorHAnsi" w:hAnsiTheme="minorHAnsi" w:cstheme="minorHAnsi"/>
          <w:b/>
          <w:bCs/>
        </w:rPr>
        <w:lastRenderedPageBreak/>
        <w:t>Contraception</w:t>
      </w:r>
    </w:p>
    <w:p w14:paraId="6D5BCCE4" w14:textId="77777777" w:rsidR="00C65183" w:rsidRPr="00F64853" w:rsidRDefault="00C65183" w:rsidP="00C65183">
      <w:pPr>
        <w:spacing w:line="336" w:lineRule="auto"/>
        <w:jc w:val="both"/>
        <w:rPr>
          <w:rFonts w:asciiTheme="minorHAnsi" w:hAnsiTheme="minorHAnsi" w:cstheme="minorHAnsi"/>
        </w:rPr>
      </w:pPr>
      <w:r w:rsidRPr="00F64853">
        <w:rPr>
          <w:rFonts w:asciiTheme="minorHAnsi" w:hAnsiTheme="minorHAnsi" w:cstheme="minorHAnsi"/>
        </w:rPr>
        <w:t>By 2016, contraceptives were used by approximately 67% of Australian women aged 15 to 49 years and about 90% of those able to conceive (World Bank, undated).</w:t>
      </w:r>
      <w:r w:rsidRPr="00F64853">
        <w:rPr>
          <w:rFonts w:asciiTheme="minorHAnsi" w:hAnsiTheme="minorHAnsi" w:cstheme="minorHAnsi"/>
          <w:color w:val="C00000"/>
        </w:rPr>
        <w:t xml:space="preserve"> </w:t>
      </w:r>
      <w:r w:rsidRPr="00F64853">
        <w:rPr>
          <w:rFonts w:asciiTheme="minorHAnsi" w:hAnsiTheme="minorHAnsi" w:cstheme="minorHAnsi"/>
        </w:rPr>
        <w:t>Of women not using contraception, 42% were pregnant or wanted a baby. One study determined that 28% were sterile, past menopause or partners were sterile, 5% were not having intercourse, and 25% were at risk of pregnancy (</w:t>
      </w:r>
      <w:r w:rsidRPr="00F64853">
        <w:rPr>
          <w:rFonts w:asciiTheme="minorHAnsi" w:hAnsiTheme="minorHAnsi" w:cstheme="minorHAnsi"/>
          <w:color w:val="000000" w:themeColor="text1"/>
        </w:rPr>
        <w:t>ANZCOG, 2017</w:t>
      </w:r>
      <w:r w:rsidRPr="00F64853">
        <w:rPr>
          <w:rFonts w:asciiTheme="minorHAnsi" w:hAnsiTheme="minorHAnsi" w:cstheme="minorHAnsi"/>
        </w:rPr>
        <w:t>).</w:t>
      </w:r>
    </w:p>
    <w:p w14:paraId="75D034E5" w14:textId="77777777" w:rsidR="00C65183" w:rsidRPr="00F64853" w:rsidRDefault="00C65183" w:rsidP="00C65183">
      <w:pPr>
        <w:spacing w:line="336" w:lineRule="auto"/>
        <w:jc w:val="both"/>
        <w:rPr>
          <w:rFonts w:asciiTheme="minorHAnsi" w:hAnsiTheme="minorHAnsi" w:cstheme="minorHAnsi"/>
        </w:rPr>
      </w:pPr>
      <w:r>
        <w:rPr>
          <w:rFonts w:asciiTheme="minorHAnsi" w:hAnsiTheme="minorHAnsi" w:cstheme="minorHAnsi"/>
        </w:rPr>
        <w:t>It is reported</w:t>
      </w:r>
      <w:r w:rsidRPr="00F64853">
        <w:rPr>
          <w:rFonts w:asciiTheme="minorHAnsi" w:hAnsiTheme="minorHAnsi" w:cstheme="minorHAnsi"/>
        </w:rPr>
        <w:t xml:space="preserve"> that many women have misgivings about the health impacts of oral contraception</w:t>
      </w:r>
      <w:r>
        <w:rPr>
          <w:rStyle w:val="FootnoteReference"/>
          <w:rFonts w:asciiTheme="minorHAnsi" w:hAnsiTheme="minorHAnsi" w:cstheme="minorHAnsi"/>
        </w:rPr>
        <w:footnoteReference w:id="57"/>
      </w:r>
      <w:r w:rsidRPr="00F64853">
        <w:rPr>
          <w:rFonts w:asciiTheme="minorHAnsi" w:hAnsiTheme="minorHAnsi" w:cstheme="minorHAnsi"/>
        </w:rPr>
        <w:t xml:space="preserve">, with </w:t>
      </w:r>
      <w:r>
        <w:rPr>
          <w:rFonts w:asciiTheme="minorHAnsi" w:hAnsiTheme="minorHAnsi" w:cstheme="minorHAnsi"/>
        </w:rPr>
        <w:t>one investigator</w:t>
      </w:r>
      <w:r w:rsidRPr="00F64853">
        <w:rPr>
          <w:rFonts w:asciiTheme="minorHAnsi" w:hAnsiTheme="minorHAnsi" w:cstheme="minorHAnsi"/>
        </w:rPr>
        <w:t xml:space="preserve"> recounting the findings of interviews with young women who had attended emergency departments with reproductive health concerns, where many stated that they avoided contraception - particularly oral contraception - due to concerns about menstruation, weight, effect on fertility, and adverse effects upon their health.</w:t>
      </w:r>
      <w:r>
        <w:rPr>
          <w:rStyle w:val="FootnoteReference"/>
          <w:rFonts w:asciiTheme="minorHAnsi" w:hAnsiTheme="minorHAnsi" w:cstheme="minorHAnsi"/>
        </w:rPr>
        <w:footnoteReference w:id="58"/>
      </w:r>
    </w:p>
    <w:p w14:paraId="4F8A2EF3" w14:textId="77777777" w:rsidR="00C65183" w:rsidRPr="00F64853" w:rsidRDefault="00C65183" w:rsidP="00C65183">
      <w:pPr>
        <w:jc w:val="both"/>
        <w:rPr>
          <w:rFonts w:asciiTheme="minorHAnsi" w:hAnsiTheme="minorHAnsi" w:cstheme="minorHAnsi"/>
          <w:b/>
          <w:sz w:val="12"/>
          <w:szCs w:val="12"/>
        </w:rPr>
      </w:pPr>
    </w:p>
    <w:p w14:paraId="03380090" w14:textId="77777777" w:rsidR="00C65183" w:rsidRPr="00F64853" w:rsidRDefault="00C65183" w:rsidP="00C65183">
      <w:pPr>
        <w:spacing w:line="336" w:lineRule="auto"/>
        <w:jc w:val="both"/>
        <w:rPr>
          <w:rFonts w:asciiTheme="minorHAnsi" w:hAnsiTheme="minorHAnsi" w:cstheme="minorHAnsi"/>
          <w:b/>
          <w:color w:val="000000" w:themeColor="text1"/>
        </w:rPr>
      </w:pPr>
      <w:r w:rsidRPr="00F64853">
        <w:rPr>
          <w:rFonts w:asciiTheme="minorHAnsi" w:hAnsiTheme="minorHAnsi" w:cstheme="minorHAnsi"/>
          <w:b/>
          <w:color w:val="000000" w:themeColor="text1"/>
        </w:rPr>
        <w:t>Reproductive Coercion</w:t>
      </w:r>
    </w:p>
    <w:p w14:paraId="167A5773" w14:textId="77777777" w:rsidR="00C65183" w:rsidRPr="00F64853" w:rsidRDefault="00C65183" w:rsidP="00C65183">
      <w:pPr>
        <w:spacing w:line="336" w:lineRule="auto"/>
        <w:jc w:val="both"/>
        <w:rPr>
          <w:rFonts w:asciiTheme="minorHAnsi" w:hAnsiTheme="minorHAnsi" w:cstheme="minorHAnsi"/>
          <w:bCs/>
          <w:color w:val="000000" w:themeColor="text1"/>
        </w:rPr>
      </w:pPr>
      <w:r w:rsidRPr="00F64853">
        <w:rPr>
          <w:rFonts w:asciiTheme="minorHAnsi" w:hAnsiTheme="minorHAnsi" w:cstheme="minorHAnsi"/>
          <w:bCs/>
          <w:color w:val="000000" w:themeColor="text1"/>
        </w:rPr>
        <w:t xml:space="preserve">Reproductive coercion involves actions by male partners or family members to impede a woman or girl's efforts to prevent pregnancy or forestall its outcome, variously through emotional blackmail, coercion, threats, violence or undermining contraception. Inquiries into </w:t>
      </w:r>
      <w:r>
        <w:rPr>
          <w:rFonts w:asciiTheme="minorHAnsi" w:hAnsiTheme="minorHAnsi" w:cstheme="minorHAnsi"/>
          <w:bCs/>
          <w:color w:val="000000" w:themeColor="text1"/>
        </w:rPr>
        <w:t>its</w:t>
      </w:r>
      <w:r w:rsidRPr="00F64853">
        <w:rPr>
          <w:rFonts w:asciiTheme="minorHAnsi" w:hAnsiTheme="minorHAnsi" w:cstheme="minorHAnsi"/>
          <w:bCs/>
          <w:color w:val="000000" w:themeColor="text1"/>
        </w:rPr>
        <w:t xml:space="preserve"> prevalence have yielded widely disparate results, though they do appear to confirm a higher prevalence among younger people and socioeconomically disadvantaged groups</w:t>
      </w:r>
      <w:r>
        <w:rPr>
          <w:rStyle w:val="FootnoteReference"/>
          <w:rFonts w:asciiTheme="minorHAnsi" w:hAnsiTheme="minorHAnsi" w:cstheme="minorHAnsi"/>
          <w:bCs/>
          <w:color w:val="000000" w:themeColor="text1"/>
        </w:rPr>
        <w:footnoteReference w:id="59"/>
      </w:r>
      <w:r w:rsidRPr="00F64853">
        <w:rPr>
          <w:rFonts w:asciiTheme="minorHAnsi" w:hAnsiTheme="minorHAnsi" w:cstheme="minorHAnsi"/>
          <w:bCs/>
          <w:color w:val="000000" w:themeColor="text1"/>
        </w:rPr>
        <w:t>, as well as Aboriginal and Torres Strait Islander</w:t>
      </w:r>
      <w:r>
        <w:rPr>
          <w:rFonts w:asciiTheme="minorHAnsi" w:hAnsiTheme="minorHAnsi" w:cstheme="minorHAnsi"/>
          <w:bCs/>
          <w:color w:val="000000" w:themeColor="text1"/>
        </w:rPr>
        <w:t>s</w:t>
      </w:r>
      <w:r w:rsidRPr="00F64853">
        <w:rPr>
          <w:rFonts w:asciiTheme="minorHAnsi" w:hAnsiTheme="minorHAnsi" w:cstheme="minorHAnsi"/>
          <w:bCs/>
          <w:color w:val="000000" w:themeColor="text1"/>
        </w:rPr>
        <w:t xml:space="preserve">, </w:t>
      </w:r>
      <w:r>
        <w:rPr>
          <w:rFonts w:asciiTheme="minorHAnsi" w:hAnsiTheme="minorHAnsi" w:cstheme="minorHAnsi"/>
          <w:bCs/>
          <w:color w:val="000000" w:themeColor="text1"/>
        </w:rPr>
        <w:t>people born overseas</w:t>
      </w:r>
      <w:r w:rsidRPr="00F64853">
        <w:rPr>
          <w:rFonts w:asciiTheme="minorHAnsi" w:hAnsiTheme="minorHAnsi" w:cstheme="minorHAnsi"/>
          <w:bCs/>
          <w:color w:val="000000" w:themeColor="text1"/>
        </w:rPr>
        <w:t xml:space="preserve">, </w:t>
      </w:r>
      <w:r>
        <w:rPr>
          <w:rFonts w:asciiTheme="minorHAnsi" w:hAnsiTheme="minorHAnsi" w:cstheme="minorHAnsi"/>
          <w:bCs/>
          <w:color w:val="000000" w:themeColor="text1"/>
        </w:rPr>
        <w:t xml:space="preserve">those </w:t>
      </w:r>
      <w:r w:rsidRPr="00F64853">
        <w:rPr>
          <w:rFonts w:asciiTheme="minorHAnsi" w:hAnsiTheme="minorHAnsi" w:cstheme="minorHAnsi"/>
          <w:bCs/>
          <w:color w:val="000000" w:themeColor="text1"/>
        </w:rPr>
        <w:t xml:space="preserve">experiencing intimate partner violence, or </w:t>
      </w:r>
      <w:r>
        <w:rPr>
          <w:rFonts w:asciiTheme="minorHAnsi" w:hAnsiTheme="minorHAnsi" w:cstheme="minorHAnsi"/>
          <w:bCs/>
          <w:color w:val="000000" w:themeColor="text1"/>
        </w:rPr>
        <w:t xml:space="preserve">with </w:t>
      </w:r>
      <w:r w:rsidRPr="00F64853">
        <w:rPr>
          <w:rFonts w:asciiTheme="minorHAnsi" w:hAnsiTheme="minorHAnsi" w:cstheme="minorHAnsi"/>
          <w:bCs/>
          <w:color w:val="000000" w:themeColor="text1"/>
        </w:rPr>
        <w:t>mental health problems</w:t>
      </w:r>
      <w:r>
        <w:rPr>
          <w:rStyle w:val="FootnoteReference"/>
          <w:rFonts w:asciiTheme="minorHAnsi" w:hAnsiTheme="minorHAnsi" w:cstheme="minorHAnsi"/>
          <w:bCs/>
          <w:color w:val="000000" w:themeColor="text1"/>
        </w:rPr>
        <w:footnoteReference w:id="60"/>
      </w:r>
      <w:r w:rsidRPr="00F64853">
        <w:rPr>
          <w:rFonts w:asciiTheme="minorHAnsi" w:hAnsiTheme="minorHAnsi" w:cstheme="minorHAnsi"/>
          <w:bCs/>
          <w:color w:val="000000" w:themeColor="text1"/>
        </w:rPr>
        <w:t xml:space="preserve">. </w:t>
      </w:r>
    </w:p>
    <w:p w14:paraId="6E79A706" w14:textId="77777777" w:rsidR="00C65183" w:rsidRPr="00F64853" w:rsidRDefault="00C65183" w:rsidP="00C65183">
      <w:pPr>
        <w:jc w:val="both"/>
        <w:rPr>
          <w:rFonts w:asciiTheme="minorHAnsi" w:hAnsiTheme="minorHAnsi" w:cstheme="minorHAnsi"/>
          <w:b/>
          <w:sz w:val="12"/>
          <w:szCs w:val="12"/>
        </w:rPr>
      </w:pPr>
    </w:p>
    <w:p w14:paraId="4C0996A0" w14:textId="77777777" w:rsidR="00C65183" w:rsidRPr="00EE33F6" w:rsidRDefault="00C65183" w:rsidP="00C65183">
      <w:pPr>
        <w:spacing w:line="336" w:lineRule="auto"/>
        <w:jc w:val="both"/>
        <w:rPr>
          <w:rFonts w:asciiTheme="minorHAnsi" w:hAnsiTheme="minorHAnsi" w:cstheme="minorHAnsi"/>
          <w:b/>
          <w:bCs/>
        </w:rPr>
      </w:pPr>
      <w:r w:rsidRPr="00EE33F6">
        <w:rPr>
          <w:rFonts w:asciiTheme="minorHAnsi" w:hAnsiTheme="minorHAnsi" w:cstheme="minorHAnsi"/>
          <w:b/>
          <w:bCs/>
        </w:rPr>
        <w:t>Unintended Pregnancy</w:t>
      </w:r>
    </w:p>
    <w:p w14:paraId="26E4654C" w14:textId="77777777" w:rsidR="00C65183" w:rsidRPr="00EE33F6" w:rsidRDefault="00C65183" w:rsidP="00C65183">
      <w:pPr>
        <w:spacing w:line="336" w:lineRule="auto"/>
        <w:jc w:val="both"/>
        <w:rPr>
          <w:rFonts w:asciiTheme="minorHAnsi" w:hAnsiTheme="minorHAnsi" w:cstheme="minorHAnsi"/>
        </w:rPr>
      </w:pPr>
      <w:r w:rsidRPr="00EE33F6">
        <w:rPr>
          <w:rFonts w:asciiTheme="minorHAnsi" w:hAnsiTheme="minorHAnsi" w:cstheme="minorHAnsi"/>
        </w:rPr>
        <w:t>Approximately half of Australian women experience an unintended pregnancy in their lifetimes. An Australian web-based survey of 2,041 women of reproductive age determined that 51% had experienced an unplanned pregnancy - nearly two-thirds (63%) aged less than 25 years at the time</w:t>
      </w:r>
      <w:r w:rsidRPr="00EE33F6">
        <w:rPr>
          <w:rStyle w:val="FootnoteReference"/>
          <w:rFonts w:asciiTheme="minorHAnsi" w:hAnsiTheme="minorHAnsi" w:cstheme="minorHAnsi"/>
        </w:rPr>
        <w:footnoteReference w:id="61"/>
      </w:r>
      <w:r w:rsidRPr="00EE33F6">
        <w:rPr>
          <w:rFonts w:asciiTheme="minorHAnsi" w:hAnsiTheme="minorHAnsi" w:cstheme="minorHAnsi"/>
          <w:color w:val="000000" w:themeColor="text1"/>
        </w:rPr>
        <w:t xml:space="preserve">. </w:t>
      </w:r>
      <w:r w:rsidRPr="00EE33F6">
        <w:rPr>
          <w:rFonts w:asciiTheme="minorHAnsi" w:hAnsiTheme="minorHAnsi" w:cstheme="minorHAnsi"/>
        </w:rPr>
        <w:t xml:space="preserve">A 2015 Australian survey found that, of women who had become pregnant in the previous ten years, 26% were unplanned, and 7% unwanted. Nine per cent of women with unintended but </w:t>
      </w:r>
      <w:r w:rsidRPr="00EE33F6">
        <w:rPr>
          <w:rFonts w:asciiTheme="minorHAnsi" w:hAnsiTheme="minorHAnsi" w:cstheme="minorHAnsi"/>
          <w:i/>
          <w:iCs/>
        </w:rPr>
        <w:t>wanted</w:t>
      </w:r>
      <w:r w:rsidRPr="00EE33F6">
        <w:rPr>
          <w:rFonts w:asciiTheme="minorHAnsi" w:hAnsiTheme="minorHAnsi" w:cstheme="minorHAnsi"/>
        </w:rPr>
        <w:t xml:space="preserve"> pregnancies had an abortion, compared with 83% of those with </w:t>
      </w:r>
      <w:r w:rsidRPr="00EE33F6">
        <w:rPr>
          <w:rFonts w:asciiTheme="minorHAnsi" w:hAnsiTheme="minorHAnsi" w:cstheme="minorHAnsi"/>
          <w:i/>
          <w:iCs/>
        </w:rPr>
        <w:t>unwanted</w:t>
      </w:r>
      <w:r w:rsidRPr="00EE33F6">
        <w:rPr>
          <w:rFonts w:asciiTheme="minorHAnsi" w:hAnsiTheme="minorHAnsi" w:cstheme="minorHAnsi"/>
        </w:rPr>
        <w:t xml:space="preserve"> pregnancies</w:t>
      </w:r>
      <w:r w:rsidRPr="00EE33F6">
        <w:rPr>
          <w:rStyle w:val="FootnoteReference"/>
          <w:rFonts w:asciiTheme="minorHAnsi" w:hAnsiTheme="minorHAnsi" w:cstheme="minorHAnsi"/>
        </w:rPr>
        <w:footnoteReference w:id="62"/>
      </w:r>
      <w:r w:rsidRPr="00EE33F6">
        <w:rPr>
          <w:rFonts w:asciiTheme="minorHAnsi" w:hAnsiTheme="minorHAnsi" w:cstheme="minorHAnsi"/>
        </w:rPr>
        <w:t>.</w:t>
      </w:r>
    </w:p>
    <w:p w14:paraId="230EE10A" w14:textId="77777777" w:rsidR="00C65183" w:rsidRPr="00F64853" w:rsidRDefault="00C65183" w:rsidP="00C65183">
      <w:pPr>
        <w:jc w:val="both"/>
        <w:rPr>
          <w:rFonts w:asciiTheme="minorHAnsi" w:hAnsiTheme="minorHAnsi" w:cstheme="minorHAnsi"/>
          <w:b/>
          <w:bCs/>
          <w:sz w:val="12"/>
          <w:szCs w:val="12"/>
        </w:rPr>
      </w:pPr>
    </w:p>
    <w:p w14:paraId="0CDBFA9A" w14:textId="77777777" w:rsidR="00C65183" w:rsidRPr="00F64853" w:rsidRDefault="00C65183" w:rsidP="00C65183">
      <w:pPr>
        <w:spacing w:line="336" w:lineRule="auto"/>
        <w:jc w:val="both"/>
        <w:rPr>
          <w:rFonts w:asciiTheme="minorHAnsi" w:hAnsiTheme="minorHAnsi" w:cstheme="minorHAnsi"/>
          <w:b/>
          <w:bCs/>
        </w:rPr>
      </w:pPr>
      <w:r w:rsidRPr="00F64853">
        <w:rPr>
          <w:rFonts w:asciiTheme="minorHAnsi" w:hAnsiTheme="minorHAnsi" w:cstheme="minorHAnsi"/>
          <w:b/>
          <w:bCs/>
        </w:rPr>
        <w:t xml:space="preserve">Female Genital Mutilation </w:t>
      </w:r>
    </w:p>
    <w:p w14:paraId="6E29A1BC" w14:textId="77777777" w:rsidR="00C65183" w:rsidRPr="00F64853" w:rsidRDefault="00C65183" w:rsidP="00C65183">
      <w:pPr>
        <w:spacing w:line="336" w:lineRule="auto"/>
        <w:jc w:val="both"/>
        <w:rPr>
          <w:rFonts w:asciiTheme="minorHAnsi" w:hAnsiTheme="minorHAnsi" w:cstheme="minorHAnsi"/>
        </w:rPr>
      </w:pPr>
      <w:r w:rsidRPr="00F64853">
        <w:rPr>
          <w:rFonts w:asciiTheme="minorHAnsi" w:hAnsiTheme="minorHAnsi" w:cstheme="minorHAnsi"/>
        </w:rPr>
        <w:t>Female genital mutilation entails the removal of all or part of the clitoris, and may also include removal of the inner vaginal lips (labia) or entire external genitalia, and stitching to constrict the vaginal opening. Among its practitioners, it is supposed to inhibit promiscuity and secure a favorable marriage</w:t>
      </w:r>
      <w:r>
        <w:rPr>
          <w:rStyle w:val="FootnoteReference"/>
          <w:rFonts w:asciiTheme="minorHAnsi" w:hAnsiTheme="minorHAnsi" w:cstheme="minorHAnsi"/>
        </w:rPr>
        <w:footnoteReference w:id="63"/>
      </w:r>
      <w:r w:rsidRPr="00F64853">
        <w:rPr>
          <w:rFonts w:asciiTheme="minorHAnsi" w:hAnsiTheme="minorHAnsi" w:cstheme="minorHAnsi"/>
        </w:rPr>
        <w:t xml:space="preserve">. Medical </w:t>
      </w:r>
      <w:r w:rsidRPr="00F64853">
        <w:rPr>
          <w:rFonts w:asciiTheme="minorHAnsi" w:hAnsiTheme="minorHAnsi" w:cstheme="minorHAnsi"/>
        </w:rPr>
        <w:lastRenderedPageBreak/>
        <w:t>consequences include localized infection, hepatitis, HIV, difficulty conceiving, disrupted childbirth and psychological effects such as post-traumatic distress syndrome.</w:t>
      </w:r>
    </w:p>
    <w:p w14:paraId="4E2EA78D" w14:textId="77777777" w:rsidR="00C65183" w:rsidRDefault="00C65183" w:rsidP="00C65183">
      <w:pPr>
        <w:spacing w:line="336" w:lineRule="auto"/>
        <w:jc w:val="both"/>
        <w:rPr>
          <w:rFonts w:asciiTheme="minorHAnsi" w:hAnsiTheme="minorHAnsi" w:cstheme="minorHAnsi"/>
        </w:rPr>
      </w:pPr>
      <w:r w:rsidRPr="00F64853">
        <w:rPr>
          <w:rFonts w:asciiTheme="minorHAnsi" w:hAnsiTheme="minorHAnsi" w:cstheme="minorHAnsi"/>
        </w:rPr>
        <w:t>The World Health Organisation cites estimates that over 200 million girls and women have endured this procedure, including 3 million more each year</w:t>
      </w:r>
      <w:r>
        <w:rPr>
          <w:rStyle w:val="FootnoteReference"/>
          <w:rFonts w:asciiTheme="minorHAnsi" w:hAnsiTheme="minorHAnsi" w:cstheme="minorHAnsi"/>
        </w:rPr>
        <w:footnoteReference w:id="64"/>
      </w:r>
      <w:r w:rsidRPr="00F64853">
        <w:rPr>
          <w:rFonts w:asciiTheme="minorHAnsi" w:hAnsiTheme="minorHAnsi" w:cstheme="minorHAnsi"/>
        </w:rPr>
        <w:t>. Its estimated prevalence among the female population varies from 80% of those aged 15 to 49 in Guinea, Egypt, Sudan, Sierra Leonne and Mali, to fewer than 10% in Niger, Ghana and Uganda</w:t>
      </w:r>
      <w:r>
        <w:rPr>
          <w:rStyle w:val="FootnoteReference"/>
          <w:rFonts w:asciiTheme="minorHAnsi" w:hAnsiTheme="minorHAnsi" w:cstheme="minorHAnsi"/>
        </w:rPr>
        <w:footnoteReference w:id="65"/>
      </w:r>
      <w:r w:rsidRPr="00F64853">
        <w:rPr>
          <w:rFonts w:asciiTheme="minorHAnsi" w:hAnsiTheme="minorHAnsi" w:cstheme="minorHAnsi"/>
        </w:rPr>
        <w:t xml:space="preserve">. Among countries where it is practiced, this procedure is most widespread among people of low incomes, limited education and in rural areas. </w:t>
      </w:r>
    </w:p>
    <w:p w14:paraId="6EDEA89B" w14:textId="77777777" w:rsidR="00C65183" w:rsidRPr="00F64853" w:rsidRDefault="00C65183" w:rsidP="00C65183">
      <w:pPr>
        <w:spacing w:line="336" w:lineRule="auto"/>
        <w:jc w:val="both"/>
        <w:rPr>
          <w:rFonts w:asciiTheme="minorHAnsi" w:hAnsiTheme="minorHAnsi" w:cstheme="minorHAnsi"/>
        </w:rPr>
      </w:pPr>
      <w:r w:rsidRPr="00F64853">
        <w:rPr>
          <w:rFonts w:asciiTheme="minorHAnsi" w:hAnsiTheme="minorHAnsi" w:cstheme="minorHAnsi"/>
        </w:rPr>
        <w:t>Owing to migration, some women in Australia have been subjected to, or are at risk of, female genital mutilation</w:t>
      </w:r>
      <w:r>
        <w:rPr>
          <w:rStyle w:val="FootnoteReference"/>
          <w:rFonts w:asciiTheme="minorHAnsi" w:hAnsiTheme="minorHAnsi" w:cstheme="minorHAnsi"/>
        </w:rPr>
        <w:footnoteReference w:id="66"/>
      </w:r>
      <w:r w:rsidRPr="00F64853">
        <w:rPr>
          <w:rFonts w:asciiTheme="minorHAnsi" w:hAnsiTheme="minorHAnsi" w:cstheme="minorHAnsi"/>
        </w:rPr>
        <w:t>.</w:t>
      </w:r>
    </w:p>
    <w:p w14:paraId="6EF74116" w14:textId="77777777" w:rsidR="00C65183" w:rsidRPr="00F64853" w:rsidRDefault="00C65183" w:rsidP="00C65183">
      <w:pPr>
        <w:jc w:val="both"/>
        <w:rPr>
          <w:rFonts w:asciiTheme="minorHAnsi" w:hAnsiTheme="minorHAnsi" w:cstheme="minorHAnsi"/>
          <w:b/>
          <w:sz w:val="12"/>
          <w:szCs w:val="12"/>
        </w:rPr>
      </w:pPr>
    </w:p>
    <w:p w14:paraId="1E88CFB9" w14:textId="77777777" w:rsidR="00C65183" w:rsidRPr="00F64853" w:rsidRDefault="00C65183" w:rsidP="00C65183">
      <w:pPr>
        <w:spacing w:before="60" w:line="336" w:lineRule="auto"/>
        <w:jc w:val="both"/>
        <w:rPr>
          <w:rFonts w:asciiTheme="minorHAnsi" w:hAnsiTheme="minorHAnsi" w:cstheme="minorHAnsi"/>
          <w:b/>
        </w:rPr>
      </w:pPr>
      <w:r w:rsidRPr="00F64853">
        <w:rPr>
          <w:rFonts w:asciiTheme="minorHAnsi" w:hAnsiTheme="minorHAnsi" w:cstheme="minorHAnsi"/>
          <w:b/>
        </w:rPr>
        <w:t>Body Image</w:t>
      </w:r>
    </w:p>
    <w:p w14:paraId="0195A0E3" w14:textId="77777777" w:rsidR="00C65183" w:rsidRDefault="00C65183" w:rsidP="00C65183">
      <w:pPr>
        <w:spacing w:line="336" w:lineRule="auto"/>
        <w:jc w:val="both"/>
        <w:rPr>
          <w:rFonts w:asciiTheme="minorHAnsi" w:hAnsiTheme="minorHAnsi" w:cstheme="minorHAnsi"/>
        </w:rPr>
      </w:pPr>
      <w:r w:rsidRPr="00F64853">
        <w:rPr>
          <w:rFonts w:asciiTheme="minorHAnsi" w:hAnsiTheme="minorHAnsi" w:cstheme="minorHAnsi"/>
        </w:rPr>
        <w:t>Research shows that eating disorders are prevalent among young people - particularly young women. In an Australian study of 1,600 secondary school students, a higher prevalence of eating disorders among females</w:t>
      </w:r>
      <w:r>
        <w:rPr>
          <w:rFonts w:asciiTheme="minorHAnsi" w:hAnsiTheme="minorHAnsi" w:cstheme="minorHAnsi"/>
        </w:rPr>
        <w:t xml:space="preserve"> was documented</w:t>
      </w:r>
      <w:r w:rsidRPr="00F64853">
        <w:rPr>
          <w:rFonts w:asciiTheme="minorHAnsi" w:hAnsiTheme="minorHAnsi" w:cstheme="minorHAnsi"/>
        </w:rPr>
        <w:t>, at 22 person years per 1,000 students, compared with 6 person years per 1,000 among males</w:t>
      </w:r>
      <w:r>
        <w:rPr>
          <w:rFonts w:asciiTheme="minorHAnsi" w:hAnsiTheme="minorHAnsi" w:cstheme="minorHAnsi"/>
        </w:rPr>
        <w:t>. Authors of the research concluded</w:t>
      </w:r>
      <w:r w:rsidRPr="00F64853">
        <w:rPr>
          <w:rFonts w:asciiTheme="minorHAnsi" w:hAnsiTheme="minorHAnsi" w:cstheme="minorHAnsi"/>
        </w:rPr>
        <w:t xml:space="preserve"> that the difference was related to the higher prevalence of dieting among the female students</w:t>
      </w:r>
      <w:r>
        <w:rPr>
          <w:rStyle w:val="FootnoteReference"/>
          <w:rFonts w:asciiTheme="minorHAnsi" w:hAnsiTheme="minorHAnsi" w:cstheme="minorHAnsi"/>
        </w:rPr>
        <w:footnoteReference w:id="67"/>
      </w:r>
      <w:r w:rsidRPr="00F64853">
        <w:rPr>
          <w:rFonts w:asciiTheme="minorHAnsi" w:hAnsiTheme="minorHAnsi" w:cstheme="minorHAnsi"/>
        </w:rPr>
        <w:t xml:space="preserve">. </w:t>
      </w:r>
      <w:r>
        <w:rPr>
          <w:rFonts w:asciiTheme="minorHAnsi" w:hAnsiTheme="minorHAnsi" w:cstheme="minorHAnsi"/>
        </w:rPr>
        <w:t>In a further investigation, females</w:t>
      </w:r>
      <w:r w:rsidRPr="00F64853">
        <w:rPr>
          <w:rFonts w:asciiTheme="minorHAnsi" w:hAnsiTheme="minorHAnsi" w:cstheme="minorHAnsi"/>
        </w:rPr>
        <w:t xml:space="preserve"> accounted for at least 9 in 10 of those with bulimia and anorexia</w:t>
      </w:r>
      <w:r>
        <w:rPr>
          <w:rStyle w:val="FootnoteReference"/>
          <w:rFonts w:asciiTheme="minorHAnsi" w:hAnsiTheme="minorHAnsi" w:cstheme="minorHAnsi"/>
        </w:rPr>
        <w:footnoteReference w:id="68"/>
      </w:r>
      <w:r w:rsidRPr="00F64853">
        <w:rPr>
          <w:rFonts w:asciiTheme="minorHAnsi" w:hAnsiTheme="minorHAnsi" w:cstheme="minorHAnsi"/>
        </w:rPr>
        <w:t xml:space="preserve">. </w:t>
      </w:r>
    </w:p>
    <w:p w14:paraId="6449CC2D" w14:textId="77777777" w:rsidR="00C65183" w:rsidRDefault="00C65183" w:rsidP="00C65183">
      <w:pPr>
        <w:rPr>
          <w:rFonts w:ascii="Calibri" w:hAnsi="Calibri"/>
        </w:rPr>
      </w:pPr>
      <w:r>
        <w:rPr>
          <w:rFonts w:ascii="Calibri" w:hAnsi="Calibri"/>
        </w:rPr>
        <w:br w:type="page"/>
      </w:r>
    </w:p>
    <w:p w14:paraId="7E2ABE86" w14:textId="77777777" w:rsidR="00C65183" w:rsidRPr="00827F47" w:rsidRDefault="00C65183" w:rsidP="00C65183">
      <w:pPr>
        <w:pBdr>
          <w:top w:val="single" w:sz="4" w:space="0" w:color="244061" w:themeColor="accent1" w:themeShade="80"/>
          <w:bottom w:val="single" w:sz="4" w:space="1" w:color="244061" w:themeColor="accent1" w:themeShade="80"/>
        </w:pBdr>
        <w:tabs>
          <w:tab w:val="center" w:pos="4678"/>
        </w:tabs>
        <w:jc w:val="center"/>
        <w:rPr>
          <w:rFonts w:ascii="Garamond" w:hAnsi="Garamond"/>
          <w:noProof/>
          <w:color w:val="244061" w:themeColor="accent1" w:themeShade="80"/>
          <w:sz w:val="34"/>
          <w:szCs w:val="34"/>
        </w:rPr>
      </w:pPr>
      <w:r w:rsidRPr="00827F47">
        <w:rPr>
          <w:rFonts w:ascii="Garamond" w:hAnsi="Garamond"/>
          <w:noProof/>
          <w:color w:val="244061" w:themeColor="accent1" w:themeShade="80"/>
          <w:sz w:val="34"/>
          <w:szCs w:val="34"/>
        </w:rPr>
        <w:lastRenderedPageBreak/>
        <w:t>Exercise, Sport and Physical Recreation</w:t>
      </w:r>
    </w:p>
    <w:p w14:paraId="48DC20BA" w14:textId="77777777" w:rsidR="00C65183" w:rsidRDefault="00C65183" w:rsidP="00C65183">
      <w:pPr>
        <w:spacing w:line="360" w:lineRule="auto"/>
        <w:jc w:val="both"/>
        <w:rPr>
          <w:rFonts w:ascii="Calibri" w:hAnsi="Calibri"/>
          <w:b/>
          <w:lang w:val="en-US"/>
        </w:rPr>
      </w:pPr>
    </w:p>
    <w:p w14:paraId="3FE057C3" w14:textId="77777777" w:rsidR="00C65183" w:rsidRPr="000A087A" w:rsidRDefault="00C65183" w:rsidP="00C65183">
      <w:pPr>
        <w:spacing w:line="360" w:lineRule="auto"/>
        <w:jc w:val="both"/>
        <w:rPr>
          <w:rFonts w:ascii="Calibri" w:hAnsi="Calibri"/>
          <w:b/>
          <w:lang w:val="en-US"/>
        </w:rPr>
      </w:pPr>
      <w:r>
        <w:rPr>
          <w:rFonts w:ascii="Calibri" w:hAnsi="Calibri"/>
          <w:noProof/>
          <w:lang w:val="en-US"/>
        </w:rPr>
        <w:drawing>
          <wp:anchor distT="0" distB="0" distL="114300" distR="114300" simplePos="0" relativeHeight="251872256" behindDoc="0" locked="0" layoutInCell="1" allowOverlap="1" wp14:anchorId="53B78D9B" wp14:editId="43C0474E">
            <wp:simplePos x="0" y="0"/>
            <wp:positionH relativeFrom="column">
              <wp:posOffset>4194175</wp:posOffset>
            </wp:positionH>
            <wp:positionV relativeFrom="paragraph">
              <wp:posOffset>52705</wp:posOffset>
            </wp:positionV>
            <wp:extent cx="2009775" cy="1581150"/>
            <wp:effectExtent l="0" t="0" r="9525" b="0"/>
            <wp:wrapSquare wrapText="bothSides"/>
            <wp:docPr id="361" name="Picture 1" descr="netball.png"/>
            <wp:cNvGraphicFramePr/>
            <a:graphic xmlns:a="http://schemas.openxmlformats.org/drawingml/2006/main">
              <a:graphicData uri="http://schemas.openxmlformats.org/drawingml/2006/picture">
                <pic:pic xmlns:pic="http://schemas.openxmlformats.org/drawingml/2006/picture">
                  <pic:nvPicPr>
                    <pic:cNvPr id="161" name="Picture 160" descr="netball.png"/>
                    <pic:cNvPicPr>
                      <a:picLocks/>
                    </pic:cNvPicPr>
                  </pic:nvPicPr>
                  <pic:blipFill>
                    <a:blip r:embed="rId222" cstate="print"/>
                    <a:stretch>
                      <a:fillRect/>
                    </a:stretch>
                  </pic:blipFill>
                  <pic:spPr>
                    <a:xfrm>
                      <a:off x="0" y="0"/>
                      <a:ext cx="2009775" cy="1581150"/>
                    </a:xfrm>
                    <a:prstGeom prst="rect">
                      <a:avLst/>
                    </a:prstGeom>
                    <a:ln>
                      <a:noFill/>
                    </a:ln>
                    <a:effectLst>
                      <a:softEdge rad="317500"/>
                    </a:effectLst>
                  </pic:spPr>
                </pic:pic>
              </a:graphicData>
            </a:graphic>
          </wp:anchor>
        </w:drawing>
      </w:r>
      <w:r>
        <w:rPr>
          <w:rFonts w:ascii="Calibri" w:hAnsi="Calibri"/>
          <w:b/>
          <w:lang w:val="en-US"/>
        </w:rPr>
        <w:t>Benefits of Physical Activity</w:t>
      </w:r>
    </w:p>
    <w:p w14:paraId="1C93A5AA" w14:textId="77777777" w:rsidR="00C65183" w:rsidRPr="00973C5B" w:rsidRDefault="00C65183" w:rsidP="00C65183">
      <w:pPr>
        <w:spacing w:line="360" w:lineRule="auto"/>
        <w:jc w:val="both"/>
        <w:rPr>
          <w:rFonts w:ascii="Calibri" w:hAnsi="Calibri"/>
          <w:lang w:val="en-US"/>
        </w:rPr>
      </w:pPr>
      <w:r>
        <w:rPr>
          <w:rFonts w:ascii="Calibri" w:hAnsi="Calibri"/>
          <w:lang w:val="en-US"/>
        </w:rPr>
        <w:t>Physical activity</w:t>
      </w:r>
      <w:r w:rsidRPr="00E44BA1">
        <w:rPr>
          <w:rFonts w:ascii="Calibri" w:hAnsi="Calibri"/>
          <w:lang w:val="en-US"/>
        </w:rPr>
        <w:t xml:space="preserve"> among children and adults </w:t>
      </w:r>
      <w:r>
        <w:rPr>
          <w:rFonts w:ascii="Calibri" w:hAnsi="Calibri"/>
          <w:lang w:val="en-US"/>
        </w:rPr>
        <w:t>diminishes the prospect of</w:t>
      </w:r>
      <w:r w:rsidRPr="00E44BA1">
        <w:rPr>
          <w:rFonts w:ascii="Calibri" w:hAnsi="Calibri"/>
          <w:lang w:val="en-US"/>
        </w:rPr>
        <w:t xml:space="preserve"> heart disease</w:t>
      </w:r>
      <w:r>
        <w:rPr>
          <w:rFonts w:ascii="Calibri" w:hAnsi="Calibri"/>
          <w:lang w:val="en-US"/>
        </w:rPr>
        <w:t>; helps prevent</w:t>
      </w:r>
      <w:r w:rsidRPr="00E44BA1">
        <w:rPr>
          <w:rFonts w:ascii="Calibri" w:hAnsi="Calibri"/>
          <w:lang w:val="en-US"/>
        </w:rPr>
        <w:t xml:space="preserve"> stroke</w:t>
      </w:r>
      <w:r>
        <w:rPr>
          <w:rFonts w:ascii="Calibri" w:hAnsi="Calibri"/>
          <w:lang w:val="en-US"/>
        </w:rPr>
        <w:t xml:space="preserve"> </w:t>
      </w:r>
      <w:r w:rsidRPr="00E44BA1">
        <w:rPr>
          <w:rFonts w:ascii="Calibri" w:hAnsi="Calibri"/>
          <w:lang w:val="en-US"/>
        </w:rPr>
        <w:t>and high blood pressure;</w:t>
      </w:r>
      <w:r>
        <w:rPr>
          <w:rFonts w:ascii="Calibri" w:hAnsi="Calibri"/>
          <w:lang w:val="en-US"/>
        </w:rPr>
        <w:t xml:space="preserve"> minimizes</w:t>
      </w:r>
      <w:r w:rsidRPr="00E44BA1">
        <w:rPr>
          <w:rFonts w:ascii="Calibri" w:hAnsi="Calibri"/>
          <w:lang w:val="en-US"/>
        </w:rPr>
        <w:t xml:space="preserve"> the </w:t>
      </w:r>
      <w:r>
        <w:rPr>
          <w:rFonts w:ascii="Calibri" w:hAnsi="Calibri"/>
          <w:lang w:val="en-US"/>
        </w:rPr>
        <w:t>prospect of</w:t>
      </w:r>
      <w:r w:rsidRPr="00E44BA1">
        <w:rPr>
          <w:rFonts w:ascii="Calibri" w:hAnsi="Calibri"/>
          <w:lang w:val="en-US"/>
        </w:rPr>
        <w:t xml:space="preserve"> type</w:t>
      </w:r>
      <w:r>
        <w:rPr>
          <w:rFonts w:ascii="Calibri" w:hAnsi="Calibri"/>
          <w:lang w:val="en-US"/>
        </w:rPr>
        <w:t>-</w:t>
      </w:r>
      <w:r w:rsidRPr="00E44BA1">
        <w:rPr>
          <w:rFonts w:ascii="Calibri" w:hAnsi="Calibri"/>
          <w:lang w:val="en-US"/>
        </w:rPr>
        <w:t xml:space="preserve">two diabetes; </w:t>
      </w:r>
      <w:r>
        <w:rPr>
          <w:rFonts w:ascii="Calibri" w:hAnsi="Calibri"/>
          <w:lang w:val="en-US"/>
        </w:rPr>
        <w:t xml:space="preserve">lessens the likelihood of breast and colon cancer; </w:t>
      </w:r>
      <w:r w:rsidRPr="00E44BA1">
        <w:rPr>
          <w:rFonts w:ascii="Calibri" w:hAnsi="Calibri"/>
          <w:lang w:val="en-US"/>
        </w:rPr>
        <w:t>build</w:t>
      </w:r>
      <w:r>
        <w:rPr>
          <w:rFonts w:ascii="Calibri" w:hAnsi="Calibri"/>
          <w:lang w:val="en-US"/>
        </w:rPr>
        <w:t>s</w:t>
      </w:r>
      <w:r w:rsidRPr="00E44BA1">
        <w:rPr>
          <w:rFonts w:ascii="Calibri" w:hAnsi="Calibri"/>
          <w:lang w:val="en-US"/>
        </w:rPr>
        <w:t xml:space="preserve"> healthy bones,</w:t>
      </w:r>
      <w:r>
        <w:rPr>
          <w:rFonts w:ascii="Calibri" w:hAnsi="Calibri"/>
          <w:lang w:val="en-US"/>
        </w:rPr>
        <w:t xml:space="preserve"> muscles and joints; and contributes to personal wellbeing</w:t>
      </w:r>
      <w:r w:rsidRPr="00E44BA1">
        <w:rPr>
          <w:rFonts w:ascii="Calibri" w:hAnsi="Calibri"/>
          <w:lang w:val="en-US"/>
        </w:rPr>
        <w:t xml:space="preserve"> and social </w:t>
      </w:r>
      <w:r>
        <w:rPr>
          <w:rFonts w:ascii="Calibri" w:hAnsi="Calibri"/>
          <w:lang w:val="en-US"/>
        </w:rPr>
        <w:t>connection.</w:t>
      </w:r>
    </w:p>
    <w:p w14:paraId="67472BB8" w14:textId="77777777" w:rsidR="00C65183" w:rsidRDefault="00C65183" w:rsidP="00C65183">
      <w:pPr>
        <w:spacing w:line="360" w:lineRule="auto"/>
        <w:jc w:val="both"/>
        <w:rPr>
          <w:rFonts w:ascii="Calibri" w:hAnsi="Calibri"/>
          <w:b/>
          <w:lang w:val="en-US"/>
        </w:rPr>
      </w:pPr>
    </w:p>
    <w:p w14:paraId="30651E31" w14:textId="77777777" w:rsidR="00C65183" w:rsidRPr="000A087A" w:rsidRDefault="00C65183" w:rsidP="00C65183">
      <w:pPr>
        <w:spacing w:line="360" w:lineRule="auto"/>
        <w:jc w:val="both"/>
        <w:rPr>
          <w:rFonts w:ascii="Calibri" w:hAnsi="Calibri"/>
          <w:b/>
          <w:lang w:val="en-US"/>
        </w:rPr>
      </w:pPr>
      <w:r w:rsidRPr="000A087A">
        <w:rPr>
          <w:rFonts w:ascii="Calibri" w:hAnsi="Calibri"/>
          <w:b/>
          <w:lang w:val="en-US"/>
        </w:rPr>
        <w:t xml:space="preserve">Physical Activity </w:t>
      </w:r>
      <w:r>
        <w:rPr>
          <w:rFonts w:ascii="Calibri" w:hAnsi="Calibri"/>
          <w:b/>
          <w:lang w:val="en-US"/>
        </w:rPr>
        <w:t>a</w:t>
      </w:r>
      <w:r w:rsidRPr="000A087A">
        <w:rPr>
          <w:rFonts w:ascii="Calibri" w:hAnsi="Calibri"/>
          <w:b/>
          <w:lang w:val="en-US"/>
        </w:rPr>
        <w:t>mong the General Population</w:t>
      </w:r>
    </w:p>
    <w:p w14:paraId="32440A4E" w14:textId="77777777" w:rsidR="00C65183" w:rsidRPr="00BB194E" w:rsidRDefault="00C65183" w:rsidP="00C65183">
      <w:pPr>
        <w:spacing w:line="360" w:lineRule="auto"/>
        <w:jc w:val="both"/>
        <w:rPr>
          <w:rFonts w:asciiTheme="minorHAnsi" w:hAnsiTheme="minorHAnsi"/>
        </w:rPr>
      </w:pPr>
      <w:r>
        <w:rPr>
          <w:rFonts w:asciiTheme="minorHAnsi" w:hAnsiTheme="minorHAnsi"/>
          <w:noProof/>
          <w:lang w:val="en-US"/>
        </w:rPr>
        <w:drawing>
          <wp:anchor distT="0" distB="0" distL="114300" distR="114300" simplePos="0" relativeHeight="251877376" behindDoc="0" locked="0" layoutInCell="1" allowOverlap="1" wp14:anchorId="427C4690" wp14:editId="34ABEA3D">
            <wp:simplePos x="0" y="0"/>
            <wp:positionH relativeFrom="column">
              <wp:posOffset>-34290</wp:posOffset>
            </wp:positionH>
            <wp:positionV relativeFrom="paragraph">
              <wp:posOffset>119697</wp:posOffset>
            </wp:positionV>
            <wp:extent cx="3752850" cy="2862580"/>
            <wp:effectExtent l="0" t="0" r="0" b="0"/>
            <wp:wrapSquare wrapText="bothSides"/>
            <wp:docPr id="362" name="Picture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3752850" cy="2862580"/>
                    </a:xfrm>
                    <a:prstGeom prst="rect">
                      <a:avLst/>
                    </a:prstGeom>
                    <a:noFill/>
                  </pic:spPr>
                </pic:pic>
              </a:graphicData>
            </a:graphic>
          </wp:anchor>
        </w:drawing>
      </w:r>
      <w:r>
        <w:rPr>
          <w:rFonts w:asciiTheme="minorHAnsi" w:hAnsiTheme="minorHAnsi"/>
        </w:rPr>
        <w:t>The 2018 National Health Survey found that a</w:t>
      </w:r>
      <w:r w:rsidRPr="00BB194E">
        <w:rPr>
          <w:rFonts w:asciiTheme="minorHAnsi" w:hAnsiTheme="minorHAnsi"/>
        </w:rPr>
        <w:t>pproximately one in ten 15 to 17 year-olds obtain no exercise</w:t>
      </w:r>
      <w:r>
        <w:rPr>
          <w:rFonts w:asciiTheme="minorHAnsi" w:hAnsiTheme="minorHAnsi"/>
        </w:rPr>
        <w:t xml:space="preserve"> in a typical week. </w:t>
      </w:r>
      <w:r w:rsidRPr="00BB194E">
        <w:rPr>
          <w:rFonts w:asciiTheme="minorHAnsi" w:hAnsiTheme="minorHAnsi"/>
        </w:rPr>
        <w:t xml:space="preserve">This figure rises gradually throughout adulthood to nearly one in five people aged 55-64, before </w:t>
      </w:r>
      <w:r>
        <w:rPr>
          <w:rFonts w:asciiTheme="minorHAnsi" w:hAnsiTheme="minorHAnsi"/>
        </w:rPr>
        <w:t>swelling</w:t>
      </w:r>
      <w:r w:rsidRPr="00BB194E">
        <w:rPr>
          <w:rFonts w:asciiTheme="minorHAnsi" w:hAnsiTheme="minorHAnsi"/>
        </w:rPr>
        <w:t xml:space="preserve"> in older age to over half of </w:t>
      </w:r>
      <w:r>
        <w:rPr>
          <w:rFonts w:asciiTheme="minorHAnsi" w:hAnsiTheme="minorHAnsi"/>
        </w:rPr>
        <w:t>Australians</w:t>
      </w:r>
      <w:r w:rsidRPr="00BB194E">
        <w:rPr>
          <w:rFonts w:asciiTheme="minorHAnsi" w:hAnsiTheme="minorHAnsi"/>
        </w:rPr>
        <w:t xml:space="preserve"> aged 85 years or more.</w:t>
      </w:r>
    </w:p>
    <w:p w14:paraId="774C1744" w14:textId="77777777" w:rsidR="00C65183" w:rsidRPr="00973C5B" w:rsidRDefault="00C65183" w:rsidP="00C65183">
      <w:pPr>
        <w:jc w:val="both"/>
        <w:rPr>
          <w:rFonts w:asciiTheme="minorHAnsi" w:hAnsiTheme="minorHAnsi"/>
          <w:color w:val="7F7F7F" w:themeColor="text1" w:themeTint="80"/>
          <w:sz w:val="20"/>
          <w:szCs w:val="20"/>
        </w:rPr>
      </w:pPr>
      <w:r w:rsidRPr="00973C5B">
        <w:rPr>
          <w:rFonts w:asciiTheme="minorHAnsi" w:hAnsiTheme="minorHAnsi"/>
          <w:color w:val="7F7F7F" w:themeColor="text1" w:themeTint="80"/>
          <w:sz w:val="20"/>
          <w:szCs w:val="20"/>
        </w:rPr>
        <w:t>Per cent of persons who engage in no physical exercise in a typical week: Australia, 2018</w:t>
      </w:r>
    </w:p>
    <w:p w14:paraId="3D25901A" w14:textId="77777777" w:rsidR="00C65183" w:rsidRDefault="00C65183" w:rsidP="00C65183">
      <w:pPr>
        <w:spacing w:line="360" w:lineRule="auto"/>
        <w:jc w:val="both"/>
        <w:rPr>
          <w:rFonts w:asciiTheme="minorHAnsi" w:hAnsiTheme="minorHAnsi"/>
        </w:rPr>
      </w:pPr>
    </w:p>
    <w:p w14:paraId="65160DC9" w14:textId="77777777" w:rsidR="00C65183" w:rsidRDefault="00C65183" w:rsidP="00C65183">
      <w:pPr>
        <w:spacing w:line="360" w:lineRule="auto"/>
        <w:jc w:val="both"/>
        <w:rPr>
          <w:rFonts w:asciiTheme="minorHAnsi" w:hAnsiTheme="minorHAnsi"/>
        </w:rPr>
      </w:pPr>
    </w:p>
    <w:p w14:paraId="1A1BB7C8" w14:textId="77777777" w:rsidR="00C65183" w:rsidRDefault="00C65183" w:rsidP="00C65183">
      <w:pPr>
        <w:spacing w:line="360" w:lineRule="auto"/>
        <w:jc w:val="both"/>
        <w:rPr>
          <w:rFonts w:asciiTheme="minorHAnsi" w:hAnsiTheme="minorHAnsi"/>
        </w:rPr>
      </w:pPr>
      <w:r>
        <w:rPr>
          <w:rFonts w:asciiTheme="minorHAnsi" w:hAnsiTheme="minorHAnsi"/>
        </w:rPr>
        <w:t>The</w:t>
      </w:r>
      <w:r w:rsidRPr="00BB194E">
        <w:rPr>
          <w:rFonts w:asciiTheme="minorHAnsi" w:hAnsiTheme="minorHAnsi"/>
        </w:rPr>
        <w:t xml:space="preserve"> proportion of people </w:t>
      </w:r>
      <w:r>
        <w:rPr>
          <w:rFonts w:asciiTheme="minorHAnsi" w:hAnsiTheme="minorHAnsi"/>
        </w:rPr>
        <w:t>who obtained</w:t>
      </w:r>
      <w:r w:rsidRPr="00BB194E">
        <w:rPr>
          <w:rFonts w:asciiTheme="minorHAnsi" w:hAnsiTheme="minorHAnsi"/>
        </w:rPr>
        <w:t xml:space="preserve"> no exercise each week </w:t>
      </w:r>
      <w:r>
        <w:rPr>
          <w:rFonts w:asciiTheme="minorHAnsi" w:hAnsiTheme="minorHAnsi"/>
        </w:rPr>
        <w:t>is</w:t>
      </w:r>
      <w:r w:rsidRPr="00BB194E">
        <w:rPr>
          <w:rFonts w:asciiTheme="minorHAnsi" w:hAnsiTheme="minorHAnsi"/>
        </w:rPr>
        <w:t xml:space="preserve"> similar among women and men.</w:t>
      </w:r>
    </w:p>
    <w:p w14:paraId="34662C61" w14:textId="77777777" w:rsidR="00C65183" w:rsidRDefault="00C65183" w:rsidP="00C65183">
      <w:pPr>
        <w:spacing w:line="360" w:lineRule="auto"/>
        <w:jc w:val="both"/>
        <w:rPr>
          <w:rFonts w:ascii="Calibri" w:hAnsi="Calibri"/>
          <w:b/>
        </w:rPr>
      </w:pPr>
      <w:r>
        <w:rPr>
          <w:rFonts w:asciiTheme="minorHAnsi" w:hAnsiTheme="minorHAnsi"/>
          <w:noProof/>
          <w:lang w:val="en-US"/>
        </w:rPr>
        <w:drawing>
          <wp:anchor distT="0" distB="0" distL="114300" distR="114300" simplePos="0" relativeHeight="251878400" behindDoc="0" locked="0" layoutInCell="1" allowOverlap="1" wp14:anchorId="4245FD87" wp14:editId="121BF5F1">
            <wp:simplePos x="0" y="0"/>
            <wp:positionH relativeFrom="margin">
              <wp:align>right</wp:align>
            </wp:positionH>
            <wp:positionV relativeFrom="paragraph">
              <wp:posOffset>259715</wp:posOffset>
            </wp:positionV>
            <wp:extent cx="3714750" cy="2670810"/>
            <wp:effectExtent l="0" t="0" r="0" b="0"/>
            <wp:wrapSquare wrapText="bothSides"/>
            <wp:docPr id="364" name="Picture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3714750" cy="2670810"/>
                    </a:xfrm>
                    <a:prstGeom prst="rect">
                      <a:avLst/>
                    </a:prstGeom>
                    <a:noFill/>
                  </pic:spPr>
                </pic:pic>
              </a:graphicData>
            </a:graphic>
          </wp:anchor>
        </w:drawing>
      </w:r>
    </w:p>
    <w:p w14:paraId="4EC14BF8" w14:textId="77777777" w:rsidR="00C65183" w:rsidRPr="00973C5B" w:rsidRDefault="00C65183" w:rsidP="00C65183">
      <w:pPr>
        <w:spacing w:line="360" w:lineRule="auto"/>
        <w:jc w:val="both"/>
        <w:rPr>
          <w:rFonts w:ascii="Calibri" w:hAnsi="Calibri"/>
          <w:b/>
        </w:rPr>
      </w:pPr>
      <w:r w:rsidRPr="002E6D0C">
        <w:rPr>
          <w:rFonts w:ascii="Calibri" w:hAnsi="Calibri"/>
          <w:b/>
        </w:rPr>
        <w:t xml:space="preserve">Sedentary behaviour </w:t>
      </w:r>
    </w:p>
    <w:p w14:paraId="688C54EA" w14:textId="77777777" w:rsidR="00C65183" w:rsidRDefault="00C65183" w:rsidP="00C65183">
      <w:pPr>
        <w:spacing w:line="360" w:lineRule="auto"/>
        <w:jc w:val="both"/>
        <w:rPr>
          <w:rFonts w:asciiTheme="minorHAnsi" w:hAnsiTheme="minorHAnsi"/>
        </w:rPr>
      </w:pPr>
      <w:r>
        <w:rPr>
          <w:rFonts w:asciiTheme="minorHAnsi" w:hAnsiTheme="minorHAnsi"/>
        </w:rPr>
        <w:t xml:space="preserve">The Survey also revealed that by </w:t>
      </w:r>
      <w:r w:rsidRPr="00BB194E">
        <w:rPr>
          <w:rFonts w:asciiTheme="minorHAnsi" w:hAnsiTheme="minorHAnsi"/>
        </w:rPr>
        <w:t xml:space="preserve">their mid-20s, most people in paid employment spend nearly half their working days seated at work. This figure </w:t>
      </w:r>
      <w:r>
        <w:rPr>
          <w:rFonts w:asciiTheme="minorHAnsi" w:hAnsiTheme="minorHAnsi"/>
        </w:rPr>
        <w:t xml:space="preserve">too, </w:t>
      </w:r>
      <w:r w:rsidRPr="00BB194E">
        <w:rPr>
          <w:rFonts w:asciiTheme="minorHAnsi" w:hAnsiTheme="minorHAnsi"/>
        </w:rPr>
        <w:t>differ</w:t>
      </w:r>
      <w:r>
        <w:rPr>
          <w:rFonts w:asciiTheme="minorHAnsi" w:hAnsiTheme="minorHAnsi"/>
        </w:rPr>
        <w:t>ed</w:t>
      </w:r>
      <w:r w:rsidRPr="00BB194E">
        <w:rPr>
          <w:rFonts w:asciiTheme="minorHAnsi" w:hAnsiTheme="minorHAnsi"/>
        </w:rPr>
        <w:t xml:space="preserve"> little among women and men.</w:t>
      </w:r>
    </w:p>
    <w:p w14:paraId="6AA27D75" w14:textId="77777777" w:rsidR="00C65183" w:rsidRDefault="00C65183" w:rsidP="00C65183">
      <w:pPr>
        <w:spacing w:line="360" w:lineRule="auto"/>
        <w:jc w:val="both"/>
        <w:rPr>
          <w:rFonts w:asciiTheme="minorHAnsi" w:hAnsiTheme="minorHAnsi"/>
        </w:rPr>
      </w:pPr>
    </w:p>
    <w:p w14:paraId="76B3D348" w14:textId="77777777" w:rsidR="00C65183" w:rsidRPr="00973C5B" w:rsidRDefault="00C65183" w:rsidP="00C65183">
      <w:pPr>
        <w:jc w:val="both"/>
        <w:rPr>
          <w:rFonts w:asciiTheme="minorHAnsi" w:hAnsiTheme="minorHAnsi"/>
          <w:color w:val="7F7F7F" w:themeColor="text1" w:themeTint="80"/>
          <w:sz w:val="20"/>
          <w:szCs w:val="20"/>
        </w:rPr>
      </w:pPr>
      <w:r w:rsidRPr="00973C5B">
        <w:rPr>
          <w:rFonts w:asciiTheme="minorHAnsi" w:hAnsiTheme="minorHAnsi"/>
          <w:color w:val="7F7F7F" w:themeColor="text1" w:themeTint="80"/>
          <w:sz w:val="20"/>
          <w:szCs w:val="20"/>
        </w:rPr>
        <w:t xml:space="preserve">Per cent of </w:t>
      </w:r>
      <w:r>
        <w:rPr>
          <w:rFonts w:asciiTheme="minorHAnsi" w:hAnsiTheme="minorHAnsi"/>
          <w:color w:val="7F7F7F" w:themeColor="text1" w:themeTint="80"/>
          <w:sz w:val="20"/>
          <w:szCs w:val="20"/>
        </w:rPr>
        <w:t xml:space="preserve">employed </w:t>
      </w:r>
      <w:r w:rsidRPr="00973C5B">
        <w:rPr>
          <w:rFonts w:asciiTheme="minorHAnsi" w:hAnsiTheme="minorHAnsi"/>
          <w:color w:val="7F7F7F" w:themeColor="text1" w:themeTint="80"/>
          <w:sz w:val="20"/>
          <w:szCs w:val="20"/>
        </w:rPr>
        <w:t xml:space="preserve">persons who </w:t>
      </w:r>
      <w:r>
        <w:rPr>
          <w:rFonts w:asciiTheme="minorHAnsi" w:hAnsiTheme="minorHAnsi"/>
          <w:color w:val="7F7F7F" w:themeColor="text1" w:themeTint="80"/>
          <w:sz w:val="20"/>
          <w:szCs w:val="20"/>
        </w:rPr>
        <w:t>spend most of their working days seated, by age and sex</w:t>
      </w:r>
      <w:r w:rsidRPr="00973C5B">
        <w:rPr>
          <w:rFonts w:asciiTheme="minorHAnsi" w:hAnsiTheme="minorHAnsi"/>
          <w:color w:val="7F7F7F" w:themeColor="text1" w:themeTint="80"/>
          <w:sz w:val="20"/>
          <w:szCs w:val="20"/>
        </w:rPr>
        <w:t>: Australia, 2018</w:t>
      </w:r>
    </w:p>
    <w:p w14:paraId="6BBD72EE" w14:textId="77777777" w:rsidR="00C65183" w:rsidRDefault="00C65183" w:rsidP="00C65183">
      <w:pPr>
        <w:spacing w:line="360" w:lineRule="auto"/>
        <w:jc w:val="both"/>
        <w:rPr>
          <w:rFonts w:asciiTheme="minorHAnsi" w:hAnsiTheme="minorHAnsi"/>
        </w:rPr>
      </w:pPr>
    </w:p>
    <w:p w14:paraId="5DEF0560" w14:textId="77777777" w:rsidR="00C65183" w:rsidRDefault="00C65183" w:rsidP="00C65183">
      <w:pPr>
        <w:spacing w:line="360" w:lineRule="auto"/>
        <w:jc w:val="both"/>
        <w:rPr>
          <w:rFonts w:asciiTheme="minorHAnsi" w:hAnsiTheme="minorHAnsi"/>
        </w:rPr>
      </w:pPr>
    </w:p>
    <w:p w14:paraId="35AE29E3" w14:textId="77777777" w:rsidR="00C65183" w:rsidRPr="002C4811" w:rsidRDefault="00C65183" w:rsidP="00C65183">
      <w:pPr>
        <w:spacing w:before="120" w:line="360" w:lineRule="auto"/>
        <w:jc w:val="both"/>
        <w:rPr>
          <w:rFonts w:ascii="Calibri" w:hAnsi="Calibri"/>
          <w:i/>
          <w:lang w:val="en-US"/>
        </w:rPr>
      </w:pPr>
      <w:r w:rsidRPr="002C4811">
        <w:rPr>
          <w:rFonts w:ascii="Calibri" w:hAnsi="Calibri"/>
          <w:i/>
          <w:lang w:val="en-US"/>
        </w:rPr>
        <w:lastRenderedPageBreak/>
        <w:t>Conditions Associated with Physical Activity</w:t>
      </w:r>
    </w:p>
    <w:p w14:paraId="7589C686" w14:textId="77777777" w:rsidR="00C65183" w:rsidRDefault="00C65183" w:rsidP="00C65183">
      <w:pPr>
        <w:spacing w:line="360" w:lineRule="auto"/>
        <w:jc w:val="both"/>
        <w:rPr>
          <w:rFonts w:ascii="Calibri" w:hAnsi="Calibri"/>
          <w:lang w:val="en-US"/>
        </w:rPr>
      </w:pPr>
      <w:r>
        <w:rPr>
          <w:rFonts w:ascii="Calibri" w:hAnsi="Calibri"/>
          <w:lang w:val="en-US"/>
        </w:rPr>
        <w:t xml:space="preserve">The 2017 Victorian Population Health Survey recorded the lowest levels of physical activity – which it termed ‘sedentary’ – among residents who were overseas-born, spoke languages other than English, were unemployed, had limited formal education or were in receipt of low incomes. The earlier, 2015 VicHealth Indicators Survey, produced similar findings, as well as the observation that the proportion of residents who engage in no physical activity in a typical week ranged from 14% among the least disadvantaged fifth of the community, to 25% among the </w:t>
      </w:r>
      <w:r w:rsidRPr="003A4360">
        <w:rPr>
          <w:rFonts w:ascii="Calibri" w:hAnsi="Calibri"/>
          <w:i/>
          <w:lang w:val="en-US"/>
        </w:rPr>
        <w:t>most</w:t>
      </w:r>
      <w:r>
        <w:rPr>
          <w:rFonts w:ascii="Calibri" w:hAnsi="Calibri"/>
          <w:lang w:val="en-US"/>
        </w:rPr>
        <w:t xml:space="preserve"> disadvantaged (diagram, below).</w:t>
      </w:r>
    </w:p>
    <w:p w14:paraId="4191F372" w14:textId="77777777" w:rsidR="00C65183" w:rsidRDefault="00C65183" w:rsidP="00C65183">
      <w:pPr>
        <w:jc w:val="both"/>
        <w:rPr>
          <w:rFonts w:ascii="Calibri" w:hAnsi="Calibri"/>
          <w:bCs/>
          <w:color w:val="7F7F7F"/>
          <w:sz w:val="18"/>
          <w:szCs w:val="18"/>
        </w:rPr>
      </w:pPr>
      <w:r>
        <w:rPr>
          <w:noProof/>
          <w:lang w:val="en-US"/>
        </w:rPr>
        <w:drawing>
          <wp:anchor distT="0" distB="0" distL="114300" distR="114300" simplePos="0" relativeHeight="251875328" behindDoc="0" locked="0" layoutInCell="1" allowOverlap="1" wp14:anchorId="55B6E67B" wp14:editId="64B4E4E8">
            <wp:simplePos x="0" y="0"/>
            <wp:positionH relativeFrom="column">
              <wp:posOffset>1836420</wp:posOffset>
            </wp:positionH>
            <wp:positionV relativeFrom="paragraph">
              <wp:posOffset>0</wp:posOffset>
            </wp:positionV>
            <wp:extent cx="4198620" cy="2940685"/>
            <wp:effectExtent l="0" t="0" r="0" b="0"/>
            <wp:wrapSquare wrapText="bothSides"/>
            <wp:docPr id="36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2" cstate="print">
                      <a:extLst>
                        <a:ext uri="{28A0092B-C50C-407E-A947-70E740481C1C}">
                          <a14:useLocalDpi xmlns:a14="http://schemas.microsoft.com/office/drawing/2010/main" val="0"/>
                        </a:ext>
                      </a:extLst>
                    </a:blip>
                    <a:srcRect/>
                    <a:stretch>
                      <a:fillRect/>
                    </a:stretch>
                  </pic:blipFill>
                  <pic:spPr bwMode="auto">
                    <a:xfrm>
                      <a:off x="0" y="0"/>
                      <a:ext cx="4198620" cy="294068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735447E" w14:textId="77777777" w:rsidR="00C65183" w:rsidRDefault="00C65183" w:rsidP="00C65183">
      <w:pPr>
        <w:jc w:val="both"/>
        <w:rPr>
          <w:rFonts w:ascii="Calibri" w:hAnsi="Calibri"/>
          <w:bCs/>
          <w:color w:val="7F7F7F"/>
          <w:sz w:val="18"/>
          <w:szCs w:val="18"/>
        </w:rPr>
      </w:pPr>
    </w:p>
    <w:p w14:paraId="719154B6" w14:textId="77777777" w:rsidR="00C65183" w:rsidRDefault="00C65183" w:rsidP="00C65183">
      <w:pPr>
        <w:jc w:val="both"/>
        <w:rPr>
          <w:rFonts w:ascii="Calibri" w:hAnsi="Calibri"/>
          <w:bCs/>
          <w:color w:val="7F7F7F"/>
          <w:sz w:val="18"/>
          <w:szCs w:val="18"/>
        </w:rPr>
      </w:pPr>
    </w:p>
    <w:p w14:paraId="6F6BBA22" w14:textId="77777777" w:rsidR="00C65183" w:rsidRDefault="00C65183" w:rsidP="00C65183">
      <w:pPr>
        <w:jc w:val="both"/>
        <w:rPr>
          <w:rFonts w:ascii="Calibri" w:hAnsi="Calibri"/>
          <w:bCs/>
          <w:color w:val="7F7F7F"/>
          <w:sz w:val="18"/>
          <w:szCs w:val="18"/>
        </w:rPr>
      </w:pPr>
    </w:p>
    <w:p w14:paraId="12D09979" w14:textId="77777777" w:rsidR="00C65183" w:rsidRPr="00973C5B" w:rsidRDefault="00C65183" w:rsidP="00C65183">
      <w:pPr>
        <w:jc w:val="both"/>
        <w:rPr>
          <w:rFonts w:ascii="Calibri" w:hAnsi="Calibri"/>
          <w:bCs/>
          <w:color w:val="7F7F7F"/>
          <w:sz w:val="20"/>
          <w:szCs w:val="20"/>
        </w:rPr>
      </w:pPr>
      <w:r w:rsidRPr="00973C5B">
        <w:rPr>
          <w:rFonts w:ascii="Calibri" w:hAnsi="Calibri"/>
          <w:bCs/>
          <w:color w:val="7F7F7F"/>
          <w:sz w:val="20"/>
          <w:szCs w:val="20"/>
        </w:rPr>
        <w:t xml:space="preserve">Percentage of people who </w:t>
      </w:r>
      <w:r w:rsidRPr="00973C5B">
        <w:rPr>
          <w:rFonts w:ascii="Calibri" w:hAnsi="Calibri"/>
          <w:color w:val="7F7F7F"/>
          <w:sz w:val="20"/>
          <w:szCs w:val="20"/>
        </w:rPr>
        <w:t>engage in physical activity on no days per week</w:t>
      </w:r>
      <w:r w:rsidRPr="00973C5B">
        <w:rPr>
          <w:rFonts w:ascii="Calibri" w:hAnsi="Calibri"/>
          <w:bCs/>
          <w:color w:val="7F7F7F"/>
          <w:sz w:val="20"/>
          <w:szCs w:val="20"/>
        </w:rPr>
        <w:t>, by selected characteristics: Victoria, 2015</w:t>
      </w:r>
    </w:p>
    <w:p w14:paraId="679C78D1" w14:textId="77777777" w:rsidR="00C65183" w:rsidRPr="002E6D0C" w:rsidRDefault="00C65183" w:rsidP="00C65183">
      <w:pPr>
        <w:jc w:val="right"/>
        <w:rPr>
          <w:rFonts w:ascii="Calibri" w:hAnsi="Calibri"/>
        </w:rPr>
      </w:pPr>
    </w:p>
    <w:p w14:paraId="78D3DD2A" w14:textId="77777777" w:rsidR="00C65183" w:rsidRDefault="00C65183" w:rsidP="00C65183">
      <w:pPr>
        <w:jc w:val="both"/>
        <w:rPr>
          <w:rFonts w:ascii="Calibri" w:hAnsi="Calibri"/>
          <w:b/>
        </w:rPr>
      </w:pPr>
    </w:p>
    <w:p w14:paraId="72D87C08" w14:textId="77777777" w:rsidR="00C65183" w:rsidRDefault="00C65183" w:rsidP="00C65183">
      <w:pPr>
        <w:jc w:val="both"/>
        <w:rPr>
          <w:rFonts w:ascii="Calibri" w:hAnsi="Calibri"/>
          <w:b/>
        </w:rPr>
      </w:pPr>
      <w:r>
        <w:rPr>
          <w:rFonts w:ascii="Calibri" w:hAnsi="Calibri"/>
          <w:b/>
          <w:noProof/>
          <w:lang w:val="en-US"/>
        </w:rPr>
        <w:drawing>
          <wp:anchor distT="0" distB="0" distL="114300" distR="114300" simplePos="0" relativeHeight="251876352" behindDoc="0" locked="0" layoutInCell="1" allowOverlap="1" wp14:anchorId="0ABE8B86" wp14:editId="4AFB5517">
            <wp:simplePos x="0" y="0"/>
            <wp:positionH relativeFrom="column">
              <wp:posOffset>8573</wp:posOffset>
            </wp:positionH>
            <wp:positionV relativeFrom="paragraph">
              <wp:posOffset>70803</wp:posOffset>
            </wp:positionV>
            <wp:extent cx="1362075" cy="1000125"/>
            <wp:effectExtent l="0" t="0" r="0" b="9525"/>
            <wp:wrapNone/>
            <wp:docPr id="368" name="Picture 3" descr="soccer.jpg"/>
            <wp:cNvGraphicFramePr/>
            <a:graphic xmlns:a="http://schemas.openxmlformats.org/drawingml/2006/main">
              <a:graphicData uri="http://schemas.openxmlformats.org/drawingml/2006/picture">
                <pic:pic xmlns:pic="http://schemas.openxmlformats.org/drawingml/2006/picture">
                  <pic:nvPicPr>
                    <pic:cNvPr id="167" name="Picture 166" descr="soccer.jpg"/>
                    <pic:cNvPicPr>
                      <a:picLocks/>
                    </pic:cNvPicPr>
                  </pic:nvPicPr>
                  <pic:blipFill>
                    <a:blip r:embed="rId243" cstate="print"/>
                    <a:stretch>
                      <a:fillRect/>
                    </a:stretch>
                  </pic:blipFill>
                  <pic:spPr>
                    <a:xfrm>
                      <a:off x="0" y="0"/>
                      <a:ext cx="1376102" cy="1010425"/>
                    </a:xfrm>
                    <a:prstGeom prst="rect">
                      <a:avLst/>
                    </a:prstGeom>
                    <a:ln>
                      <a:noFill/>
                    </a:ln>
                    <a:effectLst>
                      <a:softEdge rad="317500"/>
                    </a:effectLst>
                  </pic:spPr>
                </pic:pic>
              </a:graphicData>
            </a:graphic>
            <wp14:sizeRelH relativeFrom="margin">
              <wp14:pctWidth>0</wp14:pctWidth>
            </wp14:sizeRelH>
            <wp14:sizeRelV relativeFrom="margin">
              <wp14:pctHeight>0</wp14:pctHeight>
            </wp14:sizeRelV>
          </wp:anchor>
        </w:drawing>
      </w:r>
    </w:p>
    <w:p w14:paraId="761B2EC5" w14:textId="77777777" w:rsidR="00C65183" w:rsidRDefault="00C65183" w:rsidP="00C65183">
      <w:pPr>
        <w:jc w:val="both"/>
        <w:rPr>
          <w:rFonts w:ascii="Calibri" w:hAnsi="Calibri"/>
          <w:b/>
        </w:rPr>
      </w:pPr>
    </w:p>
    <w:p w14:paraId="0BDE431D" w14:textId="77777777" w:rsidR="00C65183" w:rsidRDefault="00C65183" w:rsidP="00C65183">
      <w:pPr>
        <w:jc w:val="both"/>
        <w:rPr>
          <w:rFonts w:ascii="Calibri" w:hAnsi="Calibri"/>
          <w:b/>
        </w:rPr>
      </w:pPr>
    </w:p>
    <w:p w14:paraId="68C179A3" w14:textId="77777777" w:rsidR="00C65183" w:rsidRDefault="00C65183" w:rsidP="00C65183">
      <w:pPr>
        <w:jc w:val="both"/>
        <w:rPr>
          <w:rFonts w:ascii="Calibri" w:hAnsi="Calibri"/>
          <w:b/>
        </w:rPr>
      </w:pPr>
    </w:p>
    <w:p w14:paraId="616454B4" w14:textId="77777777" w:rsidR="00C65183" w:rsidRDefault="00C65183" w:rsidP="00C65183">
      <w:pPr>
        <w:jc w:val="both"/>
        <w:rPr>
          <w:rFonts w:ascii="Calibri" w:hAnsi="Calibri"/>
          <w:b/>
        </w:rPr>
      </w:pPr>
    </w:p>
    <w:p w14:paraId="61126C35" w14:textId="77777777" w:rsidR="00C65183" w:rsidRDefault="00C65183" w:rsidP="00C65183">
      <w:pPr>
        <w:jc w:val="both"/>
        <w:rPr>
          <w:rFonts w:ascii="Calibri" w:hAnsi="Calibri"/>
          <w:b/>
        </w:rPr>
      </w:pPr>
    </w:p>
    <w:p w14:paraId="1ACE1FE6" w14:textId="77777777" w:rsidR="00C65183" w:rsidRDefault="00C65183" w:rsidP="00C65183">
      <w:pPr>
        <w:jc w:val="both"/>
        <w:rPr>
          <w:rFonts w:ascii="Calibri" w:hAnsi="Calibri"/>
          <w:b/>
        </w:rPr>
      </w:pPr>
    </w:p>
    <w:p w14:paraId="70AA6A95" w14:textId="77777777" w:rsidR="00C65183" w:rsidRDefault="00C65183" w:rsidP="00C65183">
      <w:pPr>
        <w:jc w:val="both"/>
        <w:rPr>
          <w:rFonts w:ascii="Calibri" w:hAnsi="Calibri"/>
          <w:b/>
        </w:rPr>
      </w:pPr>
    </w:p>
    <w:p w14:paraId="54C7C087" w14:textId="77777777" w:rsidR="00C65183" w:rsidRDefault="00C65183" w:rsidP="00C65183">
      <w:pPr>
        <w:jc w:val="both"/>
        <w:rPr>
          <w:rFonts w:ascii="Calibri" w:hAnsi="Calibri"/>
          <w:b/>
        </w:rPr>
      </w:pPr>
    </w:p>
    <w:p w14:paraId="0E31D230" w14:textId="77777777" w:rsidR="00C65183" w:rsidRDefault="00C65183" w:rsidP="00C65183">
      <w:pPr>
        <w:spacing w:line="360" w:lineRule="auto"/>
        <w:jc w:val="both"/>
        <w:rPr>
          <w:rFonts w:ascii="Calibri" w:hAnsi="Calibri"/>
          <w:lang w:val="en-US"/>
        </w:rPr>
      </w:pPr>
    </w:p>
    <w:p w14:paraId="2859386E" w14:textId="77777777" w:rsidR="00C65183" w:rsidRDefault="00C65183" w:rsidP="00C65183">
      <w:pPr>
        <w:spacing w:line="360" w:lineRule="auto"/>
        <w:jc w:val="both"/>
        <w:rPr>
          <w:rFonts w:ascii="Calibri" w:hAnsi="Calibri"/>
          <w:lang w:val="en-US"/>
        </w:rPr>
      </w:pPr>
      <w:r>
        <w:rPr>
          <w:noProof/>
          <w:lang w:val="en-US"/>
        </w:rPr>
        <w:drawing>
          <wp:anchor distT="0" distB="0" distL="114300" distR="114300" simplePos="0" relativeHeight="251879424" behindDoc="0" locked="0" layoutInCell="1" allowOverlap="1" wp14:anchorId="26FC4326" wp14:editId="36A8E2F2">
            <wp:simplePos x="0" y="0"/>
            <wp:positionH relativeFrom="margin">
              <wp:posOffset>4685348</wp:posOffset>
            </wp:positionH>
            <wp:positionV relativeFrom="paragraph">
              <wp:posOffset>4128</wp:posOffset>
            </wp:positionV>
            <wp:extent cx="1351674" cy="799782"/>
            <wp:effectExtent l="0" t="0" r="1270" b="635"/>
            <wp:wrapNone/>
            <wp:docPr id="365" name="Picture 4" descr="swimming.png"/>
            <wp:cNvGraphicFramePr/>
            <a:graphic xmlns:a="http://schemas.openxmlformats.org/drawingml/2006/main">
              <a:graphicData uri="http://schemas.openxmlformats.org/drawingml/2006/picture">
                <pic:pic xmlns:pic="http://schemas.openxmlformats.org/drawingml/2006/picture">
                  <pic:nvPicPr>
                    <pic:cNvPr id="170" name="Picture 169" descr="swimming.png"/>
                    <pic:cNvPicPr>
                      <a:picLocks/>
                    </pic:cNvPicPr>
                  </pic:nvPicPr>
                  <pic:blipFill>
                    <a:blip r:embed="rId244" cstate="print"/>
                    <a:stretch>
                      <a:fillRect/>
                    </a:stretch>
                  </pic:blipFill>
                  <pic:spPr>
                    <a:xfrm>
                      <a:off x="0" y="0"/>
                      <a:ext cx="1356506" cy="802641"/>
                    </a:xfrm>
                    <a:prstGeom prst="rect">
                      <a:avLst/>
                    </a:prstGeom>
                    <a:ln>
                      <a:noFill/>
                    </a:ln>
                    <a:effectLst>
                      <a:softEdge rad="152400"/>
                    </a:effectLst>
                  </pic:spPr>
                </pic:pic>
              </a:graphicData>
            </a:graphic>
            <wp14:sizeRelH relativeFrom="margin">
              <wp14:pctWidth>0</wp14:pctWidth>
            </wp14:sizeRelH>
            <wp14:sizeRelV relativeFrom="margin">
              <wp14:pctHeight>0</wp14:pctHeight>
            </wp14:sizeRelV>
          </wp:anchor>
        </w:drawing>
      </w:r>
    </w:p>
    <w:p w14:paraId="01D6A842" w14:textId="77777777" w:rsidR="00C65183" w:rsidRDefault="00C65183" w:rsidP="00C65183">
      <w:pPr>
        <w:spacing w:line="360" w:lineRule="auto"/>
        <w:jc w:val="both"/>
        <w:rPr>
          <w:rFonts w:ascii="Calibri" w:hAnsi="Calibri"/>
          <w:lang w:val="en-US"/>
        </w:rPr>
      </w:pPr>
    </w:p>
    <w:p w14:paraId="2301ACB7" w14:textId="77777777" w:rsidR="00C65183" w:rsidRDefault="00C65183" w:rsidP="00C65183">
      <w:pPr>
        <w:spacing w:line="360" w:lineRule="auto"/>
        <w:jc w:val="both"/>
        <w:rPr>
          <w:rFonts w:ascii="Calibri" w:hAnsi="Calibri"/>
          <w:lang w:val="en-US"/>
        </w:rPr>
      </w:pPr>
    </w:p>
    <w:p w14:paraId="124BBFED" w14:textId="77777777" w:rsidR="00C65183" w:rsidRDefault="00C65183" w:rsidP="00C65183">
      <w:pPr>
        <w:spacing w:line="360" w:lineRule="auto"/>
        <w:jc w:val="both"/>
        <w:rPr>
          <w:rFonts w:ascii="Calibri" w:hAnsi="Calibri"/>
          <w:i/>
          <w:lang w:val="en-US"/>
        </w:rPr>
      </w:pPr>
      <w:r w:rsidRPr="000A087A">
        <w:rPr>
          <w:rFonts w:ascii="Calibri" w:hAnsi="Calibri"/>
          <w:i/>
          <w:lang w:val="en-US"/>
        </w:rPr>
        <w:t>Local Measures</w:t>
      </w:r>
      <w:r>
        <w:rPr>
          <w:rFonts w:ascii="Calibri" w:hAnsi="Calibri"/>
          <w:i/>
          <w:lang w:val="en-US"/>
        </w:rPr>
        <w:t xml:space="preserve"> of Physical Activity</w:t>
      </w:r>
    </w:p>
    <w:p w14:paraId="7F0EB099" w14:textId="77777777" w:rsidR="00C65183" w:rsidRDefault="00C65183" w:rsidP="00C65183">
      <w:pPr>
        <w:spacing w:line="360" w:lineRule="auto"/>
        <w:jc w:val="both"/>
        <w:rPr>
          <w:rFonts w:ascii="Calibri" w:hAnsi="Calibri"/>
          <w:lang w:val="en-US"/>
        </w:rPr>
      </w:pPr>
      <w:r>
        <w:rPr>
          <w:rFonts w:ascii="Calibri" w:hAnsi="Calibri"/>
          <w:lang w:val="en-US"/>
        </w:rPr>
        <w:t xml:space="preserve">Surveys paint a picture of relatively sedentary physical activity among residents of Greater Dandenong. </w:t>
      </w:r>
    </w:p>
    <w:p w14:paraId="7199E50D" w14:textId="77777777" w:rsidR="00C65183" w:rsidRDefault="00C65183" w:rsidP="00C65183">
      <w:pPr>
        <w:spacing w:line="360" w:lineRule="auto"/>
        <w:jc w:val="both"/>
        <w:rPr>
          <w:rFonts w:ascii="Calibri" w:hAnsi="Calibri"/>
          <w:color w:val="000000"/>
        </w:rPr>
      </w:pPr>
      <w:r>
        <w:rPr>
          <w:rFonts w:ascii="Calibri" w:hAnsi="Calibri"/>
          <w:color w:val="000000"/>
        </w:rPr>
        <w:t>The 2017 Victorian Population Health Survey reported that 44% of adults in Greater Dandenong engaged in insufficient exercise, compared with 51% of those across Victoria.</w:t>
      </w:r>
    </w:p>
    <w:p w14:paraId="37F50D26" w14:textId="77777777" w:rsidR="00C65183" w:rsidRPr="00595802" w:rsidRDefault="00C65183" w:rsidP="00C65183">
      <w:pPr>
        <w:spacing w:line="360" w:lineRule="auto"/>
        <w:jc w:val="both"/>
        <w:rPr>
          <w:rFonts w:ascii="Calibri" w:hAnsi="Calibri"/>
          <w:color w:val="000000"/>
        </w:rPr>
      </w:pPr>
      <w:r w:rsidRPr="00595802">
        <w:rPr>
          <w:rFonts w:ascii="Calibri" w:hAnsi="Calibri"/>
          <w:color w:val="000000"/>
        </w:rPr>
        <w:t>The 2015 VicHealth Indicators Survey</w:t>
      </w:r>
      <w:r>
        <w:rPr>
          <w:rFonts w:ascii="Calibri" w:hAnsi="Calibri"/>
          <w:color w:val="000000"/>
        </w:rPr>
        <w:t>,</w:t>
      </w:r>
      <w:r w:rsidRPr="00595802">
        <w:rPr>
          <w:rFonts w:ascii="Calibri" w:hAnsi="Calibri"/>
          <w:color w:val="000000"/>
        </w:rPr>
        <w:t xml:space="preserve"> documented the proportion of residents who </w:t>
      </w:r>
      <w:r>
        <w:rPr>
          <w:rFonts w:ascii="Calibri" w:hAnsi="Calibri"/>
          <w:color w:val="000000"/>
        </w:rPr>
        <w:t>did not engage in</w:t>
      </w:r>
      <w:r w:rsidRPr="00595802">
        <w:rPr>
          <w:rFonts w:ascii="Calibri" w:hAnsi="Calibri"/>
          <w:color w:val="000000"/>
        </w:rPr>
        <w:t xml:space="preserve"> physical activity for 30 minutes or more</w:t>
      </w:r>
      <w:r>
        <w:rPr>
          <w:rFonts w:ascii="Calibri" w:hAnsi="Calibri"/>
          <w:color w:val="000000"/>
        </w:rPr>
        <w:t xml:space="preserve"> on any day of the week</w:t>
      </w:r>
      <w:r w:rsidRPr="00595802">
        <w:rPr>
          <w:rFonts w:ascii="Calibri" w:hAnsi="Calibri"/>
          <w:color w:val="000000"/>
        </w:rPr>
        <w:t>. Results ranged from 33% for Greater Dandenong</w:t>
      </w:r>
      <w:r>
        <w:rPr>
          <w:rFonts w:ascii="Calibri" w:hAnsi="Calibri"/>
          <w:color w:val="000000"/>
        </w:rPr>
        <w:t>,</w:t>
      </w:r>
      <w:r w:rsidRPr="00595802">
        <w:rPr>
          <w:rFonts w:ascii="Calibri" w:hAnsi="Calibri"/>
          <w:color w:val="000000"/>
        </w:rPr>
        <w:t xml:space="preserve"> to 7% among residents of Port Phillip, with an overall figure of 18% among metropolitan residents.</w:t>
      </w:r>
      <w:r>
        <w:rPr>
          <w:rFonts w:ascii="Calibri" w:hAnsi="Calibri"/>
          <w:color w:val="000000"/>
        </w:rPr>
        <w:t xml:space="preserve"> </w:t>
      </w:r>
      <w:r w:rsidRPr="00595802">
        <w:rPr>
          <w:rFonts w:ascii="Calibri" w:hAnsi="Calibri"/>
          <w:color w:val="000000"/>
        </w:rPr>
        <w:t>Further inquiries revealed that 30% of Greater Dandenong residents participated in 30 minutes or more of physical activity on four or more days each week - the second lowest proportion of respondents in Victoria</w:t>
      </w:r>
      <w:r>
        <w:rPr>
          <w:rFonts w:ascii="Calibri" w:hAnsi="Calibri"/>
          <w:color w:val="000000"/>
        </w:rPr>
        <w:t>,</w:t>
      </w:r>
      <w:r w:rsidRPr="00595802">
        <w:rPr>
          <w:rFonts w:ascii="Calibri" w:hAnsi="Calibri"/>
          <w:color w:val="000000"/>
        </w:rPr>
        <w:t xml:space="preserve"> and less than the corresponding proportion of 41% among metropolitan residents.</w:t>
      </w:r>
    </w:p>
    <w:p w14:paraId="4F063429" w14:textId="77777777" w:rsidR="00C65183" w:rsidRDefault="00C65183" w:rsidP="00C65183">
      <w:pPr>
        <w:spacing w:line="360" w:lineRule="auto"/>
        <w:jc w:val="both"/>
        <w:rPr>
          <w:rFonts w:ascii="Calibri" w:hAnsi="Calibri"/>
          <w:lang w:val="en-US"/>
        </w:rPr>
      </w:pPr>
      <w:r w:rsidRPr="002E6D0C">
        <w:rPr>
          <w:rFonts w:ascii="Calibri" w:hAnsi="Calibri"/>
          <w:lang w:val="en-US"/>
        </w:rPr>
        <w:t xml:space="preserve">Other questions disclosed that relatively low proportions of Greater Dandenong residents </w:t>
      </w:r>
      <w:r>
        <w:rPr>
          <w:rFonts w:ascii="Calibri" w:hAnsi="Calibri"/>
          <w:lang w:val="en-US"/>
        </w:rPr>
        <w:t>participated</w:t>
      </w:r>
      <w:r w:rsidRPr="002E6D0C">
        <w:rPr>
          <w:rFonts w:ascii="Calibri" w:hAnsi="Calibri"/>
          <w:lang w:val="en-US"/>
        </w:rPr>
        <w:t xml:space="preserve"> in either organized or non-organized physical activity at least weekly, or in activities s</w:t>
      </w:r>
      <w:r>
        <w:rPr>
          <w:rFonts w:ascii="Calibri" w:hAnsi="Calibri"/>
          <w:lang w:val="en-US"/>
        </w:rPr>
        <w:t xml:space="preserve">uch as walking, jogging or gym. </w:t>
      </w:r>
      <w:r w:rsidRPr="002E6D0C">
        <w:rPr>
          <w:rFonts w:ascii="Calibri" w:hAnsi="Calibri"/>
          <w:lang w:val="en-US"/>
        </w:rPr>
        <w:t>Results for Greater Dandenong and metropolitan Melbourne are presented in the accompanying table.</w:t>
      </w:r>
    </w:p>
    <w:p w14:paraId="3C0BDC11" w14:textId="77777777" w:rsidR="00C65183" w:rsidRDefault="00C65183" w:rsidP="00C65183">
      <w:pPr>
        <w:jc w:val="center"/>
        <w:rPr>
          <w:rFonts w:ascii="Calibri" w:hAnsi="Calibri"/>
          <w:b/>
        </w:rPr>
      </w:pPr>
      <w:r>
        <w:rPr>
          <w:noProof/>
          <w:lang w:val="en-US"/>
        </w:rPr>
        <w:lastRenderedPageBreak/>
        <w:drawing>
          <wp:inline distT="0" distB="0" distL="0" distR="0" wp14:anchorId="0817251A" wp14:editId="7AF6F8FC">
            <wp:extent cx="5886996" cy="1931670"/>
            <wp:effectExtent l="0" t="0" r="0" b="0"/>
            <wp:docPr id="36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5" cstate="print">
                      <a:extLst>
                        <a:ext uri="{28A0092B-C50C-407E-A947-70E740481C1C}">
                          <a14:useLocalDpi xmlns:a14="http://schemas.microsoft.com/office/drawing/2010/main" val="0"/>
                        </a:ext>
                      </a:extLst>
                    </a:blip>
                    <a:srcRect/>
                    <a:stretch>
                      <a:fillRect/>
                    </a:stretch>
                  </pic:blipFill>
                  <pic:spPr bwMode="auto">
                    <a:xfrm>
                      <a:off x="0" y="0"/>
                      <a:ext cx="5899471" cy="1935763"/>
                    </a:xfrm>
                    <a:prstGeom prst="rect">
                      <a:avLst/>
                    </a:prstGeom>
                    <a:noFill/>
                    <a:ln>
                      <a:noFill/>
                    </a:ln>
                  </pic:spPr>
                </pic:pic>
              </a:graphicData>
            </a:graphic>
          </wp:inline>
        </w:drawing>
      </w:r>
    </w:p>
    <w:p w14:paraId="2E06437B" w14:textId="77777777" w:rsidR="00C65183" w:rsidRPr="006A533A" w:rsidRDefault="00C65183" w:rsidP="00C65183">
      <w:pPr>
        <w:spacing w:line="360" w:lineRule="auto"/>
        <w:jc w:val="both"/>
        <w:rPr>
          <w:rFonts w:ascii="Calibri" w:hAnsi="Calibri"/>
          <w:sz w:val="8"/>
          <w:szCs w:val="8"/>
          <w:lang w:val="en-US"/>
        </w:rPr>
      </w:pPr>
    </w:p>
    <w:p w14:paraId="41578E37" w14:textId="77777777" w:rsidR="00C65183" w:rsidRDefault="00C65183" w:rsidP="00C65183">
      <w:pPr>
        <w:spacing w:line="360" w:lineRule="auto"/>
        <w:jc w:val="both"/>
        <w:rPr>
          <w:rFonts w:ascii="Calibri" w:hAnsi="Calibri"/>
          <w:b/>
        </w:rPr>
      </w:pPr>
    </w:p>
    <w:p w14:paraId="56F7A73A" w14:textId="77777777" w:rsidR="00C65183" w:rsidRDefault="00C65183" w:rsidP="00C65183">
      <w:pPr>
        <w:spacing w:line="360" w:lineRule="auto"/>
        <w:jc w:val="both"/>
        <w:rPr>
          <w:rFonts w:ascii="Calibri" w:hAnsi="Calibri"/>
          <w:b/>
        </w:rPr>
      </w:pPr>
      <w:r w:rsidRPr="00797DDC">
        <w:rPr>
          <w:rFonts w:ascii="Calibri" w:hAnsi="Calibri"/>
          <w:b/>
        </w:rPr>
        <w:t>Patterns of Sport and</w:t>
      </w:r>
      <w:r>
        <w:rPr>
          <w:rFonts w:ascii="Calibri" w:hAnsi="Calibri"/>
          <w:b/>
        </w:rPr>
        <w:t xml:space="preserve"> other</w:t>
      </w:r>
      <w:r w:rsidRPr="00797DDC">
        <w:rPr>
          <w:rFonts w:ascii="Calibri" w:hAnsi="Calibri"/>
          <w:b/>
        </w:rPr>
        <w:t xml:space="preserve"> Physical Recreation</w:t>
      </w:r>
    </w:p>
    <w:p w14:paraId="75D72E57" w14:textId="77777777" w:rsidR="00C65183" w:rsidRPr="00836A94" w:rsidRDefault="00C65183" w:rsidP="00C65183">
      <w:pPr>
        <w:spacing w:line="312" w:lineRule="auto"/>
        <w:jc w:val="both"/>
        <w:rPr>
          <w:rFonts w:asciiTheme="minorHAnsi" w:hAnsiTheme="minorHAnsi" w:cstheme="minorHAnsi"/>
        </w:rPr>
      </w:pPr>
      <w:r w:rsidRPr="00B12608">
        <w:rPr>
          <w:rFonts w:asciiTheme="minorHAnsi" w:hAnsiTheme="minorHAnsi" w:cstheme="minorHAnsi"/>
          <w:noProof/>
          <w:color w:val="0F243E" w:themeColor="text2" w:themeShade="80"/>
        </w:rPr>
        <w:drawing>
          <wp:anchor distT="0" distB="0" distL="114300" distR="114300" simplePos="0" relativeHeight="251883520" behindDoc="0" locked="0" layoutInCell="1" allowOverlap="1" wp14:anchorId="6FBAD1A2" wp14:editId="6D0917E1">
            <wp:simplePos x="0" y="0"/>
            <wp:positionH relativeFrom="margin">
              <wp:align>left</wp:align>
            </wp:positionH>
            <wp:positionV relativeFrom="paragraph">
              <wp:posOffset>104140</wp:posOffset>
            </wp:positionV>
            <wp:extent cx="3474085" cy="2514600"/>
            <wp:effectExtent l="0" t="0" r="0" b="0"/>
            <wp:wrapSquare wrapText="bothSides"/>
            <wp:docPr id="371" name="Picture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3474085" cy="2514600"/>
                    </a:xfrm>
                    <a:prstGeom prst="rect">
                      <a:avLst/>
                    </a:prstGeom>
                    <a:noFill/>
                  </pic:spPr>
                </pic:pic>
              </a:graphicData>
            </a:graphic>
            <wp14:sizeRelH relativeFrom="page">
              <wp14:pctWidth>0</wp14:pctWidth>
            </wp14:sizeRelH>
            <wp14:sizeRelV relativeFrom="page">
              <wp14:pctHeight>0</wp14:pctHeight>
            </wp14:sizeRelV>
          </wp:anchor>
        </w:drawing>
      </w:r>
      <w:r>
        <w:rPr>
          <w:rFonts w:asciiTheme="minorHAnsi" w:hAnsiTheme="minorHAnsi" w:cstheme="minorHAnsi"/>
        </w:rPr>
        <w:t>F</w:t>
      </w:r>
      <w:r w:rsidRPr="00836A94">
        <w:rPr>
          <w:rFonts w:asciiTheme="minorHAnsi" w:hAnsiTheme="minorHAnsi" w:cstheme="minorHAnsi"/>
        </w:rPr>
        <w:t>indings from the AusPlay National Survey, conducted in 2018/19, provide a glimpse of some patterns of participation in sport and physical recreation. The proportion of people who did not participate in sport or physical recreation at least once per week, was greater for females among 15-17 and 35-44 year-olds, but higher for males among other age groups</w:t>
      </w:r>
    </w:p>
    <w:p w14:paraId="5B19AA61" w14:textId="77777777" w:rsidR="00C65183" w:rsidRPr="00836A94" w:rsidRDefault="00C65183" w:rsidP="00C65183">
      <w:pPr>
        <w:spacing w:line="312" w:lineRule="auto"/>
        <w:jc w:val="both"/>
        <w:rPr>
          <w:rFonts w:asciiTheme="minorHAnsi" w:hAnsiTheme="minorHAnsi" w:cstheme="minorHAnsi"/>
        </w:rPr>
      </w:pPr>
    </w:p>
    <w:p w14:paraId="02AA1EF0" w14:textId="77777777" w:rsidR="00C65183" w:rsidRPr="00836A94" w:rsidRDefault="00C65183" w:rsidP="00C65183">
      <w:pPr>
        <w:jc w:val="both"/>
        <w:rPr>
          <w:rFonts w:ascii="Calibri" w:hAnsi="Calibri"/>
          <w:color w:val="7F7F7F"/>
          <w:sz w:val="20"/>
          <w:szCs w:val="20"/>
          <w:lang w:val="en-US"/>
        </w:rPr>
      </w:pPr>
      <w:r w:rsidRPr="00836A94">
        <w:rPr>
          <w:rFonts w:ascii="Calibri" w:hAnsi="Calibri"/>
          <w:color w:val="7F7F7F"/>
          <w:sz w:val="20"/>
          <w:szCs w:val="20"/>
          <w:lang w:val="en-US"/>
        </w:rPr>
        <w:t xml:space="preserve">Per cent of persons who did not participate in sport or physical recreation at least once per week, by </w:t>
      </w:r>
      <w:r>
        <w:rPr>
          <w:rFonts w:ascii="Calibri" w:hAnsi="Calibri"/>
          <w:color w:val="7F7F7F"/>
          <w:sz w:val="20"/>
          <w:szCs w:val="20"/>
          <w:lang w:val="en-US"/>
        </w:rPr>
        <w:t>sex</w:t>
      </w:r>
      <w:r w:rsidRPr="00836A94">
        <w:rPr>
          <w:rFonts w:ascii="Calibri" w:hAnsi="Calibri"/>
          <w:color w:val="7F7F7F"/>
          <w:sz w:val="20"/>
          <w:szCs w:val="20"/>
          <w:lang w:val="en-US"/>
        </w:rPr>
        <w:t>: Victoria, 2018/19</w:t>
      </w:r>
    </w:p>
    <w:p w14:paraId="53718C8B" w14:textId="77777777" w:rsidR="00C65183" w:rsidRDefault="00C65183" w:rsidP="00C65183">
      <w:pPr>
        <w:spacing w:line="312" w:lineRule="auto"/>
        <w:jc w:val="both"/>
        <w:rPr>
          <w:rFonts w:asciiTheme="minorHAnsi" w:hAnsiTheme="minorHAnsi" w:cstheme="minorHAnsi"/>
        </w:rPr>
      </w:pPr>
    </w:p>
    <w:p w14:paraId="4629828B" w14:textId="77777777" w:rsidR="00C65183" w:rsidRPr="00836A94" w:rsidRDefault="00C65183" w:rsidP="00C65183">
      <w:pPr>
        <w:spacing w:line="312" w:lineRule="auto"/>
        <w:jc w:val="both"/>
        <w:rPr>
          <w:rFonts w:asciiTheme="minorHAnsi" w:hAnsiTheme="minorHAnsi" w:cstheme="minorHAnsi"/>
        </w:rPr>
      </w:pPr>
      <w:r w:rsidRPr="00836A94">
        <w:rPr>
          <w:rFonts w:asciiTheme="minorHAnsi" w:hAnsiTheme="minorHAnsi" w:cstheme="minorHAnsi"/>
          <w:noProof/>
        </w:rPr>
        <w:drawing>
          <wp:anchor distT="0" distB="0" distL="114300" distR="114300" simplePos="0" relativeHeight="251884544" behindDoc="0" locked="0" layoutInCell="1" allowOverlap="1" wp14:anchorId="10E5FF76" wp14:editId="62861AEC">
            <wp:simplePos x="0" y="0"/>
            <wp:positionH relativeFrom="margin">
              <wp:align>right</wp:align>
            </wp:positionH>
            <wp:positionV relativeFrom="paragraph">
              <wp:posOffset>184785</wp:posOffset>
            </wp:positionV>
            <wp:extent cx="3448050" cy="2354580"/>
            <wp:effectExtent l="0" t="0" r="0" b="7620"/>
            <wp:wrapSquare wrapText="bothSides"/>
            <wp:docPr id="372" name="Picture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3448050" cy="2354580"/>
                    </a:xfrm>
                    <a:prstGeom prst="rect">
                      <a:avLst/>
                    </a:prstGeom>
                    <a:noFill/>
                  </pic:spPr>
                </pic:pic>
              </a:graphicData>
            </a:graphic>
            <wp14:sizeRelH relativeFrom="page">
              <wp14:pctWidth>0</wp14:pctWidth>
            </wp14:sizeRelH>
            <wp14:sizeRelV relativeFrom="page">
              <wp14:pctHeight>0</wp14:pctHeight>
            </wp14:sizeRelV>
          </wp:anchor>
        </w:drawing>
      </w:r>
    </w:p>
    <w:p w14:paraId="4181FB5E" w14:textId="77777777" w:rsidR="00C65183" w:rsidRDefault="00C65183" w:rsidP="00C65183">
      <w:pPr>
        <w:spacing w:line="312" w:lineRule="auto"/>
        <w:jc w:val="both"/>
        <w:rPr>
          <w:rFonts w:asciiTheme="minorHAnsi" w:hAnsiTheme="minorHAnsi" w:cstheme="minorHAnsi"/>
        </w:rPr>
      </w:pPr>
      <w:r w:rsidRPr="00836A94">
        <w:rPr>
          <w:rFonts w:asciiTheme="minorHAnsi" w:hAnsiTheme="minorHAnsi" w:cstheme="minorHAnsi"/>
        </w:rPr>
        <w:t>E</w:t>
      </w:r>
      <w:r w:rsidRPr="00EF4FD5">
        <w:rPr>
          <w:rFonts w:asciiTheme="minorHAnsi" w:hAnsiTheme="minorHAnsi" w:cstheme="minorHAnsi"/>
        </w:rPr>
        <w:t xml:space="preserve">ducational attainments were associated levels of participation in physical recreation. In particular, 27% of people with incomplete secondary education did not participate in sport or physical recreation at least once per week, compared with 11% of those with a degree. </w:t>
      </w:r>
    </w:p>
    <w:p w14:paraId="32951C11" w14:textId="77777777" w:rsidR="00C65183" w:rsidRPr="00EE33F6" w:rsidRDefault="00C65183" w:rsidP="00C65183">
      <w:pPr>
        <w:spacing w:line="312" w:lineRule="auto"/>
        <w:jc w:val="both"/>
        <w:rPr>
          <w:rFonts w:asciiTheme="minorHAnsi" w:hAnsiTheme="minorHAnsi" w:cstheme="minorHAnsi"/>
          <w:sz w:val="8"/>
          <w:szCs w:val="8"/>
        </w:rPr>
      </w:pPr>
    </w:p>
    <w:p w14:paraId="1D6286A1" w14:textId="77777777" w:rsidR="00C65183" w:rsidRPr="00836A94" w:rsidRDefault="00C65183" w:rsidP="00C65183">
      <w:pPr>
        <w:jc w:val="both"/>
        <w:rPr>
          <w:rFonts w:ascii="Calibri" w:hAnsi="Calibri"/>
          <w:color w:val="7F7F7F"/>
          <w:sz w:val="20"/>
          <w:szCs w:val="20"/>
          <w:lang w:val="en-US"/>
        </w:rPr>
      </w:pPr>
      <w:r w:rsidRPr="00836A94">
        <w:rPr>
          <w:rFonts w:ascii="Calibri" w:hAnsi="Calibri"/>
          <w:color w:val="7F7F7F"/>
          <w:sz w:val="20"/>
          <w:szCs w:val="20"/>
          <w:lang w:val="en-US"/>
        </w:rPr>
        <w:t xml:space="preserve">Per cent of persons who did not participate in sport or physical recreation at least once per week, by </w:t>
      </w:r>
      <w:r>
        <w:rPr>
          <w:rFonts w:ascii="Calibri" w:hAnsi="Calibri"/>
          <w:color w:val="7F7F7F"/>
          <w:sz w:val="20"/>
          <w:szCs w:val="20"/>
          <w:lang w:val="en-US"/>
        </w:rPr>
        <w:t>sex</w:t>
      </w:r>
      <w:r w:rsidRPr="00836A94">
        <w:rPr>
          <w:rFonts w:ascii="Calibri" w:hAnsi="Calibri"/>
          <w:color w:val="7F7F7F"/>
          <w:sz w:val="20"/>
          <w:szCs w:val="20"/>
          <w:lang w:val="en-US"/>
        </w:rPr>
        <w:t xml:space="preserve"> and formal educational attainment: Victoria, 2018/19</w:t>
      </w:r>
    </w:p>
    <w:p w14:paraId="67D388C8" w14:textId="77777777" w:rsidR="00C65183" w:rsidRDefault="00C65183" w:rsidP="00C65183">
      <w:pPr>
        <w:spacing w:line="312" w:lineRule="auto"/>
        <w:jc w:val="both"/>
        <w:rPr>
          <w:rFonts w:asciiTheme="minorHAnsi" w:hAnsiTheme="minorHAnsi" w:cstheme="minorHAnsi"/>
          <w:color w:val="0F243E" w:themeColor="text2" w:themeShade="80"/>
        </w:rPr>
      </w:pPr>
    </w:p>
    <w:p w14:paraId="393346A2" w14:textId="77777777" w:rsidR="00C65183" w:rsidRPr="00836A94" w:rsidRDefault="00C65183" w:rsidP="00C65183">
      <w:pPr>
        <w:spacing w:line="312" w:lineRule="auto"/>
        <w:jc w:val="both"/>
        <w:rPr>
          <w:rFonts w:asciiTheme="minorHAnsi" w:hAnsiTheme="minorHAnsi" w:cstheme="minorHAnsi"/>
        </w:rPr>
      </w:pPr>
      <w:r w:rsidRPr="00EF4FD5">
        <w:rPr>
          <w:rFonts w:asciiTheme="minorHAnsi" w:hAnsiTheme="minorHAnsi" w:cstheme="minorHAnsi"/>
        </w:rPr>
        <w:t xml:space="preserve">The survey </w:t>
      </w:r>
      <w:r w:rsidRPr="00836A94">
        <w:rPr>
          <w:rFonts w:asciiTheme="minorHAnsi" w:hAnsiTheme="minorHAnsi" w:cstheme="minorHAnsi"/>
        </w:rPr>
        <w:t xml:space="preserve">also </w:t>
      </w:r>
      <w:r w:rsidRPr="00EF4FD5">
        <w:rPr>
          <w:rFonts w:asciiTheme="minorHAnsi" w:hAnsiTheme="minorHAnsi" w:cstheme="minorHAnsi"/>
        </w:rPr>
        <w:t xml:space="preserve">documented the proportion of Australian adults who participated in </w:t>
      </w:r>
      <w:r w:rsidRPr="00836A94">
        <w:rPr>
          <w:rFonts w:asciiTheme="minorHAnsi" w:hAnsiTheme="minorHAnsi" w:cstheme="minorHAnsi"/>
        </w:rPr>
        <w:t>specific</w:t>
      </w:r>
      <w:r w:rsidRPr="00EF4FD5">
        <w:rPr>
          <w:rFonts w:asciiTheme="minorHAnsi" w:hAnsiTheme="minorHAnsi" w:cstheme="minorHAnsi"/>
        </w:rPr>
        <w:t xml:space="preserve"> sporting and physical recreation activities. </w:t>
      </w:r>
      <w:r w:rsidRPr="00836A94">
        <w:rPr>
          <w:rFonts w:asciiTheme="minorHAnsi" w:hAnsiTheme="minorHAnsi" w:cstheme="minorHAnsi"/>
        </w:rPr>
        <w:t>[Victorian results were documented too, but for fewer activities]</w:t>
      </w:r>
    </w:p>
    <w:p w14:paraId="7F2996DB" w14:textId="77777777" w:rsidR="00C65183" w:rsidRPr="00EF4FD5" w:rsidRDefault="00C65183" w:rsidP="00C65183">
      <w:pPr>
        <w:spacing w:line="312" w:lineRule="auto"/>
        <w:jc w:val="both"/>
        <w:rPr>
          <w:rFonts w:asciiTheme="minorHAnsi" w:hAnsiTheme="minorHAnsi" w:cstheme="minorHAnsi"/>
        </w:rPr>
      </w:pPr>
      <w:r w:rsidRPr="00EF4FD5">
        <w:rPr>
          <w:rFonts w:asciiTheme="minorHAnsi" w:hAnsiTheme="minorHAnsi" w:cstheme="minorHAnsi"/>
        </w:rPr>
        <w:t>Women accounted for most participants in walking, fitness or gym, yoga, Pilates, netball and dance, while males predominated in cycling, basketball, golf, football, soccer, surfing, fishing and cricket.</w:t>
      </w:r>
    </w:p>
    <w:p w14:paraId="798D3FDF" w14:textId="77777777" w:rsidR="00C65183" w:rsidRPr="00836A94" w:rsidRDefault="00C65183" w:rsidP="00C65183">
      <w:pPr>
        <w:spacing w:line="312" w:lineRule="auto"/>
        <w:jc w:val="both"/>
        <w:rPr>
          <w:rFonts w:asciiTheme="minorHAnsi" w:hAnsiTheme="minorHAnsi" w:cstheme="minorHAnsi"/>
        </w:rPr>
      </w:pPr>
      <w:r w:rsidRPr="00836A94">
        <w:rPr>
          <w:rFonts w:asciiTheme="minorHAnsi" w:hAnsiTheme="minorHAnsi" w:cstheme="minorHAnsi"/>
          <w:noProof/>
        </w:rPr>
        <w:lastRenderedPageBreak/>
        <w:drawing>
          <wp:anchor distT="0" distB="0" distL="114300" distR="114300" simplePos="0" relativeHeight="251885568" behindDoc="0" locked="0" layoutInCell="1" allowOverlap="1" wp14:anchorId="4DC3AD65" wp14:editId="66DFD77A">
            <wp:simplePos x="0" y="0"/>
            <wp:positionH relativeFrom="margin">
              <wp:align>right</wp:align>
            </wp:positionH>
            <wp:positionV relativeFrom="paragraph">
              <wp:posOffset>10795</wp:posOffset>
            </wp:positionV>
            <wp:extent cx="3698875" cy="5317490"/>
            <wp:effectExtent l="0" t="0" r="0" b="0"/>
            <wp:wrapSquare wrapText="bothSides"/>
            <wp:docPr id="374" name="Picture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48">
                      <a:extLst>
                        <a:ext uri="{28A0092B-C50C-407E-A947-70E740481C1C}">
                          <a14:useLocalDpi xmlns:a14="http://schemas.microsoft.com/office/drawing/2010/main" val="0"/>
                        </a:ext>
                      </a:extLst>
                    </a:blip>
                    <a:srcRect t="1540" r="6265" b="1563"/>
                    <a:stretch/>
                  </pic:blipFill>
                  <pic:spPr bwMode="auto">
                    <a:xfrm>
                      <a:off x="0" y="0"/>
                      <a:ext cx="3698875" cy="53174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AD85901" w14:textId="77777777" w:rsidR="00C65183" w:rsidRPr="00836A94" w:rsidRDefault="00C65183" w:rsidP="00C65183">
      <w:pPr>
        <w:spacing w:line="312" w:lineRule="auto"/>
        <w:jc w:val="both"/>
        <w:rPr>
          <w:rFonts w:asciiTheme="minorHAnsi" w:hAnsiTheme="minorHAnsi" w:cstheme="minorHAnsi"/>
        </w:rPr>
      </w:pPr>
    </w:p>
    <w:p w14:paraId="18DB531B" w14:textId="77777777" w:rsidR="00C65183" w:rsidRPr="00836A94" w:rsidRDefault="00C65183" w:rsidP="00C65183">
      <w:pPr>
        <w:spacing w:line="312" w:lineRule="auto"/>
        <w:jc w:val="both"/>
        <w:rPr>
          <w:rFonts w:asciiTheme="minorHAnsi" w:hAnsiTheme="minorHAnsi" w:cstheme="minorHAnsi"/>
        </w:rPr>
      </w:pPr>
    </w:p>
    <w:p w14:paraId="3110012F" w14:textId="77777777" w:rsidR="00C65183" w:rsidRPr="00836A94" w:rsidRDefault="00C65183" w:rsidP="00C65183">
      <w:pPr>
        <w:jc w:val="both"/>
        <w:rPr>
          <w:rFonts w:ascii="Calibri" w:hAnsi="Calibri"/>
          <w:color w:val="7F7F7F"/>
          <w:sz w:val="20"/>
          <w:szCs w:val="20"/>
          <w:lang w:val="en-US"/>
        </w:rPr>
      </w:pPr>
      <w:r w:rsidRPr="00836A94">
        <w:rPr>
          <w:rFonts w:ascii="Calibri" w:hAnsi="Calibri"/>
          <w:color w:val="7F7F7F"/>
          <w:sz w:val="20"/>
          <w:szCs w:val="20"/>
          <w:lang w:val="en-US"/>
        </w:rPr>
        <w:t xml:space="preserve">Per cent of persons who participated in selected sporting or physical recreation activities, by </w:t>
      </w:r>
      <w:r>
        <w:rPr>
          <w:rFonts w:ascii="Calibri" w:hAnsi="Calibri"/>
          <w:color w:val="7F7F7F"/>
          <w:sz w:val="20"/>
          <w:szCs w:val="20"/>
          <w:lang w:val="en-US"/>
        </w:rPr>
        <w:t>sex</w:t>
      </w:r>
      <w:r w:rsidRPr="00836A94">
        <w:rPr>
          <w:rFonts w:ascii="Calibri" w:hAnsi="Calibri"/>
          <w:color w:val="7F7F7F"/>
          <w:sz w:val="20"/>
          <w:szCs w:val="20"/>
          <w:lang w:val="en-US"/>
        </w:rPr>
        <w:t xml:space="preserve"> and activity: Australia, 2018/19</w:t>
      </w:r>
    </w:p>
    <w:p w14:paraId="4E0A41C3" w14:textId="77777777" w:rsidR="00C65183" w:rsidRPr="00836A94" w:rsidRDefault="00C65183" w:rsidP="00C65183">
      <w:pPr>
        <w:spacing w:line="312" w:lineRule="auto"/>
        <w:jc w:val="both"/>
        <w:rPr>
          <w:rFonts w:asciiTheme="minorHAnsi" w:hAnsiTheme="minorHAnsi" w:cstheme="minorHAnsi"/>
        </w:rPr>
      </w:pPr>
    </w:p>
    <w:p w14:paraId="7A89BFEF" w14:textId="77777777" w:rsidR="00C65183" w:rsidRPr="00836A94" w:rsidRDefault="00C65183" w:rsidP="00C65183">
      <w:pPr>
        <w:spacing w:line="312" w:lineRule="auto"/>
        <w:jc w:val="both"/>
        <w:rPr>
          <w:rFonts w:asciiTheme="minorHAnsi" w:hAnsiTheme="minorHAnsi" w:cstheme="minorHAnsi"/>
        </w:rPr>
      </w:pPr>
    </w:p>
    <w:p w14:paraId="11953BD2" w14:textId="77777777" w:rsidR="00C65183" w:rsidRPr="00836A94" w:rsidRDefault="00C65183" w:rsidP="00C65183">
      <w:pPr>
        <w:spacing w:line="312" w:lineRule="auto"/>
        <w:jc w:val="both"/>
        <w:rPr>
          <w:rFonts w:asciiTheme="minorHAnsi" w:hAnsiTheme="minorHAnsi" w:cstheme="minorHAnsi"/>
        </w:rPr>
      </w:pPr>
    </w:p>
    <w:p w14:paraId="2524B4D8" w14:textId="77777777" w:rsidR="00C65183" w:rsidRPr="00836A94" w:rsidRDefault="00C65183" w:rsidP="00C65183">
      <w:pPr>
        <w:spacing w:line="312" w:lineRule="auto"/>
        <w:jc w:val="both"/>
        <w:rPr>
          <w:rFonts w:asciiTheme="minorHAnsi" w:hAnsiTheme="minorHAnsi" w:cstheme="minorHAnsi"/>
        </w:rPr>
      </w:pPr>
      <w:r>
        <w:rPr>
          <w:rFonts w:asciiTheme="minorHAnsi" w:hAnsiTheme="minorHAnsi"/>
          <w:noProof/>
          <w:lang w:val="en-US"/>
        </w:rPr>
        <w:drawing>
          <wp:anchor distT="0" distB="0" distL="114300" distR="114300" simplePos="0" relativeHeight="251886592" behindDoc="0" locked="0" layoutInCell="1" allowOverlap="1" wp14:anchorId="345A50B7" wp14:editId="07D75DD1">
            <wp:simplePos x="0" y="0"/>
            <wp:positionH relativeFrom="margin">
              <wp:posOffset>8573</wp:posOffset>
            </wp:positionH>
            <wp:positionV relativeFrom="paragraph">
              <wp:posOffset>149225</wp:posOffset>
            </wp:positionV>
            <wp:extent cx="832073" cy="1250315"/>
            <wp:effectExtent l="0" t="0" r="6350" b="6985"/>
            <wp:wrapNone/>
            <wp:docPr id="375" name="Picture 43" descr="Sport General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ort General 2.jpg"/>
                    <pic:cNvPicPr/>
                  </pic:nvPicPr>
                  <pic:blipFill>
                    <a:blip r:embed="rId249" cstate="print"/>
                    <a:stretch>
                      <a:fillRect/>
                    </a:stretch>
                  </pic:blipFill>
                  <pic:spPr>
                    <a:xfrm>
                      <a:off x="0" y="0"/>
                      <a:ext cx="834176" cy="1253474"/>
                    </a:xfrm>
                    <a:prstGeom prst="rect">
                      <a:avLst/>
                    </a:prstGeom>
                    <a:ln>
                      <a:noFill/>
                    </a:ln>
                    <a:effectLst>
                      <a:softEdge rad="127000"/>
                    </a:effectLst>
                  </pic:spPr>
                </pic:pic>
              </a:graphicData>
            </a:graphic>
            <wp14:sizeRelH relativeFrom="margin">
              <wp14:pctWidth>0</wp14:pctWidth>
            </wp14:sizeRelH>
            <wp14:sizeRelV relativeFrom="margin">
              <wp14:pctHeight>0</wp14:pctHeight>
            </wp14:sizeRelV>
          </wp:anchor>
        </w:drawing>
      </w:r>
    </w:p>
    <w:p w14:paraId="0C3A75E0" w14:textId="77777777" w:rsidR="00C65183" w:rsidRPr="00836A94" w:rsidRDefault="00C65183" w:rsidP="00C65183">
      <w:pPr>
        <w:spacing w:line="312" w:lineRule="auto"/>
        <w:jc w:val="both"/>
        <w:rPr>
          <w:rFonts w:asciiTheme="minorHAnsi" w:hAnsiTheme="minorHAnsi" w:cstheme="minorHAnsi"/>
        </w:rPr>
      </w:pPr>
    </w:p>
    <w:p w14:paraId="39C8B6B7" w14:textId="77777777" w:rsidR="00C65183" w:rsidRPr="00836A94" w:rsidRDefault="00C65183" w:rsidP="00C65183">
      <w:pPr>
        <w:spacing w:line="312" w:lineRule="auto"/>
        <w:jc w:val="both"/>
        <w:rPr>
          <w:rFonts w:asciiTheme="minorHAnsi" w:hAnsiTheme="minorHAnsi" w:cstheme="minorHAnsi"/>
        </w:rPr>
      </w:pPr>
    </w:p>
    <w:p w14:paraId="641667FD" w14:textId="77777777" w:rsidR="00C65183" w:rsidRPr="00836A94" w:rsidRDefault="00C65183" w:rsidP="00C65183">
      <w:pPr>
        <w:spacing w:line="312" w:lineRule="auto"/>
        <w:jc w:val="both"/>
        <w:rPr>
          <w:rFonts w:asciiTheme="minorHAnsi" w:hAnsiTheme="minorHAnsi" w:cstheme="minorHAnsi"/>
        </w:rPr>
      </w:pPr>
    </w:p>
    <w:p w14:paraId="4AA04920" w14:textId="77777777" w:rsidR="00C65183" w:rsidRPr="00836A94" w:rsidRDefault="00C65183" w:rsidP="00C65183">
      <w:pPr>
        <w:spacing w:line="312" w:lineRule="auto"/>
        <w:jc w:val="both"/>
        <w:rPr>
          <w:rFonts w:asciiTheme="minorHAnsi" w:hAnsiTheme="minorHAnsi" w:cstheme="minorHAnsi"/>
        </w:rPr>
      </w:pPr>
    </w:p>
    <w:p w14:paraId="02221FE7" w14:textId="77777777" w:rsidR="00C65183" w:rsidRPr="00836A94" w:rsidRDefault="00C65183" w:rsidP="00C65183">
      <w:pPr>
        <w:spacing w:line="312" w:lineRule="auto"/>
        <w:jc w:val="both"/>
        <w:rPr>
          <w:rFonts w:asciiTheme="minorHAnsi" w:hAnsiTheme="minorHAnsi" w:cstheme="minorHAnsi"/>
        </w:rPr>
      </w:pPr>
    </w:p>
    <w:p w14:paraId="722E9B22" w14:textId="77777777" w:rsidR="00C65183" w:rsidRPr="00836A94" w:rsidRDefault="00C65183" w:rsidP="00C65183">
      <w:pPr>
        <w:spacing w:line="312" w:lineRule="auto"/>
        <w:jc w:val="both"/>
        <w:rPr>
          <w:rFonts w:asciiTheme="minorHAnsi" w:hAnsiTheme="minorHAnsi" w:cstheme="minorHAnsi"/>
        </w:rPr>
      </w:pPr>
    </w:p>
    <w:p w14:paraId="01026CBB" w14:textId="77777777" w:rsidR="00C65183" w:rsidRPr="00836A94" w:rsidRDefault="00C65183" w:rsidP="00C65183">
      <w:pPr>
        <w:spacing w:line="312" w:lineRule="auto"/>
        <w:jc w:val="both"/>
        <w:rPr>
          <w:rFonts w:asciiTheme="minorHAnsi" w:hAnsiTheme="minorHAnsi" w:cstheme="minorHAnsi"/>
        </w:rPr>
      </w:pPr>
    </w:p>
    <w:p w14:paraId="5511F269" w14:textId="77777777" w:rsidR="00C65183" w:rsidRPr="00836A94" w:rsidRDefault="00C65183" w:rsidP="00C65183">
      <w:pPr>
        <w:spacing w:line="312" w:lineRule="auto"/>
        <w:jc w:val="both"/>
        <w:rPr>
          <w:rFonts w:asciiTheme="minorHAnsi" w:hAnsiTheme="minorHAnsi" w:cstheme="minorHAnsi"/>
        </w:rPr>
      </w:pPr>
    </w:p>
    <w:p w14:paraId="2C8D93FE" w14:textId="77777777" w:rsidR="00C65183" w:rsidRPr="00836A94" w:rsidRDefault="00C65183" w:rsidP="00C65183">
      <w:pPr>
        <w:spacing w:line="312" w:lineRule="auto"/>
        <w:jc w:val="both"/>
        <w:rPr>
          <w:rFonts w:asciiTheme="minorHAnsi" w:hAnsiTheme="minorHAnsi" w:cstheme="minorHAnsi"/>
        </w:rPr>
      </w:pPr>
    </w:p>
    <w:p w14:paraId="4E734127" w14:textId="77777777" w:rsidR="00C65183" w:rsidRDefault="00C65183" w:rsidP="00C65183">
      <w:pPr>
        <w:spacing w:line="312" w:lineRule="auto"/>
        <w:jc w:val="both"/>
        <w:rPr>
          <w:rFonts w:asciiTheme="minorHAnsi" w:hAnsiTheme="minorHAnsi" w:cstheme="minorHAnsi"/>
        </w:rPr>
      </w:pPr>
    </w:p>
    <w:p w14:paraId="369752C1" w14:textId="77777777" w:rsidR="00C65183" w:rsidRDefault="00C65183" w:rsidP="00C65183">
      <w:pPr>
        <w:spacing w:line="312" w:lineRule="auto"/>
        <w:jc w:val="both"/>
        <w:rPr>
          <w:rFonts w:asciiTheme="minorHAnsi" w:hAnsiTheme="minorHAnsi" w:cstheme="minorHAnsi"/>
        </w:rPr>
      </w:pPr>
    </w:p>
    <w:p w14:paraId="664E8AEE" w14:textId="77777777" w:rsidR="00C65183" w:rsidRDefault="00C65183" w:rsidP="00C65183">
      <w:pPr>
        <w:spacing w:line="312" w:lineRule="auto"/>
        <w:jc w:val="both"/>
        <w:rPr>
          <w:rFonts w:asciiTheme="minorHAnsi" w:hAnsiTheme="minorHAnsi" w:cstheme="minorHAnsi"/>
        </w:rPr>
      </w:pPr>
    </w:p>
    <w:p w14:paraId="6E34BDFA" w14:textId="77777777" w:rsidR="00C65183" w:rsidRDefault="00C65183" w:rsidP="00C65183">
      <w:pPr>
        <w:spacing w:line="312" w:lineRule="auto"/>
        <w:jc w:val="both"/>
        <w:rPr>
          <w:rFonts w:asciiTheme="minorHAnsi" w:hAnsiTheme="minorHAnsi" w:cstheme="minorHAnsi"/>
        </w:rPr>
      </w:pPr>
    </w:p>
    <w:p w14:paraId="786900C6" w14:textId="77777777" w:rsidR="00C65183" w:rsidRPr="00836A94" w:rsidRDefault="00C65183" w:rsidP="00C65183">
      <w:pPr>
        <w:spacing w:line="312" w:lineRule="auto"/>
        <w:jc w:val="both"/>
        <w:rPr>
          <w:rFonts w:asciiTheme="minorHAnsi" w:hAnsiTheme="minorHAnsi" w:cstheme="minorHAnsi"/>
        </w:rPr>
      </w:pPr>
    </w:p>
    <w:p w14:paraId="6F4FADED" w14:textId="77777777" w:rsidR="00C65183" w:rsidRPr="00B12608" w:rsidRDefault="00C65183" w:rsidP="00C65183">
      <w:pPr>
        <w:spacing w:line="360" w:lineRule="auto"/>
        <w:jc w:val="both"/>
        <w:rPr>
          <w:rFonts w:ascii="Calibri" w:hAnsi="Calibri"/>
          <w:i/>
          <w:color w:val="000000" w:themeColor="text1"/>
        </w:rPr>
      </w:pPr>
      <w:r w:rsidRPr="00B12608">
        <w:rPr>
          <w:rFonts w:ascii="Calibri" w:hAnsi="Calibri"/>
          <w:i/>
          <w:color w:val="000000" w:themeColor="text1"/>
        </w:rPr>
        <w:t>Sport and Age</w:t>
      </w:r>
    </w:p>
    <w:p w14:paraId="5ED062FE" w14:textId="77777777" w:rsidR="00C65183" w:rsidRPr="00A65F75" w:rsidRDefault="00C65183" w:rsidP="00C65183">
      <w:pPr>
        <w:spacing w:line="360" w:lineRule="auto"/>
        <w:jc w:val="both"/>
        <w:rPr>
          <w:rFonts w:ascii="Calibri" w:hAnsi="Calibri"/>
        </w:rPr>
      </w:pPr>
      <w:r>
        <w:rPr>
          <w:rFonts w:ascii="Calibri" w:hAnsi="Calibri"/>
          <w:i/>
          <w:noProof/>
          <w:lang w:val="en-US"/>
        </w:rPr>
        <w:drawing>
          <wp:anchor distT="0" distB="0" distL="114300" distR="114300" simplePos="0" relativeHeight="251874304" behindDoc="0" locked="0" layoutInCell="1" allowOverlap="1" wp14:anchorId="6C36CC87" wp14:editId="0D513A54">
            <wp:simplePos x="0" y="0"/>
            <wp:positionH relativeFrom="margin">
              <wp:posOffset>-635</wp:posOffset>
            </wp:positionH>
            <wp:positionV relativeFrom="paragraph">
              <wp:posOffset>726440</wp:posOffset>
            </wp:positionV>
            <wp:extent cx="3970049" cy="2983230"/>
            <wp:effectExtent l="0" t="0" r="0" b="7620"/>
            <wp:wrapSquare wrapText="bothSides"/>
            <wp:docPr id="377" name="Picture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50" cstate="print">
                      <a:extLst>
                        <a:ext uri="{28A0092B-C50C-407E-A947-70E740481C1C}">
                          <a14:useLocalDpi xmlns:a14="http://schemas.microsoft.com/office/drawing/2010/main" val="0"/>
                        </a:ext>
                      </a:extLst>
                    </a:blip>
                    <a:srcRect t="2005" r="6190" b="1"/>
                    <a:stretch/>
                  </pic:blipFill>
                  <pic:spPr bwMode="auto">
                    <a:xfrm>
                      <a:off x="0" y="0"/>
                      <a:ext cx="3970049" cy="29832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65F75">
        <w:rPr>
          <w:rFonts w:ascii="Calibri" w:hAnsi="Calibri"/>
        </w:rPr>
        <w:t xml:space="preserve">Patterns and levels of participation in physical recreation also vary widely with age. </w:t>
      </w:r>
      <w:r>
        <w:rPr>
          <w:rFonts w:ascii="Calibri" w:hAnsi="Calibri"/>
        </w:rPr>
        <w:t xml:space="preserve">The </w:t>
      </w:r>
      <w:r w:rsidRPr="00735CFB">
        <w:rPr>
          <w:rFonts w:ascii="Calibri" w:hAnsi="Calibri"/>
        </w:rPr>
        <w:t>Australian Sports Commission</w:t>
      </w:r>
      <w:r>
        <w:rPr>
          <w:rFonts w:ascii="Calibri" w:hAnsi="Calibri"/>
        </w:rPr>
        <w:t xml:space="preserve"> (2</w:t>
      </w:r>
      <w:r w:rsidRPr="00735CFB">
        <w:rPr>
          <w:rFonts w:ascii="Calibri" w:hAnsi="Calibri"/>
        </w:rPr>
        <w:t>012</w:t>
      </w:r>
      <w:r>
        <w:rPr>
          <w:rFonts w:ascii="Calibri" w:hAnsi="Calibri"/>
        </w:rPr>
        <w:t>) reports that a</w:t>
      </w:r>
      <w:r w:rsidRPr="00A65F75">
        <w:rPr>
          <w:rFonts w:ascii="Calibri" w:hAnsi="Calibri"/>
        </w:rPr>
        <w:t xml:space="preserve">erobics, football, running, basketball, swimming and </w:t>
      </w:r>
      <w:r>
        <w:rPr>
          <w:rFonts w:ascii="Calibri" w:hAnsi="Calibri"/>
        </w:rPr>
        <w:t>Australian</w:t>
      </w:r>
      <w:r w:rsidRPr="00A65F75">
        <w:rPr>
          <w:rFonts w:ascii="Calibri" w:hAnsi="Calibri"/>
        </w:rPr>
        <w:t xml:space="preserve"> rules football are the most popular physical activities among young Australians. On the other hand, walking, aerobics, golf, lawn bowls, swimming and tennis </w:t>
      </w:r>
      <w:r>
        <w:rPr>
          <w:rFonts w:ascii="Calibri" w:hAnsi="Calibri"/>
        </w:rPr>
        <w:t>tend to be</w:t>
      </w:r>
      <w:r w:rsidRPr="00A65F75">
        <w:rPr>
          <w:rFonts w:ascii="Calibri" w:hAnsi="Calibri"/>
        </w:rPr>
        <w:t xml:space="preserve"> favoured by people of retirement age. The diagram </w:t>
      </w:r>
      <w:r>
        <w:rPr>
          <w:rFonts w:ascii="Calibri" w:hAnsi="Calibri"/>
        </w:rPr>
        <w:t>at left,</w:t>
      </w:r>
      <w:r w:rsidRPr="00A65F75">
        <w:rPr>
          <w:rFonts w:ascii="Calibri" w:hAnsi="Calibri"/>
        </w:rPr>
        <w:t xml:space="preserve"> illustrates differences in the </w:t>
      </w:r>
      <w:r>
        <w:rPr>
          <w:rFonts w:ascii="Calibri" w:hAnsi="Calibri"/>
        </w:rPr>
        <w:t>percentage of people who participated</w:t>
      </w:r>
      <w:r w:rsidRPr="00A65F75">
        <w:rPr>
          <w:rFonts w:ascii="Calibri" w:hAnsi="Calibri"/>
        </w:rPr>
        <w:t xml:space="preserve"> in selected physical activities, by age group </w:t>
      </w:r>
      <w:r>
        <w:rPr>
          <w:rFonts w:ascii="Calibri" w:hAnsi="Calibri"/>
        </w:rPr>
        <w:t>in 2010.</w:t>
      </w:r>
    </w:p>
    <w:p w14:paraId="7B729AE3" w14:textId="77777777" w:rsidR="00C65183" w:rsidRDefault="00C65183" w:rsidP="00C65183">
      <w:pPr>
        <w:jc w:val="both"/>
        <w:rPr>
          <w:rFonts w:ascii="Calibri" w:hAnsi="Calibri"/>
          <w:color w:val="7F7F7F"/>
          <w:sz w:val="8"/>
          <w:szCs w:val="8"/>
          <w:lang w:val="en-US"/>
        </w:rPr>
      </w:pPr>
    </w:p>
    <w:p w14:paraId="76ACF6E4" w14:textId="77777777" w:rsidR="00C65183" w:rsidRPr="00836A94" w:rsidRDefault="00C65183" w:rsidP="00C65183">
      <w:pPr>
        <w:jc w:val="both"/>
        <w:rPr>
          <w:rFonts w:ascii="Calibri" w:hAnsi="Calibri"/>
          <w:color w:val="7F7F7F"/>
          <w:sz w:val="8"/>
          <w:szCs w:val="8"/>
          <w:lang w:val="en-US"/>
        </w:rPr>
      </w:pPr>
    </w:p>
    <w:p w14:paraId="64886F8E" w14:textId="77777777" w:rsidR="00C65183" w:rsidRPr="00641C2D" w:rsidRDefault="00C65183" w:rsidP="00C65183">
      <w:pPr>
        <w:jc w:val="both"/>
        <w:rPr>
          <w:rFonts w:ascii="Calibri" w:hAnsi="Calibri"/>
          <w:color w:val="7F7F7F"/>
          <w:sz w:val="20"/>
          <w:szCs w:val="20"/>
          <w:lang w:val="en-US"/>
        </w:rPr>
      </w:pPr>
      <w:r>
        <w:rPr>
          <w:rFonts w:ascii="Calibri" w:hAnsi="Calibri"/>
          <w:color w:val="7F7F7F"/>
          <w:sz w:val="20"/>
          <w:szCs w:val="20"/>
          <w:lang w:val="en-US"/>
        </w:rPr>
        <w:t xml:space="preserve">Rate of participation </w:t>
      </w:r>
      <w:r w:rsidRPr="00641C2D">
        <w:rPr>
          <w:rFonts w:ascii="Calibri" w:hAnsi="Calibri"/>
          <w:color w:val="7F7F7F"/>
          <w:sz w:val="20"/>
          <w:szCs w:val="20"/>
          <w:lang w:val="en-US"/>
        </w:rPr>
        <w:t xml:space="preserve">in </w:t>
      </w:r>
      <w:r>
        <w:rPr>
          <w:rFonts w:ascii="Calibri" w:hAnsi="Calibri"/>
          <w:color w:val="7F7F7F"/>
          <w:sz w:val="20"/>
          <w:szCs w:val="20"/>
          <w:lang w:val="en-US"/>
        </w:rPr>
        <w:t>s</w:t>
      </w:r>
      <w:r w:rsidRPr="00641C2D">
        <w:rPr>
          <w:rFonts w:ascii="Calibri" w:hAnsi="Calibri"/>
          <w:color w:val="7F7F7F"/>
          <w:sz w:val="20"/>
          <w:szCs w:val="20"/>
          <w:lang w:val="en-US"/>
        </w:rPr>
        <w:t xml:space="preserve">elected </w:t>
      </w:r>
      <w:r>
        <w:rPr>
          <w:rFonts w:ascii="Calibri" w:hAnsi="Calibri"/>
          <w:color w:val="7F7F7F"/>
          <w:sz w:val="20"/>
          <w:szCs w:val="20"/>
          <w:lang w:val="en-US"/>
        </w:rPr>
        <w:t>s</w:t>
      </w:r>
      <w:r w:rsidRPr="00641C2D">
        <w:rPr>
          <w:rFonts w:ascii="Calibri" w:hAnsi="Calibri"/>
          <w:color w:val="7F7F7F"/>
          <w:sz w:val="20"/>
          <w:szCs w:val="20"/>
          <w:lang w:val="en-US"/>
        </w:rPr>
        <w:t xml:space="preserve">ports, by </w:t>
      </w:r>
      <w:r>
        <w:rPr>
          <w:rFonts w:ascii="Calibri" w:hAnsi="Calibri"/>
          <w:color w:val="7F7F7F"/>
          <w:sz w:val="20"/>
          <w:szCs w:val="20"/>
          <w:lang w:val="en-US"/>
        </w:rPr>
        <w:t>a</w:t>
      </w:r>
      <w:r w:rsidRPr="00641C2D">
        <w:rPr>
          <w:rFonts w:ascii="Calibri" w:hAnsi="Calibri"/>
          <w:color w:val="7F7F7F"/>
          <w:sz w:val="20"/>
          <w:szCs w:val="20"/>
          <w:lang w:val="en-US"/>
        </w:rPr>
        <w:t>ge: Australia, 2010</w:t>
      </w:r>
    </w:p>
    <w:p w14:paraId="612C759F" w14:textId="77777777" w:rsidR="00C65183" w:rsidRDefault="00C65183" w:rsidP="00C65183">
      <w:pPr>
        <w:spacing w:line="360" w:lineRule="auto"/>
        <w:jc w:val="both"/>
        <w:rPr>
          <w:rFonts w:ascii="Calibri" w:hAnsi="Calibri"/>
          <w:i/>
          <w:lang w:val="en-US"/>
        </w:rPr>
      </w:pPr>
    </w:p>
    <w:p w14:paraId="01A94934" w14:textId="77777777" w:rsidR="00C65183" w:rsidRDefault="00C65183" w:rsidP="00C65183">
      <w:pPr>
        <w:spacing w:line="360" w:lineRule="auto"/>
        <w:jc w:val="both"/>
        <w:rPr>
          <w:rFonts w:ascii="Calibri" w:hAnsi="Calibri"/>
          <w:i/>
          <w:lang w:val="en-US"/>
        </w:rPr>
      </w:pPr>
    </w:p>
    <w:p w14:paraId="566A0DB5" w14:textId="77777777" w:rsidR="00C65183" w:rsidRPr="00B12608" w:rsidRDefault="00C65183" w:rsidP="00C65183">
      <w:pPr>
        <w:spacing w:line="360" w:lineRule="auto"/>
        <w:jc w:val="both"/>
        <w:rPr>
          <w:rFonts w:ascii="Calibri" w:hAnsi="Calibri"/>
          <w:i/>
          <w:color w:val="000000" w:themeColor="text1"/>
          <w:lang w:val="en-US"/>
        </w:rPr>
      </w:pPr>
      <w:r w:rsidRPr="00B12608">
        <w:rPr>
          <w:rFonts w:ascii="Calibri" w:hAnsi="Calibri"/>
          <w:i/>
          <w:noProof/>
          <w:color w:val="000000" w:themeColor="text1"/>
          <w:lang w:val="en-US"/>
        </w:rPr>
        <w:lastRenderedPageBreak/>
        <w:drawing>
          <wp:anchor distT="0" distB="0" distL="114300" distR="114300" simplePos="0" relativeHeight="251873280" behindDoc="0" locked="0" layoutInCell="1" allowOverlap="1" wp14:anchorId="00374F8F" wp14:editId="64F3C669">
            <wp:simplePos x="0" y="0"/>
            <wp:positionH relativeFrom="margin">
              <wp:align>right</wp:align>
            </wp:positionH>
            <wp:positionV relativeFrom="paragraph">
              <wp:posOffset>0</wp:posOffset>
            </wp:positionV>
            <wp:extent cx="1290320" cy="1235075"/>
            <wp:effectExtent l="0" t="0" r="5080" b="3175"/>
            <wp:wrapSquare wrapText="bothSides"/>
            <wp:docPr id="378" name="Picture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ort table tennis 1.jpg"/>
                    <pic:cNvPicPr/>
                  </pic:nvPicPr>
                  <pic:blipFill>
                    <a:blip r:embed="rId251" cstate="print">
                      <a:extLst>
                        <a:ext uri="{28A0092B-C50C-407E-A947-70E740481C1C}">
                          <a14:useLocalDpi xmlns:a14="http://schemas.microsoft.com/office/drawing/2010/main" val="0"/>
                        </a:ext>
                      </a:extLst>
                    </a:blip>
                    <a:stretch>
                      <a:fillRect/>
                    </a:stretch>
                  </pic:blipFill>
                  <pic:spPr>
                    <a:xfrm>
                      <a:off x="0" y="0"/>
                      <a:ext cx="1290320" cy="1235075"/>
                    </a:xfrm>
                    <a:prstGeom prst="rect">
                      <a:avLst/>
                    </a:prstGeom>
                    <a:ln>
                      <a:noFill/>
                    </a:ln>
                    <a:effectLst>
                      <a:softEdge rad="317500"/>
                    </a:effectLst>
                  </pic:spPr>
                </pic:pic>
              </a:graphicData>
            </a:graphic>
            <wp14:sizeRelH relativeFrom="margin">
              <wp14:pctWidth>0</wp14:pctWidth>
            </wp14:sizeRelH>
            <wp14:sizeRelV relativeFrom="margin">
              <wp14:pctHeight>0</wp14:pctHeight>
            </wp14:sizeRelV>
          </wp:anchor>
        </w:drawing>
      </w:r>
      <w:r w:rsidRPr="00B12608">
        <w:rPr>
          <w:rFonts w:ascii="Calibri" w:hAnsi="Calibri"/>
          <w:i/>
          <w:color w:val="000000" w:themeColor="text1"/>
          <w:lang w:val="en-US"/>
        </w:rPr>
        <w:t>Local Trends in Sport and Physical Recreation</w:t>
      </w:r>
    </w:p>
    <w:p w14:paraId="3D9CACFA" w14:textId="77777777" w:rsidR="00C65183" w:rsidRDefault="00C65183" w:rsidP="00C65183">
      <w:pPr>
        <w:spacing w:line="360" w:lineRule="auto"/>
        <w:jc w:val="both"/>
        <w:rPr>
          <w:rFonts w:asciiTheme="minorHAnsi" w:hAnsiTheme="minorHAnsi"/>
          <w:lang w:val="en-US"/>
        </w:rPr>
      </w:pPr>
      <w:r>
        <w:rPr>
          <w:rFonts w:ascii="Calibri" w:hAnsi="Calibri"/>
          <w:lang w:val="en-US"/>
        </w:rPr>
        <w:t xml:space="preserve">The </w:t>
      </w:r>
      <w:r w:rsidRPr="00704C55">
        <w:rPr>
          <w:rFonts w:ascii="Calibri" w:hAnsi="Calibri"/>
          <w:lang w:val="en-US"/>
        </w:rPr>
        <w:t>Greater Dandenong Sport and Active Recreation Participation Survey</w:t>
      </w:r>
      <w:r>
        <w:rPr>
          <w:rFonts w:ascii="Calibri" w:hAnsi="Calibri"/>
          <w:lang w:val="en-US"/>
        </w:rPr>
        <w:t xml:space="preserve">, conducted among residents aged 15 years or more in 2019, revealed similar </w:t>
      </w:r>
      <w:r w:rsidRPr="00507191">
        <w:rPr>
          <w:rFonts w:asciiTheme="minorHAnsi" w:hAnsiTheme="minorHAnsi"/>
          <w:lang w:val="en-US"/>
        </w:rPr>
        <w:t xml:space="preserve">patterns of sport and physical recreation. </w:t>
      </w:r>
    </w:p>
    <w:p w14:paraId="3EA4B80E" w14:textId="77777777" w:rsidR="00C65183" w:rsidRDefault="00C65183" w:rsidP="00C65183">
      <w:pPr>
        <w:jc w:val="both"/>
        <w:rPr>
          <w:rFonts w:asciiTheme="minorHAnsi" w:hAnsiTheme="minorHAnsi"/>
          <w:b/>
          <w:i/>
          <w:color w:val="17365D" w:themeColor="text2" w:themeShade="BF"/>
        </w:rPr>
      </w:pPr>
    </w:p>
    <w:p w14:paraId="5035C4A1" w14:textId="77777777" w:rsidR="00C65183" w:rsidRDefault="00C65183" w:rsidP="00C65183">
      <w:pPr>
        <w:jc w:val="both"/>
        <w:rPr>
          <w:rFonts w:asciiTheme="minorHAnsi" w:hAnsiTheme="minorHAnsi"/>
          <w:bCs/>
          <w:iCs/>
          <w:color w:val="0F243E" w:themeColor="text2" w:themeShade="80"/>
        </w:rPr>
      </w:pPr>
    </w:p>
    <w:p w14:paraId="39C542A2" w14:textId="77777777" w:rsidR="00C65183" w:rsidRPr="00507191" w:rsidRDefault="00C65183" w:rsidP="00C65183">
      <w:pPr>
        <w:jc w:val="both"/>
        <w:rPr>
          <w:rFonts w:asciiTheme="minorHAnsi" w:hAnsiTheme="minorHAnsi"/>
          <w:b/>
          <w:i/>
          <w:color w:val="17365D" w:themeColor="text2" w:themeShade="BF"/>
        </w:rPr>
      </w:pPr>
      <w:r w:rsidRPr="00507191">
        <w:rPr>
          <w:rFonts w:asciiTheme="minorHAnsi" w:hAnsiTheme="minorHAnsi"/>
          <w:b/>
          <w:i/>
          <w:noProof/>
          <w:color w:val="17365D" w:themeColor="text2" w:themeShade="BF"/>
          <w:lang w:val="en-US"/>
        </w:rPr>
        <w:drawing>
          <wp:anchor distT="0" distB="0" distL="114300" distR="114300" simplePos="0" relativeHeight="251880448" behindDoc="0" locked="0" layoutInCell="1" allowOverlap="1" wp14:anchorId="770FA374" wp14:editId="2DFE844A">
            <wp:simplePos x="0" y="0"/>
            <wp:positionH relativeFrom="column">
              <wp:posOffset>3810</wp:posOffset>
            </wp:positionH>
            <wp:positionV relativeFrom="paragraph">
              <wp:posOffset>20955</wp:posOffset>
            </wp:positionV>
            <wp:extent cx="3333750" cy="2566670"/>
            <wp:effectExtent l="0" t="0" r="0" b="5080"/>
            <wp:wrapSquare wrapText="bothSides"/>
            <wp:docPr id="379" name="Picture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252" cstate="print">
                      <a:extLst>
                        <a:ext uri="{28A0092B-C50C-407E-A947-70E740481C1C}">
                          <a14:useLocalDpi xmlns:a14="http://schemas.microsoft.com/office/drawing/2010/main" val="0"/>
                        </a:ext>
                      </a:extLst>
                    </a:blip>
                    <a:srcRect r="11972"/>
                    <a:stretch/>
                  </pic:blipFill>
                  <pic:spPr bwMode="auto">
                    <a:xfrm>
                      <a:off x="0" y="0"/>
                      <a:ext cx="3333750" cy="25666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F9A1B23" w14:textId="77777777" w:rsidR="00C65183" w:rsidRDefault="00C65183" w:rsidP="00C65183">
      <w:pPr>
        <w:jc w:val="both"/>
        <w:rPr>
          <w:rFonts w:asciiTheme="minorHAnsi" w:hAnsiTheme="minorHAnsi"/>
        </w:rPr>
      </w:pPr>
    </w:p>
    <w:p w14:paraId="36100933" w14:textId="77777777" w:rsidR="00C65183" w:rsidRPr="00507191" w:rsidRDefault="00C65183" w:rsidP="00C65183">
      <w:pPr>
        <w:jc w:val="both"/>
        <w:rPr>
          <w:rFonts w:asciiTheme="minorHAnsi" w:hAnsiTheme="minorHAnsi"/>
        </w:rPr>
      </w:pPr>
    </w:p>
    <w:p w14:paraId="203DAA31" w14:textId="77777777" w:rsidR="00C65183" w:rsidRPr="00507191" w:rsidRDefault="00C65183" w:rsidP="00C65183">
      <w:pPr>
        <w:jc w:val="both"/>
        <w:rPr>
          <w:rFonts w:asciiTheme="minorHAnsi" w:hAnsiTheme="minorHAnsi"/>
        </w:rPr>
      </w:pPr>
      <w:r w:rsidRPr="00507191">
        <w:rPr>
          <w:rFonts w:asciiTheme="minorHAnsi" w:hAnsiTheme="minorHAnsi"/>
          <w:color w:val="7F7F7F" w:themeColor="text1" w:themeTint="80"/>
          <w:sz w:val="20"/>
          <w:szCs w:val="20"/>
        </w:rPr>
        <w:t>Major activities, persons: Greater Dandenong, 2019</w:t>
      </w:r>
    </w:p>
    <w:p w14:paraId="78B6EA45" w14:textId="77777777" w:rsidR="00C65183" w:rsidRPr="00507191" w:rsidRDefault="00C65183" w:rsidP="00C65183">
      <w:pPr>
        <w:jc w:val="both"/>
        <w:rPr>
          <w:rFonts w:asciiTheme="minorHAnsi" w:hAnsiTheme="minorHAnsi"/>
        </w:rPr>
      </w:pPr>
    </w:p>
    <w:p w14:paraId="1C465C6B" w14:textId="77777777" w:rsidR="00C65183" w:rsidRDefault="00C65183" w:rsidP="00C65183">
      <w:pPr>
        <w:spacing w:line="360" w:lineRule="auto"/>
        <w:jc w:val="both"/>
        <w:rPr>
          <w:rFonts w:asciiTheme="minorHAnsi" w:hAnsiTheme="minorHAnsi"/>
        </w:rPr>
      </w:pPr>
      <w:r>
        <w:rPr>
          <w:rFonts w:asciiTheme="minorHAnsi" w:hAnsiTheme="minorHAnsi"/>
          <w:noProof/>
          <w:lang w:val="en-US"/>
        </w:rPr>
        <w:drawing>
          <wp:anchor distT="0" distB="0" distL="114300" distR="114300" simplePos="0" relativeHeight="251881472" behindDoc="0" locked="0" layoutInCell="1" allowOverlap="1" wp14:anchorId="1825DB22" wp14:editId="7F546F6E">
            <wp:simplePos x="0" y="0"/>
            <wp:positionH relativeFrom="margin">
              <wp:posOffset>2839085</wp:posOffset>
            </wp:positionH>
            <wp:positionV relativeFrom="paragraph">
              <wp:posOffset>1159510</wp:posOffset>
            </wp:positionV>
            <wp:extent cx="3402330" cy="2771775"/>
            <wp:effectExtent l="0" t="0" r="7620" b="9525"/>
            <wp:wrapSquare wrapText="bothSides"/>
            <wp:docPr id="380"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253" cstate="print">
                      <a:extLst>
                        <a:ext uri="{28A0092B-C50C-407E-A947-70E740481C1C}">
                          <a14:useLocalDpi xmlns:a14="http://schemas.microsoft.com/office/drawing/2010/main" val="0"/>
                        </a:ext>
                      </a:extLst>
                    </a:blip>
                    <a:srcRect r="10864"/>
                    <a:stretch/>
                  </pic:blipFill>
                  <pic:spPr bwMode="auto">
                    <a:xfrm>
                      <a:off x="0" y="0"/>
                      <a:ext cx="3402330" cy="27717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507191">
        <w:rPr>
          <w:rFonts w:asciiTheme="minorHAnsi" w:hAnsiTheme="minorHAnsi"/>
        </w:rPr>
        <w:t>Walking, swimming, running, soccer and gym/aerobics/weights were the most popular activities, each accounting for over 10% of survey participants.</w:t>
      </w:r>
    </w:p>
    <w:p w14:paraId="52543861" w14:textId="77777777" w:rsidR="00C65183" w:rsidRPr="00507191" w:rsidRDefault="00C65183" w:rsidP="00C65183">
      <w:pPr>
        <w:spacing w:line="360" w:lineRule="auto"/>
        <w:jc w:val="both"/>
        <w:rPr>
          <w:rFonts w:asciiTheme="minorHAnsi" w:hAnsiTheme="minorHAnsi"/>
        </w:rPr>
      </w:pPr>
    </w:p>
    <w:p w14:paraId="0403D455" w14:textId="77777777" w:rsidR="00C65183" w:rsidRPr="00507191" w:rsidRDefault="00C65183" w:rsidP="00C65183">
      <w:pPr>
        <w:spacing w:line="360" w:lineRule="auto"/>
        <w:jc w:val="both"/>
        <w:rPr>
          <w:rFonts w:asciiTheme="minorHAnsi" w:hAnsiTheme="minorHAnsi"/>
          <w:color w:val="7F7F7F" w:themeColor="text1" w:themeTint="80"/>
          <w:sz w:val="20"/>
          <w:szCs w:val="20"/>
        </w:rPr>
      </w:pPr>
      <w:r w:rsidRPr="00507191">
        <w:rPr>
          <w:rFonts w:asciiTheme="minorHAnsi" w:hAnsiTheme="minorHAnsi"/>
          <w:color w:val="7F7F7F" w:themeColor="text1" w:themeTint="80"/>
          <w:sz w:val="20"/>
          <w:szCs w:val="20"/>
        </w:rPr>
        <w:t>Major activities, females: Greater Dandenong, 2019</w:t>
      </w:r>
    </w:p>
    <w:p w14:paraId="21F5745B" w14:textId="77777777" w:rsidR="00C65183" w:rsidRPr="00930CE3" w:rsidRDefault="00C65183" w:rsidP="00C65183">
      <w:pPr>
        <w:spacing w:line="360" w:lineRule="auto"/>
        <w:jc w:val="both"/>
        <w:rPr>
          <w:rFonts w:asciiTheme="minorHAnsi" w:hAnsiTheme="minorHAnsi"/>
          <w:sz w:val="10"/>
          <w:szCs w:val="10"/>
        </w:rPr>
      </w:pPr>
    </w:p>
    <w:p w14:paraId="607D98BB" w14:textId="77777777" w:rsidR="00C65183" w:rsidRPr="00507191" w:rsidRDefault="00C65183" w:rsidP="00C65183">
      <w:pPr>
        <w:spacing w:line="360" w:lineRule="auto"/>
        <w:jc w:val="both"/>
        <w:rPr>
          <w:rFonts w:asciiTheme="minorHAnsi" w:hAnsiTheme="minorHAnsi"/>
        </w:rPr>
      </w:pPr>
      <w:r w:rsidRPr="00507191">
        <w:rPr>
          <w:rFonts w:asciiTheme="minorHAnsi" w:hAnsiTheme="minorHAnsi"/>
        </w:rPr>
        <w:t>Among females, soccer was less popular, while dancing, yoga, and netball were among the activities with a high rate of participation.</w:t>
      </w:r>
    </w:p>
    <w:p w14:paraId="4D591753" w14:textId="77777777" w:rsidR="00C65183" w:rsidRDefault="00C65183" w:rsidP="00C65183">
      <w:pPr>
        <w:spacing w:line="360" w:lineRule="auto"/>
        <w:jc w:val="both"/>
        <w:rPr>
          <w:rFonts w:asciiTheme="minorHAnsi" w:hAnsiTheme="minorHAnsi"/>
        </w:rPr>
      </w:pPr>
    </w:p>
    <w:p w14:paraId="6DE09960" w14:textId="77777777" w:rsidR="00C65183" w:rsidRDefault="00C65183" w:rsidP="00C65183">
      <w:pPr>
        <w:spacing w:line="360" w:lineRule="auto"/>
        <w:jc w:val="both"/>
        <w:rPr>
          <w:rFonts w:asciiTheme="minorHAnsi" w:hAnsiTheme="minorHAnsi"/>
          <w:color w:val="7F7F7F" w:themeColor="text1" w:themeTint="80"/>
          <w:sz w:val="20"/>
          <w:szCs w:val="20"/>
        </w:rPr>
      </w:pPr>
    </w:p>
    <w:p w14:paraId="5C68E9FD" w14:textId="77777777" w:rsidR="00C65183" w:rsidRDefault="00C65183" w:rsidP="00C65183">
      <w:pPr>
        <w:spacing w:line="360" w:lineRule="auto"/>
        <w:jc w:val="both"/>
        <w:rPr>
          <w:rFonts w:asciiTheme="minorHAnsi" w:hAnsiTheme="minorHAnsi"/>
          <w:color w:val="7F7F7F" w:themeColor="text1" w:themeTint="80"/>
          <w:sz w:val="20"/>
          <w:szCs w:val="20"/>
        </w:rPr>
      </w:pPr>
    </w:p>
    <w:p w14:paraId="3FE58153" w14:textId="77777777" w:rsidR="00C65183" w:rsidRDefault="00C65183" w:rsidP="00C65183">
      <w:pPr>
        <w:spacing w:line="360" w:lineRule="auto"/>
        <w:jc w:val="both"/>
        <w:rPr>
          <w:rFonts w:asciiTheme="minorHAnsi" w:hAnsiTheme="minorHAnsi"/>
          <w:color w:val="7F7F7F" w:themeColor="text1" w:themeTint="80"/>
          <w:sz w:val="20"/>
          <w:szCs w:val="20"/>
        </w:rPr>
      </w:pPr>
    </w:p>
    <w:p w14:paraId="629F3500" w14:textId="77777777" w:rsidR="00C65183" w:rsidRDefault="00C65183" w:rsidP="00C65183">
      <w:pPr>
        <w:spacing w:line="360" w:lineRule="auto"/>
        <w:jc w:val="both"/>
        <w:rPr>
          <w:rFonts w:asciiTheme="minorHAnsi" w:hAnsiTheme="minorHAnsi"/>
          <w:color w:val="7F7F7F" w:themeColor="text1" w:themeTint="80"/>
          <w:sz w:val="20"/>
          <w:szCs w:val="20"/>
        </w:rPr>
      </w:pPr>
      <w:r>
        <w:rPr>
          <w:rFonts w:asciiTheme="minorHAnsi" w:hAnsiTheme="minorHAnsi"/>
          <w:noProof/>
          <w:lang w:val="en-US"/>
        </w:rPr>
        <w:drawing>
          <wp:anchor distT="0" distB="0" distL="114300" distR="114300" simplePos="0" relativeHeight="251882496" behindDoc="0" locked="0" layoutInCell="1" allowOverlap="1" wp14:anchorId="6543C51F" wp14:editId="73EE2155">
            <wp:simplePos x="0" y="0"/>
            <wp:positionH relativeFrom="margin">
              <wp:posOffset>74930</wp:posOffset>
            </wp:positionH>
            <wp:positionV relativeFrom="paragraph">
              <wp:posOffset>97790</wp:posOffset>
            </wp:positionV>
            <wp:extent cx="3381375" cy="2705100"/>
            <wp:effectExtent l="0" t="0" r="9525" b="0"/>
            <wp:wrapSquare wrapText="bothSides"/>
            <wp:docPr id="381" name="Picture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254" cstate="print">
                      <a:extLst>
                        <a:ext uri="{28A0092B-C50C-407E-A947-70E740481C1C}">
                          <a14:useLocalDpi xmlns:a14="http://schemas.microsoft.com/office/drawing/2010/main" val="0"/>
                        </a:ext>
                      </a:extLst>
                    </a:blip>
                    <a:srcRect r="4987"/>
                    <a:stretch/>
                  </pic:blipFill>
                  <pic:spPr bwMode="auto">
                    <a:xfrm>
                      <a:off x="0" y="0"/>
                      <a:ext cx="3381375" cy="27051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0C137C4" w14:textId="77777777" w:rsidR="00C65183" w:rsidRPr="004E28E6" w:rsidRDefault="00C65183" w:rsidP="00C65183">
      <w:pPr>
        <w:spacing w:line="360" w:lineRule="auto"/>
        <w:jc w:val="both"/>
        <w:rPr>
          <w:rFonts w:asciiTheme="minorHAnsi" w:hAnsiTheme="minorHAnsi"/>
          <w:color w:val="7F7F7F" w:themeColor="text1" w:themeTint="80"/>
          <w:sz w:val="20"/>
          <w:szCs w:val="20"/>
        </w:rPr>
      </w:pPr>
      <w:r w:rsidRPr="00507191">
        <w:rPr>
          <w:rFonts w:asciiTheme="minorHAnsi" w:hAnsiTheme="minorHAnsi"/>
          <w:color w:val="7F7F7F" w:themeColor="text1" w:themeTint="80"/>
          <w:sz w:val="20"/>
          <w:szCs w:val="20"/>
        </w:rPr>
        <w:t>Major activities, males: Greater Dandenong, 2019</w:t>
      </w:r>
    </w:p>
    <w:p w14:paraId="5F8509DB" w14:textId="77777777" w:rsidR="00C65183" w:rsidRDefault="00C65183" w:rsidP="00C65183">
      <w:pPr>
        <w:spacing w:line="360" w:lineRule="auto"/>
        <w:jc w:val="both"/>
        <w:rPr>
          <w:rFonts w:asciiTheme="minorHAnsi" w:hAnsiTheme="minorHAnsi"/>
        </w:rPr>
      </w:pPr>
    </w:p>
    <w:p w14:paraId="0DD8047B" w14:textId="77777777" w:rsidR="00C65183" w:rsidRDefault="00C65183" w:rsidP="00C65183">
      <w:pPr>
        <w:spacing w:line="360" w:lineRule="auto"/>
        <w:jc w:val="both"/>
        <w:rPr>
          <w:rFonts w:asciiTheme="minorHAnsi" w:hAnsiTheme="minorHAnsi"/>
        </w:rPr>
      </w:pPr>
      <w:r w:rsidRPr="00507191">
        <w:rPr>
          <w:rFonts w:asciiTheme="minorHAnsi" w:hAnsiTheme="minorHAnsi"/>
        </w:rPr>
        <w:t>Patterns of male sporting participation were similar to those of females in some respects, though soccer was more popular and cricket made an appearance among the top 20 activities. Tai Chi and netball, on the other hand, were not among the more popular sports and dancing was less widely favoured than among females.</w:t>
      </w:r>
    </w:p>
    <w:p w14:paraId="3330A811" w14:textId="77777777" w:rsidR="00C65183" w:rsidRDefault="00C65183" w:rsidP="00C65183">
      <w:pPr>
        <w:rPr>
          <w:rFonts w:asciiTheme="minorHAnsi" w:hAnsiTheme="minorHAnsi"/>
          <w:i/>
        </w:rPr>
      </w:pPr>
      <w:r>
        <w:rPr>
          <w:rFonts w:asciiTheme="minorHAnsi" w:hAnsiTheme="minorHAnsi"/>
          <w:i/>
        </w:rPr>
        <w:br w:type="page"/>
      </w:r>
    </w:p>
    <w:p w14:paraId="6CAC75A8" w14:textId="77777777" w:rsidR="00C65183" w:rsidRPr="00827F47" w:rsidRDefault="00C65183" w:rsidP="00C65183">
      <w:pPr>
        <w:pBdr>
          <w:top w:val="single" w:sz="4" w:space="0" w:color="244061" w:themeColor="accent1" w:themeShade="80"/>
          <w:bottom w:val="single" w:sz="4" w:space="1" w:color="244061" w:themeColor="accent1" w:themeShade="80"/>
        </w:pBdr>
        <w:tabs>
          <w:tab w:val="center" w:pos="4678"/>
        </w:tabs>
        <w:jc w:val="center"/>
        <w:rPr>
          <w:rFonts w:ascii="Garamond" w:hAnsi="Garamond"/>
          <w:noProof/>
          <w:color w:val="244061" w:themeColor="accent1" w:themeShade="80"/>
          <w:sz w:val="34"/>
          <w:szCs w:val="34"/>
        </w:rPr>
      </w:pPr>
      <w:r w:rsidRPr="00827F47">
        <w:rPr>
          <w:rFonts w:ascii="Garamond" w:hAnsi="Garamond"/>
          <w:noProof/>
          <w:color w:val="244061" w:themeColor="accent1" w:themeShade="80"/>
          <w:sz w:val="34"/>
          <w:szCs w:val="34"/>
        </w:rPr>
        <w:lastRenderedPageBreak/>
        <w:drawing>
          <wp:anchor distT="0" distB="0" distL="114300" distR="114300" simplePos="0" relativeHeight="251887616" behindDoc="1" locked="0" layoutInCell="1" allowOverlap="1" wp14:anchorId="1181A960" wp14:editId="364B8624">
            <wp:simplePos x="0" y="0"/>
            <wp:positionH relativeFrom="column">
              <wp:posOffset>3107690</wp:posOffset>
            </wp:positionH>
            <wp:positionV relativeFrom="paragraph">
              <wp:posOffset>288290</wp:posOffset>
            </wp:positionV>
            <wp:extent cx="3067050" cy="1437005"/>
            <wp:effectExtent l="0" t="0" r="0" b="0"/>
            <wp:wrapTight wrapText="bothSides">
              <wp:wrapPolygon edited="0">
                <wp:start x="537" y="0"/>
                <wp:lineTo x="0" y="573"/>
                <wp:lineTo x="0" y="20903"/>
                <wp:lineTo x="537" y="21190"/>
                <wp:lineTo x="20929" y="21190"/>
                <wp:lineTo x="21466" y="20903"/>
                <wp:lineTo x="21466" y="573"/>
                <wp:lineTo x="20929" y="0"/>
                <wp:lineTo x="537" y="0"/>
              </wp:wrapPolygon>
            </wp:wrapTight>
            <wp:docPr id="389" name="Picture 71" descr="nutritio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nutrition 2"/>
                    <pic:cNvPicPr>
                      <a:picLocks noChangeAspect="1" noChangeArrowheads="1"/>
                    </pic:cNvPicPr>
                  </pic:nvPicPr>
                  <pic:blipFill>
                    <a:blip r:embed="rId255" cstate="print"/>
                    <a:srcRect/>
                    <a:stretch>
                      <a:fillRect/>
                    </a:stretch>
                  </pic:blipFill>
                  <pic:spPr bwMode="auto">
                    <a:xfrm>
                      <a:off x="0" y="0"/>
                      <a:ext cx="3067050" cy="1437005"/>
                    </a:xfrm>
                    <a:prstGeom prst="rect">
                      <a:avLst/>
                    </a:prstGeom>
                    <a:ln>
                      <a:noFill/>
                    </a:ln>
                    <a:effectLst>
                      <a:softEdge rad="112500"/>
                    </a:effectLst>
                  </pic:spPr>
                </pic:pic>
              </a:graphicData>
            </a:graphic>
          </wp:anchor>
        </w:drawing>
      </w:r>
      <w:r w:rsidRPr="00827F47">
        <w:rPr>
          <w:rFonts w:ascii="Garamond" w:hAnsi="Garamond"/>
          <w:noProof/>
          <w:color w:val="244061" w:themeColor="accent1" w:themeShade="80"/>
          <w:sz w:val="34"/>
          <w:szCs w:val="34"/>
        </w:rPr>
        <w:t>Nutrition</w:t>
      </w:r>
    </w:p>
    <w:p w14:paraId="2F2A93EF" w14:textId="77777777" w:rsidR="00C65183" w:rsidRDefault="00C65183" w:rsidP="00C65183">
      <w:pPr>
        <w:spacing w:line="360" w:lineRule="auto"/>
        <w:jc w:val="both"/>
        <w:rPr>
          <w:rFonts w:ascii="Calibri" w:hAnsi="Calibri"/>
        </w:rPr>
      </w:pPr>
    </w:p>
    <w:p w14:paraId="0F7A12DE" w14:textId="77777777" w:rsidR="00C65183" w:rsidRDefault="00C65183" w:rsidP="00C65183">
      <w:pPr>
        <w:spacing w:line="360" w:lineRule="auto"/>
        <w:jc w:val="both"/>
        <w:rPr>
          <w:rFonts w:ascii="Calibri" w:hAnsi="Calibri"/>
          <w:b/>
        </w:rPr>
      </w:pPr>
      <w:r w:rsidRPr="00DB4921">
        <w:rPr>
          <w:rFonts w:ascii="Calibri" w:hAnsi="Calibri"/>
        </w:rPr>
        <w:t xml:space="preserve">A succession of </w:t>
      </w:r>
      <w:r>
        <w:rPr>
          <w:rFonts w:ascii="Calibri" w:hAnsi="Calibri"/>
        </w:rPr>
        <w:t xml:space="preserve">recent </w:t>
      </w:r>
      <w:r w:rsidRPr="00DB4921">
        <w:rPr>
          <w:rFonts w:ascii="Calibri" w:hAnsi="Calibri"/>
        </w:rPr>
        <w:t xml:space="preserve">surveys </w:t>
      </w:r>
      <w:r>
        <w:rPr>
          <w:rFonts w:ascii="Calibri" w:hAnsi="Calibri"/>
        </w:rPr>
        <w:t>have</w:t>
      </w:r>
      <w:r w:rsidRPr="00DB4921">
        <w:rPr>
          <w:rFonts w:ascii="Calibri" w:hAnsi="Calibri"/>
        </w:rPr>
        <w:t xml:space="preserve"> inquired into the diet</w:t>
      </w:r>
      <w:r>
        <w:rPr>
          <w:rFonts w:ascii="Calibri" w:hAnsi="Calibri"/>
        </w:rPr>
        <w:t>a</w:t>
      </w:r>
      <w:r w:rsidRPr="00DB4921">
        <w:rPr>
          <w:rFonts w:ascii="Calibri" w:hAnsi="Calibri"/>
        </w:rPr>
        <w:t>ry habits of Australians. Much of this research has concerned itsel</w:t>
      </w:r>
      <w:r>
        <w:rPr>
          <w:rFonts w:ascii="Calibri" w:hAnsi="Calibri"/>
        </w:rPr>
        <w:t xml:space="preserve">f with the consumption of fruit, </w:t>
      </w:r>
      <w:r w:rsidRPr="00DB4921">
        <w:rPr>
          <w:rFonts w:ascii="Calibri" w:hAnsi="Calibri"/>
        </w:rPr>
        <w:t>vegetables</w:t>
      </w:r>
      <w:r>
        <w:rPr>
          <w:rFonts w:ascii="Calibri" w:hAnsi="Calibri"/>
        </w:rPr>
        <w:t xml:space="preserve"> and</w:t>
      </w:r>
      <w:r w:rsidRPr="00DB4921">
        <w:rPr>
          <w:rFonts w:ascii="Calibri" w:hAnsi="Calibri"/>
        </w:rPr>
        <w:t xml:space="preserve"> high</w:t>
      </w:r>
      <w:r>
        <w:rPr>
          <w:rFonts w:ascii="Calibri" w:hAnsi="Calibri"/>
        </w:rPr>
        <w:t>-</w:t>
      </w:r>
      <w:r w:rsidRPr="00DB4921">
        <w:rPr>
          <w:rFonts w:ascii="Calibri" w:hAnsi="Calibri"/>
        </w:rPr>
        <w:t>calorie foods</w:t>
      </w:r>
      <w:r>
        <w:rPr>
          <w:rFonts w:ascii="Calibri" w:hAnsi="Calibri"/>
        </w:rPr>
        <w:t xml:space="preserve"> or beverages</w:t>
      </w:r>
      <w:r>
        <w:rPr>
          <w:rFonts w:ascii="Calibri" w:hAnsi="Calibri"/>
          <w:b/>
        </w:rPr>
        <w:t>.</w:t>
      </w:r>
    </w:p>
    <w:p w14:paraId="5932765C" w14:textId="77777777" w:rsidR="00C65183" w:rsidRDefault="00C65183" w:rsidP="00C65183">
      <w:pPr>
        <w:jc w:val="both"/>
        <w:rPr>
          <w:rFonts w:ascii="Calibri" w:hAnsi="Calibri"/>
          <w:b/>
          <w:sz w:val="12"/>
          <w:szCs w:val="12"/>
        </w:rPr>
      </w:pPr>
    </w:p>
    <w:p w14:paraId="7FF38B99" w14:textId="77777777" w:rsidR="00C65183" w:rsidRPr="00C10188" w:rsidRDefault="00C65183" w:rsidP="00C65183">
      <w:pPr>
        <w:spacing w:line="360" w:lineRule="auto"/>
        <w:jc w:val="both"/>
        <w:rPr>
          <w:rFonts w:ascii="Calibri" w:hAnsi="Calibri"/>
          <w:b/>
        </w:rPr>
      </w:pPr>
      <w:r>
        <w:rPr>
          <w:rFonts w:asciiTheme="minorHAnsi" w:hAnsiTheme="minorHAnsi"/>
          <w:noProof/>
          <w:lang w:val="en-US"/>
        </w:rPr>
        <w:drawing>
          <wp:anchor distT="0" distB="0" distL="114300" distR="114300" simplePos="0" relativeHeight="251889664" behindDoc="0" locked="0" layoutInCell="1" allowOverlap="1" wp14:anchorId="0A65EABF" wp14:editId="02EB68CC">
            <wp:simplePos x="0" y="0"/>
            <wp:positionH relativeFrom="column">
              <wp:posOffset>2776220</wp:posOffset>
            </wp:positionH>
            <wp:positionV relativeFrom="paragraph">
              <wp:posOffset>245110</wp:posOffset>
            </wp:positionV>
            <wp:extent cx="3422015" cy="2295525"/>
            <wp:effectExtent l="0" t="0" r="6985" b="9525"/>
            <wp:wrapSquare wrapText="bothSides"/>
            <wp:docPr id="390" name="Picture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56" cstate="print">
                      <a:extLst>
                        <a:ext uri="{28A0092B-C50C-407E-A947-70E740481C1C}">
                          <a14:useLocalDpi xmlns:a14="http://schemas.microsoft.com/office/drawing/2010/main" val="0"/>
                        </a:ext>
                      </a:extLst>
                    </a:blip>
                    <a:srcRect/>
                    <a:stretch>
                      <a:fillRect/>
                    </a:stretch>
                  </pic:blipFill>
                  <pic:spPr bwMode="auto">
                    <a:xfrm>
                      <a:off x="0" y="0"/>
                      <a:ext cx="3422015" cy="2295525"/>
                    </a:xfrm>
                    <a:prstGeom prst="rect">
                      <a:avLst/>
                    </a:prstGeom>
                    <a:noFill/>
                  </pic:spPr>
                </pic:pic>
              </a:graphicData>
            </a:graphic>
          </wp:anchor>
        </w:drawing>
      </w:r>
      <w:r w:rsidRPr="002E0450">
        <w:rPr>
          <w:rFonts w:ascii="Calibri" w:hAnsi="Calibri"/>
          <w:b/>
        </w:rPr>
        <w:t>Fruit and Vegetable Consumption</w:t>
      </w:r>
    </w:p>
    <w:p w14:paraId="3D3F672A" w14:textId="77777777" w:rsidR="00C65183" w:rsidRPr="00986827" w:rsidRDefault="00C65183" w:rsidP="00C65183">
      <w:pPr>
        <w:spacing w:line="360" w:lineRule="auto"/>
        <w:jc w:val="both"/>
        <w:rPr>
          <w:rFonts w:asciiTheme="minorHAnsi" w:hAnsiTheme="minorHAnsi"/>
        </w:rPr>
      </w:pPr>
      <w:r>
        <w:rPr>
          <w:rFonts w:asciiTheme="minorHAnsi" w:hAnsiTheme="minorHAnsi"/>
        </w:rPr>
        <w:t xml:space="preserve">The 2018 National Health Survey found that approximately </w:t>
      </w:r>
      <w:r w:rsidRPr="00986827">
        <w:rPr>
          <w:rFonts w:asciiTheme="minorHAnsi" w:hAnsiTheme="minorHAnsi"/>
        </w:rPr>
        <w:t>18% of adults eat less than one serve of fruit per day, including 14% of women and 22% of men.</w:t>
      </w:r>
    </w:p>
    <w:p w14:paraId="44659664" w14:textId="77777777" w:rsidR="00C65183" w:rsidRPr="005800A4" w:rsidRDefault="00C65183" w:rsidP="00C65183">
      <w:pPr>
        <w:jc w:val="both"/>
        <w:rPr>
          <w:rFonts w:asciiTheme="minorHAnsi" w:hAnsiTheme="minorHAnsi"/>
          <w:sz w:val="12"/>
          <w:szCs w:val="12"/>
        </w:rPr>
      </w:pPr>
    </w:p>
    <w:p w14:paraId="084755E5" w14:textId="77777777" w:rsidR="00C65183" w:rsidRPr="005800A4" w:rsidRDefault="00C65183" w:rsidP="00C65183">
      <w:pPr>
        <w:jc w:val="both"/>
        <w:rPr>
          <w:rFonts w:asciiTheme="minorHAnsi" w:hAnsiTheme="minorHAnsi"/>
          <w:color w:val="7F7F7F" w:themeColor="text1" w:themeTint="80"/>
          <w:sz w:val="20"/>
          <w:szCs w:val="20"/>
        </w:rPr>
      </w:pPr>
      <w:bookmarkStart w:id="22" w:name="_Hlk61272018"/>
      <w:r w:rsidRPr="005800A4">
        <w:rPr>
          <w:rFonts w:asciiTheme="minorHAnsi" w:hAnsiTheme="minorHAnsi"/>
          <w:color w:val="7F7F7F" w:themeColor="text1" w:themeTint="80"/>
          <w:sz w:val="20"/>
          <w:szCs w:val="20"/>
        </w:rPr>
        <w:t>Per cent of persons who eat less than one serve of fruit per day, by sex: Australia, 2018</w:t>
      </w:r>
    </w:p>
    <w:bookmarkEnd w:id="22"/>
    <w:p w14:paraId="33B6E452" w14:textId="77777777" w:rsidR="00C65183" w:rsidRDefault="00C65183" w:rsidP="00C65183">
      <w:pPr>
        <w:spacing w:line="360" w:lineRule="auto"/>
        <w:jc w:val="both"/>
        <w:rPr>
          <w:rFonts w:asciiTheme="minorHAnsi" w:hAnsiTheme="minorHAnsi"/>
        </w:rPr>
      </w:pPr>
    </w:p>
    <w:p w14:paraId="0A61E520" w14:textId="77777777" w:rsidR="00C65183" w:rsidRDefault="00C65183" w:rsidP="00C65183">
      <w:pPr>
        <w:spacing w:line="360" w:lineRule="auto"/>
        <w:jc w:val="both"/>
        <w:rPr>
          <w:rFonts w:asciiTheme="minorHAnsi" w:hAnsiTheme="minorHAnsi"/>
        </w:rPr>
      </w:pPr>
    </w:p>
    <w:p w14:paraId="689FAD1A" w14:textId="77777777" w:rsidR="00C65183" w:rsidRDefault="00C65183" w:rsidP="00C65183">
      <w:pPr>
        <w:spacing w:line="360" w:lineRule="auto"/>
        <w:jc w:val="both"/>
        <w:rPr>
          <w:rFonts w:asciiTheme="minorHAnsi" w:hAnsiTheme="minorHAnsi"/>
        </w:rPr>
      </w:pPr>
      <w:r>
        <w:rPr>
          <w:rFonts w:asciiTheme="minorHAnsi" w:hAnsiTheme="minorHAnsi"/>
          <w:noProof/>
          <w:lang w:val="en-US"/>
        </w:rPr>
        <w:drawing>
          <wp:anchor distT="0" distB="0" distL="114300" distR="114300" simplePos="0" relativeHeight="251892736" behindDoc="0" locked="0" layoutInCell="1" allowOverlap="1" wp14:anchorId="1C20118F" wp14:editId="154E5E51">
            <wp:simplePos x="0" y="0"/>
            <wp:positionH relativeFrom="margin">
              <wp:align>left</wp:align>
            </wp:positionH>
            <wp:positionV relativeFrom="paragraph">
              <wp:posOffset>103505</wp:posOffset>
            </wp:positionV>
            <wp:extent cx="3257550" cy="2399030"/>
            <wp:effectExtent l="0" t="0" r="0" b="1270"/>
            <wp:wrapSquare wrapText="bothSides"/>
            <wp:docPr id="391" name="Picture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57" cstate="print">
                      <a:extLst>
                        <a:ext uri="{28A0092B-C50C-407E-A947-70E740481C1C}">
                          <a14:useLocalDpi xmlns:a14="http://schemas.microsoft.com/office/drawing/2010/main" val="0"/>
                        </a:ext>
                      </a:extLst>
                    </a:blip>
                    <a:srcRect l="1676" r="2794"/>
                    <a:stretch/>
                  </pic:blipFill>
                  <pic:spPr bwMode="auto">
                    <a:xfrm>
                      <a:off x="0" y="0"/>
                      <a:ext cx="3257550" cy="2399030"/>
                    </a:xfrm>
                    <a:prstGeom prst="rect">
                      <a:avLst/>
                    </a:prstGeom>
                    <a:noFill/>
                    <a:ln>
                      <a:noFill/>
                    </a:ln>
                    <a:extLst>
                      <a:ext uri="{53640926-AAD7-44D8-BBD7-CCE9431645EC}">
                        <a14:shadowObscured xmlns:a14="http://schemas.microsoft.com/office/drawing/2010/main"/>
                      </a:ext>
                    </a:extLst>
                  </pic:spPr>
                </pic:pic>
              </a:graphicData>
            </a:graphic>
          </wp:anchor>
        </w:drawing>
      </w:r>
    </w:p>
    <w:p w14:paraId="50C0AC4A" w14:textId="77777777" w:rsidR="00C65183" w:rsidRDefault="00C65183" w:rsidP="00C65183">
      <w:pPr>
        <w:spacing w:line="360" w:lineRule="auto"/>
        <w:jc w:val="both"/>
        <w:rPr>
          <w:rFonts w:asciiTheme="minorHAnsi" w:hAnsiTheme="minorHAnsi"/>
          <w:bCs/>
        </w:rPr>
      </w:pPr>
    </w:p>
    <w:p w14:paraId="0A9E77AA" w14:textId="77777777" w:rsidR="00C65183" w:rsidRPr="00986827" w:rsidRDefault="00C65183" w:rsidP="00C65183">
      <w:pPr>
        <w:spacing w:line="360" w:lineRule="auto"/>
        <w:jc w:val="both"/>
        <w:rPr>
          <w:rFonts w:asciiTheme="minorHAnsi" w:hAnsiTheme="minorHAnsi"/>
        </w:rPr>
      </w:pPr>
      <w:r w:rsidRPr="00986827">
        <w:rPr>
          <w:rFonts w:asciiTheme="minorHAnsi" w:hAnsiTheme="minorHAnsi"/>
          <w:bCs/>
        </w:rPr>
        <w:t xml:space="preserve">The percentage of people that eat less than one serve of fruit each day declines </w:t>
      </w:r>
      <w:r>
        <w:rPr>
          <w:rFonts w:asciiTheme="minorHAnsi" w:hAnsiTheme="minorHAnsi"/>
          <w:bCs/>
        </w:rPr>
        <w:t>from late middle-</w:t>
      </w:r>
      <w:r w:rsidRPr="00986827">
        <w:rPr>
          <w:rFonts w:asciiTheme="minorHAnsi" w:hAnsiTheme="minorHAnsi"/>
          <w:bCs/>
        </w:rPr>
        <w:t>age and is substantially higher among males than females during most of the lifespan.</w:t>
      </w:r>
    </w:p>
    <w:p w14:paraId="7C6173FE" w14:textId="77777777" w:rsidR="00C65183" w:rsidRPr="005800A4" w:rsidRDefault="00C65183" w:rsidP="00C65183">
      <w:pPr>
        <w:jc w:val="both"/>
        <w:rPr>
          <w:rFonts w:asciiTheme="minorHAnsi" w:hAnsiTheme="minorHAnsi"/>
          <w:sz w:val="12"/>
          <w:szCs w:val="12"/>
        </w:rPr>
      </w:pPr>
    </w:p>
    <w:p w14:paraId="41ABE32A" w14:textId="77777777" w:rsidR="00C65183" w:rsidRPr="005800A4" w:rsidRDefault="00C65183" w:rsidP="00C65183">
      <w:pPr>
        <w:jc w:val="both"/>
        <w:rPr>
          <w:rFonts w:asciiTheme="minorHAnsi" w:hAnsiTheme="minorHAnsi"/>
          <w:color w:val="7F7F7F" w:themeColor="text1" w:themeTint="80"/>
          <w:sz w:val="20"/>
          <w:szCs w:val="20"/>
        </w:rPr>
      </w:pPr>
      <w:bookmarkStart w:id="23" w:name="_Hlk61272034"/>
      <w:r w:rsidRPr="005800A4">
        <w:rPr>
          <w:rFonts w:asciiTheme="minorHAnsi" w:hAnsiTheme="minorHAnsi"/>
          <w:color w:val="7F7F7F" w:themeColor="text1" w:themeTint="80"/>
          <w:sz w:val="20"/>
          <w:szCs w:val="20"/>
        </w:rPr>
        <w:t xml:space="preserve">Per cent of persons who eat less than one serve of fruit per day, by </w:t>
      </w:r>
      <w:r>
        <w:rPr>
          <w:rFonts w:asciiTheme="minorHAnsi" w:hAnsiTheme="minorHAnsi"/>
          <w:color w:val="7F7F7F" w:themeColor="text1" w:themeTint="80"/>
          <w:sz w:val="20"/>
          <w:szCs w:val="20"/>
        </w:rPr>
        <w:t xml:space="preserve">age and </w:t>
      </w:r>
      <w:r w:rsidRPr="005800A4">
        <w:rPr>
          <w:rFonts w:asciiTheme="minorHAnsi" w:hAnsiTheme="minorHAnsi"/>
          <w:color w:val="7F7F7F" w:themeColor="text1" w:themeTint="80"/>
          <w:sz w:val="20"/>
          <w:szCs w:val="20"/>
        </w:rPr>
        <w:t>sex: Australia, 2018</w:t>
      </w:r>
    </w:p>
    <w:bookmarkEnd w:id="23"/>
    <w:p w14:paraId="7A36A0E4" w14:textId="77777777" w:rsidR="00C65183" w:rsidRDefault="00C65183" w:rsidP="00C65183">
      <w:pPr>
        <w:spacing w:line="360" w:lineRule="auto"/>
        <w:jc w:val="both"/>
        <w:rPr>
          <w:rFonts w:asciiTheme="minorHAnsi" w:hAnsiTheme="minorHAnsi"/>
        </w:rPr>
      </w:pPr>
    </w:p>
    <w:p w14:paraId="1CC7347B" w14:textId="77777777" w:rsidR="00C65183" w:rsidRDefault="00C65183" w:rsidP="00C65183">
      <w:pPr>
        <w:spacing w:line="360" w:lineRule="auto"/>
        <w:jc w:val="both"/>
        <w:rPr>
          <w:rFonts w:asciiTheme="minorHAnsi" w:hAnsiTheme="minorHAnsi"/>
        </w:rPr>
      </w:pPr>
    </w:p>
    <w:p w14:paraId="21350AA8" w14:textId="77777777" w:rsidR="00C65183" w:rsidRDefault="00C65183" w:rsidP="00C65183">
      <w:pPr>
        <w:spacing w:line="360" w:lineRule="auto"/>
        <w:jc w:val="both"/>
        <w:rPr>
          <w:rFonts w:asciiTheme="minorHAnsi" w:hAnsiTheme="minorHAnsi"/>
        </w:rPr>
      </w:pPr>
      <w:r>
        <w:rPr>
          <w:rFonts w:asciiTheme="minorHAnsi" w:hAnsiTheme="minorHAnsi"/>
          <w:noProof/>
          <w:lang w:val="en-US"/>
        </w:rPr>
        <w:drawing>
          <wp:anchor distT="0" distB="0" distL="114300" distR="114300" simplePos="0" relativeHeight="251890688" behindDoc="0" locked="0" layoutInCell="1" allowOverlap="1" wp14:anchorId="7A84F8DA" wp14:editId="5A4BC292">
            <wp:simplePos x="0" y="0"/>
            <wp:positionH relativeFrom="column">
              <wp:posOffset>2905125</wp:posOffset>
            </wp:positionH>
            <wp:positionV relativeFrom="paragraph">
              <wp:posOffset>194945</wp:posOffset>
            </wp:positionV>
            <wp:extent cx="3295650" cy="2266950"/>
            <wp:effectExtent l="0" t="0" r="0" b="0"/>
            <wp:wrapSquare wrapText="bothSides"/>
            <wp:docPr id="392" name="Picture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58" cstate="print">
                      <a:extLst>
                        <a:ext uri="{28A0092B-C50C-407E-A947-70E740481C1C}">
                          <a14:useLocalDpi xmlns:a14="http://schemas.microsoft.com/office/drawing/2010/main" val="0"/>
                        </a:ext>
                      </a:extLst>
                    </a:blip>
                    <a:srcRect/>
                    <a:stretch>
                      <a:fillRect/>
                    </a:stretch>
                  </pic:blipFill>
                  <pic:spPr bwMode="auto">
                    <a:xfrm>
                      <a:off x="0" y="0"/>
                      <a:ext cx="3295650" cy="2266950"/>
                    </a:xfrm>
                    <a:prstGeom prst="rect">
                      <a:avLst/>
                    </a:prstGeom>
                    <a:noFill/>
                  </pic:spPr>
                </pic:pic>
              </a:graphicData>
            </a:graphic>
          </wp:anchor>
        </w:drawing>
      </w:r>
    </w:p>
    <w:p w14:paraId="0AE69CCF" w14:textId="77777777" w:rsidR="00C65183" w:rsidRDefault="00C65183" w:rsidP="00C65183">
      <w:pPr>
        <w:spacing w:line="360" w:lineRule="auto"/>
        <w:jc w:val="both"/>
        <w:rPr>
          <w:rFonts w:asciiTheme="minorHAnsi" w:hAnsiTheme="minorHAnsi"/>
        </w:rPr>
      </w:pPr>
    </w:p>
    <w:p w14:paraId="4C1A7981" w14:textId="77777777" w:rsidR="00C65183" w:rsidRPr="00986827" w:rsidRDefault="00C65183" w:rsidP="00C65183">
      <w:pPr>
        <w:spacing w:line="360" w:lineRule="auto"/>
        <w:jc w:val="both"/>
        <w:rPr>
          <w:rFonts w:asciiTheme="minorHAnsi" w:hAnsiTheme="minorHAnsi"/>
        </w:rPr>
      </w:pPr>
      <w:r w:rsidRPr="00986827">
        <w:rPr>
          <w:rFonts w:asciiTheme="minorHAnsi" w:hAnsiTheme="minorHAnsi"/>
        </w:rPr>
        <w:t>Six per cent of adults consume less than one serve of vegetables per day</w:t>
      </w:r>
      <w:r>
        <w:rPr>
          <w:rFonts w:asciiTheme="minorHAnsi" w:hAnsiTheme="minorHAnsi"/>
        </w:rPr>
        <w:t xml:space="preserve"> (5-6 serves daily are recommended)</w:t>
      </w:r>
      <w:r w:rsidRPr="00986827">
        <w:rPr>
          <w:rFonts w:asciiTheme="minorHAnsi" w:hAnsiTheme="minorHAnsi"/>
        </w:rPr>
        <w:t>, including 6.9% of males and 5.2% of females.</w:t>
      </w:r>
    </w:p>
    <w:p w14:paraId="2EB42E91" w14:textId="77777777" w:rsidR="00C65183" w:rsidRPr="005800A4" w:rsidRDefault="00C65183" w:rsidP="00C65183">
      <w:pPr>
        <w:jc w:val="both"/>
        <w:rPr>
          <w:rFonts w:asciiTheme="minorHAnsi" w:hAnsiTheme="minorHAnsi"/>
          <w:color w:val="7F7F7F" w:themeColor="text1" w:themeTint="80"/>
          <w:sz w:val="20"/>
          <w:szCs w:val="20"/>
        </w:rPr>
      </w:pPr>
      <w:bookmarkStart w:id="24" w:name="_Hlk61272054"/>
      <w:r w:rsidRPr="005800A4">
        <w:rPr>
          <w:rFonts w:asciiTheme="minorHAnsi" w:hAnsiTheme="minorHAnsi"/>
          <w:color w:val="7F7F7F" w:themeColor="text1" w:themeTint="80"/>
          <w:sz w:val="20"/>
          <w:szCs w:val="20"/>
        </w:rPr>
        <w:t xml:space="preserve">Per cent of persons who eat less than one serve of </w:t>
      </w:r>
      <w:r>
        <w:rPr>
          <w:rFonts w:asciiTheme="minorHAnsi" w:hAnsiTheme="minorHAnsi"/>
          <w:color w:val="7F7F7F" w:themeColor="text1" w:themeTint="80"/>
          <w:sz w:val="20"/>
          <w:szCs w:val="20"/>
        </w:rPr>
        <w:t>vegetables</w:t>
      </w:r>
      <w:r w:rsidRPr="005800A4">
        <w:rPr>
          <w:rFonts w:asciiTheme="minorHAnsi" w:hAnsiTheme="minorHAnsi"/>
          <w:color w:val="7F7F7F" w:themeColor="text1" w:themeTint="80"/>
          <w:sz w:val="20"/>
          <w:szCs w:val="20"/>
        </w:rPr>
        <w:t xml:space="preserve"> per day, by sex: Australia, 2018</w:t>
      </w:r>
    </w:p>
    <w:bookmarkEnd w:id="24"/>
    <w:p w14:paraId="516B4F4F" w14:textId="77777777" w:rsidR="00C65183" w:rsidRDefault="00C65183" w:rsidP="00C65183">
      <w:pPr>
        <w:spacing w:line="360" w:lineRule="auto"/>
        <w:jc w:val="both"/>
        <w:rPr>
          <w:rFonts w:asciiTheme="minorHAnsi" w:hAnsiTheme="minorHAnsi"/>
        </w:rPr>
      </w:pPr>
    </w:p>
    <w:p w14:paraId="1CCE735A" w14:textId="77777777" w:rsidR="00C65183" w:rsidRDefault="00C65183" w:rsidP="00C65183">
      <w:pPr>
        <w:spacing w:line="360" w:lineRule="auto"/>
        <w:jc w:val="both"/>
        <w:rPr>
          <w:rFonts w:asciiTheme="minorHAnsi" w:hAnsiTheme="minorHAnsi"/>
        </w:rPr>
      </w:pPr>
    </w:p>
    <w:p w14:paraId="372BFB85" w14:textId="77777777" w:rsidR="00C65183" w:rsidRDefault="00C65183" w:rsidP="00C65183">
      <w:pPr>
        <w:spacing w:line="360" w:lineRule="auto"/>
        <w:jc w:val="both"/>
        <w:rPr>
          <w:rFonts w:asciiTheme="minorHAnsi" w:hAnsiTheme="minorHAnsi"/>
        </w:rPr>
      </w:pPr>
    </w:p>
    <w:p w14:paraId="2D5CDD28" w14:textId="77777777" w:rsidR="00C65183" w:rsidRDefault="00C65183" w:rsidP="00C65183">
      <w:pPr>
        <w:spacing w:line="360" w:lineRule="auto"/>
        <w:jc w:val="both"/>
        <w:rPr>
          <w:rFonts w:asciiTheme="minorHAnsi" w:hAnsiTheme="minorHAnsi"/>
        </w:rPr>
      </w:pPr>
      <w:r>
        <w:rPr>
          <w:rFonts w:asciiTheme="minorHAnsi" w:hAnsiTheme="minorHAnsi"/>
          <w:noProof/>
          <w:lang w:val="en-US"/>
        </w:rPr>
        <w:lastRenderedPageBreak/>
        <w:drawing>
          <wp:anchor distT="0" distB="0" distL="114300" distR="114300" simplePos="0" relativeHeight="251888640" behindDoc="0" locked="0" layoutInCell="1" allowOverlap="1" wp14:anchorId="27745327" wp14:editId="34A6B92A">
            <wp:simplePos x="0" y="0"/>
            <wp:positionH relativeFrom="margin">
              <wp:posOffset>-66675</wp:posOffset>
            </wp:positionH>
            <wp:positionV relativeFrom="paragraph">
              <wp:posOffset>71120</wp:posOffset>
            </wp:positionV>
            <wp:extent cx="3562350" cy="2587625"/>
            <wp:effectExtent l="0" t="0" r="0" b="3175"/>
            <wp:wrapSquare wrapText="bothSides"/>
            <wp:docPr id="393" name="Picture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59" cstate="print">
                      <a:extLst>
                        <a:ext uri="{28A0092B-C50C-407E-A947-70E740481C1C}">
                          <a14:useLocalDpi xmlns:a14="http://schemas.microsoft.com/office/drawing/2010/main" val="0"/>
                        </a:ext>
                      </a:extLst>
                    </a:blip>
                    <a:srcRect r="3428"/>
                    <a:stretch/>
                  </pic:blipFill>
                  <pic:spPr bwMode="auto">
                    <a:xfrm>
                      <a:off x="0" y="0"/>
                      <a:ext cx="3562350" cy="2587625"/>
                    </a:xfrm>
                    <a:prstGeom prst="rect">
                      <a:avLst/>
                    </a:prstGeom>
                    <a:noFill/>
                    <a:ln>
                      <a:noFill/>
                    </a:ln>
                    <a:extLst>
                      <a:ext uri="{53640926-AAD7-44D8-BBD7-CCE9431645EC}">
                        <a14:shadowObscured xmlns:a14="http://schemas.microsoft.com/office/drawing/2010/main"/>
                      </a:ext>
                    </a:extLst>
                  </pic:spPr>
                </pic:pic>
              </a:graphicData>
            </a:graphic>
          </wp:anchor>
        </w:drawing>
      </w:r>
    </w:p>
    <w:p w14:paraId="5E9D1814" w14:textId="77777777" w:rsidR="00C65183" w:rsidRDefault="00C65183" w:rsidP="00C65183">
      <w:pPr>
        <w:spacing w:line="360" w:lineRule="auto"/>
        <w:jc w:val="both"/>
        <w:rPr>
          <w:rFonts w:asciiTheme="minorHAnsi" w:hAnsiTheme="minorHAnsi"/>
        </w:rPr>
      </w:pPr>
    </w:p>
    <w:p w14:paraId="4BB19B38" w14:textId="77777777" w:rsidR="00C65183" w:rsidRPr="00986827" w:rsidRDefault="00C65183" w:rsidP="00C65183">
      <w:pPr>
        <w:spacing w:line="360" w:lineRule="auto"/>
        <w:jc w:val="both"/>
        <w:rPr>
          <w:rFonts w:asciiTheme="minorHAnsi" w:hAnsiTheme="minorHAnsi"/>
        </w:rPr>
      </w:pPr>
      <w:r w:rsidRPr="00986827">
        <w:rPr>
          <w:rFonts w:asciiTheme="minorHAnsi" w:hAnsiTheme="minorHAnsi"/>
        </w:rPr>
        <w:t xml:space="preserve">The proportion of adults who eat less than one serve of vegetables </w:t>
      </w:r>
      <w:r>
        <w:rPr>
          <w:rFonts w:asciiTheme="minorHAnsi" w:hAnsiTheme="minorHAnsi"/>
        </w:rPr>
        <w:t>dwindles in the first decades of adulthood, then remains relatively stable until older age</w:t>
      </w:r>
      <w:r w:rsidRPr="00986827">
        <w:rPr>
          <w:rFonts w:asciiTheme="minorHAnsi" w:hAnsiTheme="minorHAnsi"/>
        </w:rPr>
        <w:t xml:space="preserve">. </w:t>
      </w:r>
    </w:p>
    <w:p w14:paraId="779C9905" w14:textId="77777777" w:rsidR="00C65183" w:rsidRDefault="00C65183" w:rsidP="00C65183">
      <w:pPr>
        <w:spacing w:line="360" w:lineRule="auto"/>
        <w:jc w:val="both"/>
        <w:rPr>
          <w:rFonts w:asciiTheme="minorHAnsi" w:hAnsiTheme="minorHAnsi"/>
        </w:rPr>
      </w:pPr>
    </w:p>
    <w:p w14:paraId="4DA74150" w14:textId="77777777" w:rsidR="00C65183" w:rsidRPr="005800A4" w:rsidRDefault="00C65183" w:rsidP="00C65183">
      <w:pPr>
        <w:jc w:val="both"/>
        <w:rPr>
          <w:rFonts w:asciiTheme="minorHAnsi" w:hAnsiTheme="minorHAnsi"/>
          <w:color w:val="7F7F7F" w:themeColor="text1" w:themeTint="80"/>
          <w:sz w:val="20"/>
          <w:szCs w:val="20"/>
        </w:rPr>
      </w:pPr>
      <w:bookmarkStart w:id="25" w:name="_Hlk61271994"/>
      <w:r w:rsidRPr="005800A4">
        <w:rPr>
          <w:rFonts w:asciiTheme="minorHAnsi" w:hAnsiTheme="minorHAnsi"/>
          <w:color w:val="7F7F7F" w:themeColor="text1" w:themeTint="80"/>
          <w:sz w:val="20"/>
          <w:szCs w:val="20"/>
        </w:rPr>
        <w:t xml:space="preserve">Per cent of persons who eat less than one serve of </w:t>
      </w:r>
      <w:r>
        <w:rPr>
          <w:rFonts w:asciiTheme="minorHAnsi" w:hAnsiTheme="minorHAnsi"/>
          <w:color w:val="7F7F7F" w:themeColor="text1" w:themeTint="80"/>
          <w:sz w:val="20"/>
          <w:szCs w:val="20"/>
        </w:rPr>
        <w:t>vegetables</w:t>
      </w:r>
      <w:r w:rsidRPr="005800A4">
        <w:rPr>
          <w:rFonts w:asciiTheme="minorHAnsi" w:hAnsiTheme="minorHAnsi"/>
          <w:color w:val="7F7F7F" w:themeColor="text1" w:themeTint="80"/>
          <w:sz w:val="20"/>
          <w:szCs w:val="20"/>
        </w:rPr>
        <w:t xml:space="preserve"> per day, by </w:t>
      </w:r>
      <w:r>
        <w:rPr>
          <w:rFonts w:asciiTheme="minorHAnsi" w:hAnsiTheme="minorHAnsi"/>
          <w:color w:val="7F7F7F" w:themeColor="text1" w:themeTint="80"/>
          <w:sz w:val="20"/>
          <w:szCs w:val="20"/>
        </w:rPr>
        <w:t xml:space="preserve">age and </w:t>
      </w:r>
      <w:r w:rsidRPr="005800A4">
        <w:rPr>
          <w:rFonts w:asciiTheme="minorHAnsi" w:hAnsiTheme="minorHAnsi"/>
          <w:color w:val="7F7F7F" w:themeColor="text1" w:themeTint="80"/>
          <w:sz w:val="20"/>
          <w:szCs w:val="20"/>
        </w:rPr>
        <w:t>sex: Australia, 2018</w:t>
      </w:r>
    </w:p>
    <w:bookmarkEnd w:id="25"/>
    <w:p w14:paraId="24817481" w14:textId="77777777" w:rsidR="00C65183" w:rsidRDefault="00C65183" w:rsidP="00C65183">
      <w:pPr>
        <w:spacing w:line="360" w:lineRule="auto"/>
        <w:jc w:val="both"/>
        <w:rPr>
          <w:rFonts w:asciiTheme="minorHAnsi" w:hAnsiTheme="minorHAnsi"/>
        </w:rPr>
      </w:pPr>
    </w:p>
    <w:p w14:paraId="155F358F" w14:textId="77777777" w:rsidR="00C65183" w:rsidRDefault="00C65183" w:rsidP="00C65183">
      <w:pPr>
        <w:spacing w:line="360" w:lineRule="auto"/>
        <w:jc w:val="both"/>
        <w:rPr>
          <w:rFonts w:asciiTheme="minorHAnsi" w:hAnsiTheme="minorHAnsi"/>
        </w:rPr>
      </w:pPr>
    </w:p>
    <w:p w14:paraId="00966760" w14:textId="77777777" w:rsidR="00C65183" w:rsidRDefault="00C65183" w:rsidP="00C65183">
      <w:pPr>
        <w:spacing w:line="360" w:lineRule="auto"/>
        <w:jc w:val="both"/>
        <w:rPr>
          <w:rFonts w:asciiTheme="minorHAnsi" w:hAnsiTheme="minorHAnsi"/>
        </w:rPr>
      </w:pPr>
    </w:p>
    <w:p w14:paraId="250878BC" w14:textId="77777777" w:rsidR="00C65183" w:rsidRDefault="00C65183" w:rsidP="00C65183">
      <w:pPr>
        <w:spacing w:line="360" w:lineRule="auto"/>
        <w:jc w:val="both"/>
        <w:rPr>
          <w:rFonts w:asciiTheme="minorHAnsi" w:hAnsiTheme="minorHAnsi"/>
        </w:rPr>
      </w:pPr>
      <w:r>
        <w:rPr>
          <w:rFonts w:asciiTheme="minorHAnsi" w:hAnsiTheme="minorHAnsi"/>
          <w:noProof/>
          <w:lang w:val="en-US"/>
        </w:rPr>
        <w:drawing>
          <wp:anchor distT="0" distB="0" distL="114300" distR="114300" simplePos="0" relativeHeight="251891712" behindDoc="0" locked="0" layoutInCell="1" allowOverlap="1" wp14:anchorId="7B1A4A5C" wp14:editId="3AA39DEA">
            <wp:simplePos x="0" y="0"/>
            <wp:positionH relativeFrom="column">
              <wp:posOffset>2461260</wp:posOffset>
            </wp:positionH>
            <wp:positionV relativeFrom="paragraph">
              <wp:posOffset>134620</wp:posOffset>
            </wp:positionV>
            <wp:extent cx="3704590" cy="2476500"/>
            <wp:effectExtent l="0" t="0" r="0" b="0"/>
            <wp:wrapSquare wrapText="bothSides"/>
            <wp:docPr id="394" name="Picture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60" cstate="print">
                      <a:extLst>
                        <a:ext uri="{28A0092B-C50C-407E-A947-70E740481C1C}">
                          <a14:useLocalDpi xmlns:a14="http://schemas.microsoft.com/office/drawing/2010/main" val="0"/>
                        </a:ext>
                      </a:extLst>
                    </a:blip>
                    <a:srcRect/>
                    <a:stretch>
                      <a:fillRect/>
                    </a:stretch>
                  </pic:blipFill>
                  <pic:spPr bwMode="auto">
                    <a:xfrm>
                      <a:off x="0" y="0"/>
                      <a:ext cx="3704590" cy="2476500"/>
                    </a:xfrm>
                    <a:prstGeom prst="rect">
                      <a:avLst/>
                    </a:prstGeom>
                    <a:noFill/>
                  </pic:spPr>
                </pic:pic>
              </a:graphicData>
            </a:graphic>
          </wp:anchor>
        </w:drawing>
      </w:r>
    </w:p>
    <w:p w14:paraId="510C9A3D" w14:textId="77777777" w:rsidR="00C65183" w:rsidRPr="00285B66" w:rsidRDefault="00C65183" w:rsidP="00C65183">
      <w:pPr>
        <w:spacing w:line="360" w:lineRule="auto"/>
        <w:jc w:val="both"/>
        <w:rPr>
          <w:rFonts w:asciiTheme="minorHAnsi" w:hAnsiTheme="minorHAnsi"/>
        </w:rPr>
      </w:pPr>
      <w:r w:rsidRPr="00285B66">
        <w:rPr>
          <w:rFonts w:asciiTheme="minorHAnsi" w:hAnsiTheme="minorHAnsi"/>
          <w:b/>
        </w:rPr>
        <w:t>Consumption of Sugar-sweetened Drinks</w:t>
      </w:r>
    </w:p>
    <w:p w14:paraId="6B86089C" w14:textId="77777777" w:rsidR="00C65183" w:rsidRPr="00986827" w:rsidRDefault="00C65183" w:rsidP="00C65183">
      <w:pPr>
        <w:spacing w:line="360" w:lineRule="auto"/>
        <w:jc w:val="both"/>
        <w:rPr>
          <w:rFonts w:asciiTheme="minorHAnsi" w:hAnsiTheme="minorHAnsi"/>
        </w:rPr>
      </w:pPr>
      <w:r>
        <w:rPr>
          <w:rFonts w:asciiTheme="minorHAnsi" w:hAnsiTheme="minorHAnsi"/>
        </w:rPr>
        <w:t xml:space="preserve">The 2018 National Health Survey determined that approximately one in ten (9.8%) males </w:t>
      </w:r>
      <w:r w:rsidRPr="00986827">
        <w:rPr>
          <w:rFonts w:asciiTheme="minorHAnsi" w:hAnsiTheme="minorHAnsi"/>
        </w:rPr>
        <w:t xml:space="preserve">consume two or more metric cups per day of selected sugar-sweetened drinks, more than twice the corresponding proportion of 4% </w:t>
      </w:r>
      <w:r>
        <w:rPr>
          <w:rFonts w:asciiTheme="minorHAnsi" w:hAnsiTheme="minorHAnsi"/>
        </w:rPr>
        <w:t>among</w:t>
      </w:r>
      <w:r w:rsidRPr="00986827">
        <w:rPr>
          <w:rFonts w:asciiTheme="minorHAnsi" w:hAnsiTheme="minorHAnsi"/>
        </w:rPr>
        <w:t xml:space="preserve"> women.</w:t>
      </w:r>
    </w:p>
    <w:p w14:paraId="10054727" w14:textId="77777777" w:rsidR="00C65183" w:rsidRPr="005800A4" w:rsidRDefault="00C65183" w:rsidP="00C65183">
      <w:pPr>
        <w:jc w:val="both"/>
        <w:rPr>
          <w:rFonts w:asciiTheme="minorHAnsi" w:hAnsiTheme="minorHAnsi"/>
          <w:color w:val="7F7F7F" w:themeColor="text1" w:themeTint="80"/>
          <w:sz w:val="20"/>
          <w:szCs w:val="20"/>
        </w:rPr>
      </w:pPr>
      <w:bookmarkStart w:id="26" w:name="_Hlk61271947"/>
      <w:r w:rsidRPr="005800A4">
        <w:rPr>
          <w:rFonts w:asciiTheme="minorHAnsi" w:hAnsiTheme="minorHAnsi"/>
          <w:color w:val="7F7F7F" w:themeColor="text1" w:themeTint="80"/>
          <w:sz w:val="20"/>
          <w:szCs w:val="20"/>
        </w:rPr>
        <w:t>Per cent of persons who two or more metric cups per day of selected sugar-sweetened drinks, by sex: Australia, 2018</w:t>
      </w:r>
    </w:p>
    <w:bookmarkEnd w:id="26"/>
    <w:p w14:paraId="35876E06" w14:textId="77777777" w:rsidR="00C65183" w:rsidRDefault="00C65183" w:rsidP="00C65183">
      <w:pPr>
        <w:spacing w:line="360" w:lineRule="auto"/>
        <w:jc w:val="both"/>
        <w:rPr>
          <w:rFonts w:asciiTheme="minorHAnsi" w:hAnsiTheme="minorHAnsi"/>
        </w:rPr>
      </w:pPr>
    </w:p>
    <w:p w14:paraId="2794A144" w14:textId="77777777" w:rsidR="00C65183" w:rsidRDefault="00C65183" w:rsidP="00C65183">
      <w:pPr>
        <w:spacing w:line="360" w:lineRule="auto"/>
        <w:jc w:val="both"/>
        <w:rPr>
          <w:rFonts w:asciiTheme="minorHAnsi" w:hAnsiTheme="minorHAnsi"/>
        </w:rPr>
      </w:pPr>
    </w:p>
    <w:p w14:paraId="0BFB7351" w14:textId="77777777" w:rsidR="00C65183" w:rsidRDefault="00C65183" w:rsidP="00C65183">
      <w:pPr>
        <w:spacing w:line="360" w:lineRule="auto"/>
        <w:jc w:val="both"/>
        <w:rPr>
          <w:rFonts w:asciiTheme="minorHAnsi" w:hAnsiTheme="minorHAnsi"/>
        </w:rPr>
      </w:pPr>
      <w:r>
        <w:rPr>
          <w:rFonts w:asciiTheme="minorHAnsi" w:hAnsiTheme="minorHAnsi"/>
          <w:noProof/>
          <w:lang w:val="en-US"/>
        </w:rPr>
        <w:drawing>
          <wp:anchor distT="0" distB="0" distL="114300" distR="114300" simplePos="0" relativeHeight="251893760" behindDoc="0" locked="0" layoutInCell="1" allowOverlap="1" wp14:anchorId="31EDE277" wp14:editId="0E15BB83">
            <wp:simplePos x="0" y="0"/>
            <wp:positionH relativeFrom="column">
              <wp:posOffset>-44450</wp:posOffset>
            </wp:positionH>
            <wp:positionV relativeFrom="paragraph">
              <wp:posOffset>0</wp:posOffset>
            </wp:positionV>
            <wp:extent cx="3705225" cy="2667000"/>
            <wp:effectExtent l="0" t="0" r="9525" b="0"/>
            <wp:wrapSquare wrapText="bothSides"/>
            <wp:docPr id="395" name="Picture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61" cstate="print">
                      <a:extLst>
                        <a:ext uri="{28A0092B-C50C-407E-A947-70E740481C1C}">
                          <a14:useLocalDpi xmlns:a14="http://schemas.microsoft.com/office/drawing/2010/main" val="0"/>
                        </a:ext>
                      </a:extLst>
                    </a:blip>
                    <a:srcRect r="2718"/>
                    <a:stretch/>
                  </pic:blipFill>
                  <pic:spPr bwMode="auto">
                    <a:xfrm>
                      <a:off x="0" y="0"/>
                      <a:ext cx="3705225" cy="2667000"/>
                    </a:xfrm>
                    <a:prstGeom prst="rect">
                      <a:avLst/>
                    </a:prstGeom>
                    <a:noFill/>
                    <a:ln>
                      <a:noFill/>
                    </a:ln>
                    <a:extLst>
                      <a:ext uri="{53640926-AAD7-44D8-BBD7-CCE9431645EC}">
                        <a14:shadowObscured xmlns:a14="http://schemas.microsoft.com/office/drawing/2010/main"/>
                      </a:ext>
                    </a:extLst>
                  </pic:spPr>
                </pic:pic>
              </a:graphicData>
            </a:graphic>
          </wp:anchor>
        </w:drawing>
      </w:r>
    </w:p>
    <w:p w14:paraId="48839416" w14:textId="77777777" w:rsidR="00C65183" w:rsidRDefault="00C65183" w:rsidP="00C65183">
      <w:pPr>
        <w:spacing w:line="360" w:lineRule="auto"/>
        <w:jc w:val="both"/>
        <w:rPr>
          <w:rFonts w:asciiTheme="minorHAnsi" w:hAnsiTheme="minorHAnsi"/>
        </w:rPr>
      </w:pPr>
      <w:r w:rsidRPr="00986827">
        <w:rPr>
          <w:rFonts w:asciiTheme="minorHAnsi" w:hAnsiTheme="minorHAnsi"/>
        </w:rPr>
        <w:t>The accompanying diagram depicts the percentage of adults who consume two or more cups per day of sugar-sweetened drinks.</w:t>
      </w:r>
      <w:r>
        <w:rPr>
          <w:rFonts w:asciiTheme="minorHAnsi" w:hAnsiTheme="minorHAnsi"/>
        </w:rPr>
        <w:t xml:space="preserve"> F</w:t>
      </w:r>
      <w:r w:rsidRPr="00986827">
        <w:rPr>
          <w:rFonts w:asciiTheme="minorHAnsi" w:hAnsiTheme="minorHAnsi"/>
        </w:rPr>
        <w:t xml:space="preserve">rom its peak of </w:t>
      </w:r>
      <w:r>
        <w:rPr>
          <w:rFonts w:asciiTheme="minorHAnsi" w:hAnsiTheme="minorHAnsi"/>
        </w:rPr>
        <w:t xml:space="preserve">just over </w:t>
      </w:r>
      <w:r w:rsidRPr="00986827">
        <w:rPr>
          <w:rFonts w:asciiTheme="minorHAnsi" w:hAnsiTheme="minorHAnsi"/>
        </w:rPr>
        <w:t>11% among young adults</w:t>
      </w:r>
      <w:r>
        <w:rPr>
          <w:rFonts w:asciiTheme="minorHAnsi" w:hAnsiTheme="minorHAnsi"/>
        </w:rPr>
        <w:t>, t</w:t>
      </w:r>
      <w:r w:rsidRPr="00986827">
        <w:rPr>
          <w:rFonts w:asciiTheme="minorHAnsi" w:hAnsiTheme="minorHAnsi"/>
        </w:rPr>
        <w:t>his proportion declines</w:t>
      </w:r>
      <w:r>
        <w:rPr>
          <w:rFonts w:asciiTheme="minorHAnsi" w:hAnsiTheme="minorHAnsi"/>
        </w:rPr>
        <w:t xml:space="preserve"> throughout most of adulthood</w:t>
      </w:r>
      <w:r w:rsidRPr="00986827">
        <w:rPr>
          <w:rFonts w:asciiTheme="minorHAnsi" w:hAnsiTheme="minorHAnsi"/>
        </w:rPr>
        <w:t>.</w:t>
      </w:r>
    </w:p>
    <w:p w14:paraId="7AD4E987" w14:textId="77777777" w:rsidR="00C65183" w:rsidRDefault="00C65183" w:rsidP="00C65183">
      <w:pPr>
        <w:spacing w:line="360" w:lineRule="auto"/>
        <w:jc w:val="both"/>
        <w:rPr>
          <w:rFonts w:asciiTheme="minorHAnsi" w:hAnsiTheme="minorHAnsi"/>
        </w:rPr>
      </w:pPr>
    </w:p>
    <w:p w14:paraId="550FE291" w14:textId="77777777" w:rsidR="00C65183" w:rsidRPr="005800A4" w:rsidRDefault="00C65183" w:rsidP="00C65183">
      <w:pPr>
        <w:jc w:val="both"/>
        <w:rPr>
          <w:rFonts w:asciiTheme="minorHAnsi" w:hAnsiTheme="minorHAnsi"/>
          <w:color w:val="7F7F7F" w:themeColor="text1" w:themeTint="80"/>
          <w:sz w:val="20"/>
          <w:szCs w:val="20"/>
        </w:rPr>
      </w:pPr>
      <w:bookmarkStart w:id="27" w:name="_Hlk61271927"/>
      <w:r w:rsidRPr="005800A4">
        <w:rPr>
          <w:rFonts w:asciiTheme="minorHAnsi" w:hAnsiTheme="minorHAnsi"/>
          <w:color w:val="7F7F7F" w:themeColor="text1" w:themeTint="80"/>
          <w:sz w:val="20"/>
          <w:szCs w:val="20"/>
        </w:rPr>
        <w:t xml:space="preserve">Per cent of persons who two or more metric cups per day of selected sugar-sweetened drinks, by </w:t>
      </w:r>
      <w:r>
        <w:rPr>
          <w:rFonts w:asciiTheme="minorHAnsi" w:hAnsiTheme="minorHAnsi"/>
          <w:color w:val="7F7F7F" w:themeColor="text1" w:themeTint="80"/>
          <w:sz w:val="20"/>
          <w:szCs w:val="20"/>
        </w:rPr>
        <w:t xml:space="preserve">age and </w:t>
      </w:r>
      <w:r w:rsidRPr="005800A4">
        <w:rPr>
          <w:rFonts w:asciiTheme="minorHAnsi" w:hAnsiTheme="minorHAnsi"/>
          <w:color w:val="7F7F7F" w:themeColor="text1" w:themeTint="80"/>
          <w:sz w:val="20"/>
          <w:szCs w:val="20"/>
        </w:rPr>
        <w:t>sex: Australia, 2018</w:t>
      </w:r>
    </w:p>
    <w:bookmarkEnd w:id="27"/>
    <w:p w14:paraId="5D73BEB3" w14:textId="77777777" w:rsidR="00C65183" w:rsidRDefault="00C65183" w:rsidP="00C65183">
      <w:pPr>
        <w:spacing w:line="360" w:lineRule="auto"/>
        <w:jc w:val="both"/>
        <w:rPr>
          <w:rFonts w:asciiTheme="minorHAnsi" w:hAnsiTheme="minorHAnsi"/>
        </w:rPr>
      </w:pPr>
    </w:p>
    <w:p w14:paraId="3C67B3B1" w14:textId="77777777" w:rsidR="00C65183" w:rsidRDefault="00C65183" w:rsidP="00C65183">
      <w:pPr>
        <w:spacing w:line="360" w:lineRule="auto"/>
        <w:jc w:val="both"/>
        <w:rPr>
          <w:rFonts w:asciiTheme="minorHAnsi" w:hAnsiTheme="minorHAnsi"/>
        </w:rPr>
      </w:pPr>
    </w:p>
    <w:p w14:paraId="71655EE5" w14:textId="77777777" w:rsidR="00C65183" w:rsidRPr="00986827" w:rsidRDefault="00C65183" w:rsidP="00C65183">
      <w:pPr>
        <w:spacing w:line="360" w:lineRule="auto"/>
        <w:jc w:val="both"/>
        <w:rPr>
          <w:rFonts w:asciiTheme="minorHAnsi" w:hAnsiTheme="minorHAnsi"/>
        </w:rPr>
      </w:pPr>
      <w:r w:rsidRPr="00A92B94">
        <w:rPr>
          <w:rFonts w:asciiTheme="minorHAnsi" w:hAnsiTheme="minorHAnsi"/>
          <w:noProof/>
          <w:sz w:val="36"/>
          <w:szCs w:val="36"/>
          <w:lang w:val="en-US"/>
        </w:rPr>
        <w:lastRenderedPageBreak/>
        <w:drawing>
          <wp:anchor distT="0" distB="0" distL="114300" distR="114300" simplePos="0" relativeHeight="251895808" behindDoc="0" locked="0" layoutInCell="1" allowOverlap="1" wp14:anchorId="72C7409E" wp14:editId="6106D7CB">
            <wp:simplePos x="0" y="0"/>
            <wp:positionH relativeFrom="column">
              <wp:posOffset>3175</wp:posOffset>
            </wp:positionH>
            <wp:positionV relativeFrom="paragraph">
              <wp:posOffset>22860</wp:posOffset>
            </wp:positionV>
            <wp:extent cx="3382645" cy="2419350"/>
            <wp:effectExtent l="0" t="0" r="8255" b="0"/>
            <wp:wrapSquare wrapText="bothSides"/>
            <wp:docPr id="396" name="Picture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262" cstate="print">
                      <a:extLst>
                        <a:ext uri="{28A0092B-C50C-407E-A947-70E740481C1C}">
                          <a14:useLocalDpi xmlns:a14="http://schemas.microsoft.com/office/drawing/2010/main" val="0"/>
                        </a:ext>
                      </a:extLst>
                    </a:blip>
                    <a:srcRect t="3835" r="6250"/>
                    <a:stretch/>
                  </pic:blipFill>
                  <pic:spPr bwMode="auto">
                    <a:xfrm>
                      <a:off x="0" y="0"/>
                      <a:ext cx="3382645" cy="2419350"/>
                    </a:xfrm>
                    <a:prstGeom prst="rect">
                      <a:avLst/>
                    </a:prstGeom>
                    <a:noFill/>
                    <a:ln>
                      <a:noFill/>
                    </a:ln>
                    <a:extLst>
                      <a:ext uri="{53640926-AAD7-44D8-BBD7-CCE9431645EC}">
                        <a14:shadowObscured xmlns:a14="http://schemas.microsoft.com/office/drawing/2010/main"/>
                      </a:ext>
                    </a:extLst>
                  </pic:spPr>
                </pic:pic>
              </a:graphicData>
            </a:graphic>
          </wp:anchor>
        </w:drawing>
      </w:r>
      <w:r>
        <w:rPr>
          <w:rFonts w:asciiTheme="minorHAnsi" w:hAnsiTheme="minorHAnsi"/>
        </w:rPr>
        <w:t>A similar pattern may be seen in</w:t>
      </w:r>
      <w:r w:rsidRPr="00986827">
        <w:rPr>
          <w:rFonts w:asciiTheme="minorHAnsi" w:hAnsiTheme="minorHAnsi"/>
        </w:rPr>
        <w:t xml:space="preserve"> the number of days on which people consume sugar-sweetened drinks</w:t>
      </w:r>
      <w:r>
        <w:rPr>
          <w:rFonts w:asciiTheme="minorHAnsi" w:hAnsiTheme="minorHAnsi"/>
        </w:rPr>
        <w:t>. On average, w</w:t>
      </w:r>
      <w:r w:rsidRPr="00986827">
        <w:rPr>
          <w:rFonts w:asciiTheme="minorHAnsi" w:hAnsiTheme="minorHAnsi"/>
        </w:rPr>
        <w:t>omen consum</w:t>
      </w:r>
      <w:r>
        <w:rPr>
          <w:rFonts w:asciiTheme="minorHAnsi" w:hAnsiTheme="minorHAnsi"/>
        </w:rPr>
        <w:t>e</w:t>
      </w:r>
      <w:r w:rsidRPr="00986827">
        <w:rPr>
          <w:rFonts w:asciiTheme="minorHAnsi" w:hAnsiTheme="minorHAnsi"/>
        </w:rPr>
        <w:t xml:space="preserve"> such beverages 2.8 days</w:t>
      </w:r>
      <w:r>
        <w:rPr>
          <w:rFonts w:asciiTheme="minorHAnsi" w:hAnsiTheme="minorHAnsi"/>
        </w:rPr>
        <w:t xml:space="preserve"> per week</w:t>
      </w:r>
      <w:r w:rsidRPr="00986827">
        <w:rPr>
          <w:rFonts w:asciiTheme="minorHAnsi" w:hAnsiTheme="minorHAnsi"/>
        </w:rPr>
        <w:t>, compared with 6.4 days among men.</w:t>
      </w:r>
    </w:p>
    <w:p w14:paraId="58F66FFA" w14:textId="77777777" w:rsidR="00C65183" w:rsidRDefault="00C65183" w:rsidP="00C65183">
      <w:pPr>
        <w:spacing w:line="360" w:lineRule="auto"/>
        <w:jc w:val="both"/>
        <w:rPr>
          <w:rFonts w:asciiTheme="minorHAnsi" w:hAnsiTheme="minorHAnsi"/>
        </w:rPr>
      </w:pPr>
    </w:p>
    <w:p w14:paraId="01329C2C" w14:textId="77777777" w:rsidR="00C65183" w:rsidRPr="005800A4" w:rsidRDefault="00C65183" w:rsidP="00C65183">
      <w:pPr>
        <w:jc w:val="both"/>
        <w:rPr>
          <w:rFonts w:asciiTheme="minorHAnsi" w:hAnsiTheme="minorHAnsi"/>
          <w:color w:val="7F7F7F" w:themeColor="text1" w:themeTint="80"/>
          <w:sz w:val="20"/>
          <w:szCs w:val="20"/>
        </w:rPr>
      </w:pPr>
      <w:bookmarkStart w:id="28" w:name="_Hlk61271884"/>
      <w:r>
        <w:rPr>
          <w:rFonts w:asciiTheme="minorHAnsi" w:hAnsiTheme="minorHAnsi"/>
          <w:color w:val="7F7F7F" w:themeColor="text1" w:themeTint="80"/>
          <w:sz w:val="20"/>
          <w:szCs w:val="20"/>
        </w:rPr>
        <w:t>Average number of days per week on which</w:t>
      </w:r>
      <w:r w:rsidRPr="005800A4">
        <w:rPr>
          <w:rFonts w:asciiTheme="minorHAnsi" w:hAnsiTheme="minorHAnsi"/>
          <w:color w:val="7F7F7F" w:themeColor="text1" w:themeTint="80"/>
          <w:sz w:val="20"/>
          <w:szCs w:val="20"/>
        </w:rPr>
        <w:t xml:space="preserve"> sugar-sweetened </w:t>
      </w:r>
      <w:r>
        <w:rPr>
          <w:rFonts w:asciiTheme="minorHAnsi" w:hAnsiTheme="minorHAnsi"/>
          <w:color w:val="7F7F7F" w:themeColor="text1" w:themeTint="80"/>
          <w:sz w:val="20"/>
          <w:szCs w:val="20"/>
        </w:rPr>
        <w:t>drinks are consumed</w:t>
      </w:r>
      <w:r w:rsidRPr="005800A4">
        <w:rPr>
          <w:rFonts w:asciiTheme="minorHAnsi" w:hAnsiTheme="minorHAnsi"/>
          <w:color w:val="7F7F7F" w:themeColor="text1" w:themeTint="80"/>
          <w:sz w:val="20"/>
          <w:szCs w:val="20"/>
        </w:rPr>
        <w:t>, by sex: Australia, 2018</w:t>
      </w:r>
    </w:p>
    <w:bookmarkEnd w:id="28"/>
    <w:p w14:paraId="0D9DE901" w14:textId="77777777" w:rsidR="00C65183" w:rsidRDefault="00C65183" w:rsidP="00C65183">
      <w:pPr>
        <w:spacing w:line="360" w:lineRule="auto"/>
        <w:jc w:val="both"/>
        <w:rPr>
          <w:rFonts w:asciiTheme="minorHAnsi" w:hAnsiTheme="minorHAnsi"/>
        </w:rPr>
      </w:pPr>
    </w:p>
    <w:p w14:paraId="7E00747F" w14:textId="77777777" w:rsidR="00C65183" w:rsidRDefault="00C65183" w:rsidP="00C65183">
      <w:pPr>
        <w:spacing w:line="360" w:lineRule="auto"/>
        <w:jc w:val="both"/>
        <w:rPr>
          <w:rFonts w:asciiTheme="minorHAnsi" w:hAnsiTheme="minorHAnsi"/>
        </w:rPr>
      </w:pPr>
    </w:p>
    <w:p w14:paraId="72822D1F" w14:textId="77777777" w:rsidR="00C65183" w:rsidRDefault="00C65183" w:rsidP="00C65183">
      <w:pPr>
        <w:spacing w:line="360" w:lineRule="auto"/>
        <w:jc w:val="both"/>
        <w:rPr>
          <w:rFonts w:asciiTheme="minorHAnsi" w:hAnsiTheme="minorHAnsi"/>
        </w:rPr>
      </w:pPr>
    </w:p>
    <w:p w14:paraId="070A05F6" w14:textId="77777777" w:rsidR="00C65183" w:rsidRDefault="00C65183" w:rsidP="00C65183">
      <w:pPr>
        <w:spacing w:line="360" w:lineRule="auto"/>
        <w:jc w:val="both"/>
        <w:rPr>
          <w:rFonts w:asciiTheme="minorHAnsi" w:hAnsiTheme="minorHAnsi"/>
        </w:rPr>
      </w:pPr>
      <w:r>
        <w:rPr>
          <w:rFonts w:asciiTheme="minorHAnsi" w:hAnsiTheme="minorHAnsi"/>
          <w:noProof/>
          <w:lang w:val="en-US"/>
        </w:rPr>
        <w:drawing>
          <wp:anchor distT="0" distB="0" distL="114300" distR="114300" simplePos="0" relativeHeight="251894784" behindDoc="0" locked="0" layoutInCell="1" allowOverlap="1" wp14:anchorId="5E918440" wp14:editId="0F8B6E9C">
            <wp:simplePos x="0" y="0"/>
            <wp:positionH relativeFrom="column">
              <wp:posOffset>2777808</wp:posOffset>
            </wp:positionH>
            <wp:positionV relativeFrom="paragraph">
              <wp:posOffset>6667</wp:posOffset>
            </wp:positionV>
            <wp:extent cx="3457575" cy="2494915"/>
            <wp:effectExtent l="0" t="0" r="9525" b="635"/>
            <wp:wrapSquare wrapText="bothSides"/>
            <wp:docPr id="397" name="Picture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3" cstate="print">
                      <a:extLst>
                        <a:ext uri="{28A0092B-C50C-407E-A947-70E740481C1C}">
                          <a14:useLocalDpi xmlns:a14="http://schemas.microsoft.com/office/drawing/2010/main" val="0"/>
                        </a:ext>
                      </a:extLst>
                    </a:blip>
                    <a:srcRect/>
                    <a:stretch>
                      <a:fillRect/>
                    </a:stretch>
                  </pic:blipFill>
                  <pic:spPr bwMode="auto">
                    <a:xfrm>
                      <a:off x="0" y="0"/>
                      <a:ext cx="3457575" cy="2494915"/>
                    </a:xfrm>
                    <a:prstGeom prst="rect">
                      <a:avLst/>
                    </a:prstGeom>
                    <a:noFill/>
                  </pic:spPr>
                </pic:pic>
              </a:graphicData>
            </a:graphic>
          </wp:anchor>
        </w:drawing>
      </w:r>
    </w:p>
    <w:p w14:paraId="2693600C" w14:textId="77777777" w:rsidR="00C65183" w:rsidRDefault="00C65183" w:rsidP="00C65183">
      <w:pPr>
        <w:spacing w:line="360" w:lineRule="auto"/>
        <w:jc w:val="both"/>
        <w:rPr>
          <w:rFonts w:asciiTheme="minorHAnsi" w:hAnsiTheme="minorHAnsi"/>
        </w:rPr>
      </w:pPr>
    </w:p>
    <w:p w14:paraId="7ED8703E" w14:textId="77777777" w:rsidR="00C65183" w:rsidRDefault="00C65183" w:rsidP="00C65183">
      <w:pPr>
        <w:spacing w:line="360" w:lineRule="auto"/>
        <w:jc w:val="both"/>
        <w:rPr>
          <w:rFonts w:asciiTheme="minorHAnsi" w:hAnsiTheme="minorHAnsi"/>
        </w:rPr>
      </w:pPr>
      <w:bookmarkStart w:id="29" w:name="_Hlk61271846"/>
      <w:r>
        <w:rPr>
          <w:rFonts w:asciiTheme="minorHAnsi" w:hAnsiTheme="minorHAnsi"/>
        </w:rPr>
        <w:t>Approximately one in ten young adults</w:t>
      </w:r>
      <w:r w:rsidRPr="00986827">
        <w:rPr>
          <w:rFonts w:asciiTheme="minorHAnsi" w:hAnsiTheme="minorHAnsi"/>
        </w:rPr>
        <w:t xml:space="preserve"> consume selected sugar-sweetened drinks on 4 to 6 days a week</w:t>
      </w:r>
      <w:r>
        <w:rPr>
          <w:rFonts w:asciiTheme="minorHAnsi" w:hAnsiTheme="minorHAnsi"/>
        </w:rPr>
        <w:t xml:space="preserve"> – a proportion which</w:t>
      </w:r>
      <w:r w:rsidRPr="00986827">
        <w:rPr>
          <w:rFonts w:asciiTheme="minorHAnsi" w:hAnsiTheme="minorHAnsi"/>
        </w:rPr>
        <w:t xml:space="preserve"> </w:t>
      </w:r>
      <w:r>
        <w:rPr>
          <w:rFonts w:asciiTheme="minorHAnsi" w:hAnsiTheme="minorHAnsi"/>
        </w:rPr>
        <w:t>descends</w:t>
      </w:r>
      <w:r w:rsidRPr="00986827">
        <w:rPr>
          <w:rFonts w:asciiTheme="minorHAnsi" w:hAnsiTheme="minorHAnsi"/>
        </w:rPr>
        <w:t xml:space="preserve"> throughout </w:t>
      </w:r>
      <w:r>
        <w:rPr>
          <w:rFonts w:asciiTheme="minorHAnsi" w:hAnsiTheme="minorHAnsi"/>
        </w:rPr>
        <w:t>life</w:t>
      </w:r>
      <w:r w:rsidRPr="00986827">
        <w:rPr>
          <w:rFonts w:asciiTheme="minorHAnsi" w:hAnsiTheme="minorHAnsi"/>
        </w:rPr>
        <w:t>.</w:t>
      </w:r>
    </w:p>
    <w:bookmarkEnd w:id="29"/>
    <w:p w14:paraId="5056EA17" w14:textId="77777777" w:rsidR="00C65183" w:rsidRDefault="00C65183" w:rsidP="00C65183">
      <w:pPr>
        <w:spacing w:line="360" w:lineRule="auto"/>
        <w:jc w:val="both"/>
        <w:rPr>
          <w:rFonts w:ascii="Calibri" w:hAnsi="Calibri"/>
          <w:b/>
          <w:sz w:val="24"/>
        </w:rPr>
      </w:pPr>
    </w:p>
    <w:p w14:paraId="315F6007" w14:textId="77777777" w:rsidR="00C65183" w:rsidRPr="005800A4" w:rsidRDefault="00C65183" w:rsidP="00C65183">
      <w:pPr>
        <w:jc w:val="both"/>
        <w:rPr>
          <w:rFonts w:asciiTheme="minorHAnsi" w:hAnsiTheme="minorHAnsi"/>
          <w:color w:val="7F7F7F" w:themeColor="text1" w:themeTint="80"/>
          <w:sz w:val="20"/>
          <w:szCs w:val="20"/>
        </w:rPr>
      </w:pPr>
      <w:bookmarkStart w:id="30" w:name="_Hlk61271864"/>
      <w:r>
        <w:rPr>
          <w:rFonts w:asciiTheme="minorHAnsi" w:hAnsiTheme="minorHAnsi"/>
          <w:color w:val="7F7F7F" w:themeColor="text1" w:themeTint="80"/>
          <w:sz w:val="20"/>
          <w:szCs w:val="20"/>
        </w:rPr>
        <w:t>Per cent of persons who consume</w:t>
      </w:r>
      <w:r w:rsidRPr="005800A4">
        <w:rPr>
          <w:rFonts w:asciiTheme="minorHAnsi" w:hAnsiTheme="minorHAnsi"/>
          <w:color w:val="7F7F7F" w:themeColor="text1" w:themeTint="80"/>
          <w:sz w:val="20"/>
          <w:szCs w:val="20"/>
        </w:rPr>
        <w:t xml:space="preserve"> sugar-sweetened </w:t>
      </w:r>
      <w:r>
        <w:rPr>
          <w:rFonts w:asciiTheme="minorHAnsi" w:hAnsiTheme="minorHAnsi"/>
          <w:color w:val="7F7F7F" w:themeColor="text1" w:themeTint="80"/>
          <w:sz w:val="20"/>
          <w:szCs w:val="20"/>
        </w:rPr>
        <w:t>drinks 4 to 6 days per week, by age and</w:t>
      </w:r>
      <w:r w:rsidRPr="005800A4">
        <w:rPr>
          <w:rFonts w:asciiTheme="minorHAnsi" w:hAnsiTheme="minorHAnsi"/>
          <w:color w:val="7F7F7F" w:themeColor="text1" w:themeTint="80"/>
          <w:sz w:val="20"/>
          <w:szCs w:val="20"/>
        </w:rPr>
        <w:t xml:space="preserve"> sex: Australia, 2018</w:t>
      </w:r>
    </w:p>
    <w:bookmarkEnd w:id="30"/>
    <w:p w14:paraId="32F3C70F" w14:textId="77777777" w:rsidR="00C65183" w:rsidRDefault="00C65183" w:rsidP="00C65183">
      <w:pPr>
        <w:spacing w:line="360" w:lineRule="auto"/>
        <w:jc w:val="both"/>
        <w:rPr>
          <w:rFonts w:ascii="Calibri" w:hAnsi="Calibri"/>
          <w:b/>
          <w:sz w:val="24"/>
        </w:rPr>
      </w:pPr>
    </w:p>
    <w:p w14:paraId="4D284E1C" w14:textId="77777777" w:rsidR="00C65183" w:rsidRDefault="00C65183" w:rsidP="00C65183">
      <w:pPr>
        <w:spacing w:line="360" w:lineRule="auto"/>
        <w:jc w:val="both"/>
        <w:rPr>
          <w:rFonts w:ascii="Calibri" w:hAnsi="Calibri"/>
          <w:b/>
          <w:sz w:val="24"/>
        </w:rPr>
      </w:pPr>
    </w:p>
    <w:p w14:paraId="1E4962D6" w14:textId="77777777" w:rsidR="00C65183" w:rsidRDefault="00C65183" w:rsidP="00C65183">
      <w:pPr>
        <w:spacing w:line="360" w:lineRule="auto"/>
        <w:jc w:val="both"/>
        <w:rPr>
          <w:rFonts w:ascii="Calibri" w:hAnsi="Calibri"/>
          <w:b/>
          <w:sz w:val="24"/>
        </w:rPr>
      </w:pPr>
    </w:p>
    <w:p w14:paraId="00617D58" w14:textId="77777777" w:rsidR="00C65183" w:rsidRPr="005B593B" w:rsidRDefault="00C65183" w:rsidP="00C65183">
      <w:pPr>
        <w:spacing w:line="360" w:lineRule="auto"/>
        <w:jc w:val="both"/>
        <w:rPr>
          <w:rFonts w:ascii="Calibri" w:hAnsi="Calibri"/>
          <w:b/>
          <w:sz w:val="24"/>
        </w:rPr>
      </w:pPr>
      <w:r w:rsidRPr="005B593B">
        <w:rPr>
          <w:rFonts w:ascii="Calibri" w:hAnsi="Calibri"/>
          <w:b/>
          <w:sz w:val="24"/>
        </w:rPr>
        <w:t>Local Measures</w:t>
      </w:r>
    </w:p>
    <w:p w14:paraId="37124507" w14:textId="77777777" w:rsidR="00C65183" w:rsidRPr="00E52BFC" w:rsidRDefault="00C65183" w:rsidP="00C65183">
      <w:pPr>
        <w:spacing w:line="360" w:lineRule="auto"/>
        <w:jc w:val="both"/>
        <w:rPr>
          <w:rFonts w:ascii="Calibri" w:hAnsi="Calibri"/>
          <w:color w:val="000000"/>
        </w:rPr>
      </w:pPr>
      <w:r>
        <w:rPr>
          <w:rFonts w:ascii="Calibri" w:hAnsi="Calibri"/>
          <w:color w:val="000000"/>
        </w:rPr>
        <w:t>The 2017 Victorian Population Health survey found that 1.5% of Greater Dandenong residents met vegetable consumption guidelines, a quarter of the Victorian level of 5.4% - including 8.4% of females and 2.2% of males.</w:t>
      </w:r>
    </w:p>
    <w:p w14:paraId="52EEEFE4" w14:textId="77777777" w:rsidR="00C65183" w:rsidRPr="004A09D8" w:rsidRDefault="00C65183" w:rsidP="00C65183">
      <w:pPr>
        <w:spacing w:line="360" w:lineRule="auto"/>
        <w:jc w:val="both"/>
        <w:rPr>
          <w:rFonts w:ascii="Calibri" w:hAnsi="Calibri"/>
        </w:rPr>
      </w:pPr>
      <w:r>
        <w:rPr>
          <w:rFonts w:ascii="Calibri" w:hAnsi="Calibri"/>
          <w:color w:val="000000"/>
        </w:rPr>
        <w:t>The 2017 Victorian Population Health survey found that 38% of Greater Dandenong residents met fruit consumption guidelines, almost matching the Victorian level of 43%. As with vegetable consumption, a lesser proportion, of 38%, of residents from the most disadvantaged municipalities met fruit guidelines than among those of the least disadvantaged localities, of 46%.</w:t>
      </w:r>
    </w:p>
    <w:p w14:paraId="3375D798" w14:textId="77777777" w:rsidR="00C65183" w:rsidRPr="001552BF" w:rsidRDefault="00C65183" w:rsidP="00C65183">
      <w:pPr>
        <w:spacing w:line="360" w:lineRule="auto"/>
        <w:jc w:val="both"/>
        <w:rPr>
          <w:rFonts w:asciiTheme="minorHAnsi" w:eastAsia="Times New Roman" w:hAnsiTheme="minorHAnsi"/>
        </w:rPr>
      </w:pPr>
      <w:r>
        <w:rPr>
          <w:rFonts w:ascii="Calibri" w:hAnsi="Calibri"/>
        </w:rPr>
        <w:t xml:space="preserve">The </w:t>
      </w:r>
      <w:r>
        <w:rPr>
          <w:rFonts w:ascii="Calibri" w:hAnsi="Calibri"/>
          <w:color w:val="000000"/>
        </w:rPr>
        <w:t xml:space="preserve">2017 Victorian Population Health survey disclosed that 11% of Greater Dandenong residents consumed sugar-sweetened drinks daily, similar to the Victorian figure of 10%. The proportion of Greater Dandenong residents who consumed takeaway meals or snacks more than once per week was 15%, the same </w:t>
      </w:r>
    </w:p>
    <w:p w14:paraId="4ADCACEC" w14:textId="77777777" w:rsidR="00C65183" w:rsidRDefault="00C65183" w:rsidP="00C65183">
      <w:pPr>
        <w:rPr>
          <w:rFonts w:ascii="Calibri" w:hAnsi="Calibri"/>
        </w:rPr>
      </w:pPr>
      <w:r>
        <w:rPr>
          <w:rFonts w:ascii="Calibri" w:hAnsi="Calibri"/>
        </w:rPr>
        <w:br w:type="page"/>
      </w:r>
    </w:p>
    <w:p w14:paraId="0EE2B740" w14:textId="77777777" w:rsidR="00C65183" w:rsidRPr="00827F47" w:rsidRDefault="00C65183" w:rsidP="00C65183">
      <w:pPr>
        <w:pBdr>
          <w:top w:val="single" w:sz="4" w:space="0" w:color="244061" w:themeColor="accent1" w:themeShade="80"/>
          <w:bottom w:val="single" w:sz="4" w:space="1" w:color="244061" w:themeColor="accent1" w:themeShade="80"/>
        </w:pBdr>
        <w:tabs>
          <w:tab w:val="center" w:pos="4678"/>
        </w:tabs>
        <w:jc w:val="center"/>
        <w:rPr>
          <w:rFonts w:ascii="Garamond" w:hAnsi="Garamond"/>
          <w:noProof/>
          <w:color w:val="244061" w:themeColor="accent1" w:themeShade="80"/>
          <w:sz w:val="34"/>
          <w:szCs w:val="34"/>
        </w:rPr>
      </w:pPr>
      <w:r w:rsidRPr="00827F47">
        <w:rPr>
          <w:rFonts w:ascii="Garamond" w:hAnsi="Garamond"/>
          <w:noProof/>
          <w:color w:val="244061" w:themeColor="accent1" w:themeShade="80"/>
          <w:sz w:val="34"/>
          <w:szCs w:val="34"/>
        </w:rPr>
        <w:lastRenderedPageBreak/>
        <w:t>Food Insecurity</w:t>
      </w:r>
    </w:p>
    <w:p w14:paraId="2A9CB9BD" w14:textId="77777777" w:rsidR="00C65183" w:rsidRDefault="00C65183" w:rsidP="00C65183">
      <w:pPr>
        <w:spacing w:line="360" w:lineRule="auto"/>
        <w:jc w:val="both"/>
        <w:rPr>
          <w:rFonts w:asciiTheme="minorHAnsi" w:eastAsia="Times New Roman" w:hAnsiTheme="minorHAnsi" w:cs="Times New Roman"/>
        </w:rPr>
      </w:pPr>
      <w:r w:rsidRPr="005D5381">
        <w:rPr>
          <w:rFonts w:ascii="Calibri" w:eastAsia="Times New Roman" w:hAnsi="Calibri"/>
          <w:noProof/>
          <w:sz w:val="32"/>
          <w:szCs w:val="32"/>
          <w:lang w:val="en-US"/>
        </w:rPr>
        <w:drawing>
          <wp:anchor distT="0" distB="0" distL="114300" distR="114300" simplePos="0" relativeHeight="251900928" behindDoc="1" locked="0" layoutInCell="1" allowOverlap="1" wp14:anchorId="731F049A" wp14:editId="08006F0D">
            <wp:simplePos x="0" y="0"/>
            <wp:positionH relativeFrom="margin">
              <wp:align>right</wp:align>
            </wp:positionH>
            <wp:positionV relativeFrom="paragraph">
              <wp:posOffset>16510</wp:posOffset>
            </wp:positionV>
            <wp:extent cx="944245" cy="1423670"/>
            <wp:effectExtent l="0" t="0" r="8255" b="5080"/>
            <wp:wrapTight wrapText="bothSides">
              <wp:wrapPolygon edited="0">
                <wp:start x="1743" y="0"/>
                <wp:lineTo x="0" y="578"/>
                <wp:lineTo x="0" y="21099"/>
                <wp:lineTo x="1743" y="21388"/>
                <wp:lineTo x="19610" y="21388"/>
                <wp:lineTo x="21353" y="21099"/>
                <wp:lineTo x="21353" y="578"/>
                <wp:lineTo x="19610" y="0"/>
                <wp:lineTo x="1743" y="0"/>
              </wp:wrapPolygon>
            </wp:wrapTight>
            <wp:docPr id="406" name="Picture 119" descr="nutritio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nutrition 3"/>
                    <pic:cNvPicPr>
                      <a:picLocks noChangeAspect="1" noChangeArrowheads="1"/>
                    </pic:cNvPicPr>
                  </pic:nvPicPr>
                  <pic:blipFill>
                    <a:blip r:embed="rId264" cstate="print"/>
                    <a:srcRect/>
                    <a:stretch>
                      <a:fillRect/>
                    </a:stretch>
                  </pic:blipFill>
                  <pic:spPr bwMode="auto">
                    <a:xfrm>
                      <a:off x="0" y="0"/>
                      <a:ext cx="944245" cy="14236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598E56EF" w14:textId="77777777" w:rsidR="00C65183" w:rsidRPr="001552BF" w:rsidRDefault="00C65183" w:rsidP="00C65183">
      <w:pPr>
        <w:spacing w:line="360" w:lineRule="auto"/>
        <w:jc w:val="both"/>
        <w:rPr>
          <w:rFonts w:asciiTheme="minorHAnsi" w:eastAsia="Times New Roman" w:hAnsiTheme="minorHAnsi" w:cs="Times New Roman"/>
        </w:rPr>
      </w:pPr>
      <w:r w:rsidRPr="001552BF">
        <w:rPr>
          <w:rFonts w:asciiTheme="minorHAnsi" w:eastAsia="Times New Roman" w:hAnsiTheme="minorHAnsi" w:cs="Times New Roman"/>
        </w:rPr>
        <w:t xml:space="preserve">Food insecurity is a term generally applied to a lack of continuous, reliable access to nutritious food. Its contributing causes include low incomes; rising costs of housing and utilities; household financial crises; transport limitations; inadequate household storage or food preparation facilities; lack of skill or confidence in shopping, budgeting or preparing food; as well as psychological, physical or mental impairments. </w:t>
      </w:r>
    </w:p>
    <w:p w14:paraId="44A9EF68" w14:textId="77777777" w:rsidR="00C65183" w:rsidRDefault="00C65183" w:rsidP="00C65183">
      <w:pPr>
        <w:spacing w:line="360" w:lineRule="auto"/>
        <w:jc w:val="both"/>
        <w:rPr>
          <w:rFonts w:asciiTheme="minorHAnsi" w:eastAsia="Times New Roman" w:hAnsiTheme="minorHAnsi" w:cs="Times New Roman"/>
        </w:rPr>
      </w:pPr>
      <w:r w:rsidRPr="001552BF">
        <w:rPr>
          <w:rFonts w:asciiTheme="minorHAnsi" w:eastAsia="Times New Roman" w:hAnsiTheme="minorHAnsi" w:cs="Times New Roman"/>
        </w:rPr>
        <w:t xml:space="preserve">At least one in twenty households are experiencing food insecurity at any given time, a persistent condition for some, and recurring or transient for others. Surveys indicate that food insecurity is most prevalent among low-income households, Aboriginal and Torres Strait Islanders, unemployed people, renters, refugees and asylum-seekers, those with chronic illnesses, mental health conditions or drug problems, homeless people and those living in remote communities. </w:t>
      </w:r>
    </w:p>
    <w:p w14:paraId="465247CA" w14:textId="77777777" w:rsidR="00C65183" w:rsidRPr="001552BF" w:rsidRDefault="00C65183" w:rsidP="00C65183">
      <w:pPr>
        <w:spacing w:line="360" w:lineRule="auto"/>
        <w:jc w:val="both"/>
        <w:rPr>
          <w:rFonts w:asciiTheme="minorHAnsi" w:eastAsia="Times New Roman" w:hAnsiTheme="minorHAnsi" w:cs="Times New Roman"/>
        </w:rPr>
      </w:pPr>
    </w:p>
    <w:p w14:paraId="5D98F682" w14:textId="77777777" w:rsidR="00C65183" w:rsidRPr="000D318D" w:rsidRDefault="00C65183" w:rsidP="00C65183">
      <w:pPr>
        <w:spacing w:before="120" w:line="360" w:lineRule="auto"/>
        <w:jc w:val="both"/>
        <w:rPr>
          <w:rFonts w:asciiTheme="minorHAnsi" w:hAnsiTheme="minorHAnsi"/>
          <w:b/>
        </w:rPr>
      </w:pPr>
      <w:r>
        <w:rPr>
          <w:rFonts w:asciiTheme="minorHAnsi" w:hAnsiTheme="minorHAnsi"/>
          <w:b/>
        </w:rPr>
        <w:t>Prevalence of Food Insecurity</w:t>
      </w:r>
    </w:p>
    <w:p w14:paraId="5035C92B" w14:textId="77777777" w:rsidR="00C65183" w:rsidRDefault="00C65183" w:rsidP="00C65183">
      <w:pPr>
        <w:spacing w:line="360" w:lineRule="auto"/>
        <w:jc w:val="both"/>
        <w:rPr>
          <w:rFonts w:asciiTheme="minorHAnsi" w:hAnsiTheme="minorHAnsi"/>
        </w:rPr>
      </w:pPr>
      <w:r w:rsidRPr="00110829">
        <w:rPr>
          <w:rFonts w:asciiTheme="minorHAnsi" w:hAnsiTheme="minorHAnsi"/>
        </w:rPr>
        <w:t xml:space="preserve">Surveys of food </w:t>
      </w:r>
      <w:r>
        <w:rPr>
          <w:rFonts w:asciiTheme="minorHAnsi" w:hAnsiTheme="minorHAnsi"/>
        </w:rPr>
        <w:t xml:space="preserve">insecurity </w:t>
      </w:r>
      <w:r w:rsidRPr="00110829">
        <w:rPr>
          <w:rFonts w:asciiTheme="minorHAnsi" w:hAnsiTheme="minorHAnsi"/>
        </w:rPr>
        <w:t>in Australian indicate that approximately one in 20 Australians run</w:t>
      </w:r>
      <w:r>
        <w:rPr>
          <w:rFonts w:asciiTheme="minorHAnsi" w:hAnsiTheme="minorHAnsi"/>
        </w:rPr>
        <w:t>s</w:t>
      </w:r>
      <w:r w:rsidRPr="00110829">
        <w:rPr>
          <w:rFonts w:asciiTheme="minorHAnsi" w:hAnsiTheme="minorHAnsi"/>
        </w:rPr>
        <w:t xml:space="preserve"> out of food due to financial constraints</w:t>
      </w:r>
      <w:r>
        <w:rPr>
          <w:rFonts w:asciiTheme="minorHAnsi" w:hAnsiTheme="minorHAnsi"/>
        </w:rPr>
        <w:t xml:space="preserve"> in a 12-month period.</w:t>
      </w:r>
      <w:r>
        <w:rPr>
          <w:rStyle w:val="FootnoteReference"/>
          <w:rFonts w:asciiTheme="minorHAnsi" w:hAnsiTheme="minorHAnsi"/>
        </w:rPr>
        <w:footnoteReference w:id="69"/>
      </w:r>
      <w:r>
        <w:rPr>
          <w:rFonts w:asciiTheme="minorHAnsi" w:hAnsiTheme="minorHAnsi"/>
        </w:rPr>
        <w:t xml:space="preserve"> </w:t>
      </w:r>
      <w:r w:rsidRPr="00933BCE">
        <w:rPr>
          <w:rFonts w:asciiTheme="minorHAnsi" w:hAnsiTheme="minorHAnsi"/>
        </w:rPr>
        <w:t xml:space="preserve">The </w:t>
      </w:r>
      <w:r>
        <w:rPr>
          <w:rFonts w:asciiTheme="minorHAnsi" w:hAnsiTheme="minorHAnsi"/>
        </w:rPr>
        <w:t>measures of prevalence arising from</w:t>
      </w:r>
      <w:r w:rsidRPr="00933BCE">
        <w:rPr>
          <w:rFonts w:asciiTheme="minorHAnsi" w:hAnsiTheme="minorHAnsi"/>
        </w:rPr>
        <w:t xml:space="preserve"> population surveys featuring this inquiry include 5.2% in 1995</w:t>
      </w:r>
      <w:r>
        <w:rPr>
          <w:rStyle w:val="FootnoteReference"/>
          <w:rFonts w:asciiTheme="minorHAnsi" w:hAnsiTheme="minorHAnsi"/>
        </w:rPr>
        <w:footnoteReference w:id="70"/>
      </w:r>
      <w:r w:rsidRPr="00933BCE">
        <w:rPr>
          <w:rFonts w:asciiTheme="minorHAnsi" w:hAnsiTheme="minorHAnsi"/>
        </w:rPr>
        <w:t xml:space="preserve">, 6.1% in the 2001 Child Health Survey, 5.2% in the Victorian </w:t>
      </w:r>
      <w:r>
        <w:rPr>
          <w:rFonts w:asciiTheme="minorHAnsi" w:hAnsiTheme="minorHAnsi"/>
        </w:rPr>
        <w:t>‘</w:t>
      </w:r>
      <w:r w:rsidRPr="00933BCE">
        <w:rPr>
          <w:rFonts w:asciiTheme="minorHAnsi" w:hAnsiTheme="minorHAnsi"/>
        </w:rPr>
        <w:t>VicLanes</w:t>
      </w:r>
      <w:r>
        <w:rPr>
          <w:rFonts w:asciiTheme="minorHAnsi" w:hAnsiTheme="minorHAnsi"/>
        </w:rPr>
        <w:t>’</w:t>
      </w:r>
      <w:r w:rsidRPr="00933BCE">
        <w:rPr>
          <w:rFonts w:asciiTheme="minorHAnsi" w:hAnsiTheme="minorHAnsi"/>
        </w:rPr>
        <w:t xml:space="preserve"> survey</w:t>
      </w:r>
      <w:r>
        <w:rPr>
          <w:rStyle w:val="FootnoteReference"/>
          <w:rFonts w:asciiTheme="minorHAnsi" w:hAnsiTheme="minorHAnsi"/>
        </w:rPr>
        <w:footnoteReference w:id="71"/>
      </w:r>
      <w:r w:rsidRPr="00933BCE">
        <w:rPr>
          <w:rFonts w:asciiTheme="minorHAnsi" w:hAnsiTheme="minorHAnsi"/>
        </w:rPr>
        <w:t xml:space="preserve"> and 4% in the 2011/12 National Health Survey.</w:t>
      </w:r>
      <w:r>
        <w:rPr>
          <w:rFonts w:asciiTheme="minorHAnsi" w:hAnsiTheme="minorHAnsi"/>
        </w:rPr>
        <w:t xml:space="preserve"> </w:t>
      </w:r>
    </w:p>
    <w:p w14:paraId="3A735EB2" w14:textId="77777777" w:rsidR="00C65183" w:rsidRDefault="00C65183" w:rsidP="00C65183">
      <w:pPr>
        <w:spacing w:line="360" w:lineRule="auto"/>
        <w:jc w:val="both"/>
        <w:rPr>
          <w:rFonts w:asciiTheme="minorHAnsi" w:hAnsiTheme="minorHAnsi"/>
        </w:rPr>
      </w:pPr>
      <w:r w:rsidRPr="003F1B50">
        <w:rPr>
          <w:rFonts w:asciiTheme="minorHAnsi" w:hAnsiTheme="minorHAnsi"/>
          <w:noProof/>
          <w:sz w:val="10"/>
          <w:szCs w:val="10"/>
          <w:lang w:val="en-US"/>
        </w:rPr>
        <w:drawing>
          <wp:anchor distT="0" distB="0" distL="114300" distR="114300" simplePos="0" relativeHeight="251896832" behindDoc="0" locked="0" layoutInCell="1" allowOverlap="1" wp14:anchorId="13B0F6CE" wp14:editId="06F8EF57">
            <wp:simplePos x="0" y="0"/>
            <wp:positionH relativeFrom="margin">
              <wp:align>right</wp:align>
            </wp:positionH>
            <wp:positionV relativeFrom="paragraph">
              <wp:posOffset>433705</wp:posOffset>
            </wp:positionV>
            <wp:extent cx="3411220" cy="2470150"/>
            <wp:effectExtent l="0" t="0" r="0" b="6350"/>
            <wp:wrapSquare wrapText="bothSides"/>
            <wp:docPr id="407" name="Picture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5" cstate="print">
                      <a:extLst>
                        <a:ext uri="{28A0092B-C50C-407E-A947-70E740481C1C}">
                          <a14:useLocalDpi xmlns:a14="http://schemas.microsoft.com/office/drawing/2010/main" val="0"/>
                        </a:ext>
                      </a:extLst>
                    </a:blip>
                    <a:srcRect/>
                    <a:stretch>
                      <a:fillRect/>
                    </a:stretch>
                  </pic:blipFill>
                  <pic:spPr bwMode="auto">
                    <a:xfrm>
                      <a:off x="0" y="0"/>
                      <a:ext cx="3411220" cy="2470150"/>
                    </a:xfrm>
                    <a:prstGeom prst="rect">
                      <a:avLst/>
                    </a:prstGeom>
                    <a:noFill/>
                  </pic:spPr>
                </pic:pic>
              </a:graphicData>
            </a:graphic>
            <wp14:sizeRelH relativeFrom="margin">
              <wp14:pctWidth>0</wp14:pctWidth>
            </wp14:sizeRelH>
            <wp14:sizeRelV relativeFrom="margin">
              <wp14:pctHeight>0</wp14:pctHeight>
            </wp14:sizeRelV>
          </wp:anchor>
        </w:drawing>
      </w:r>
      <w:r w:rsidRPr="00933BCE">
        <w:rPr>
          <w:rFonts w:asciiTheme="minorHAnsi" w:hAnsiTheme="minorHAnsi"/>
        </w:rPr>
        <w:t xml:space="preserve">The 2014 Victorian Population Health Survey </w:t>
      </w:r>
      <w:r>
        <w:rPr>
          <w:rFonts w:asciiTheme="minorHAnsi" w:hAnsiTheme="minorHAnsi"/>
        </w:rPr>
        <w:t>recorded a slightly lower rate, finding</w:t>
      </w:r>
      <w:r w:rsidRPr="00933BCE">
        <w:rPr>
          <w:rFonts w:asciiTheme="minorHAnsi" w:hAnsiTheme="minorHAnsi"/>
        </w:rPr>
        <w:t xml:space="preserve"> that 3.6% of adults had run out of food and could not affo</w:t>
      </w:r>
      <w:r w:rsidRPr="00110829">
        <w:rPr>
          <w:rFonts w:asciiTheme="minorHAnsi" w:hAnsiTheme="minorHAnsi"/>
        </w:rPr>
        <w:t>rd more</w:t>
      </w:r>
      <w:r>
        <w:rPr>
          <w:rFonts w:asciiTheme="minorHAnsi" w:hAnsiTheme="minorHAnsi"/>
        </w:rPr>
        <w:t>, including</w:t>
      </w:r>
      <w:r w:rsidRPr="00110829">
        <w:rPr>
          <w:rFonts w:asciiTheme="minorHAnsi" w:hAnsiTheme="minorHAnsi"/>
        </w:rPr>
        <w:t xml:space="preserve"> 3% of males and 4.</w:t>
      </w:r>
      <w:r>
        <w:rPr>
          <w:rFonts w:asciiTheme="minorHAnsi" w:hAnsiTheme="minorHAnsi"/>
        </w:rPr>
        <w:t>1% of females – a condition characterised as ‘</w:t>
      </w:r>
      <w:r w:rsidRPr="00110829">
        <w:rPr>
          <w:rFonts w:asciiTheme="minorHAnsi" w:hAnsiTheme="minorHAnsi"/>
        </w:rPr>
        <w:t xml:space="preserve">food </w:t>
      </w:r>
      <w:r>
        <w:rPr>
          <w:rFonts w:asciiTheme="minorHAnsi" w:hAnsiTheme="minorHAnsi"/>
        </w:rPr>
        <w:t xml:space="preserve">insecurity </w:t>
      </w:r>
      <w:r w:rsidRPr="00110829">
        <w:rPr>
          <w:rFonts w:asciiTheme="minorHAnsi" w:hAnsiTheme="minorHAnsi"/>
        </w:rPr>
        <w:t>with hunger</w:t>
      </w:r>
      <w:r>
        <w:rPr>
          <w:rFonts w:asciiTheme="minorHAnsi" w:hAnsiTheme="minorHAnsi"/>
        </w:rPr>
        <w:t>’. Notably, a further 13</w:t>
      </w:r>
      <w:r w:rsidRPr="00110829">
        <w:rPr>
          <w:rFonts w:asciiTheme="minorHAnsi" w:hAnsiTheme="minorHAnsi"/>
        </w:rPr>
        <w:t xml:space="preserve">% of Victorian </w:t>
      </w:r>
      <w:r>
        <w:rPr>
          <w:rFonts w:asciiTheme="minorHAnsi" w:hAnsiTheme="minorHAnsi"/>
        </w:rPr>
        <w:t>a</w:t>
      </w:r>
      <w:r w:rsidRPr="00110829">
        <w:rPr>
          <w:rFonts w:asciiTheme="minorHAnsi" w:hAnsiTheme="minorHAnsi"/>
        </w:rPr>
        <w:t>dults were concerned about running out of food – termed ‘food insecurity without hunger’</w:t>
      </w:r>
      <w:r>
        <w:rPr>
          <w:rStyle w:val="FootnoteReference"/>
          <w:rFonts w:asciiTheme="minorHAnsi" w:hAnsiTheme="minorHAnsi"/>
        </w:rPr>
        <w:footnoteReference w:id="72"/>
      </w:r>
      <w:r w:rsidRPr="00110829">
        <w:rPr>
          <w:rFonts w:asciiTheme="minorHAnsi" w:hAnsiTheme="minorHAnsi"/>
        </w:rPr>
        <w:t>.</w:t>
      </w:r>
    </w:p>
    <w:p w14:paraId="7704B7F7" w14:textId="77777777" w:rsidR="00C65183" w:rsidRDefault="00C65183" w:rsidP="00C65183">
      <w:pPr>
        <w:jc w:val="both"/>
        <w:rPr>
          <w:rFonts w:asciiTheme="minorHAnsi" w:hAnsiTheme="minorHAnsi"/>
          <w:sz w:val="10"/>
          <w:szCs w:val="10"/>
        </w:rPr>
      </w:pPr>
    </w:p>
    <w:p w14:paraId="0B126EC0" w14:textId="77777777" w:rsidR="00C65183" w:rsidRDefault="00C65183" w:rsidP="00C65183">
      <w:pPr>
        <w:jc w:val="both"/>
        <w:rPr>
          <w:rFonts w:asciiTheme="minorHAnsi" w:hAnsiTheme="minorHAnsi"/>
          <w:sz w:val="10"/>
          <w:szCs w:val="10"/>
        </w:rPr>
      </w:pPr>
    </w:p>
    <w:p w14:paraId="5D2F8481" w14:textId="77777777" w:rsidR="00C65183" w:rsidRDefault="00C65183" w:rsidP="00C65183">
      <w:pPr>
        <w:jc w:val="both"/>
        <w:rPr>
          <w:rFonts w:asciiTheme="minorHAnsi" w:hAnsiTheme="minorHAnsi"/>
          <w:sz w:val="10"/>
          <w:szCs w:val="10"/>
        </w:rPr>
      </w:pPr>
    </w:p>
    <w:p w14:paraId="02FB3105" w14:textId="77777777" w:rsidR="00C65183" w:rsidRPr="005D5381" w:rsidRDefault="00C65183" w:rsidP="00C65183">
      <w:pPr>
        <w:jc w:val="both"/>
        <w:rPr>
          <w:rFonts w:asciiTheme="minorHAnsi" w:hAnsiTheme="minorHAnsi"/>
          <w:sz w:val="10"/>
          <w:szCs w:val="10"/>
        </w:rPr>
      </w:pPr>
    </w:p>
    <w:p w14:paraId="79942C5C" w14:textId="77777777" w:rsidR="00C65183" w:rsidRPr="000F0801" w:rsidRDefault="00C65183" w:rsidP="00C65183">
      <w:pPr>
        <w:jc w:val="both"/>
        <w:rPr>
          <w:rFonts w:asciiTheme="minorHAnsi" w:hAnsiTheme="minorHAnsi"/>
          <w:color w:val="7F7F7F" w:themeColor="text1" w:themeTint="80"/>
          <w:sz w:val="20"/>
          <w:szCs w:val="20"/>
        </w:rPr>
      </w:pPr>
      <w:r w:rsidRPr="000F0801">
        <w:rPr>
          <w:rFonts w:asciiTheme="minorHAnsi" w:hAnsiTheme="minorHAnsi"/>
          <w:color w:val="7F7F7F" w:themeColor="text1" w:themeTint="80"/>
          <w:sz w:val="20"/>
          <w:szCs w:val="20"/>
        </w:rPr>
        <w:t xml:space="preserve">Prevalence of </w:t>
      </w:r>
      <w:r>
        <w:rPr>
          <w:rFonts w:asciiTheme="minorHAnsi" w:hAnsiTheme="minorHAnsi"/>
          <w:color w:val="7F7F7F" w:themeColor="text1" w:themeTint="80"/>
          <w:sz w:val="20"/>
          <w:szCs w:val="20"/>
        </w:rPr>
        <w:t>f</w:t>
      </w:r>
      <w:r w:rsidRPr="000F0801">
        <w:rPr>
          <w:rFonts w:asciiTheme="minorHAnsi" w:hAnsiTheme="minorHAnsi"/>
          <w:color w:val="7F7F7F" w:themeColor="text1" w:themeTint="80"/>
          <w:sz w:val="20"/>
          <w:szCs w:val="20"/>
        </w:rPr>
        <w:t xml:space="preserve">ood </w:t>
      </w:r>
      <w:r>
        <w:rPr>
          <w:rFonts w:asciiTheme="minorHAnsi" w:hAnsiTheme="minorHAnsi"/>
          <w:color w:val="7F7F7F" w:themeColor="text1" w:themeTint="80"/>
          <w:sz w:val="20"/>
          <w:szCs w:val="20"/>
        </w:rPr>
        <w:t>i</w:t>
      </w:r>
      <w:r w:rsidRPr="000F0801">
        <w:rPr>
          <w:rFonts w:asciiTheme="minorHAnsi" w:hAnsiTheme="minorHAnsi"/>
          <w:color w:val="7F7F7F" w:themeColor="text1" w:themeTint="80"/>
          <w:sz w:val="20"/>
          <w:szCs w:val="20"/>
        </w:rPr>
        <w:t xml:space="preserve">nsecurity by </w:t>
      </w:r>
      <w:r>
        <w:rPr>
          <w:rFonts w:asciiTheme="minorHAnsi" w:hAnsiTheme="minorHAnsi"/>
          <w:color w:val="7F7F7F" w:themeColor="text1" w:themeTint="80"/>
          <w:sz w:val="20"/>
          <w:szCs w:val="20"/>
        </w:rPr>
        <w:t>a</w:t>
      </w:r>
      <w:r w:rsidRPr="000F0801">
        <w:rPr>
          <w:rFonts w:asciiTheme="minorHAnsi" w:hAnsiTheme="minorHAnsi"/>
          <w:color w:val="7F7F7F" w:themeColor="text1" w:themeTint="80"/>
          <w:sz w:val="20"/>
          <w:szCs w:val="20"/>
        </w:rPr>
        <w:t>ge</w:t>
      </w:r>
      <w:r>
        <w:rPr>
          <w:rFonts w:asciiTheme="minorHAnsi" w:hAnsiTheme="minorHAnsi"/>
          <w:color w:val="7F7F7F" w:themeColor="text1" w:themeTint="80"/>
          <w:sz w:val="20"/>
          <w:szCs w:val="20"/>
        </w:rPr>
        <w:t xml:space="preserve"> and sex</w:t>
      </w:r>
      <w:r w:rsidRPr="000F0801">
        <w:rPr>
          <w:rFonts w:asciiTheme="minorHAnsi" w:hAnsiTheme="minorHAnsi"/>
          <w:color w:val="7F7F7F" w:themeColor="text1" w:themeTint="80"/>
          <w:sz w:val="20"/>
          <w:szCs w:val="20"/>
        </w:rPr>
        <w:t xml:space="preserve">: Victoria, 2014 </w:t>
      </w:r>
    </w:p>
    <w:p w14:paraId="4476B152" w14:textId="77777777" w:rsidR="00C65183" w:rsidRDefault="00C65183" w:rsidP="00C65183">
      <w:pPr>
        <w:jc w:val="both"/>
        <w:rPr>
          <w:rFonts w:asciiTheme="minorHAnsi" w:hAnsiTheme="minorHAnsi"/>
          <w:sz w:val="10"/>
          <w:szCs w:val="10"/>
        </w:rPr>
      </w:pPr>
    </w:p>
    <w:p w14:paraId="187D76ED" w14:textId="77777777" w:rsidR="00C65183" w:rsidRDefault="00C65183" w:rsidP="00C65183">
      <w:pPr>
        <w:jc w:val="both"/>
        <w:rPr>
          <w:rFonts w:asciiTheme="minorHAnsi" w:hAnsiTheme="minorHAnsi"/>
          <w:sz w:val="10"/>
          <w:szCs w:val="10"/>
        </w:rPr>
      </w:pPr>
    </w:p>
    <w:p w14:paraId="2048174D" w14:textId="77777777" w:rsidR="00C65183" w:rsidRDefault="00C65183" w:rsidP="00C65183">
      <w:pPr>
        <w:jc w:val="both"/>
        <w:rPr>
          <w:rFonts w:asciiTheme="minorHAnsi" w:hAnsiTheme="minorHAnsi"/>
          <w:sz w:val="10"/>
          <w:szCs w:val="10"/>
        </w:rPr>
      </w:pPr>
    </w:p>
    <w:p w14:paraId="08B2971A" w14:textId="77777777" w:rsidR="00C65183" w:rsidRPr="005D5381" w:rsidRDefault="00C65183" w:rsidP="00C65183">
      <w:pPr>
        <w:jc w:val="both"/>
        <w:rPr>
          <w:rFonts w:asciiTheme="minorHAnsi" w:hAnsiTheme="minorHAnsi"/>
          <w:sz w:val="10"/>
          <w:szCs w:val="10"/>
        </w:rPr>
      </w:pPr>
    </w:p>
    <w:p w14:paraId="465B87C7" w14:textId="77777777" w:rsidR="00C65183" w:rsidRDefault="00C65183" w:rsidP="00C65183">
      <w:pPr>
        <w:spacing w:line="360" w:lineRule="auto"/>
        <w:jc w:val="both"/>
        <w:rPr>
          <w:rFonts w:asciiTheme="minorHAnsi" w:hAnsiTheme="minorHAnsi"/>
        </w:rPr>
      </w:pPr>
      <w:r w:rsidRPr="00110829">
        <w:rPr>
          <w:rFonts w:asciiTheme="minorHAnsi" w:hAnsiTheme="minorHAnsi"/>
        </w:rPr>
        <w:t xml:space="preserve">The prevalence of food </w:t>
      </w:r>
      <w:r>
        <w:rPr>
          <w:rFonts w:asciiTheme="minorHAnsi" w:hAnsiTheme="minorHAnsi"/>
        </w:rPr>
        <w:t>insecurity with hunger was</w:t>
      </w:r>
      <w:r w:rsidRPr="00110829">
        <w:rPr>
          <w:rFonts w:asciiTheme="minorHAnsi" w:hAnsiTheme="minorHAnsi"/>
        </w:rPr>
        <w:t xml:space="preserve"> higher among younger people, </w:t>
      </w:r>
      <w:r>
        <w:rPr>
          <w:rFonts w:asciiTheme="minorHAnsi" w:hAnsiTheme="minorHAnsi"/>
        </w:rPr>
        <w:t>declining</w:t>
      </w:r>
      <w:r w:rsidRPr="00110829">
        <w:rPr>
          <w:rFonts w:asciiTheme="minorHAnsi" w:hAnsiTheme="minorHAnsi"/>
        </w:rPr>
        <w:t xml:space="preserve"> from </w:t>
      </w:r>
      <w:r>
        <w:rPr>
          <w:rFonts w:asciiTheme="minorHAnsi" w:hAnsiTheme="minorHAnsi"/>
        </w:rPr>
        <w:t xml:space="preserve">approximately </w:t>
      </w:r>
      <w:r w:rsidRPr="00110829">
        <w:rPr>
          <w:rFonts w:asciiTheme="minorHAnsi" w:hAnsiTheme="minorHAnsi"/>
        </w:rPr>
        <w:t>6% among 18-24 year</w:t>
      </w:r>
      <w:r>
        <w:rPr>
          <w:rFonts w:asciiTheme="minorHAnsi" w:hAnsiTheme="minorHAnsi"/>
        </w:rPr>
        <w:t>-</w:t>
      </w:r>
      <w:r w:rsidRPr="00110829">
        <w:rPr>
          <w:rFonts w:asciiTheme="minorHAnsi" w:hAnsiTheme="minorHAnsi"/>
        </w:rPr>
        <w:t xml:space="preserve">olds to </w:t>
      </w:r>
      <w:r>
        <w:rPr>
          <w:rFonts w:asciiTheme="minorHAnsi" w:hAnsiTheme="minorHAnsi"/>
        </w:rPr>
        <w:t>just over 1</w:t>
      </w:r>
      <w:r w:rsidRPr="00110829">
        <w:rPr>
          <w:rFonts w:asciiTheme="minorHAnsi" w:hAnsiTheme="minorHAnsi"/>
        </w:rPr>
        <w:t xml:space="preserve">% among people aged 65 year or more. </w:t>
      </w:r>
    </w:p>
    <w:p w14:paraId="4074B423" w14:textId="77777777" w:rsidR="00C65183" w:rsidRPr="003F1B50" w:rsidRDefault="00C65183" w:rsidP="00C65183">
      <w:pPr>
        <w:spacing w:line="360" w:lineRule="auto"/>
        <w:jc w:val="both"/>
        <w:rPr>
          <w:rFonts w:asciiTheme="minorHAnsi" w:hAnsiTheme="minorHAnsi"/>
          <w:sz w:val="10"/>
          <w:szCs w:val="10"/>
        </w:rPr>
      </w:pPr>
      <w:r>
        <w:rPr>
          <w:rFonts w:asciiTheme="minorHAnsi" w:hAnsiTheme="minorHAnsi"/>
        </w:rPr>
        <w:t>Within Greater Dandenong, 4.3% of survey respondents reported the experience of such food insecurity.</w:t>
      </w:r>
    </w:p>
    <w:p w14:paraId="582F6A32" w14:textId="77777777" w:rsidR="00C65183" w:rsidRDefault="00C65183" w:rsidP="00C65183">
      <w:pPr>
        <w:jc w:val="both"/>
        <w:rPr>
          <w:rFonts w:asciiTheme="minorHAnsi" w:hAnsiTheme="minorHAnsi"/>
          <w:sz w:val="12"/>
          <w:szCs w:val="12"/>
        </w:rPr>
      </w:pPr>
    </w:p>
    <w:p w14:paraId="2E09E4F2" w14:textId="77777777" w:rsidR="00C65183" w:rsidRDefault="00C65183" w:rsidP="00C65183">
      <w:pPr>
        <w:jc w:val="both"/>
        <w:rPr>
          <w:rFonts w:asciiTheme="minorHAnsi" w:hAnsiTheme="minorHAnsi"/>
          <w:sz w:val="12"/>
          <w:szCs w:val="12"/>
        </w:rPr>
      </w:pPr>
    </w:p>
    <w:p w14:paraId="4CA0D727" w14:textId="77777777" w:rsidR="00C65183" w:rsidRDefault="00C65183" w:rsidP="00C65183">
      <w:pPr>
        <w:jc w:val="both"/>
        <w:rPr>
          <w:rFonts w:asciiTheme="minorHAnsi" w:hAnsiTheme="minorHAnsi"/>
          <w:sz w:val="12"/>
          <w:szCs w:val="12"/>
        </w:rPr>
      </w:pPr>
      <w:r>
        <w:rPr>
          <w:rFonts w:asciiTheme="minorHAnsi" w:hAnsiTheme="minorHAnsi"/>
          <w:noProof/>
          <w:lang w:val="en-US"/>
        </w:rPr>
        <w:lastRenderedPageBreak/>
        <w:drawing>
          <wp:anchor distT="0" distB="0" distL="114300" distR="114300" simplePos="0" relativeHeight="251897856" behindDoc="0" locked="0" layoutInCell="1" allowOverlap="1" wp14:anchorId="1702A06B" wp14:editId="5AD0EB1B">
            <wp:simplePos x="0" y="0"/>
            <wp:positionH relativeFrom="margin">
              <wp:align>left</wp:align>
            </wp:positionH>
            <wp:positionV relativeFrom="paragraph">
              <wp:posOffset>75479</wp:posOffset>
            </wp:positionV>
            <wp:extent cx="3100070" cy="2401570"/>
            <wp:effectExtent l="0" t="0" r="5080" b="0"/>
            <wp:wrapSquare wrapText="bothSides"/>
            <wp:docPr id="408" name="Picture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6" cstate="print">
                      <a:extLst>
                        <a:ext uri="{28A0092B-C50C-407E-A947-70E740481C1C}">
                          <a14:useLocalDpi xmlns:a14="http://schemas.microsoft.com/office/drawing/2010/main" val="0"/>
                        </a:ext>
                      </a:extLst>
                    </a:blip>
                    <a:srcRect/>
                    <a:stretch>
                      <a:fillRect/>
                    </a:stretch>
                  </pic:blipFill>
                  <pic:spPr bwMode="auto">
                    <a:xfrm>
                      <a:off x="0" y="0"/>
                      <a:ext cx="3102105" cy="2403344"/>
                    </a:xfrm>
                    <a:prstGeom prst="rect">
                      <a:avLst/>
                    </a:prstGeom>
                    <a:noFill/>
                  </pic:spPr>
                </pic:pic>
              </a:graphicData>
            </a:graphic>
            <wp14:sizeRelH relativeFrom="margin">
              <wp14:pctWidth>0</wp14:pctWidth>
            </wp14:sizeRelH>
            <wp14:sizeRelV relativeFrom="margin">
              <wp14:pctHeight>0</wp14:pctHeight>
            </wp14:sizeRelV>
          </wp:anchor>
        </w:drawing>
      </w:r>
      <w:r w:rsidRPr="000F0801">
        <w:rPr>
          <w:rFonts w:asciiTheme="minorHAnsi" w:hAnsiTheme="minorHAnsi"/>
          <w:color w:val="7F7F7F" w:themeColor="text1" w:themeTint="80"/>
          <w:sz w:val="20"/>
          <w:szCs w:val="20"/>
        </w:rPr>
        <w:t xml:space="preserve">Prevalence of </w:t>
      </w:r>
      <w:r>
        <w:rPr>
          <w:rFonts w:asciiTheme="minorHAnsi" w:hAnsiTheme="minorHAnsi"/>
          <w:color w:val="7F7F7F" w:themeColor="text1" w:themeTint="80"/>
          <w:sz w:val="20"/>
          <w:szCs w:val="20"/>
        </w:rPr>
        <w:t>f</w:t>
      </w:r>
      <w:r w:rsidRPr="000F0801">
        <w:rPr>
          <w:rFonts w:asciiTheme="minorHAnsi" w:hAnsiTheme="minorHAnsi"/>
          <w:color w:val="7F7F7F" w:themeColor="text1" w:themeTint="80"/>
          <w:sz w:val="20"/>
          <w:szCs w:val="20"/>
        </w:rPr>
        <w:t xml:space="preserve">ood </w:t>
      </w:r>
      <w:r>
        <w:rPr>
          <w:rFonts w:asciiTheme="minorHAnsi" w:hAnsiTheme="minorHAnsi"/>
          <w:color w:val="7F7F7F" w:themeColor="text1" w:themeTint="80"/>
          <w:sz w:val="20"/>
          <w:szCs w:val="20"/>
        </w:rPr>
        <w:t>i</w:t>
      </w:r>
      <w:r w:rsidRPr="000F0801">
        <w:rPr>
          <w:rFonts w:asciiTheme="minorHAnsi" w:hAnsiTheme="minorHAnsi"/>
          <w:color w:val="7F7F7F" w:themeColor="text1" w:themeTint="80"/>
          <w:sz w:val="20"/>
          <w:szCs w:val="20"/>
        </w:rPr>
        <w:t xml:space="preserve">nsecurity by </w:t>
      </w:r>
      <w:r>
        <w:rPr>
          <w:rFonts w:asciiTheme="minorHAnsi" w:hAnsiTheme="minorHAnsi"/>
          <w:color w:val="7F7F7F" w:themeColor="text1" w:themeTint="80"/>
          <w:sz w:val="20"/>
          <w:szCs w:val="20"/>
        </w:rPr>
        <w:t>annual household income</w:t>
      </w:r>
      <w:r w:rsidRPr="000F0801">
        <w:rPr>
          <w:rFonts w:asciiTheme="minorHAnsi" w:hAnsiTheme="minorHAnsi"/>
          <w:color w:val="7F7F7F" w:themeColor="text1" w:themeTint="80"/>
          <w:sz w:val="20"/>
          <w:szCs w:val="20"/>
        </w:rPr>
        <w:t xml:space="preserve">: Victoria, 2014 </w:t>
      </w:r>
    </w:p>
    <w:p w14:paraId="516AD8B2" w14:textId="77777777" w:rsidR="00C65183" w:rsidRDefault="00C65183" w:rsidP="00C65183">
      <w:pPr>
        <w:jc w:val="both"/>
        <w:rPr>
          <w:rFonts w:asciiTheme="minorHAnsi" w:hAnsiTheme="minorHAnsi"/>
          <w:sz w:val="12"/>
          <w:szCs w:val="12"/>
        </w:rPr>
      </w:pPr>
    </w:p>
    <w:p w14:paraId="0B08033A" w14:textId="77777777" w:rsidR="00C65183" w:rsidRDefault="00C65183" w:rsidP="00C65183">
      <w:pPr>
        <w:spacing w:before="120" w:line="360" w:lineRule="auto"/>
        <w:ind w:left="5103"/>
        <w:jc w:val="both"/>
        <w:rPr>
          <w:rFonts w:asciiTheme="minorHAnsi" w:hAnsiTheme="minorHAnsi"/>
        </w:rPr>
      </w:pPr>
      <w:r>
        <w:rPr>
          <w:rFonts w:asciiTheme="minorHAnsi" w:hAnsiTheme="minorHAnsi"/>
          <w:noProof/>
          <w:sz w:val="12"/>
          <w:szCs w:val="12"/>
          <w:lang w:val="en-US"/>
        </w:rPr>
        <w:drawing>
          <wp:anchor distT="0" distB="0" distL="114300" distR="114300" simplePos="0" relativeHeight="251898880" behindDoc="0" locked="0" layoutInCell="1" allowOverlap="1" wp14:anchorId="1BD85A87" wp14:editId="5615C036">
            <wp:simplePos x="0" y="0"/>
            <wp:positionH relativeFrom="margin">
              <wp:posOffset>0</wp:posOffset>
            </wp:positionH>
            <wp:positionV relativeFrom="paragraph">
              <wp:posOffset>2388870</wp:posOffset>
            </wp:positionV>
            <wp:extent cx="3082925" cy="2101215"/>
            <wp:effectExtent l="0" t="0" r="3175" b="0"/>
            <wp:wrapSquare wrapText="bothSides"/>
            <wp:docPr id="409" name="Picture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7" cstate="print">
                      <a:extLst>
                        <a:ext uri="{28A0092B-C50C-407E-A947-70E740481C1C}">
                          <a14:useLocalDpi xmlns:a14="http://schemas.microsoft.com/office/drawing/2010/main" val="0"/>
                        </a:ext>
                      </a:extLst>
                    </a:blip>
                    <a:srcRect/>
                    <a:stretch>
                      <a:fillRect/>
                    </a:stretch>
                  </pic:blipFill>
                  <pic:spPr bwMode="auto">
                    <a:xfrm>
                      <a:off x="0" y="0"/>
                      <a:ext cx="3082925" cy="2101215"/>
                    </a:xfrm>
                    <a:prstGeom prst="rect">
                      <a:avLst/>
                    </a:prstGeom>
                    <a:noFill/>
                  </pic:spPr>
                </pic:pic>
              </a:graphicData>
            </a:graphic>
            <wp14:sizeRelH relativeFrom="margin">
              <wp14:pctWidth>0</wp14:pctWidth>
            </wp14:sizeRelH>
            <wp14:sizeRelV relativeFrom="margin">
              <wp14:pctHeight>0</wp14:pctHeight>
            </wp14:sizeRelV>
          </wp:anchor>
        </w:drawing>
      </w:r>
      <w:r>
        <w:rPr>
          <w:rFonts w:asciiTheme="minorHAnsi" w:hAnsiTheme="minorHAnsi"/>
        </w:rPr>
        <w:t xml:space="preserve">In relation to socioeconomic disadvantage, such food insecurity was recorded among 11.9% of unemployed people, compared with 2.5% of those in paid employment; 15.7% of people residing in government-owned accommodation, compared with 2.5% of those who owned or were purchasing their accommodation; and 10.4% of persons in households on annual incomes below $20,000, in contrast to 1.2% of those in households with incomes exceeding $100,000 (Accompanying diagrams). </w:t>
      </w:r>
    </w:p>
    <w:p w14:paraId="4D708463" w14:textId="77777777" w:rsidR="00C65183" w:rsidRPr="001552BF" w:rsidRDefault="00C65183" w:rsidP="00C65183">
      <w:pPr>
        <w:spacing w:before="120" w:line="360" w:lineRule="auto"/>
        <w:jc w:val="both"/>
        <w:rPr>
          <w:rFonts w:asciiTheme="minorHAnsi" w:hAnsiTheme="minorHAnsi"/>
        </w:rPr>
      </w:pPr>
    </w:p>
    <w:p w14:paraId="7093AC45" w14:textId="77777777" w:rsidR="00C65183" w:rsidRDefault="00C65183" w:rsidP="00C65183">
      <w:pPr>
        <w:jc w:val="both"/>
        <w:rPr>
          <w:rFonts w:asciiTheme="minorHAnsi" w:hAnsiTheme="minorHAnsi"/>
        </w:rPr>
      </w:pPr>
      <w:r w:rsidRPr="000F0801">
        <w:rPr>
          <w:rFonts w:asciiTheme="minorHAnsi" w:hAnsiTheme="minorHAnsi"/>
          <w:color w:val="7F7F7F" w:themeColor="text1" w:themeTint="80"/>
          <w:sz w:val="20"/>
          <w:szCs w:val="20"/>
        </w:rPr>
        <w:t xml:space="preserve">Prevalence of </w:t>
      </w:r>
      <w:r>
        <w:rPr>
          <w:rFonts w:asciiTheme="minorHAnsi" w:hAnsiTheme="minorHAnsi"/>
          <w:color w:val="7F7F7F" w:themeColor="text1" w:themeTint="80"/>
          <w:sz w:val="20"/>
          <w:szCs w:val="20"/>
        </w:rPr>
        <w:t>f</w:t>
      </w:r>
      <w:r w:rsidRPr="000F0801">
        <w:rPr>
          <w:rFonts w:asciiTheme="minorHAnsi" w:hAnsiTheme="minorHAnsi"/>
          <w:color w:val="7F7F7F" w:themeColor="text1" w:themeTint="80"/>
          <w:sz w:val="20"/>
          <w:szCs w:val="20"/>
        </w:rPr>
        <w:t xml:space="preserve">ood </w:t>
      </w:r>
      <w:r>
        <w:rPr>
          <w:rFonts w:asciiTheme="minorHAnsi" w:hAnsiTheme="minorHAnsi"/>
          <w:color w:val="7F7F7F" w:themeColor="text1" w:themeTint="80"/>
          <w:sz w:val="20"/>
          <w:szCs w:val="20"/>
        </w:rPr>
        <w:t>i</w:t>
      </w:r>
      <w:r w:rsidRPr="000F0801">
        <w:rPr>
          <w:rFonts w:asciiTheme="minorHAnsi" w:hAnsiTheme="minorHAnsi"/>
          <w:color w:val="7F7F7F" w:themeColor="text1" w:themeTint="80"/>
          <w:sz w:val="20"/>
          <w:szCs w:val="20"/>
        </w:rPr>
        <w:t xml:space="preserve">nsecurity by </w:t>
      </w:r>
      <w:r>
        <w:rPr>
          <w:rFonts w:asciiTheme="minorHAnsi" w:hAnsiTheme="minorHAnsi"/>
          <w:color w:val="7F7F7F" w:themeColor="text1" w:themeTint="80"/>
          <w:sz w:val="20"/>
          <w:szCs w:val="20"/>
        </w:rPr>
        <w:t>housing tenure type</w:t>
      </w:r>
      <w:r w:rsidRPr="000F0801">
        <w:rPr>
          <w:rFonts w:asciiTheme="minorHAnsi" w:hAnsiTheme="minorHAnsi"/>
          <w:color w:val="7F7F7F" w:themeColor="text1" w:themeTint="80"/>
          <w:sz w:val="20"/>
          <w:szCs w:val="20"/>
        </w:rPr>
        <w:t xml:space="preserve">: Victoria, 2014 </w:t>
      </w:r>
    </w:p>
    <w:p w14:paraId="6C44B8E4" w14:textId="77777777" w:rsidR="00C65183" w:rsidRDefault="00C65183" w:rsidP="00C65183">
      <w:pPr>
        <w:jc w:val="both"/>
        <w:rPr>
          <w:rFonts w:asciiTheme="minorHAnsi" w:hAnsiTheme="minorHAnsi"/>
          <w:sz w:val="12"/>
          <w:szCs w:val="12"/>
        </w:rPr>
      </w:pPr>
    </w:p>
    <w:p w14:paraId="2375FD57" w14:textId="77777777" w:rsidR="00C65183" w:rsidRDefault="00C65183" w:rsidP="00C65183">
      <w:pPr>
        <w:jc w:val="both"/>
        <w:rPr>
          <w:rFonts w:asciiTheme="minorHAnsi" w:hAnsiTheme="minorHAnsi"/>
          <w:sz w:val="12"/>
          <w:szCs w:val="12"/>
        </w:rPr>
      </w:pPr>
    </w:p>
    <w:p w14:paraId="0084A57C" w14:textId="77777777" w:rsidR="00C65183" w:rsidRDefault="00C65183" w:rsidP="00C65183">
      <w:pPr>
        <w:jc w:val="both"/>
        <w:rPr>
          <w:rFonts w:asciiTheme="minorHAnsi" w:hAnsiTheme="minorHAnsi"/>
          <w:sz w:val="12"/>
          <w:szCs w:val="12"/>
        </w:rPr>
      </w:pPr>
    </w:p>
    <w:p w14:paraId="7BCD4655" w14:textId="77777777" w:rsidR="00C65183" w:rsidRDefault="00C65183" w:rsidP="00C65183">
      <w:pPr>
        <w:jc w:val="both"/>
        <w:rPr>
          <w:rFonts w:asciiTheme="minorHAnsi" w:hAnsiTheme="minorHAnsi"/>
          <w:sz w:val="12"/>
          <w:szCs w:val="12"/>
        </w:rPr>
      </w:pPr>
    </w:p>
    <w:p w14:paraId="0D10253E" w14:textId="77777777" w:rsidR="00C65183" w:rsidRDefault="00C65183" w:rsidP="00C65183">
      <w:pPr>
        <w:jc w:val="both"/>
        <w:rPr>
          <w:rFonts w:asciiTheme="minorHAnsi" w:hAnsiTheme="minorHAnsi"/>
          <w:sz w:val="12"/>
          <w:szCs w:val="12"/>
        </w:rPr>
      </w:pPr>
    </w:p>
    <w:p w14:paraId="3F716C01" w14:textId="77777777" w:rsidR="00C65183" w:rsidRDefault="00C65183" w:rsidP="00C65183">
      <w:pPr>
        <w:jc w:val="both"/>
        <w:rPr>
          <w:rFonts w:asciiTheme="minorHAnsi" w:hAnsiTheme="minorHAnsi"/>
          <w:sz w:val="12"/>
          <w:szCs w:val="12"/>
        </w:rPr>
      </w:pPr>
    </w:p>
    <w:p w14:paraId="7D4929D7" w14:textId="77777777" w:rsidR="00C65183" w:rsidRDefault="00C65183" w:rsidP="00C65183">
      <w:pPr>
        <w:jc w:val="both"/>
        <w:rPr>
          <w:rFonts w:asciiTheme="minorHAnsi" w:hAnsiTheme="minorHAnsi"/>
          <w:sz w:val="12"/>
          <w:szCs w:val="12"/>
        </w:rPr>
      </w:pPr>
    </w:p>
    <w:p w14:paraId="7AD7283E" w14:textId="77777777" w:rsidR="00C65183" w:rsidRDefault="00C65183" w:rsidP="00C65183">
      <w:pPr>
        <w:jc w:val="both"/>
        <w:rPr>
          <w:rFonts w:asciiTheme="minorHAnsi" w:hAnsiTheme="minorHAnsi"/>
          <w:sz w:val="12"/>
          <w:szCs w:val="12"/>
        </w:rPr>
      </w:pPr>
    </w:p>
    <w:p w14:paraId="2B2FDE91" w14:textId="77777777" w:rsidR="00C65183" w:rsidRDefault="00C65183" w:rsidP="00C65183">
      <w:pPr>
        <w:jc w:val="both"/>
        <w:rPr>
          <w:rFonts w:asciiTheme="minorHAnsi" w:hAnsiTheme="minorHAnsi"/>
          <w:sz w:val="12"/>
          <w:szCs w:val="12"/>
        </w:rPr>
      </w:pPr>
    </w:p>
    <w:p w14:paraId="667A26E2" w14:textId="77777777" w:rsidR="00C65183" w:rsidRDefault="00C65183" w:rsidP="00C65183">
      <w:pPr>
        <w:jc w:val="both"/>
        <w:rPr>
          <w:rFonts w:asciiTheme="minorHAnsi" w:hAnsiTheme="minorHAnsi"/>
          <w:sz w:val="12"/>
          <w:szCs w:val="12"/>
        </w:rPr>
      </w:pPr>
    </w:p>
    <w:p w14:paraId="77328D81" w14:textId="77777777" w:rsidR="00C65183" w:rsidRDefault="00C65183" w:rsidP="00C65183">
      <w:pPr>
        <w:jc w:val="both"/>
        <w:rPr>
          <w:rFonts w:asciiTheme="minorHAnsi" w:hAnsiTheme="minorHAnsi"/>
          <w:sz w:val="12"/>
          <w:szCs w:val="12"/>
        </w:rPr>
      </w:pPr>
    </w:p>
    <w:p w14:paraId="696B9329" w14:textId="77777777" w:rsidR="00C65183" w:rsidRDefault="00C65183" w:rsidP="00C65183">
      <w:pPr>
        <w:jc w:val="both"/>
        <w:rPr>
          <w:rFonts w:asciiTheme="minorHAnsi" w:hAnsiTheme="minorHAnsi"/>
          <w:sz w:val="12"/>
          <w:szCs w:val="12"/>
        </w:rPr>
      </w:pPr>
    </w:p>
    <w:p w14:paraId="5EF96B20" w14:textId="77777777" w:rsidR="00C65183" w:rsidRDefault="00C65183" w:rsidP="00C65183">
      <w:pPr>
        <w:jc w:val="both"/>
        <w:rPr>
          <w:rFonts w:asciiTheme="minorHAnsi" w:hAnsiTheme="minorHAnsi"/>
          <w:sz w:val="12"/>
          <w:szCs w:val="12"/>
        </w:rPr>
      </w:pPr>
    </w:p>
    <w:p w14:paraId="218FA5A9" w14:textId="77777777" w:rsidR="00C65183" w:rsidRPr="00153A02" w:rsidRDefault="00C65183" w:rsidP="00C65183">
      <w:pPr>
        <w:spacing w:line="360" w:lineRule="auto"/>
        <w:jc w:val="both"/>
        <w:rPr>
          <w:rFonts w:asciiTheme="minorHAnsi" w:hAnsiTheme="minorHAnsi"/>
          <w:noProof/>
          <w:lang w:val="en-US"/>
        </w:rPr>
      </w:pPr>
      <w:r>
        <w:rPr>
          <w:rFonts w:asciiTheme="minorHAnsi" w:hAnsiTheme="minorHAnsi"/>
          <w:noProof/>
          <w:lang w:val="en-US"/>
        </w:rPr>
        <w:t>The prevalence of food insecurity among selected segments of the community is illustrated below.</w:t>
      </w:r>
    </w:p>
    <w:p w14:paraId="1ED3019D" w14:textId="77777777" w:rsidR="00C65183" w:rsidRPr="003F1B50" w:rsidRDefault="00C65183" w:rsidP="00C65183">
      <w:pPr>
        <w:spacing w:line="360" w:lineRule="auto"/>
        <w:jc w:val="both"/>
        <w:rPr>
          <w:rFonts w:asciiTheme="minorHAnsi" w:hAnsiTheme="minorHAnsi"/>
          <w:noProof/>
          <w:sz w:val="16"/>
          <w:szCs w:val="16"/>
          <w:lang w:val="en-US"/>
        </w:rPr>
      </w:pPr>
      <w:r>
        <w:rPr>
          <w:rFonts w:asciiTheme="minorHAnsi" w:hAnsiTheme="minorHAnsi"/>
          <w:noProof/>
          <w:sz w:val="12"/>
          <w:szCs w:val="12"/>
          <w:lang w:val="en-US"/>
        </w:rPr>
        <w:drawing>
          <wp:anchor distT="0" distB="0" distL="114300" distR="114300" simplePos="0" relativeHeight="251899904" behindDoc="0" locked="0" layoutInCell="1" allowOverlap="1" wp14:anchorId="1B7BC949" wp14:editId="76E5BE0C">
            <wp:simplePos x="0" y="0"/>
            <wp:positionH relativeFrom="margin">
              <wp:align>left</wp:align>
            </wp:positionH>
            <wp:positionV relativeFrom="paragraph">
              <wp:posOffset>99060</wp:posOffset>
            </wp:positionV>
            <wp:extent cx="3834765" cy="2802890"/>
            <wp:effectExtent l="0" t="0" r="0" b="0"/>
            <wp:wrapSquare wrapText="bothSides"/>
            <wp:docPr id="41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8" cstate="print">
                      <a:extLst>
                        <a:ext uri="{28A0092B-C50C-407E-A947-70E740481C1C}">
                          <a14:useLocalDpi xmlns:a14="http://schemas.microsoft.com/office/drawing/2010/main" val="0"/>
                        </a:ext>
                      </a:extLst>
                    </a:blip>
                    <a:srcRect/>
                    <a:stretch>
                      <a:fillRect/>
                    </a:stretch>
                  </pic:blipFill>
                  <pic:spPr bwMode="auto">
                    <a:xfrm>
                      <a:off x="0" y="0"/>
                      <a:ext cx="3834765" cy="2802890"/>
                    </a:xfrm>
                    <a:prstGeom prst="rect">
                      <a:avLst/>
                    </a:prstGeom>
                    <a:noFill/>
                  </pic:spPr>
                </pic:pic>
              </a:graphicData>
            </a:graphic>
            <wp14:sizeRelH relativeFrom="margin">
              <wp14:pctWidth>0</wp14:pctWidth>
            </wp14:sizeRelH>
            <wp14:sizeRelV relativeFrom="margin">
              <wp14:pctHeight>0</wp14:pctHeight>
            </wp14:sizeRelV>
          </wp:anchor>
        </w:drawing>
      </w:r>
    </w:p>
    <w:p w14:paraId="1FF1A6E0" w14:textId="77777777" w:rsidR="00C65183" w:rsidRDefault="00C65183" w:rsidP="00C65183">
      <w:pPr>
        <w:jc w:val="both"/>
        <w:rPr>
          <w:rFonts w:asciiTheme="minorHAnsi" w:hAnsiTheme="minorHAnsi"/>
          <w:color w:val="7F7F7F" w:themeColor="text1" w:themeTint="80"/>
          <w:sz w:val="20"/>
          <w:szCs w:val="20"/>
        </w:rPr>
      </w:pPr>
      <w:r w:rsidRPr="00944A71">
        <w:rPr>
          <w:rFonts w:asciiTheme="minorHAnsi" w:hAnsiTheme="minorHAnsi"/>
          <w:color w:val="7F7F7F" w:themeColor="text1" w:themeTint="80"/>
          <w:sz w:val="20"/>
          <w:szCs w:val="20"/>
        </w:rPr>
        <w:t xml:space="preserve">Prevalence of </w:t>
      </w:r>
      <w:r>
        <w:rPr>
          <w:rFonts w:asciiTheme="minorHAnsi" w:hAnsiTheme="minorHAnsi"/>
          <w:color w:val="7F7F7F" w:themeColor="text1" w:themeTint="80"/>
          <w:sz w:val="20"/>
          <w:szCs w:val="20"/>
        </w:rPr>
        <w:t>f</w:t>
      </w:r>
      <w:r w:rsidRPr="00944A71">
        <w:rPr>
          <w:rFonts w:asciiTheme="minorHAnsi" w:hAnsiTheme="minorHAnsi"/>
          <w:color w:val="7F7F7F" w:themeColor="text1" w:themeTint="80"/>
          <w:sz w:val="20"/>
          <w:szCs w:val="20"/>
        </w:rPr>
        <w:t xml:space="preserve">ood Insecurity by </w:t>
      </w:r>
      <w:r>
        <w:rPr>
          <w:rFonts w:asciiTheme="minorHAnsi" w:hAnsiTheme="minorHAnsi"/>
          <w:color w:val="7F7F7F" w:themeColor="text1" w:themeTint="80"/>
          <w:sz w:val="20"/>
          <w:szCs w:val="20"/>
        </w:rPr>
        <w:t>a</w:t>
      </w:r>
      <w:r w:rsidRPr="00944A71">
        <w:rPr>
          <w:rFonts w:asciiTheme="minorHAnsi" w:hAnsiTheme="minorHAnsi"/>
          <w:color w:val="7F7F7F" w:themeColor="text1" w:themeTint="80"/>
          <w:sz w:val="20"/>
          <w:szCs w:val="20"/>
        </w:rPr>
        <w:t xml:space="preserve">dults within </w:t>
      </w:r>
      <w:r>
        <w:rPr>
          <w:rFonts w:asciiTheme="minorHAnsi" w:hAnsiTheme="minorHAnsi"/>
          <w:color w:val="7F7F7F" w:themeColor="text1" w:themeTint="80"/>
          <w:sz w:val="20"/>
          <w:szCs w:val="20"/>
        </w:rPr>
        <w:t>s</w:t>
      </w:r>
      <w:r w:rsidRPr="00944A71">
        <w:rPr>
          <w:rFonts w:asciiTheme="minorHAnsi" w:hAnsiTheme="minorHAnsi"/>
          <w:color w:val="7F7F7F" w:themeColor="text1" w:themeTint="80"/>
          <w:sz w:val="20"/>
          <w:szCs w:val="20"/>
        </w:rPr>
        <w:t xml:space="preserve">elected </w:t>
      </w:r>
      <w:r>
        <w:rPr>
          <w:rFonts w:asciiTheme="minorHAnsi" w:hAnsiTheme="minorHAnsi"/>
          <w:color w:val="7F7F7F" w:themeColor="text1" w:themeTint="80"/>
          <w:sz w:val="20"/>
          <w:szCs w:val="20"/>
        </w:rPr>
        <w:t>s</w:t>
      </w:r>
      <w:r w:rsidRPr="00944A71">
        <w:rPr>
          <w:rFonts w:asciiTheme="minorHAnsi" w:hAnsiTheme="minorHAnsi"/>
          <w:color w:val="7F7F7F" w:themeColor="text1" w:themeTint="80"/>
          <w:sz w:val="20"/>
          <w:szCs w:val="20"/>
        </w:rPr>
        <w:t xml:space="preserve">egments of the </w:t>
      </w:r>
      <w:r>
        <w:rPr>
          <w:rFonts w:asciiTheme="minorHAnsi" w:hAnsiTheme="minorHAnsi"/>
          <w:color w:val="7F7F7F" w:themeColor="text1" w:themeTint="80"/>
          <w:sz w:val="20"/>
          <w:szCs w:val="20"/>
        </w:rPr>
        <w:t>c</w:t>
      </w:r>
      <w:r w:rsidRPr="00944A71">
        <w:rPr>
          <w:rFonts w:asciiTheme="minorHAnsi" w:hAnsiTheme="minorHAnsi"/>
          <w:color w:val="7F7F7F" w:themeColor="text1" w:themeTint="80"/>
          <w:sz w:val="20"/>
          <w:szCs w:val="20"/>
        </w:rPr>
        <w:t xml:space="preserve">ommunity: </w:t>
      </w:r>
      <w:r>
        <w:rPr>
          <w:rFonts w:asciiTheme="minorHAnsi" w:hAnsiTheme="minorHAnsi"/>
          <w:color w:val="7F7F7F" w:themeColor="text1" w:themeTint="80"/>
          <w:sz w:val="20"/>
          <w:szCs w:val="20"/>
        </w:rPr>
        <w:t>Victoria</w:t>
      </w:r>
      <w:r w:rsidRPr="00944A71">
        <w:rPr>
          <w:rFonts w:asciiTheme="minorHAnsi" w:hAnsiTheme="minorHAnsi"/>
          <w:color w:val="7F7F7F" w:themeColor="text1" w:themeTint="80"/>
          <w:sz w:val="20"/>
          <w:szCs w:val="20"/>
        </w:rPr>
        <w:t>, 2014</w:t>
      </w:r>
      <w:r>
        <w:rPr>
          <w:rFonts w:asciiTheme="minorHAnsi" w:hAnsiTheme="minorHAnsi"/>
          <w:color w:val="7F7F7F" w:themeColor="text1" w:themeTint="80"/>
          <w:sz w:val="20"/>
          <w:szCs w:val="20"/>
        </w:rPr>
        <w:t xml:space="preserve"> </w:t>
      </w:r>
    </w:p>
    <w:p w14:paraId="149B93C1" w14:textId="77777777" w:rsidR="00C65183" w:rsidRDefault="00C65183" w:rsidP="00C65183">
      <w:pPr>
        <w:jc w:val="both"/>
        <w:rPr>
          <w:rFonts w:asciiTheme="minorHAnsi" w:hAnsiTheme="minorHAnsi"/>
          <w:color w:val="7F7F7F" w:themeColor="text1" w:themeTint="80"/>
          <w:sz w:val="20"/>
          <w:szCs w:val="20"/>
        </w:rPr>
      </w:pPr>
    </w:p>
    <w:p w14:paraId="2F800551" w14:textId="77777777" w:rsidR="00C65183" w:rsidRPr="00944A71" w:rsidRDefault="00C65183" w:rsidP="00C65183">
      <w:pPr>
        <w:jc w:val="both"/>
        <w:rPr>
          <w:rFonts w:asciiTheme="minorHAnsi" w:hAnsiTheme="minorHAnsi"/>
          <w:color w:val="7F7F7F" w:themeColor="text1" w:themeTint="80"/>
          <w:sz w:val="20"/>
          <w:szCs w:val="20"/>
        </w:rPr>
      </w:pPr>
    </w:p>
    <w:p w14:paraId="5D58C2B9" w14:textId="77777777" w:rsidR="00C65183" w:rsidRPr="005D5381" w:rsidRDefault="00C65183" w:rsidP="00C65183">
      <w:pPr>
        <w:spacing w:before="120" w:line="360" w:lineRule="auto"/>
        <w:jc w:val="both"/>
        <w:rPr>
          <w:rFonts w:asciiTheme="minorHAnsi" w:hAnsiTheme="minorHAnsi"/>
        </w:rPr>
      </w:pPr>
      <w:r w:rsidRPr="009B356D">
        <w:rPr>
          <w:rFonts w:asciiTheme="minorHAnsi" w:hAnsiTheme="minorHAnsi"/>
          <w:noProof/>
          <w:lang w:val="en-US"/>
        </w:rPr>
        <w:t>Other evidence</w:t>
      </w:r>
      <w:r>
        <w:rPr>
          <w:rFonts w:asciiTheme="minorHAnsi" w:hAnsiTheme="minorHAnsi"/>
          <w:noProof/>
          <w:lang w:val="en-US"/>
        </w:rPr>
        <w:t xml:space="preserve"> confirms a</w:t>
      </w:r>
      <w:r w:rsidRPr="009B356D">
        <w:rPr>
          <w:rFonts w:asciiTheme="minorHAnsi" w:hAnsiTheme="minorHAnsi"/>
          <w:noProof/>
          <w:lang w:val="en-US"/>
        </w:rPr>
        <w:t xml:space="preserve"> </w:t>
      </w:r>
      <w:r>
        <w:rPr>
          <w:rFonts w:asciiTheme="minorHAnsi" w:hAnsiTheme="minorHAnsi"/>
          <w:noProof/>
          <w:lang w:val="en-US"/>
        </w:rPr>
        <w:t>similarly high</w:t>
      </w:r>
      <w:r w:rsidRPr="009B356D">
        <w:rPr>
          <w:rFonts w:asciiTheme="minorHAnsi" w:hAnsiTheme="minorHAnsi"/>
          <w:noProof/>
          <w:lang w:val="en-US"/>
        </w:rPr>
        <w:t xml:space="preserve"> prevalence of food insecurity among disadvantaged </w:t>
      </w:r>
      <w:r>
        <w:rPr>
          <w:rFonts w:asciiTheme="minorHAnsi" w:hAnsiTheme="minorHAnsi"/>
          <w:noProof/>
          <w:lang w:val="en-US"/>
        </w:rPr>
        <w:t>segments of the community.</w:t>
      </w:r>
      <w:r>
        <w:rPr>
          <w:rStyle w:val="FootnoteReference"/>
          <w:rFonts w:asciiTheme="minorHAnsi" w:hAnsiTheme="minorHAnsi"/>
          <w:noProof/>
          <w:lang w:val="en-US"/>
        </w:rPr>
        <w:footnoteReference w:id="73"/>
      </w:r>
    </w:p>
    <w:p w14:paraId="31332C4B" w14:textId="77777777" w:rsidR="00C65183" w:rsidRDefault="00C65183" w:rsidP="00C65183">
      <w:pPr>
        <w:rPr>
          <w:rFonts w:asciiTheme="minorHAnsi" w:hAnsiTheme="minorHAnsi"/>
        </w:rPr>
      </w:pPr>
    </w:p>
    <w:p w14:paraId="1337011B" w14:textId="77777777" w:rsidR="00C65183" w:rsidRDefault="00C65183" w:rsidP="00C65183">
      <w:pPr>
        <w:rPr>
          <w:rFonts w:ascii="Calibri" w:hAnsi="Calibri"/>
        </w:rPr>
      </w:pPr>
      <w:r>
        <w:rPr>
          <w:rFonts w:ascii="Calibri" w:hAnsi="Calibri"/>
        </w:rPr>
        <w:br w:type="page"/>
      </w:r>
    </w:p>
    <w:p w14:paraId="403223B4" w14:textId="77777777" w:rsidR="00C65183" w:rsidRPr="00827F47" w:rsidRDefault="00C65183" w:rsidP="00C65183">
      <w:pPr>
        <w:pBdr>
          <w:top w:val="single" w:sz="4" w:space="0" w:color="244061" w:themeColor="accent1" w:themeShade="80"/>
          <w:bottom w:val="single" w:sz="4" w:space="1" w:color="244061" w:themeColor="accent1" w:themeShade="80"/>
        </w:pBdr>
        <w:tabs>
          <w:tab w:val="center" w:pos="4678"/>
        </w:tabs>
        <w:jc w:val="center"/>
        <w:rPr>
          <w:rFonts w:ascii="Garamond" w:hAnsi="Garamond"/>
          <w:noProof/>
          <w:color w:val="244061" w:themeColor="accent1" w:themeShade="80"/>
          <w:sz w:val="34"/>
          <w:szCs w:val="34"/>
        </w:rPr>
      </w:pPr>
      <w:r w:rsidRPr="00827F47">
        <w:rPr>
          <w:rFonts w:ascii="Garamond" w:hAnsi="Garamond"/>
          <w:noProof/>
          <w:color w:val="244061" w:themeColor="accent1" w:themeShade="80"/>
          <w:sz w:val="34"/>
          <w:szCs w:val="34"/>
        </w:rPr>
        <w:lastRenderedPageBreak/>
        <w:t>Obesity</w:t>
      </w:r>
    </w:p>
    <w:p w14:paraId="5E908163" w14:textId="77777777" w:rsidR="00C65183" w:rsidRPr="003442CC" w:rsidRDefault="00C65183" w:rsidP="00C65183">
      <w:pPr>
        <w:jc w:val="both"/>
        <w:rPr>
          <w:rFonts w:ascii="Calibri" w:hAnsi="Calibri"/>
          <w:sz w:val="8"/>
          <w:szCs w:val="8"/>
          <w:lang w:val="en-US"/>
        </w:rPr>
      </w:pPr>
    </w:p>
    <w:p w14:paraId="68C09A5D" w14:textId="77777777" w:rsidR="00C65183" w:rsidRDefault="00C65183" w:rsidP="00C65183">
      <w:pPr>
        <w:spacing w:line="360" w:lineRule="auto"/>
        <w:jc w:val="both"/>
        <w:rPr>
          <w:rFonts w:ascii="Calibri" w:hAnsi="Calibri"/>
          <w:lang w:val="en-US"/>
        </w:rPr>
      </w:pPr>
      <w:r>
        <w:rPr>
          <w:rFonts w:ascii="Calibri" w:hAnsi="Calibri"/>
          <w:lang w:val="en-US"/>
        </w:rPr>
        <w:t>Obesity, resulting from the deposition of fat where energy intake exceeds requirements, contributes to diabetes mellitus, hypertension, stroke, cardiovascular disease, gout, sleep apnea, breast and endometrial (uterine) cancer, and gall bladder disease.</w:t>
      </w:r>
    </w:p>
    <w:p w14:paraId="3FEED51A" w14:textId="77777777" w:rsidR="00C65183" w:rsidRPr="00227730" w:rsidRDefault="00C65183" w:rsidP="00C65183">
      <w:pPr>
        <w:jc w:val="both"/>
        <w:rPr>
          <w:rFonts w:ascii="Calibri" w:hAnsi="Calibri"/>
          <w:sz w:val="16"/>
          <w:szCs w:val="16"/>
          <w:lang w:val="en-US"/>
        </w:rPr>
      </w:pPr>
    </w:p>
    <w:p w14:paraId="48720ED3" w14:textId="77777777" w:rsidR="00C65183" w:rsidRPr="00281311" w:rsidRDefault="00C65183" w:rsidP="00C65183">
      <w:pPr>
        <w:jc w:val="both"/>
        <w:rPr>
          <w:rFonts w:ascii="Calibri" w:hAnsi="Calibri"/>
          <w:color w:val="808080"/>
          <w:sz w:val="20"/>
          <w:szCs w:val="20"/>
          <w:lang w:val="en-US"/>
        </w:rPr>
      </w:pPr>
      <w:r w:rsidRPr="00281311">
        <w:rPr>
          <w:rFonts w:ascii="Calibri" w:hAnsi="Calibri"/>
          <w:color w:val="808080"/>
          <w:sz w:val="20"/>
          <w:szCs w:val="20"/>
          <w:lang w:val="en-US"/>
        </w:rPr>
        <w:t xml:space="preserve">Prevalence of </w:t>
      </w:r>
      <w:r>
        <w:rPr>
          <w:rFonts w:ascii="Calibri" w:hAnsi="Calibri"/>
          <w:color w:val="808080"/>
          <w:sz w:val="20"/>
          <w:szCs w:val="20"/>
          <w:lang w:val="en-US"/>
        </w:rPr>
        <w:t>o</w:t>
      </w:r>
      <w:r w:rsidRPr="00281311">
        <w:rPr>
          <w:rFonts w:ascii="Calibri" w:hAnsi="Calibri"/>
          <w:color w:val="808080"/>
          <w:sz w:val="20"/>
          <w:szCs w:val="20"/>
          <w:lang w:val="en-US"/>
        </w:rPr>
        <w:t xml:space="preserve">besity by </w:t>
      </w:r>
      <w:r>
        <w:rPr>
          <w:rFonts w:ascii="Calibri" w:hAnsi="Calibri"/>
          <w:color w:val="808080"/>
          <w:sz w:val="20"/>
          <w:szCs w:val="20"/>
          <w:lang w:val="en-US"/>
        </w:rPr>
        <w:t xml:space="preserve">sex: Australia, 2018 </w:t>
      </w:r>
      <w:r>
        <w:rPr>
          <w:rFonts w:ascii="Calibri" w:hAnsi="Calibri"/>
          <w:b/>
          <w:lang w:val="en-US"/>
        </w:rPr>
        <w:t xml:space="preserve">                     </w:t>
      </w:r>
      <w:r w:rsidRPr="0059557E">
        <w:rPr>
          <w:rFonts w:ascii="Calibri" w:hAnsi="Calibri"/>
          <w:b/>
          <w:lang w:val="en-US"/>
        </w:rPr>
        <w:t xml:space="preserve">Obesity </w:t>
      </w:r>
      <w:r>
        <w:rPr>
          <w:rFonts w:ascii="Calibri" w:hAnsi="Calibri"/>
          <w:b/>
          <w:lang w:val="en-US"/>
        </w:rPr>
        <w:t>a</w:t>
      </w:r>
      <w:r w:rsidRPr="0059557E">
        <w:rPr>
          <w:rFonts w:ascii="Calibri" w:hAnsi="Calibri"/>
          <w:b/>
          <w:lang w:val="en-US"/>
        </w:rPr>
        <w:t>mong Adults</w:t>
      </w:r>
    </w:p>
    <w:p w14:paraId="5AAFA053" w14:textId="77777777" w:rsidR="00C65183" w:rsidRDefault="00C65183" w:rsidP="00C65183">
      <w:pPr>
        <w:spacing w:line="360" w:lineRule="auto"/>
        <w:jc w:val="both"/>
        <w:rPr>
          <w:rFonts w:asciiTheme="minorHAnsi" w:hAnsiTheme="minorHAnsi"/>
        </w:rPr>
      </w:pPr>
      <w:r>
        <w:rPr>
          <w:rFonts w:ascii="Calibri" w:hAnsi="Calibri"/>
          <w:noProof/>
          <w:lang w:val="en-US"/>
        </w:rPr>
        <w:drawing>
          <wp:anchor distT="0" distB="0" distL="114300" distR="114300" simplePos="0" relativeHeight="251901952" behindDoc="0" locked="0" layoutInCell="1" allowOverlap="1" wp14:anchorId="66B8CBF7" wp14:editId="5A75BB70">
            <wp:simplePos x="0" y="0"/>
            <wp:positionH relativeFrom="column">
              <wp:posOffset>3810</wp:posOffset>
            </wp:positionH>
            <wp:positionV relativeFrom="paragraph">
              <wp:posOffset>93980</wp:posOffset>
            </wp:positionV>
            <wp:extent cx="2863850" cy="2114550"/>
            <wp:effectExtent l="0" t="0" r="0" b="0"/>
            <wp:wrapSquare wrapText="bothSides"/>
            <wp:docPr id="411" name="Picture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9" cstate="print">
                      <a:extLst>
                        <a:ext uri="{28A0092B-C50C-407E-A947-70E740481C1C}">
                          <a14:useLocalDpi xmlns:a14="http://schemas.microsoft.com/office/drawing/2010/main" val="0"/>
                        </a:ext>
                      </a:extLst>
                    </a:blip>
                    <a:srcRect/>
                    <a:stretch>
                      <a:fillRect/>
                    </a:stretch>
                  </pic:blipFill>
                  <pic:spPr bwMode="auto">
                    <a:xfrm>
                      <a:off x="0" y="0"/>
                      <a:ext cx="2863850" cy="2114550"/>
                    </a:xfrm>
                    <a:prstGeom prst="rect">
                      <a:avLst/>
                    </a:prstGeom>
                    <a:noFill/>
                  </pic:spPr>
                </pic:pic>
              </a:graphicData>
            </a:graphic>
          </wp:anchor>
        </w:drawing>
      </w:r>
      <w:r>
        <w:rPr>
          <w:rFonts w:ascii="Calibri" w:hAnsi="Calibri"/>
          <w:lang w:val="en-US"/>
        </w:rPr>
        <w:t xml:space="preserve">The 2018 National Health Survey found that </w:t>
      </w:r>
      <w:r>
        <w:rPr>
          <w:rFonts w:asciiTheme="minorHAnsi" w:hAnsiTheme="minorHAnsi"/>
        </w:rPr>
        <w:t>a</w:t>
      </w:r>
      <w:r w:rsidRPr="005E71CE">
        <w:rPr>
          <w:rFonts w:asciiTheme="minorHAnsi" w:hAnsiTheme="minorHAnsi"/>
        </w:rPr>
        <w:t xml:space="preserve">mong people aged 18 years or more, </w:t>
      </w:r>
      <w:r>
        <w:rPr>
          <w:rFonts w:asciiTheme="minorHAnsi" w:hAnsiTheme="minorHAnsi"/>
        </w:rPr>
        <w:t>31</w:t>
      </w:r>
      <w:r w:rsidRPr="005E71CE">
        <w:rPr>
          <w:rFonts w:asciiTheme="minorHAnsi" w:hAnsiTheme="minorHAnsi"/>
        </w:rPr>
        <w:t xml:space="preserve">% </w:t>
      </w:r>
      <w:r>
        <w:rPr>
          <w:rFonts w:asciiTheme="minorHAnsi" w:hAnsiTheme="minorHAnsi"/>
        </w:rPr>
        <w:t>are</w:t>
      </w:r>
      <w:r w:rsidRPr="005E71CE">
        <w:rPr>
          <w:rFonts w:asciiTheme="minorHAnsi" w:hAnsiTheme="minorHAnsi"/>
        </w:rPr>
        <w:t xml:space="preserve"> obese </w:t>
      </w:r>
      <w:r>
        <w:rPr>
          <w:rFonts w:asciiTheme="minorHAnsi" w:hAnsiTheme="minorHAnsi"/>
        </w:rPr>
        <w:t xml:space="preserve">(representing a rise from 19% in 1995) </w:t>
      </w:r>
      <w:r w:rsidRPr="005E71CE">
        <w:rPr>
          <w:rFonts w:asciiTheme="minorHAnsi" w:hAnsiTheme="minorHAnsi"/>
        </w:rPr>
        <w:t xml:space="preserve">and 75% (represented by the total height of the column) </w:t>
      </w:r>
      <w:r>
        <w:rPr>
          <w:rFonts w:asciiTheme="minorHAnsi" w:hAnsiTheme="minorHAnsi"/>
        </w:rPr>
        <w:t xml:space="preserve">are </w:t>
      </w:r>
      <w:r w:rsidRPr="005E71CE">
        <w:rPr>
          <w:rFonts w:asciiTheme="minorHAnsi" w:hAnsiTheme="minorHAnsi"/>
        </w:rPr>
        <w:t xml:space="preserve">classified as overweight or obese. </w:t>
      </w:r>
    </w:p>
    <w:p w14:paraId="1EA66AAB" w14:textId="77777777" w:rsidR="00C65183" w:rsidRDefault="00C65183" w:rsidP="00C65183">
      <w:pPr>
        <w:spacing w:line="360" w:lineRule="auto"/>
        <w:jc w:val="both"/>
        <w:rPr>
          <w:rFonts w:ascii="Calibri" w:hAnsi="Calibri"/>
          <w:lang w:val="en-US"/>
        </w:rPr>
      </w:pPr>
      <w:r>
        <w:rPr>
          <w:rFonts w:asciiTheme="minorHAnsi" w:hAnsiTheme="minorHAnsi"/>
        </w:rPr>
        <w:t>O</w:t>
      </w:r>
      <w:r w:rsidRPr="005E71CE">
        <w:rPr>
          <w:rFonts w:asciiTheme="minorHAnsi" w:hAnsiTheme="minorHAnsi"/>
        </w:rPr>
        <w:t xml:space="preserve">besity </w:t>
      </w:r>
      <w:r>
        <w:rPr>
          <w:rFonts w:asciiTheme="minorHAnsi" w:hAnsiTheme="minorHAnsi"/>
        </w:rPr>
        <w:t>is</w:t>
      </w:r>
      <w:r w:rsidRPr="005E71CE">
        <w:rPr>
          <w:rFonts w:asciiTheme="minorHAnsi" w:hAnsiTheme="minorHAnsi"/>
        </w:rPr>
        <w:t xml:space="preserve"> </w:t>
      </w:r>
      <w:r>
        <w:rPr>
          <w:rFonts w:asciiTheme="minorHAnsi" w:hAnsiTheme="minorHAnsi"/>
        </w:rPr>
        <w:t>more widespread</w:t>
      </w:r>
      <w:r w:rsidRPr="005E71CE">
        <w:rPr>
          <w:rFonts w:asciiTheme="minorHAnsi" w:hAnsiTheme="minorHAnsi"/>
        </w:rPr>
        <w:t xml:space="preserve"> among ma</w:t>
      </w:r>
      <w:r>
        <w:rPr>
          <w:rFonts w:asciiTheme="minorHAnsi" w:hAnsiTheme="minorHAnsi"/>
        </w:rPr>
        <w:t>les, at 33%, than among females, at 30%</w:t>
      </w:r>
      <w:r w:rsidRPr="005E71CE">
        <w:rPr>
          <w:rFonts w:asciiTheme="minorHAnsi" w:hAnsiTheme="minorHAnsi"/>
        </w:rPr>
        <w:t>.</w:t>
      </w:r>
      <w:r>
        <w:rPr>
          <w:rFonts w:ascii="Calibri" w:hAnsi="Calibri"/>
          <w:lang w:val="en-US"/>
        </w:rPr>
        <w:t xml:space="preserve"> (diagram, left). </w:t>
      </w:r>
    </w:p>
    <w:p w14:paraId="7156E5C7" w14:textId="77777777" w:rsidR="00C65183" w:rsidRDefault="00C65183" w:rsidP="00C65183">
      <w:pPr>
        <w:spacing w:line="360" w:lineRule="auto"/>
        <w:jc w:val="both"/>
        <w:rPr>
          <w:rFonts w:ascii="Calibri" w:hAnsi="Calibri"/>
          <w:lang w:val="en-US"/>
        </w:rPr>
      </w:pPr>
    </w:p>
    <w:p w14:paraId="2DBA0452" w14:textId="77777777" w:rsidR="00C65183" w:rsidRDefault="00C65183" w:rsidP="00C65183">
      <w:pPr>
        <w:spacing w:line="360" w:lineRule="auto"/>
        <w:jc w:val="both"/>
        <w:rPr>
          <w:rFonts w:ascii="Calibri" w:hAnsi="Calibri"/>
          <w:lang w:val="en-US"/>
        </w:rPr>
      </w:pPr>
      <w:r>
        <w:rPr>
          <w:rFonts w:ascii="Calibri" w:hAnsi="Calibri"/>
          <w:color w:val="808080"/>
          <w:sz w:val="20"/>
          <w:szCs w:val="20"/>
          <w:lang w:val="en-US"/>
        </w:rPr>
        <w:t xml:space="preserve">                  </w:t>
      </w:r>
      <w:r w:rsidRPr="00281311">
        <w:rPr>
          <w:rFonts w:ascii="Calibri" w:hAnsi="Calibri"/>
          <w:color w:val="808080"/>
          <w:sz w:val="20"/>
          <w:szCs w:val="20"/>
          <w:lang w:val="en-US"/>
        </w:rPr>
        <w:t xml:space="preserve">Prevalence of </w:t>
      </w:r>
      <w:r>
        <w:rPr>
          <w:rFonts w:ascii="Calibri" w:hAnsi="Calibri"/>
          <w:color w:val="808080"/>
          <w:sz w:val="20"/>
          <w:szCs w:val="20"/>
          <w:lang w:val="en-US"/>
        </w:rPr>
        <w:t>o</w:t>
      </w:r>
      <w:r w:rsidRPr="00281311">
        <w:rPr>
          <w:rFonts w:ascii="Calibri" w:hAnsi="Calibri"/>
          <w:color w:val="808080"/>
          <w:sz w:val="20"/>
          <w:szCs w:val="20"/>
          <w:lang w:val="en-US"/>
        </w:rPr>
        <w:t xml:space="preserve">besity by </w:t>
      </w:r>
      <w:r>
        <w:rPr>
          <w:rFonts w:ascii="Calibri" w:hAnsi="Calibri"/>
          <w:color w:val="808080"/>
          <w:sz w:val="20"/>
          <w:szCs w:val="20"/>
          <w:lang w:val="en-US"/>
        </w:rPr>
        <w:t>age: Australia, 2018</w:t>
      </w:r>
    </w:p>
    <w:p w14:paraId="54448F89" w14:textId="77777777" w:rsidR="00C65183" w:rsidRPr="00227730" w:rsidRDefault="00C65183" w:rsidP="00C65183">
      <w:pPr>
        <w:spacing w:line="360" w:lineRule="auto"/>
        <w:jc w:val="both"/>
        <w:rPr>
          <w:rFonts w:asciiTheme="minorHAnsi" w:hAnsiTheme="minorHAnsi"/>
          <w:sz w:val="10"/>
          <w:szCs w:val="10"/>
        </w:rPr>
      </w:pPr>
      <w:r w:rsidRPr="00227730">
        <w:rPr>
          <w:rFonts w:ascii="Calibri" w:hAnsi="Calibri"/>
          <w:noProof/>
          <w:sz w:val="10"/>
          <w:szCs w:val="10"/>
          <w:lang w:val="en-US"/>
        </w:rPr>
        <w:drawing>
          <wp:anchor distT="0" distB="0" distL="114300" distR="114300" simplePos="0" relativeHeight="251902976" behindDoc="0" locked="0" layoutInCell="1" allowOverlap="1" wp14:anchorId="71A4A96D" wp14:editId="5504B075">
            <wp:simplePos x="0" y="0"/>
            <wp:positionH relativeFrom="column">
              <wp:posOffset>2880360</wp:posOffset>
            </wp:positionH>
            <wp:positionV relativeFrom="paragraph">
              <wp:posOffset>13335</wp:posOffset>
            </wp:positionV>
            <wp:extent cx="3305175" cy="2451100"/>
            <wp:effectExtent l="0" t="0" r="9525" b="6350"/>
            <wp:wrapSquare wrapText="bothSides"/>
            <wp:docPr id="412" name="Picture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0" cstate="print">
                      <a:extLst>
                        <a:ext uri="{28A0092B-C50C-407E-A947-70E740481C1C}">
                          <a14:useLocalDpi xmlns:a14="http://schemas.microsoft.com/office/drawing/2010/main" val="0"/>
                        </a:ext>
                      </a:extLst>
                    </a:blip>
                    <a:srcRect/>
                    <a:stretch>
                      <a:fillRect/>
                    </a:stretch>
                  </pic:blipFill>
                  <pic:spPr bwMode="auto">
                    <a:xfrm>
                      <a:off x="0" y="0"/>
                      <a:ext cx="3305175" cy="2451100"/>
                    </a:xfrm>
                    <a:prstGeom prst="rect">
                      <a:avLst/>
                    </a:prstGeom>
                    <a:noFill/>
                  </pic:spPr>
                </pic:pic>
              </a:graphicData>
            </a:graphic>
          </wp:anchor>
        </w:drawing>
      </w:r>
    </w:p>
    <w:p w14:paraId="65435B20" w14:textId="77777777" w:rsidR="00C65183" w:rsidRPr="005E71CE" w:rsidRDefault="00C65183" w:rsidP="00C65183">
      <w:pPr>
        <w:spacing w:line="360" w:lineRule="auto"/>
        <w:jc w:val="both"/>
        <w:rPr>
          <w:rFonts w:asciiTheme="minorHAnsi" w:hAnsiTheme="minorHAnsi"/>
        </w:rPr>
      </w:pPr>
      <w:r w:rsidRPr="005E71CE">
        <w:rPr>
          <w:rFonts w:asciiTheme="minorHAnsi" w:hAnsiTheme="minorHAnsi"/>
        </w:rPr>
        <w:t xml:space="preserve">The prevalence of obesity rises steeply with age to </w:t>
      </w:r>
      <w:r>
        <w:rPr>
          <w:rFonts w:asciiTheme="minorHAnsi" w:hAnsiTheme="minorHAnsi"/>
        </w:rPr>
        <w:t>a</w:t>
      </w:r>
      <w:r w:rsidRPr="005E71CE">
        <w:rPr>
          <w:rFonts w:asciiTheme="minorHAnsi" w:hAnsiTheme="minorHAnsi"/>
        </w:rPr>
        <w:t xml:space="preserve"> peak in older age, before declining precipitately.</w:t>
      </w:r>
    </w:p>
    <w:p w14:paraId="640BCB17" w14:textId="77777777" w:rsidR="00C65183" w:rsidRDefault="00C65183" w:rsidP="00C65183">
      <w:pPr>
        <w:spacing w:line="360" w:lineRule="auto"/>
        <w:jc w:val="both"/>
        <w:rPr>
          <w:rFonts w:ascii="Calibri" w:hAnsi="Calibri"/>
          <w:lang w:val="en-US"/>
        </w:rPr>
      </w:pPr>
      <w:r w:rsidRPr="00392EF2">
        <w:rPr>
          <w:rFonts w:ascii="Calibri" w:hAnsi="Calibri"/>
          <w:noProof/>
          <w:lang w:val="en-US"/>
        </w:rPr>
        <w:drawing>
          <wp:anchor distT="0" distB="0" distL="114300" distR="114300" simplePos="0" relativeHeight="251942912" behindDoc="0" locked="0" layoutInCell="1" allowOverlap="1" wp14:anchorId="2FF26E11" wp14:editId="02755BCB">
            <wp:simplePos x="0" y="0"/>
            <wp:positionH relativeFrom="column">
              <wp:posOffset>4020640</wp:posOffset>
            </wp:positionH>
            <wp:positionV relativeFrom="paragraph">
              <wp:posOffset>373380</wp:posOffset>
            </wp:positionV>
            <wp:extent cx="1463220" cy="973773"/>
            <wp:effectExtent l="0" t="0" r="3810" b="0"/>
            <wp:wrapNone/>
            <wp:docPr id="414" name="Picture 73" descr="obesit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obesity 1"/>
                    <pic:cNvPicPr>
                      <a:picLocks noChangeAspect="1" noChangeArrowheads="1"/>
                    </pic:cNvPicPr>
                  </pic:nvPicPr>
                  <pic:blipFill>
                    <a:blip r:embed="rId223" cstate="print"/>
                    <a:srcRect/>
                    <a:stretch>
                      <a:fillRect/>
                    </a:stretch>
                  </pic:blipFill>
                  <pic:spPr bwMode="auto">
                    <a:xfrm>
                      <a:off x="0" y="0"/>
                      <a:ext cx="1468068" cy="976999"/>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rFonts w:ascii="Calibri" w:hAnsi="Calibri"/>
          <w:lang w:val="en-US"/>
        </w:rPr>
        <w:t>Investigations point to a rise in the national prevalence of overweight/obesity over nearly two decades, from 57% in 1995</w:t>
      </w:r>
      <w:r>
        <w:rPr>
          <w:rStyle w:val="FootnoteReference"/>
          <w:rFonts w:ascii="Calibri" w:hAnsi="Calibri"/>
          <w:lang w:val="en-US"/>
        </w:rPr>
        <w:footnoteReference w:id="74"/>
      </w:r>
      <w:r>
        <w:rPr>
          <w:rFonts w:ascii="Calibri" w:hAnsi="Calibri"/>
          <w:lang w:val="en-US"/>
        </w:rPr>
        <w:t xml:space="preserve"> to 75% by 2018 (National Health Survey 2018). </w:t>
      </w:r>
    </w:p>
    <w:p w14:paraId="337B23D9" w14:textId="77777777" w:rsidR="00C65183" w:rsidRDefault="00C65183" w:rsidP="00C65183">
      <w:pPr>
        <w:jc w:val="both"/>
        <w:rPr>
          <w:rFonts w:ascii="Calibri" w:hAnsi="Calibri"/>
          <w:sz w:val="12"/>
          <w:szCs w:val="12"/>
          <w:lang w:val="en-US"/>
        </w:rPr>
      </w:pPr>
    </w:p>
    <w:p w14:paraId="161B044A" w14:textId="77777777" w:rsidR="00C65183" w:rsidRDefault="00C65183" w:rsidP="00C65183">
      <w:pPr>
        <w:jc w:val="both"/>
        <w:rPr>
          <w:rFonts w:ascii="Calibri" w:hAnsi="Calibri"/>
          <w:sz w:val="12"/>
          <w:szCs w:val="12"/>
          <w:lang w:val="en-US"/>
        </w:rPr>
      </w:pPr>
    </w:p>
    <w:p w14:paraId="25805729" w14:textId="77777777" w:rsidR="00C65183" w:rsidRDefault="00C65183" w:rsidP="00C65183">
      <w:pPr>
        <w:jc w:val="both"/>
        <w:rPr>
          <w:rFonts w:ascii="Calibri" w:hAnsi="Calibri"/>
          <w:sz w:val="12"/>
          <w:szCs w:val="12"/>
          <w:lang w:val="en-US"/>
        </w:rPr>
      </w:pPr>
    </w:p>
    <w:p w14:paraId="479C9649" w14:textId="77777777" w:rsidR="00C65183" w:rsidRPr="00B0571E" w:rsidRDefault="00C65183" w:rsidP="00C65183">
      <w:pPr>
        <w:jc w:val="both"/>
        <w:rPr>
          <w:rFonts w:ascii="Calibri" w:hAnsi="Calibri"/>
          <w:sz w:val="12"/>
          <w:szCs w:val="12"/>
          <w:lang w:val="en-US"/>
        </w:rPr>
      </w:pPr>
    </w:p>
    <w:p w14:paraId="5D3E58EB" w14:textId="77777777" w:rsidR="00C65183" w:rsidRPr="00662A16" w:rsidRDefault="00C65183" w:rsidP="00C65183">
      <w:pPr>
        <w:spacing w:line="360" w:lineRule="auto"/>
        <w:jc w:val="both"/>
        <w:rPr>
          <w:rFonts w:ascii="Calibri" w:hAnsi="Calibri"/>
          <w:b/>
          <w:lang w:val="en-US"/>
        </w:rPr>
      </w:pPr>
      <w:r w:rsidRPr="00662A16">
        <w:rPr>
          <w:rFonts w:ascii="Calibri" w:hAnsi="Calibri"/>
          <w:b/>
          <w:lang w:val="en-US"/>
        </w:rPr>
        <w:t>Local Measures of Obesity</w:t>
      </w:r>
    </w:p>
    <w:p w14:paraId="3BE60683" w14:textId="77777777" w:rsidR="00C65183" w:rsidRDefault="00C65183" w:rsidP="00C65183">
      <w:pPr>
        <w:spacing w:line="360" w:lineRule="auto"/>
        <w:jc w:val="both"/>
        <w:rPr>
          <w:rFonts w:ascii="Calibri" w:hAnsi="Calibri"/>
        </w:rPr>
      </w:pPr>
      <w:r>
        <w:rPr>
          <w:rFonts w:ascii="Calibri" w:hAnsi="Calibri"/>
          <w:noProof/>
          <w:lang w:eastAsia="en-AU"/>
        </w:rPr>
        <w:t>A variety of studies have determined</w:t>
      </w:r>
      <w:r w:rsidRPr="00EF59E5">
        <w:rPr>
          <w:rFonts w:ascii="Calibri" w:hAnsi="Calibri"/>
        </w:rPr>
        <w:t xml:space="preserve"> </w:t>
      </w:r>
      <w:r>
        <w:rPr>
          <w:rFonts w:ascii="Calibri" w:hAnsi="Calibri"/>
        </w:rPr>
        <w:t>that the prevalence of obesity is higher among people on lower incomes, of limited educational attainment and</w:t>
      </w:r>
      <w:r w:rsidRPr="00EF59E5">
        <w:rPr>
          <w:rFonts w:ascii="Calibri" w:hAnsi="Calibri"/>
        </w:rPr>
        <w:t xml:space="preserve"> </w:t>
      </w:r>
      <w:r>
        <w:rPr>
          <w:rFonts w:ascii="Calibri" w:hAnsi="Calibri"/>
        </w:rPr>
        <w:t>those with health problems</w:t>
      </w:r>
      <w:r w:rsidRPr="00EF59E5">
        <w:rPr>
          <w:rFonts w:ascii="Calibri" w:hAnsi="Calibri"/>
        </w:rPr>
        <w:t>.</w:t>
      </w:r>
      <w:r>
        <w:rPr>
          <w:rFonts w:ascii="Calibri" w:hAnsi="Calibri"/>
        </w:rPr>
        <w:t xml:space="preserve"> </w:t>
      </w:r>
      <w:r>
        <w:rPr>
          <w:rFonts w:ascii="Calibri" w:hAnsi="Calibri"/>
          <w:lang w:val="en-US"/>
        </w:rPr>
        <w:t>The 2017 Victorian Population Health Survey for example, reported that the prevalence of obesity among residents of the most disadvantaged five municipalities was 24% - almost twice the corresponding level among the least disadvantaged localities, of 13%.</w:t>
      </w:r>
    </w:p>
    <w:p w14:paraId="0294B2F3" w14:textId="77777777" w:rsidR="00C65183" w:rsidRPr="00BF3F35" w:rsidRDefault="00C65183" w:rsidP="00C65183">
      <w:pPr>
        <w:spacing w:line="360" w:lineRule="auto"/>
        <w:jc w:val="both"/>
        <w:rPr>
          <w:rFonts w:ascii="Calibri" w:hAnsi="Calibri"/>
          <w:lang w:val="en-US"/>
        </w:rPr>
      </w:pPr>
      <w:r>
        <w:rPr>
          <w:rFonts w:ascii="Calibri" w:hAnsi="Calibri"/>
          <w:lang w:val="en-US"/>
        </w:rPr>
        <w:t xml:space="preserve">The 2017 Victorian Population Health Survey recorded </w:t>
      </w:r>
      <w:r w:rsidRPr="006D2DF4">
        <w:rPr>
          <w:rFonts w:ascii="Calibri" w:hAnsi="Calibri"/>
          <w:i/>
          <w:lang w:val="en-US"/>
        </w:rPr>
        <w:t xml:space="preserve">self-reported </w:t>
      </w:r>
      <w:r w:rsidRPr="008F2512">
        <w:rPr>
          <w:rFonts w:ascii="Calibri" w:hAnsi="Calibri"/>
          <w:lang w:val="en-US"/>
        </w:rPr>
        <w:t>overweight and</w:t>
      </w:r>
      <w:r>
        <w:rPr>
          <w:rFonts w:ascii="Calibri" w:hAnsi="Calibri"/>
          <w:i/>
          <w:lang w:val="en-US"/>
        </w:rPr>
        <w:t xml:space="preserve"> </w:t>
      </w:r>
      <w:r>
        <w:rPr>
          <w:rFonts w:ascii="Calibri" w:hAnsi="Calibri"/>
          <w:lang w:val="en-US"/>
        </w:rPr>
        <w:t>obesity – a method which tends to underestimate the prevalence of obesity – with the finding that 19% of adults across Victoria were obese, compared with 15% in Greater Dandenong – placing this municipality among the lowest sixth of Victorian localities in its prevalence of obesity.</w:t>
      </w:r>
      <w:r w:rsidRPr="00BF3F35">
        <w:rPr>
          <w:rFonts w:ascii="Calibri" w:hAnsi="Calibri"/>
          <w:noProof/>
          <w:lang w:val="en-US"/>
        </w:rPr>
        <w:t xml:space="preserve"> </w:t>
      </w:r>
    </w:p>
    <w:p w14:paraId="1DA1C236" w14:textId="77777777" w:rsidR="00C65183" w:rsidRDefault="00C65183" w:rsidP="00C65183">
      <w:pPr>
        <w:rPr>
          <w:rFonts w:ascii="Calibri" w:hAnsi="Calibri"/>
        </w:rPr>
      </w:pPr>
      <w:r>
        <w:rPr>
          <w:rFonts w:ascii="Calibri" w:hAnsi="Calibri"/>
        </w:rPr>
        <w:br w:type="page"/>
      </w:r>
    </w:p>
    <w:p w14:paraId="61A4525B" w14:textId="77777777" w:rsidR="00C65183" w:rsidRPr="00827F47" w:rsidRDefault="00C65183" w:rsidP="00C65183">
      <w:pPr>
        <w:pBdr>
          <w:top w:val="single" w:sz="4" w:space="0" w:color="244061" w:themeColor="accent1" w:themeShade="80"/>
          <w:bottom w:val="single" w:sz="4" w:space="1" w:color="244061" w:themeColor="accent1" w:themeShade="80"/>
        </w:pBdr>
        <w:tabs>
          <w:tab w:val="center" w:pos="4678"/>
        </w:tabs>
        <w:jc w:val="center"/>
        <w:rPr>
          <w:rFonts w:ascii="Garamond" w:hAnsi="Garamond"/>
          <w:noProof/>
          <w:color w:val="244061" w:themeColor="accent1" w:themeShade="80"/>
          <w:sz w:val="34"/>
          <w:szCs w:val="34"/>
        </w:rPr>
      </w:pPr>
      <w:r w:rsidRPr="00827F47">
        <w:rPr>
          <w:rFonts w:ascii="Garamond" w:hAnsi="Garamond"/>
          <w:noProof/>
          <w:color w:val="244061" w:themeColor="accent1" w:themeShade="80"/>
          <w:sz w:val="34"/>
          <w:szCs w:val="34"/>
        </w:rPr>
        <w:lastRenderedPageBreak/>
        <w:t xml:space="preserve">Alcohol Consumption </w:t>
      </w:r>
    </w:p>
    <w:p w14:paraId="77F85B80" w14:textId="77777777" w:rsidR="00C65183" w:rsidRPr="00DE1E82" w:rsidRDefault="00C65183" w:rsidP="00C65183">
      <w:pPr>
        <w:jc w:val="both"/>
        <w:rPr>
          <w:rFonts w:asciiTheme="minorHAnsi" w:hAnsiTheme="minorHAnsi" w:cstheme="minorHAnsi"/>
        </w:rPr>
      </w:pPr>
      <w:r w:rsidRPr="00DE1E82">
        <w:rPr>
          <w:rFonts w:asciiTheme="minorHAnsi" w:hAnsiTheme="minorHAnsi" w:cstheme="minorHAnsi"/>
          <w:noProof/>
          <w:lang w:val="en-US"/>
        </w:rPr>
        <w:drawing>
          <wp:anchor distT="24384" distB="78105" distL="138684" distR="192913" simplePos="0" relativeHeight="251904000" behindDoc="1" locked="0" layoutInCell="1" allowOverlap="1" wp14:anchorId="6B4F3783" wp14:editId="59118258">
            <wp:simplePos x="0" y="0"/>
            <wp:positionH relativeFrom="margin">
              <wp:align>right</wp:align>
            </wp:positionH>
            <wp:positionV relativeFrom="paragraph">
              <wp:posOffset>45085</wp:posOffset>
            </wp:positionV>
            <wp:extent cx="1604645" cy="904875"/>
            <wp:effectExtent l="0" t="0" r="0" b="9525"/>
            <wp:wrapTight wrapText="bothSides">
              <wp:wrapPolygon edited="0">
                <wp:start x="1026" y="0"/>
                <wp:lineTo x="0" y="909"/>
                <wp:lineTo x="0" y="20918"/>
                <wp:lineTo x="1026" y="21373"/>
                <wp:lineTo x="20258" y="21373"/>
                <wp:lineTo x="21284" y="20918"/>
                <wp:lineTo x="21284" y="909"/>
                <wp:lineTo x="20258" y="0"/>
                <wp:lineTo x="1026" y="0"/>
              </wp:wrapPolygon>
            </wp:wrapTight>
            <wp:docPr id="451" name="Picture 63" descr="alcohol consum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Picture 63" descr="alcohol consumption"/>
                    <pic:cNvPicPr>
                      <a:picLocks noChangeAspect="1" noChangeArrowheads="1"/>
                    </pic:cNvPicPr>
                  </pic:nvPicPr>
                  <pic:blipFill>
                    <a:blip r:embed="rId212" cstate="print"/>
                    <a:srcRect/>
                    <a:stretch>
                      <a:fillRect/>
                    </a:stretch>
                  </pic:blipFill>
                  <pic:spPr bwMode="auto">
                    <a:xfrm>
                      <a:off x="0" y="0"/>
                      <a:ext cx="1604645" cy="90487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0DDB33AA" w14:textId="77777777" w:rsidR="00C65183" w:rsidRPr="00DE1E82" w:rsidRDefault="00C65183" w:rsidP="00C65183">
      <w:pPr>
        <w:spacing w:line="360" w:lineRule="auto"/>
        <w:jc w:val="both"/>
        <w:rPr>
          <w:rFonts w:asciiTheme="minorHAnsi" w:hAnsiTheme="minorHAnsi" w:cstheme="minorHAnsi"/>
          <w:b/>
        </w:rPr>
      </w:pPr>
      <w:r w:rsidRPr="00DE1E82">
        <w:rPr>
          <w:rFonts w:asciiTheme="minorHAnsi" w:hAnsiTheme="minorHAnsi" w:cstheme="minorHAnsi"/>
          <w:b/>
        </w:rPr>
        <w:t>Effects and Costs of Alcohol Consumption</w:t>
      </w:r>
    </w:p>
    <w:p w14:paraId="2D59C578" w14:textId="77777777" w:rsidR="00C65183" w:rsidRPr="00DE1E82" w:rsidRDefault="00C65183" w:rsidP="00C65183">
      <w:pPr>
        <w:spacing w:line="360" w:lineRule="auto"/>
        <w:jc w:val="both"/>
        <w:rPr>
          <w:rFonts w:asciiTheme="minorHAnsi" w:hAnsiTheme="minorHAnsi" w:cstheme="minorHAnsi"/>
        </w:rPr>
      </w:pPr>
      <w:r w:rsidRPr="00DE1E82">
        <w:rPr>
          <w:rFonts w:asciiTheme="minorHAnsi" w:hAnsiTheme="minorHAnsi" w:cstheme="minorHAnsi"/>
        </w:rPr>
        <w:t>Alcohol consumption contributes to a variety of health conditions; among them: irreversible liver disease – including cirrhosis, hepatitis and cancer; chronic brain damage accompanied by memory loss, personality changes and dementia; cancers of the mouth, larynx, oesophagus, gastrointestinal system, breast and liver; a range of foetal developmental defects including heightened risk of neonatal cerebral palsy; and cardiovascular diseases such as heart damage, stroke and hypertension. Approximately 157,000 Victorians are hospitalised from the effects of alcohol each year and 5,600 die from its consequences</w:t>
      </w:r>
      <w:r w:rsidRPr="00DE1E82">
        <w:rPr>
          <w:rStyle w:val="FootnoteReference"/>
          <w:rFonts w:asciiTheme="minorHAnsi" w:hAnsiTheme="minorHAnsi" w:cstheme="minorHAnsi"/>
        </w:rPr>
        <w:footnoteReference w:id="75"/>
      </w:r>
      <w:r w:rsidRPr="00DE1E82">
        <w:rPr>
          <w:rFonts w:asciiTheme="minorHAnsi" w:hAnsiTheme="minorHAnsi" w:cstheme="minorHAnsi"/>
        </w:rPr>
        <w:t>.</w:t>
      </w:r>
    </w:p>
    <w:p w14:paraId="67F955B9" w14:textId="77777777" w:rsidR="00C65183" w:rsidRPr="00DE1E82" w:rsidRDefault="00C65183" w:rsidP="00C65183">
      <w:pPr>
        <w:spacing w:line="360" w:lineRule="auto"/>
        <w:jc w:val="both"/>
        <w:rPr>
          <w:rFonts w:asciiTheme="minorHAnsi" w:hAnsiTheme="minorHAnsi" w:cstheme="minorHAnsi"/>
        </w:rPr>
      </w:pPr>
      <w:r w:rsidRPr="00DE1E82">
        <w:rPr>
          <w:rFonts w:asciiTheme="minorHAnsi" w:hAnsiTheme="minorHAnsi" w:cstheme="minorHAnsi"/>
        </w:rPr>
        <w:t>Alcohol use among pregnant women contributes to problems of development in their children - including impaired physical and mental development, learning difficulties, abuse and neglect</w:t>
      </w:r>
      <w:r>
        <w:rPr>
          <w:rFonts w:asciiTheme="minorHAnsi" w:hAnsiTheme="minorHAnsi" w:cstheme="minorHAnsi"/>
        </w:rPr>
        <w:t>,</w:t>
      </w:r>
      <w:r w:rsidRPr="00DE1E82">
        <w:rPr>
          <w:rFonts w:asciiTheme="minorHAnsi" w:hAnsiTheme="minorHAnsi" w:cstheme="minorHAnsi"/>
        </w:rPr>
        <w:t xml:space="preserve"> as well as alcohol-related problems in adolescence.</w:t>
      </w:r>
      <w:r w:rsidRPr="00DE1E82">
        <w:rPr>
          <w:rStyle w:val="FootnoteReference"/>
          <w:rFonts w:asciiTheme="minorHAnsi" w:hAnsiTheme="minorHAnsi" w:cstheme="minorHAnsi"/>
        </w:rPr>
        <w:footnoteReference w:id="76"/>
      </w:r>
      <w:r w:rsidRPr="00DE1E82">
        <w:rPr>
          <w:rFonts w:asciiTheme="minorHAnsi" w:hAnsiTheme="minorHAnsi" w:cstheme="minorHAnsi"/>
        </w:rPr>
        <w:t xml:space="preserve"> </w:t>
      </w:r>
    </w:p>
    <w:p w14:paraId="635A7ED5" w14:textId="77777777" w:rsidR="00C65183" w:rsidRPr="00DE1E82" w:rsidRDefault="00C65183" w:rsidP="00C65183">
      <w:pPr>
        <w:spacing w:line="360" w:lineRule="auto"/>
        <w:jc w:val="both"/>
        <w:rPr>
          <w:rFonts w:asciiTheme="minorHAnsi" w:hAnsiTheme="minorHAnsi" w:cstheme="minorHAnsi"/>
        </w:rPr>
      </w:pPr>
      <w:r w:rsidRPr="00DE1E82">
        <w:rPr>
          <w:rFonts w:asciiTheme="minorHAnsi" w:hAnsiTheme="minorHAnsi" w:cstheme="minorHAnsi"/>
        </w:rPr>
        <w:t>Alcohol intoxication is also implicated in almost half of assaults, contributes to a third of road accidents leading to injury or death, and causes at least 3,300 deaths each year across Australia.</w:t>
      </w:r>
      <w:r w:rsidRPr="00DE1E82">
        <w:rPr>
          <w:rStyle w:val="FootnoteReference"/>
          <w:rFonts w:asciiTheme="minorHAnsi" w:hAnsiTheme="minorHAnsi" w:cstheme="minorHAnsi"/>
        </w:rPr>
        <w:footnoteReference w:id="77"/>
      </w:r>
      <w:r w:rsidRPr="00DE1E82">
        <w:rPr>
          <w:rFonts w:asciiTheme="minorHAnsi" w:hAnsiTheme="minorHAnsi" w:cstheme="minorHAnsi"/>
        </w:rPr>
        <w:t>. The 2016 Australian Personal Safety Survey found that alcohol was a contributing factor in half of the most recent assaults inflicted upon women and two-thirds of those experienced by men.</w:t>
      </w:r>
      <w:r w:rsidRPr="00DE1E82">
        <w:rPr>
          <w:rStyle w:val="FootnoteReference"/>
          <w:rFonts w:asciiTheme="minorHAnsi" w:hAnsiTheme="minorHAnsi" w:cstheme="minorHAnsi"/>
        </w:rPr>
        <w:footnoteReference w:id="78"/>
      </w:r>
    </w:p>
    <w:p w14:paraId="21C0AF69" w14:textId="77777777" w:rsidR="00C65183" w:rsidRPr="00DE1E82" w:rsidRDefault="00C65183" w:rsidP="00C65183">
      <w:pPr>
        <w:spacing w:line="360" w:lineRule="auto"/>
        <w:jc w:val="both"/>
        <w:rPr>
          <w:rFonts w:asciiTheme="minorHAnsi" w:hAnsiTheme="minorHAnsi" w:cstheme="minorHAnsi"/>
        </w:rPr>
      </w:pPr>
      <w:r w:rsidRPr="00DE1E82">
        <w:rPr>
          <w:rFonts w:asciiTheme="minorHAnsi" w:hAnsiTheme="minorHAnsi" w:cstheme="minorHAnsi"/>
        </w:rPr>
        <w:t>In 2013, the Australian Institute of Criminology assessed the cost of alcohol misuse upon the Australian economy at $14.2 billion per annum – the equivalent of $116 million each year (in 2020 dollars) within Greater Dandenong alone.</w:t>
      </w:r>
    </w:p>
    <w:p w14:paraId="7816168C" w14:textId="77777777" w:rsidR="00C65183" w:rsidRPr="00DE1E82" w:rsidRDefault="00C65183" w:rsidP="00C65183">
      <w:pPr>
        <w:spacing w:line="360" w:lineRule="auto"/>
        <w:jc w:val="both"/>
        <w:rPr>
          <w:rFonts w:asciiTheme="minorHAnsi" w:hAnsiTheme="minorHAnsi" w:cstheme="minorHAnsi"/>
          <w:i/>
          <w:lang w:val="en-US"/>
        </w:rPr>
      </w:pPr>
      <w:r w:rsidRPr="00DE1E82">
        <w:rPr>
          <w:rFonts w:asciiTheme="minorHAnsi" w:hAnsiTheme="minorHAnsi" w:cstheme="minorHAnsi"/>
          <w:i/>
          <w:lang w:val="en-US"/>
        </w:rPr>
        <w:t xml:space="preserve">Alcohol and Pregnancy </w:t>
      </w:r>
    </w:p>
    <w:p w14:paraId="026BFD09" w14:textId="77777777" w:rsidR="00C65183" w:rsidRPr="00DE1E82" w:rsidRDefault="00C65183" w:rsidP="00C65183">
      <w:pPr>
        <w:spacing w:line="360" w:lineRule="auto"/>
        <w:jc w:val="both"/>
        <w:rPr>
          <w:rFonts w:asciiTheme="minorHAnsi" w:hAnsiTheme="minorHAnsi" w:cstheme="minorHAnsi"/>
          <w:b/>
          <w:lang w:val="en-US"/>
        </w:rPr>
      </w:pPr>
      <w:r w:rsidRPr="00DE1E82">
        <w:rPr>
          <w:rFonts w:asciiTheme="minorHAnsi" w:hAnsiTheme="minorHAnsi" w:cstheme="minorHAnsi"/>
        </w:rPr>
        <w:t xml:space="preserve">Consumption of alcohol during pregnancy, especially the first trimester, is responsible for foetal alcohol syndrome, a condition characterized by stunted foetal growth, facial distortion, damage to the central nervous system and a variety of chronic physical, behavioural and mental disorders. </w:t>
      </w:r>
      <w:r w:rsidRPr="00DE1E82">
        <w:rPr>
          <w:rFonts w:asciiTheme="minorHAnsi" w:hAnsiTheme="minorHAnsi" w:cstheme="minorHAnsi"/>
          <w:lang w:val="en-US"/>
        </w:rPr>
        <w:t xml:space="preserve">As a consequence, the National Health and Medical Research Council (NHMRC) recommends abstinence during pregnancy. </w:t>
      </w:r>
    </w:p>
    <w:p w14:paraId="03D705A2" w14:textId="77777777" w:rsidR="00C65183" w:rsidRPr="00DE1E82" w:rsidRDefault="00C65183" w:rsidP="00C65183">
      <w:pPr>
        <w:spacing w:line="360" w:lineRule="auto"/>
        <w:jc w:val="both"/>
        <w:rPr>
          <w:rFonts w:asciiTheme="minorHAnsi" w:hAnsiTheme="minorHAnsi" w:cstheme="minorHAnsi"/>
          <w:lang w:val="en-US"/>
        </w:rPr>
      </w:pPr>
      <w:r w:rsidRPr="00DE1E82">
        <w:rPr>
          <w:rFonts w:asciiTheme="minorHAnsi" w:hAnsiTheme="minorHAnsi" w:cstheme="minorHAnsi"/>
          <w:lang w:val="en-US"/>
        </w:rPr>
        <w:t>An international study of alcohol consumption found that 40% of pregnant Australian women consumed alcohol during pregnancy, with one in ten binge drinking on at least one occasion. However, the prevalence of alcohol consumption declined to 7% by the second trimester as most women ceased drinking when they discovered they were pregnant.</w:t>
      </w:r>
      <w:r w:rsidRPr="00DE1E82">
        <w:rPr>
          <w:rStyle w:val="FootnoteReference"/>
          <w:rFonts w:asciiTheme="minorHAnsi" w:hAnsiTheme="minorHAnsi" w:cstheme="minorHAnsi"/>
          <w:lang w:val="en-US"/>
        </w:rPr>
        <w:footnoteReference w:id="79"/>
      </w:r>
      <w:r w:rsidRPr="00DE1E82">
        <w:rPr>
          <w:rFonts w:asciiTheme="minorHAnsi" w:hAnsiTheme="minorHAnsi" w:cstheme="minorHAnsi"/>
          <w:lang w:val="en-US"/>
        </w:rPr>
        <w:t xml:space="preserve"> </w:t>
      </w:r>
    </w:p>
    <w:p w14:paraId="6AFFD6A4" w14:textId="77777777" w:rsidR="00C65183" w:rsidRPr="00DE1E82" w:rsidRDefault="00C65183" w:rsidP="00C65183">
      <w:pPr>
        <w:tabs>
          <w:tab w:val="left" w:pos="6379"/>
          <w:tab w:val="left" w:pos="6521"/>
        </w:tabs>
        <w:spacing w:line="360" w:lineRule="auto"/>
        <w:jc w:val="both"/>
        <w:rPr>
          <w:rFonts w:asciiTheme="minorHAnsi" w:hAnsiTheme="minorHAnsi" w:cstheme="minorHAnsi"/>
          <w:noProof/>
        </w:rPr>
      </w:pPr>
      <w:r w:rsidRPr="00DE1E82">
        <w:rPr>
          <w:rFonts w:asciiTheme="minorHAnsi" w:hAnsiTheme="minorHAnsi" w:cstheme="minorHAnsi"/>
          <w:noProof/>
        </w:rPr>
        <w:t xml:space="preserve">In its 2015 report ‘The Hidden Harm: alcohol’s impact on families and children’, the Foundation for Alcohol Research and Education’ concluded that one in five Australian children, numbering approximately one </w:t>
      </w:r>
      <w:r w:rsidRPr="00DE1E82">
        <w:rPr>
          <w:rFonts w:asciiTheme="minorHAnsi" w:hAnsiTheme="minorHAnsi" w:cstheme="minorHAnsi"/>
          <w:noProof/>
        </w:rPr>
        <w:lastRenderedPageBreak/>
        <w:t>million, are affected in some way by the drinking of others, with over 10,000 children involved in the child protection system at least in part due to a carer’s excessive alcohol consumption</w:t>
      </w:r>
      <w:r w:rsidRPr="00DE1E82">
        <w:rPr>
          <w:rStyle w:val="FootnoteReference"/>
          <w:rFonts w:asciiTheme="minorHAnsi" w:hAnsiTheme="minorHAnsi" w:cstheme="minorHAnsi"/>
          <w:noProof/>
        </w:rPr>
        <w:footnoteReference w:id="80"/>
      </w:r>
      <w:r w:rsidRPr="00DE1E82">
        <w:rPr>
          <w:rFonts w:asciiTheme="minorHAnsi" w:hAnsiTheme="minorHAnsi" w:cstheme="minorHAnsi"/>
          <w:noProof/>
        </w:rPr>
        <w:t>.</w:t>
      </w:r>
    </w:p>
    <w:p w14:paraId="73DA4AA6" w14:textId="77777777" w:rsidR="00C65183" w:rsidRPr="00DE1E82" w:rsidRDefault="00C65183" w:rsidP="00C65183">
      <w:pPr>
        <w:spacing w:before="60" w:line="360" w:lineRule="auto"/>
        <w:jc w:val="both"/>
        <w:rPr>
          <w:rFonts w:asciiTheme="minorHAnsi" w:hAnsiTheme="minorHAnsi" w:cstheme="minorHAnsi"/>
          <w:b/>
          <w:lang w:val="en-US"/>
        </w:rPr>
      </w:pPr>
      <w:r w:rsidRPr="00DE1E82">
        <w:rPr>
          <w:rFonts w:asciiTheme="minorHAnsi" w:hAnsiTheme="minorHAnsi" w:cstheme="minorHAnsi"/>
          <w:b/>
          <w:noProof/>
          <w:lang w:val="en-US"/>
        </w:rPr>
        <w:drawing>
          <wp:anchor distT="0" distB="0" distL="114300" distR="114300" simplePos="0" relativeHeight="251905024" behindDoc="0" locked="0" layoutInCell="1" allowOverlap="1" wp14:anchorId="0FC24E27" wp14:editId="2C3CDC07">
            <wp:simplePos x="0" y="0"/>
            <wp:positionH relativeFrom="margin">
              <wp:posOffset>3146425</wp:posOffset>
            </wp:positionH>
            <wp:positionV relativeFrom="paragraph">
              <wp:posOffset>228600</wp:posOffset>
            </wp:positionV>
            <wp:extent cx="2914015" cy="1964690"/>
            <wp:effectExtent l="0" t="0" r="635" b="0"/>
            <wp:wrapSquare wrapText="bothSides"/>
            <wp:docPr id="452" name="Pictur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2914015" cy="1964690"/>
                    </a:xfrm>
                    <a:prstGeom prst="rect">
                      <a:avLst/>
                    </a:prstGeom>
                    <a:noFill/>
                  </pic:spPr>
                </pic:pic>
              </a:graphicData>
            </a:graphic>
            <wp14:sizeRelH relativeFrom="page">
              <wp14:pctWidth>0</wp14:pctWidth>
            </wp14:sizeRelH>
            <wp14:sizeRelV relativeFrom="page">
              <wp14:pctHeight>0</wp14:pctHeight>
            </wp14:sizeRelV>
          </wp:anchor>
        </w:drawing>
      </w:r>
      <w:r w:rsidRPr="00DE1E82">
        <w:rPr>
          <w:rFonts w:asciiTheme="minorHAnsi" w:hAnsiTheme="minorHAnsi" w:cstheme="minorHAnsi"/>
          <w:b/>
          <w:lang w:val="en-US"/>
        </w:rPr>
        <w:t xml:space="preserve">Prevalence of Alcohol Consumption </w:t>
      </w:r>
    </w:p>
    <w:p w14:paraId="186EC7C1" w14:textId="77777777" w:rsidR="00C65183" w:rsidRPr="00DE1E82" w:rsidRDefault="00C65183" w:rsidP="00C65183">
      <w:pPr>
        <w:spacing w:before="60" w:line="360" w:lineRule="auto"/>
        <w:jc w:val="both"/>
        <w:rPr>
          <w:rFonts w:asciiTheme="minorHAnsi" w:hAnsiTheme="minorHAnsi" w:cstheme="minorHAnsi"/>
        </w:rPr>
      </w:pPr>
      <w:r w:rsidRPr="00DE1E82">
        <w:rPr>
          <w:rFonts w:asciiTheme="minorHAnsi" w:hAnsiTheme="minorHAnsi" w:cstheme="minorHAnsi"/>
        </w:rPr>
        <w:t xml:space="preserve">The 2019 National Drug Strategy Household Survey found that just over 5% of Australians aged 14 years or more were daily drinkers and 40% consumed alcohol </w:t>
      </w:r>
      <w:r>
        <w:rPr>
          <w:rFonts w:asciiTheme="minorHAnsi" w:hAnsiTheme="minorHAnsi" w:cstheme="minorHAnsi"/>
        </w:rPr>
        <w:t>at least every week</w:t>
      </w:r>
      <w:r w:rsidRPr="00DE1E82">
        <w:rPr>
          <w:rFonts w:asciiTheme="minorHAnsi" w:hAnsiTheme="minorHAnsi" w:cstheme="minorHAnsi"/>
        </w:rPr>
        <w:t xml:space="preserve">. </w:t>
      </w:r>
    </w:p>
    <w:p w14:paraId="6CF1FDEB" w14:textId="77777777" w:rsidR="00C65183" w:rsidRPr="00DE1E82" w:rsidRDefault="00C65183" w:rsidP="00C65183">
      <w:pPr>
        <w:spacing w:before="120" w:after="120"/>
        <w:jc w:val="both"/>
        <w:rPr>
          <w:rFonts w:asciiTheme="minorHAnsi" w:hAnsiTheme="minorHAnsi" w:cstheme="minorHAnsi"/>
          <w:color w:val="7F7F7F"/>
          <w:sz w:val="20"/>
          <w:szCs w:val="20"/>
          <w:lang w:val="en-US"/>
        </w:rPr>
      </w:pPr>
      <w:r w:rsidRPr="00DE1E82">
        <w:rPr>
          <w:rFonts w:asciiTheme="minorHAnsi" w:hAnsiTheme="minorHAnsi" w:cstheme="minorHAnsi"/>
          <w:color w:val="7F7F7F"/>
          <w:sz w:val="20"/>
          <w:szCs w:val="20"/>
          <w:lang w:val="en-US"/>
        </w:rPr>
        <w:t xml:space="preserve">Prevalence of </w:t>
      </w:r>
      <w:r>
        <w:rPr>
          <w:rFonts w:asciiTheme="minorHAnsi" w:hAnsiTheme="minorHAnsi" w:cstheme="minorHAnsi"/>
          <w:color w:val="7F7F7F"/>
          <w:sz w:val="20"/>
          <w:szCs w:val="20"/>
          <w:lang w:val="en-US"/>
        </w:rPr>
        <w:t>d</w:t>
      </w:r>
      <w:r w:rsidRPr="00DE1E82">
        <w:rPr>
          <w:rFonts w:asciiTheme="minorHAnsi" w:hAnsiTheme="minorHAnsi" w:cstheme="minorHAnsi"/>
          <w:color w:val="7F7F7F"/>
          <w:sz w:val="20"/>
          <w:szCs w:val="20"/>
          <w:lang w:val="en-US"/>
        </w:rPr>
        <w:t xml:space="preserve">aily </w:t>
      </w:r>
      <w:r>
        <w:rPr>
          <w:rFonts w:asciiTheme="minorHAnsi" w:hAnsiTheme="minorHAnsi" w:cstheme="minorHAnsi"/>
          <w:color w:val="7F7F7F"/>
          <w:sz w:val="20"/>
          <w:szCs w:val="20"/>
          <w:lang w:val="en-US"/>
        </w:rPr>
        <w:t>a</w:t>
      </w:r>
      <w:r w:rsidRPr="00DE1E82">
        <w:rPr>
          <w:rFonts w:asciiTheme="minorHAnsi" w:hAnsiTheme="minorHAnsi" w:cstheme="minorHAnsi"/>
          <w:color w:val="7F7F7F"/>
          <w:sz w:val="20"/>
          <w:szCs w:val="20"/>
          <w:lang w:val="en-US"/>
        </w:rPr>
        <w:t xml:space="preserve">lcohol </w:t>
      </w:r>
      <w:r>
        <w:rPr>
          <w:rFonts w:asciiTheme="minorHAnsi" w:hAnsiTheme="minorHAnsi" w:cstheme="minorHAnsi"/>
          <w:color w:val="7F7F7F"/>
          <w:sz w:val="20"/>
          <w:szCs w:val="20"/>
          <w:lang w:val="en-US"/>
        </w:rPr>
        <w:t>c</w:t>
      </w:r>
      <w:r w:rsidRPr="00DE1E82">
        <w:rPr>
          <w:rFonts w:asciiTheme="minorHAnsi" w:hAnsiTheme="minorHAnsi" w:cstheme="minorHAnsi"/>
          <w:color w:val="7F7F7F"/>
          <w:sz w:val="20"/>
          <w:szCs w:val="20"/>
          <w:lang w:val="en-US"/>
        </w:rPr>
        <w:t>onsumption: 2001-2019</w:t>
      </w:r>
    </w:p>
    <w:p w14:paraId="1AA7132A" w14:textId="77777777" w:rsidR="00C65183" w:rsidRPr="00DE1E82" w:rsidRDefault="00C65183" w:rsidP="00C65183">
      <w:pPr>
        <w:spacing w:before="60" w:line="360" w:lineRule="auto"/>
        <w:jc w:val="both"/>
        <w:rPr>
          <w:rFonts w:asciiTheme="minorHAnsi" w:hAnsiTheme="minorHAnsi" w:cstheme="minorHAnsi"/>
        </w:rPr>
      </w:pPr>
      <w:r w:rsidRPr="00DE1E82">
        <w:rPr>
          <w:rFonts w:asciiTheme="minorHAnsi" w:hAnsiTheme="minorHAnsi" w:cstheme="minorHAnsi"/>
        </w:rPr>
        <w:t>Rates of both daily and weekly alcohol consumption though, ha</w:t>
      </w:r>
      <w:r>
        <w:rPr>
          <w:rFonts w:asciiTheme="minorHAnsi" w:hAnsiTheme="minorHAnsi" w:cstheme="minorHAnsi"/>
        </w:rPr>
        <w:t>ve</w:t>
      </w:r>
      <w:r w:rsidRPr="00DE1E82">
        <w:rPr>
          <w:rFonts w:asciiTheme="minorHAnsi" w:hAnsiTheme="minorHAnsi" w:cstheme="minorHAnsi"/>
        </w:rPr>
        <w:t xml:space="preserve"> declined since 2001 (diagram</w:t>
      </w:r>
      <w:r>
        <w:rPr>
          <w:rFonts w:asciiTheme="minorHAnsi" w:hAnsiTheme="minorHAnsi" w:cstheme="minorHAnsi"/>
        </w:rPr>
        <w:t>, right</w:t>
      </w:r>
      <w:r w:rsidRPr="00DE1E82">
        <w:rPr>
          <w:rFonts w:asciiTheme="minorHAnsi" w:hAnsiTheme="minorHAnsi" w:cstheme="minorHAnsi"/>
        </w:rPr>
        <w:t>).</w:t>
      </w:r>
    </w:p>
    <w:p w14:paraId="1696F03A" w14:textId="77777777" w:rsidR="00C65183" w:rsidRDefault="00C65183" w:rsidP="00C65183">
      <w:pPr>
        <w:spacing w:before="60" w:line="360" w:lineRule="auto"/>
        <w:jc w:val="both"/>
        <w:rPr>
          <w:rFonts w:asciiTheme="minorHAnsi" w:hAnsiTheme="minorHAnsi" w:cstheme="minorHAnsi"/>
          <w:b/>
          <w:lang w:val="en-US"/>
        </w:rPr>
      </w:pPr>
      <w:r w:rsidRPr="00DE1E82">
        <w:rPr>
          <w:rFonts w:asciiTheme="minorHAnsi" w:hAnsiTheme="minorHAnsi" w:cstheme="minorHAnsi"/>
          <w:b/>
          <w:noProof/>
          <w:lang w:val="en-US"/>
        </w:rPr>
        <w:drawing>
          <wp:anchor distT="0" distB="0" distL="114300" distR="114300" simplePos="0" relativeHeight="251906048" behindDoc="0" locked="0" layoutInCell="1" allowOverlap="1" wp14:anchorId="35D1B250" wp14:editId="48B282A0">
            <wp:simplePos x="0" y="0"/>
            <wp:positionH relativeFrom="margin">
              <wp:align>left</wp:align>
            </wp:positionH>
            <wp:positionV relativeFrom="paragraph">
              <wp:posOffset>160020</wp:posOffset>
            </wp:positionV>
            <wp:extent cx="2876550" cy="2163445"/>
            <wp:effectExtent l="0" t="0" r="0" b="8255"/>
            <wp:wrapSquare wrapText="bothSides"/>
            <wp:docPr id="453" name="Picture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72">
                      <a:extLst>
                        <a:ext uri="{28A0092B-C50C-407E-A947-70E740481C1C}">
                          <a14:useLocalDpi xmlns:a14="http://schemas.microsoft.com/office/drawing/2010/main" val="0"/>
                        </a:ext>
                      </a:extLst>
                    </a:blip>
                    <a:srcRect t="7144" r="13342"/>
                    <a:stretch/>
                  </pic:blipFill>
                  <pic:spPr bwMode="auto">
                    <a:xfrm>
                      <a:off x="0" y="0"/>
                      <a:ext cx="2876550" cy="21634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78A9CDD" w14:textId="77777777" w:rsidR="00C65183" w:rsidRPr="00DE1E82" w:rsidRDefault="00C65183" w:rsidP="00C65183">
      <w:pPr>
        <w:spacing w:before="60" w:line="360" w:lineRule="auto"/>
        <w:jc w:val="both"/>
        <w:rPr>
          <w:rFonts w:asciiTheme="minorHAnsi" w:hAnsiTheme="minorHAnsi" w:cstheme="minorHAnsi"/>
          <w:b/>
          <w:lang w:val="en-US"/>
        </w:rPr>
      </w:pPr>
    </w:p>
    <w:p w14:paraId="5BB0A22D" w14:textId="77777777" w:rsidR="00C65183" w:rsidRPr="00DE1E82" w:rsidRDefault="00C65183" w:rsidP="00C65183">
      <w:pPr>
        <w:spacing w:before="60" w:line="360" w:lineRule="auto"/>
        <w:jc w:val="both"/>
        <w:rPr>
          <w:rFonts w:asciiTheme="minorHAnsi" w:hAnsiTheme="minorHAnsi" w:cstheme="minorHAnsi"/>
          <w:bCs/>
          <w:lang w:val="en-US"/>
        </w:rPr>
      </w:pPr>
      <w:bookmarkStart w:id="31" w:name="_Hlk61043564"/>
      <w:r w:rsidRPr="00DE1E82">
        <w:rPr>
          <w:rFonts w:asciiTheme="minorHAnsi" w:hAnsiTheme="minorHAnsi" w:cstheme="minorHAnsi"/>
          <w:bCs/>
          <w:lang w:val="en-US"/>
        </w:rPr>
        <w:t xml:space="preserve">The prevalence of daily alcohol consumption among Australians aged 14 or more was </w:t>
      </w:r>
      <w:r>
        <w:rPr>
          <w:rFonts w:asciiTheme="minorHAnsi" w:hAnsiTheme="minorHAnsi" w:cstheme="minorHAnsi"/>
          <w:bCs/>
          <w:lang w:val="en-US"/>
        </w:rPr>
        <w:t>greater</w:t>
      </w:r>
      <w:r w:rsidRPr="00DE1E82">
        <w:rPr>
          <w:rFonts w:asciiTheme="minorHAnsi" w:hAnsiTheme="minorHAnsi" w:cstheme="minorHAnsi"/>
          <w:bCs/>
          <w:lang w:val="en-US"/>
        </w:rPr>
        <w:t xml:space="preserve"> among males, at nearly 7%, than among females, at less than 4%.</w:t>
      </w:r>
    </w:p>
    <w:bookmarkEnd w:id="31"/>
    <w:p w14:paraId="224A74A9" w14:textId="77777777" w:rsidR="00C65183" w:rsidRPr="00DE1E82" w:rsidRDefault="00C65183" w:rsidP="00C65183">
      <w:pPr>
        <w:spacing w:before="120" w:after="120"/>
        <w:jc w:val="both"/>
        <w:rPr>
          <w:rFonts w:asciiTheme="minorHAnsi" w:hAnsiTheme="minorHAnsi" w:cstheme="minorHAnsi"/>
          <w:sz w:val="20"/>
          <w:szCs w:val="20"/>
        </w:rPr>
      </w:pPr>
      <w:r w:rsidRPr="00DE1E82">
        <w:rPr>
          <w:rFonts w:asciiTheme="minorHAnsi" w:hAnsiTheme="minorHAnsi" w:cstheme="minorHAnsi"/>
          <w:color w:val="7F7F7F"/>
          <w:sz w:val="20"/>
          <w:szCs w:val="20"/>
          <w:lang w:val="en-US"/>
        </w:rPr>
        <w:t xml:space="preserve">Prevalence of </w:t>
      </w:r>
      <w:r>
        <w:rPr>
          <w:rFonts w:asciiTheme="minorHAnsi" w:hAnsiTheme="minorHAnsi" w:cstheme="minorHAnsi"/>
          <w:color w:val="7F7F7F"/>
          <w:sz w:val="20"/>
          <w:szCs w:val="20"/>
          <w:lang w:val="en-US"/>
        </w:rPr>
        <w:t>d</w:t>
      </w:r>
      <w:r w:rsidRPr="00DE1E82">
        <w:rPr>
          <w:rFonts w:asciiTheme="minorHAnsi" w:hAnsiTheme="minorHAnsi" w:cstheme="minorHAnsi"/>
          <w:color w:val="7F7F7F"/>
          <w:sz w:val="20"/>
          <w:szCs w:val="20"/>
          <w:lang w:val="en-US"/>
        </w:rPr>
        <w:t xml:space="preserve">aily </w:t>
      </w:r>
      <w:r>
        <w:rPr>
          <w:rFonts w:asciiTheme="minorHAnsi" w:hAnsiTheme="minorHAnsi" w:cstheme="minorHAnsi"/>
          <w:color w:val="7F7F7F"/>
          <w:sz w:val="20"/>
          <w:szCs w:val="20"/>
          <w:lang w:val="en-US"/>
        </w:rPr>
        <w:t>a</w:t>
      </w:r>
      <w:r w:rsidRPr="00DE1E82">
        <w:rPr>
          <w:rFonts w:asciiTheme="minorHAnsi" w:hAnsiTheme="minorHAnsi" w:cstheme="minorHAnsi"/>
          <w:color w:val="7F7F7F"/>
          <w:sz w:val="20"/>
          <w:szCs w:val="20"/>
          <w:lang w:val="en-US"/>
        </w:rPr>
        <w:t xml:space="preserve">lcohol </w:t>
      </w:r>
      <w:r>
        <w:rPr>
          <w:rFonts w:asciiTheme="minorHAnsi" w:hAnsiTheme="minorHAnsi" w:cstheme="minorHAnsi"/>
          <w:color w:val="7F7F7F"/>
          <w:sz w:val="20"/>
          <w:szCs w:val="20"/>
          <w:lang w:val="en-US"/>
        </w:rPr>
        <w:t>c</w:t>
      </w:r>
      <w:r w:rsidRPr="00DE1E82">
        <w:rPr>
          <w:rFonts w:asciiTheme="minorHAnsi" w:hAnsiTheme="minorHAnsi" w:cstheme="minorHAnsi"/>
          <w:color w:val="7F7F7F"/>
          <w:sz w:val="20"/>
          <w:szCs w:val="20"/>
          <w:lang w:val="en-US"/>
        </w:rPr>
        <w:t xml:space="preserve">onsumption by </w:t>
      </w:r>
      <w:r>
        <w:rPr>
          <w:rFonts w:asciiTheme="minorHAnsi" w:hAnsiTheme="minorHAnsi" w:cstheme="minorHAnsi"/>
          <w:color w:val="7F7F7F"/>
          <w:sz w:val="20"/>
          <w:szCs w:val="20"/>
          <w:lang w:val="en-US"/>
        </w:rPr>
        <w:t>s</w:t>
      </w:r>
      <w:r w:rsidRPr="00DE1E82">
        <w:rPr>
          <w:rFonts w:asciiTheme="minorHAnsi" w:hAnsiTheme="minorHAnsi" w:cstheme="minorHAnsi"/>
          <w:color w:val="7F7F7F"/>
          <w:sz w:val="20"/>
          <w:szCs w:val="20"/>
          <w:lang w:val="en-US"/>
        </w:rPr>
        <w:t>ex: 2019</w:t>
      </w:r>
    </w:p>
    <w:p w14:paraId="1D6A48D8" w14:textId="77777777" w:rsidR="00C65183" w:rsidRPr="00DE1E82" w:rsidRDefault="00C65183" w:rsidP="00C65183">
      <w:pPr>
        <w:spacing w:before="60" w:line="360" w:lineRule="auto"/>
        <w:jc w:val="both"/>
        <w:rPr>
          <w:rFonts w:asciiTheme="minorHAnsi" w:hAnsiTheme="minorHAnsi" w:cstheme="minorHAnsi"/>
          <w:b/>
          <w:lang w:val="en-US"/>
        </w:rPr>
      </w:pPr>
    </w:p>
    <w:p w14:paraId="11794AF5" w14:textId="77777777" w:rsidR="00C65183" w:rsidRPr="00DE1E82" w:rsidRDefault="00C65183" w:rsidP="00C65183">
      <w:pPr>
        <w:jc w:val="both"/>
        <w:rPr>
          <w:rFonts w:asciiTheme="minorHAnsi" w:hAnsiTheme="minorHAnsi" w:cstheme="minorHAnsi"/>
          <w:b/>
          <w:lang w:val="en-US"/>
        </w:rPr>
      </w:pPr>
      <w:r w:rsidRPr="00DE1E82">
        <w:rPr>
          <w:rFonts w:asciiTheme="minorHAnsi" w:hAnsiTheme="minorHAnsi" w:cstheme="minorHAnsi"/>
          <w:b/>
          <w:noProof/>
          <w:lang w:val="en-US"/>
        </w:rPr>
        <w:drawing>
          <wp:anchor distT="0" distB="0" distL="114300" distR="114300" simplePos="0" relativeHeight="251907072" behindDoc="0" locked="0" layoutInCell="1" allowOverlap="1" wp14:anchorId="034A0C9F" wp14:editId="4AD2D0BB">
            <wp:simplePos x="0" y="0"/>
            <wp:positionH relativeFrom="margin">
              <wp:align>right</wp:align>
            </wp:positionH>
            <wp:positionV relativeFrom="paragraph">
              <wp:posOffset>170498</wp:posOffset>
            </wp:positionV>
            <wp:extent cx="3513455" cy="2400300"/>
            <wp:effectExtent l="0" t="0" r="0" b="0"/>
            <wp:wrapSquare wrapText="bothSides"/>
            <wp:docPr id="454" name="Pictur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3513455" cy="2400300"/>
                    </a:xfrm>
                    <a:prstGeom prst="rect">
                      <a:avLst/>
                    </a:prstGeom>
                    <a:noFill/>
                  </pic:spPr>
                </pic:pic>
              </a:graphicData>
            </a:graphic>
            <wp14:sizeRelH relativeFrom="page">
              <wp14:pctWidth>0</wp14:pctWidth>
            </wp14:sizeRelH>
            <wp14:sizeRelV relativeFrom="page">
              <wp14:pctHeight>0</wp14:pctHeight>
            </wp14:sizeRelV>
          </wp:anchor>
        </w:drawing>
      </w:r>
    </w:p>
    <w:p w14:paraId="753D4D3A" w14:textId="77777777" w:rsidR="00C65183" w:rsidRPr="00DE1E82" w:rsidRDefault="00C65183" w:rsidP="00C65183">
      <w:pPr>
        <w:spacing w:before="60" w:line="360" w:lineRule="auto"/>
        <w:jc w:val="both"/>
        <w:rPr>
          <w:rFonts w:asciiTheme="minorHAnsi" w:hAnsiTheme="minorHAnsi" w:cstheme="minorHAnsi"/>
          <w:b/>
          <w:lang w:val="en-US"/>
        </w:rPr>
      </w:pPr>
      <w:r w:rsidRPr="00DE1E82">
        <w:rPr>
          <w:rFonts w:asciiTheme="minorHAnsi" w:hAnsiTheme="minorHAnsi" w:cstheme="minorHAnsi"/>
          <w:noProof/>
          <w:lang w:val="en-US"/>
        </w:rPr>
        <w:drawing>
          <wp:anchor distT="140208" distB="335407" distL="242316" distR="447675" simplePos="0" relativeHeight="251908096" behindDoc="0" locked="0" layoutInCell="1" allowOverlap="1" wp14:anchorId="149E6CC8" wp14:editId="1CBFECC8">
            <wp:simplePos x="0" y="0"/>
            <wp:positionH relativeFrom="column">
              <wp:posOffset>3032760</wp:posOffset>
            </wp:positionH>
            <wp:positionV relativeFrom="paragraph">
              <wp:posOffset>64135</wp:posOffset>
            </wp:positionV>
            <wp:extent cx="1090613" cy="734282"/>
            <wp:effectExtent l="0" t="0" r="0" b="8890"/>
            <wp:wrapNone/>
            <wp:docPr id="455" name="Picture 172" descr="alcohol consumptio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Picture 172" descr="alcohol consumption 2.jpg"/>
                    <pic:cNvPicPr/>
                  </pic:nvPicPr>
                  <pic:blipFill rotWithShape="1">
                    <a:blip r:embed="rId274" cstate="print"/>
                    <a:srcRect t="7549"/>
                    <a:stretch/>
                  </pic:blipFill>
                  <pic:spPr bwMode="auto">
                    <a:xfrm>
                      <a:off x="0" y="0"/>
                      <a:ext cx="1098792" cy="739789"/>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E1E82">
        <w:rPr>
          <w:rFonts w:asciiTheme="minorHAnsi" w:hAnsiTheme="minorHAnsi" w:cstheme="minorHAnsi"/>
          <w:bCs/>
          <w:lang w:val="en-US"/>
        </w:rPr>
        <w:t>Among both females and males, the prevalence of daily alcohol consumption rises steeply with age to its peak among people over 70.</w:t>
      </w:r>
    </w:p>
    <w:p w14:paraId="4BC89B10" w14:textId="77777777" w:rsidR="00C65183" w:rsidRPr="00DE1E82" w:rsidRDefault="00C65183" w:rsidP="00C65183">
      <w:pPr>
        <w:spacing w:before="120" w:after="120"/>
        <w:jc w:val="both"/>
        <w:rPr>
          <w:rFonts w:asciiTheme="minorHAnsi" w:hAnsiTheme="minorHAnsi" w:cstheme="minorHAnsi"/>
          <w:sz w:val="20"/>
          <w:szCs w:val="20"/>
        </w:rPr>
      </w:pPr>
      <w:r w:rsidRPr="00DE1E82">
        <w:rPr>
          <w:rFonts w:asciiTheme="minorHAnsi" w:hAnsiTheme="minorHAnsi" w:cstheme="minorHAnsi"/>
          <w:color w:val="7F7F7F"/>
          <w:sz w:val="20"/>
          <w:szCs w:val="20"/>
          <w:lang w:val="en-US"/>
        </w:rPr>
        <w:t xml:space="preserve">Prevalence of </w:t>
      </w:r>
      <w:r>
        <w:rPr>
          <w:rFonts w:asciiTheme="minorHAnsi" w:hAnsiTheme="minorHAnsi" w:cstheme="minorHAnsi"/>
          <w:color w:val="7F7F7F"/>
          <w:sz w:val="20"/>
          <w:szCs w:val="20"/>
          <w:lang w:val="en-US"/>
        </w:rPr>
        <w:t>d</w:t>
      </w:r>
      <w:r w:rsidRPr="00DE1E82">
        <w:rPr>
          <w:rFonts w:asciiTheme="minorHAnsi" w:hAnsiTheme="minorHAnsi" w:cstheme="minorHAnsi"/>
          <w:color w:val="7F7F7F"/>
          <w:sz w:val="20"/>
          <w:szCs w:val="20"/>
          <w:lang w:val="en-US"/>
        </w:rPr>
        <w:t xml:space="preserve">aily </w:t>
      </w:r>
      <w:r>
        <w:rPr>
          <w:rFonts w:asciiTheme="minorHAnsi" w:hAnsiTheme="minorHAnsi" w:cstheme="minorHAnsi"/>
          <w:color w:val="7F7F7F"/>
          <w:sz w:val="20"/>
          <w:szCs w:val="20"/>
          <w:lang w:val="en-US"/>
        </w:rPr>
        <w:t>a</w:t>
      </w:r>
      <w:r w:rsidRPr="00DE1E82">
        <w:rPr>
          <w:rFonts w:asciiTheme="minorHAnsi" w:hAnsiTheme="minorHAnsi" w:cstheme="minorHAnsi"/>
          <w:color w:val="7F7F7F"/>
          <w:sz w:val="20"/>
          <w:szCs w:val="20"/>
          <w:lang w:val="en-US"/>
        </w:rPr>
        <w:t xml:space="preserve">lcohol </w:t>
      </w:r>
      <w:r>
        <w:rPr>
          <w:rFonts w:asciiTheme="minorHAnsi" w:hAnsiTheme="minorHAnsi" w:cstheme="minorHAnsi"/>
          <w:color w:val="7F7F7F"/>
          <w:sz w:val="20"/>
          <w:szCs w:val="20"/>
          <w:lang w:val="en-US"/>
        </w:rPr>
        <w:t>c</w:t>
      </w:r>
      <w:r w:rsidRPr="00DE1E82">
        <w:rPr>
          <w:rFonts w:asciiTheme="minorHAnsi" w:hAnsiTheme="minorHAnsi" w:cstheme="minorHAnsi"/>
          <w:color w:val="7F7F7F"/>
          <w:sz w:val="20"/>
          <w:szCs w:val="20"/>
          <w:lang w:val="en-US"/>
        </w:rPr>
        <w:t xml:space="preserve">onsumption by </w:t>
      </w:r>
      <w:r>
        <w:rPr>
          <w:rFonts w:asciiTheme="minorHAnsi" w:hAnsiTheme="minorHAnsi" w:cstheme="minorHAnsi"/>
          <w:color w:val="7F7F7F"/>
          <w:sz w:val="20"/>
          <w:szCs w:val="20"/>
          <w:lang w:val="en-US"/>
        </w:rPr>
        <w:t>a</w:t>
      </w:r>
      <w:r w:rsidRPr="00DE1E82">
        <w:rPr>
          <w:rFonts w:asciiTheme="minorHAnsi" w:hAnsiTheme="minorHAnsi" w:cstheme="minorHAnsi"/>
          <w:color w:val="7F7F7F"/>
          <w:sz w:val="20"/>
          <w:szCs w:val="20"/>
          <w:lang w:val="en-US"/>
        </w:rPr>
        <w:t xml:space="preserve">ge and </w:t>
      </w:r>
      <w:r>
        <w:rPr>
          <w:rFonts w:asciiTheme="minorHAnsi" w:hAnsiTheme="minorHAnsi" w:cstheme="minorHAnsi"/>
          <w:color w:val="7F7F7F"/>
          <w:sz w:val="20"/>
          <w:szCs w:val="20"/>
          <w:lang w:val="en-US"/>
        </w:rPr>
        <w:t>s</w:t>
      </w:r>
      <w:r w:rsidRPr="00DE1E82">
        <w:rPr>
          <w:rFonts w:asciiTheme="minorHAnsi" w:hAnsiTheme="minorHAnsi" w:cstheme="minorHAnsi"/>
          <w:color w:val="7F7F7F"/>
          <w:sz w:val="20"/>
          <w:szCs w:val="20"/>
          <w:lang w:val="en-US"/>
        </w:rPr>
        <w:t>ex: 2019</w:t>
      </w:r>
    </w:p>
    <w:p w14:paraId="69F18B5A" w14:textId="77777777" w:rsidR="00C65183" w:rsidRDefault="00C65183" w:rsidP="00C65183">
      <w:pPr>
        <w:jc w:val="both"/>
        <w:rPr>
          <w:rFonts w:asciiTheme="minorHAnsi" w:hAnsiTheme="minorHAnsi" w:cstheme="minorHAnsi"/>
          <w:b/>
          <w:lang w:val="en-US"/>
        </w:rPr>
      </w:pPr>
    </w:p>
    <w:p w14:paraId="727BF407" w14:textId="77777777" w:rsidR="00C65183" w:rsidRDefault="00C65183" w:rsidP="00C65183">
      <w:pPr>
        <w:jc w:val="both"/>
        <w:rPr>
          <w:rFonts w:asciiTheme="minorHAnsi" w:hAnsiTheme="minorHAnsi" w:cstheme="minorHAnsi"/>
          <w:b/>
          <w:lang w:val="en-US"/>
        </w:rPr>
      </w:pPr>
    </w:p>
    <w:p w14:paraId="184DA5CF" w14:textId="77777777" w:rsidR="00C65183" w:rsidRDefault="00C65183" w:rsidP="00C65183">
      <w:pPr>
        <w:jc w:val="both"/>
        <w:rPr>
          <w:rFonts w:asciiTheme="minorHAnsi" w:hAnsiTheme="minorHAnsi" w:cstheme="minorHAnsi"/>
          <w:b/>
          <w:lang w:val="en-US"/>
        </w:rPr>
      </w:pPr>
    </w:p>
    <w:p w14:paraId="75DEB403" w14:textId="77777777" w:rsidR="00C65183" w:rsidRPr="00DE1E82" w:rsidRDefault="00C65183" w:rsidP="00C65183">
      <w:pPr>
        <w:jc w:val="both"/>
        <w:rPr>
          <w:rFonts w:asciiTheme="minorHAnsi" w:hAnsiTheme="minorHAnsi" w:cstheme="minorHAnsi"/>
          <w:b/>
          <w:lang w:val="en-US"/>
        </w:rPr>
      </w:pPr>
    </w:p>
    <w:p w14:paraId="7BACD1AB" w14:textId="77777777" w:rsidR="00C65183" w:rsidRPr="00DE1E82" w:rsidRDefault="00C65183" w:rsidP="00C65183">
      <w:pPr>
        <w:spacing w:before="60" w:line="360" w:lineRule="auto"/>
        <w:jc w:val="both"/>
        <w:rPr>
          <w:rFonts w:asciiTheme="minorHAnsi" w:hAnsiTheme="minorHAnsi" w:cstheme="minorHAnsi"/>
          <w:b/>
          <w:lang w:val="en-US"/>
        </w:rPr>
      </w:pPr>
      <w:r w:rsidRPr="00DE1E82">
        <w:rPr>
          <w:rFonts w:asciiTheme="minorHAnsi" w:hAnsiTheme="minorHAnsi" w:cstheme="minorHAnsi"/>
          <w:b/>
          <w:lang w:val="en-US"/>
        </w:rPr>
        <w:t xml:space="preserve">Volume of Alcohol Consumption </w:t>
      </w:r>
    </w:p>
    <w:p w14:paraId="2FF4939E" w14:textId="77777777" w:rsidR="00C65183" w:rsidRPr="00DE1E82" w:rsidRDefault="00C65183" w:rsidP="00C65183">
      <w:pPr>
        <w:spacing w:before="60" w:line="360" w:lineRule="auto"/>
        <w:jc w:val="both"/>
        <w:rPr>
          <w:rFonts w:asciiTheme="minorHAnsi" w:hAnsiTheme="minorHAnsi" w:cstheme="minorHAnsi"/>
          <w:b/>
          <w:lang w:val="en-US"/>
        </w:rPr>
      </w:pPr>
      <w:r w:rsidRPr="00DE1E82">
        <w:rPr>
          <w:rFonts w:asciiTheme="minorHAnsi" w:hAnsiTheme="minorHAnsi" w:cstheme="minorHAnsi"/>
          <w:bCs/>
          <w:lang w:val="en-US"/>
        </w:rPr>
        <w:t>The</w:t>
      </w:r>
      <w:r w:rsidRPr="00DE1E82">
        <w:rPr>
          <w:rFonts w:asciiTheme="minorHAnsi" w:hAnsiTheme="minorHAnsi" w:cstheme="minorHAnsi"/>
          <w:b/>
          <w:lang w:val="en-US"/>
        </w:rPr>
        <w:t xml:space="preserve"> </w:t>
      </w:r>
      <w:r w:rsidRPr="00DE1E82">
        <w:rPr>
          <w:rFonts w:asciiTheme="minorHAnsi" w:hAnsiTheme="minorHAnsi" w:cstheme="minorHAnsi"/>
        </w:rPr>
        <w:t>2019 National Drug Strategy Household Survey also found that the volume of alcohol consumed in a single episode tended to be higher among males and among younger people. For example, on average, males aged 14-29 years consumed 2.6 standard drinks on such an occasion, compared with 1.1 among women aged 50 years or more.</w:t>
      </w:r>
    </w:p>
    <w:p w14:paraId="54CFF009" w14:textId="77777777" w:rsidR="00C65183" w:rsidRPr="00DE1E82" w:rsidRDefault="00C65183" w:rsidP="00C65183">
      <w:pPr>
        <w:spacing w:before="60" w:line="360" w:lineRule="auto"/>
        <w:jc w:val="both"/>
        <w:rPr>
          <w:rFonts w:asciiTheme="minorHAnsi" w:hAnsiTheme="minorHAnsi" w:cstheme="minorHAnsi"/>
          <w:b/>
          <w:lang w:val="en-US"/>
        </w:rPr>
      </w:pPr>
      <w:r w:rsidRPr="00DE1E82">
        <w:rPr>
          <w:rFonts w:asciiTheme="minorHAnsi" w:hAnsiTheme="minorHAnsi" w:cstheme="minorHAnsi"/>
          <w:b/>
          <w:noProof/>
          <w:lang w:val="en-US"/>
        </w:rPr>
        <w:lastRenderedPageBreak/>
        <w:drawing>
          <wp:anchor distT="0" distB="0" distL="114300" distR="114300" simplePos="0" relativeHeight="251909120" behindDoc="0" locked="0" layoutInCell="1" allowOverlap="1" wp14:anchorId="09EB6A02" wp14:editId="274E8ECB">
            <wp:simplePos x="0" y="0"/>
            <wp:positionH relativeFrom="margin">
              <wp:align>right</wp:align>
            </wp:positionH>
            <wp:positionV relativeFrom="paragraph">
              <wp:posOffset>0</wp:posOffset>
            </wp:positionV>
            <wp:extent cx="3157220" cy="2181225"/>
            <wp:effectExtent l="0" t="0" r="5080" b="9525"/>
            <wp:wrapSquare wrapText="bothSides"/>
            <wp:docPr id="456" name="Picture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3157220" cy="2181225"/>
                    </a:xfrm>
                    <a:prstGeom prst="rect">
                      <a:avLst/>
                    </a:prstGeom>
                    <a:noFill/>
                  </pic:spPr>
                </pic:pic>
              </a:graphicData>
            </a:graphic>
            <wp14:sizeRelH relativeFrom="page">
              <wp14:pctWidth>0</wp14:pctWidth>
            </wp14:sizeRelH>
            <wp14:sizeRelV relativeFrom="page">
              <wp14:pctHeight>0</wp14:pctHeight>
            </wp14:sizeRelV>
          </wp:anchor>
        </w:drawing>
      </w:r>
    </w:p>
    <w:p w14:paraId="483868BA" w14:textId="77777777" w:rsidR="00C65183" w:rsidRPr="00DE1E82" w:rsidRDefault="00C65183" w:rsidP="00C65183">
      <w:pPr>
        <w:spacing w:before="60" w:line="360" w:lineRule="auto"/>
        <w:jc w:val="both"/>
        <w:rPr>
          <w:rFonts w:asciiTheme="minorHAnsi" w:hAnsiTheme="minorHAnsi" w:cstheme="minorHAnsi"/>
          <w:b/>
          <w:lang w:val="en-US"/>
        </w:rPr>
      </w:pPr>
    </w:p>
    <w:p w14:paraId="37169125" w14:textId="77777777" w:rsidR="00C65183" w:rsidRDefault="00C65183" w:rsidP="00C65183">
      <w:pPr>
        <w:jc w:val="both"/>
        <w:rPr>
          <w:rFonts w:asciiTheme="minorHAnsi" w:eastAsia="Times New Roman" w:hAnsiTheme="minorHAnsi" w:cstheme="minorHAnsi"/>
          <w:color w:val="7F7F7F" w:themeColor="text1" w:themeTint="80"/>
          <w:sz w:val="20"/>
          <w:szCs w:val="20"/>
          <w:lang w:val="en-US"/>
        </w:rPr>
      </w:pPr>
      <w:r w:rsidRPr="00DE1E82">
        <w:rPr>
          <w:rFonts w:asciiTheme="minorHAnsi" w:eastAsia="Times New Roman" w:hAnsiTheme="minorHAnsi" w:cstheme="minorHAnsi"/>
          <w:color w:val="7F7F7F" w:themeColor="text1" w:themeTint="80"/>
          <w:sz w:val="20"/>
          <w:szCs w:val="20"/>
          <w:lang w:val="en-US"/>
        </w:rPr>
        <w:t>Number of standard drinks consumed on the last drinking occasion, by age</w:t>
      </w:r>
      <w:r>
        <w:rPr>
          <w:rFonts w:asciiTheme="minorHAnsi" w:eastAsia="Times New Roman" w:hAnsiTheme="minorHAnsi" w:cstheme="minorHAnsi"/>
          <w:color w:val="7F7F7F" w:themeColor="text1" w:themeTint="80"/>
          <w:sz w:val="20"/>
          <w:szCs w:val="20"/>
          <w:lang w:val="en-US"/>
        </w:rPr>
        <w:t xml:space="preserve"> and</w:t>
      </w:r>
      <w:r w:rsidRPr="00DE1E82">
        <w:rPr>
          <w:rFonts w:asciiTheme="minorHAnsi" w:eastAsia="Times New Roman" w:hAnsiTheme="minorHAnsi" w:cstheme="minorHAnsi"/>
          <w:color w:val="7F7F7F" w:themeColor="text1" w:themeTint="80"/>
          <w:sz w:val="20"/>
          <w:szCs w:val="20"/>
          <w:lang w:val="en-US"/>
        </w:rPr>
        <w:t xml:space="preserve"> sex: 2019 </w:t>
      </w:r>
    </w:p>
    <w:p w14:paraId="77CB0FA8" w14:textId="77777777" w:rsidR="00C65183" w:rsidRPr="00DE1E82" w:rsidRDefault="00C65183" w:rsidP="00C65183">
      <w:pPr>
        <w:jc w:val="both"/>
        <w:rPr>
          <w:rFonts w:asciiTheme="minorHAnsi" w:eastAsia="Times New Roman" w:hAnsiTheme="minorHAnsi" w:cstheme="minorHAnsi"/>
          <w:color w:val="7F7F7F" w:themeColor="text1" w:themeTint="80"/>
          <w:sz w:val="20"/>
          <w:szCs w:val="20"/>
          <w:lang w:val="en-US"/>
        </w:rPr>
      </w:pPr>
    </w:p>
    <w:p w14:paraId="44248A5B" w14:textId="77777777" w:rsidR="00C65183" w:rsidRPr="00DE1E82" w:rsidRDefault="00C65183" w:rsidP="00C65183">
      <w:pPr>
        <w:spacing w:before="60" w:line="360" w:lineRule="auto"/>
        <w:jc w:val="both"/>
        <w:rPr>
          <w:rFonts w:asciiTheme="minorHAnsi" w:hAnsiTheme="minorHAnsi" w:cstheme="minorHAnsi"/>
          <w:b/>
          <w:lang w:val="en-US"/>
        </w:rPr>
      </w:pPr>
      <w:r w:rsidRPr="00DE1E82">
        <w:rPr>
          <w:rFonts w:asciiTheme="minorHAnsi" w:hAnsiTheme="minorHAnsi" w:cstheme="minorHAnsi"/>
          <w:noProof/>
          <w:lang w:val="en-US"/>
        </w:rPr>
        <w:drawing>
          <wp:anchor distT="0" distB="0" distL="114300" distR="114300" simplePos="0" relativeHeight="251911168" behindDoc="0" locked="0" layoutInCell="1" allowOverlap="1" wp14:anchorId="0BC8C0D7" wp14:editId="2F9AA956">
            <wp:simplePos x="0" y="0"/>
            <wp:positionH relativeFrom="column">
              <wp:posOffset>256223</wp:posOffset>
            </wp:positionH>
            <wp:positionV relativeFrom="paragraph">
              <wp:posOffset>46355</wp:posOffset>
            </wp:positionV>
            <wp:extent cx="981075" cy="524890"/>
            <wp:effectExtent l="0" t="0" r="0" b="8890"/>
            <wp:wrapNone/>
            <wp:docPr id="457" name="Picture 81" descr="alcoho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alcohol.jpg"/>
                    <pic:cNvPicPr>
                      <a:picLocks noChangeAspect="1" noChangeArrowheads="1"/>
                    </pic:cNvPicPr>
                  </pic:nvPicPr>
                  <pic:blipFill rotWithShape="1">
                    <a:blip r:embed="rId276" cstate="print">
                      <a:extLst>
                        <a:ext uri="{28A0092B-C50C-407E-A947-70E740481C1C}">
                          <a14:useLocalDpi xmlns:a14="http://schemas.microsoft.com/office/drawing/2010/main" val="0"/>
                        </a:ext>
                      </a:extLst>
                    </a:blip>
                    <a:srcRect l="3158" t="6848" r="10263" b="17826"/>
                    <a:stretch/>
                  </pic:blipFill>
                  <pic:spPr bwMode="auto">
                    <a:xfrm>
                      <a:off x="0" y="0"/>
                      <a:ext cx="991033" cy="530218"/>
                    </a:xfrm>
                    <a:prstGeom prst="rect">
                      <a:avLst/>
                    </a:prstGeom>
                    <a:noFill/>
                    <a:ln>
                      <a:noFill/>
                    </a:ln>
                    <a:effectLst>
                      <a:softEdge rad="63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8DC954E" w14:textId="77777777" w:rsidR="00C65183" w:rsidRPr="00DE1E82" w:rsidRDefault="00C65183" w:rsidP="00C65183">
      <w:pPr>
        <w:spacing w:before="60" w:line="360" w:lineRule="auto"/>
        <w:jc w:val="both"/>
        <w:rPr>
          <w:rFonts w:asciiTheme="minorHAnsi" w:hAnsiTheme="minorHAnsi" w:cstheme="minorHAnsi"/>
          <w:b/>
          <w:lang w:val="en-US"/>
        </w:rPr>
      </w:pPr>
    </w:p>
    <w:p w14:paraId="5158BFC8" w14:textId="77777777" w:rsidR="00C65183" w:rsidRPr="00DE1E82" w:rsidRDefault="00C65183" w:rsidP="00C65183">
      <w:pPr>
        <w:spacing w:before="60" w:line="360" w:lineRule="auto"/>
        <w:jc w:val="both"/>
        <w:rPr>
          <w:rFonts w:asciiTheme="minorHAnsi" w:hAnsiTheme="minorHAnsi" w:cstheme="minorHAnsi"/>
          <w:b/>
          <w:lang w:val="en-US"/>
        </w:rPr>
      </w:pPr>
    </w:p>
    <w:p w14:paraId="54C22B74" w14:textId="77777777" w:rsidR="00C65183" w:rsidRPr="00DC5C63" w:rsidRDefault="00C65183" w:rsidP="00C65183">
      <w:pPr>
        <w:jc w:val="both"/>
        <w:rPr>
          <w:rFonts w:asciiTheme="minorHAnsi" w:hAnsiTheme="minorHAnsi" w:cstheme="minorHAnsi"/>
          <w:b/>
          <w:sz w:val="8"/>
          <w:szCs w:val="8"/>
          <w:lang w:val="en-US"/>
        </w:rPr>
      </w:pPr>
    </w:p>
    <w:p w14:paraId="3809EC24" w14:textId="77777777" w:rsidR="00C65183" w:rsidRPr="00DE1E82" w:rsidRDefault="00C65183" w:rsidP="00C65183">
      <w:pPr>
        <w:spacing w:before="60"/>
        <w:ind w:left="6095"/>
        <w:jc w:val="both"/>
        <w:rPr>
          <w:rFonts w:asciiTheme="minorHAnsi" w:hAnsiTheme="minorHAnsi" w:cstheme="minorHAnsi"/>
          <w:b/>
          <w:lang w:val="en-US"/>
        </w:rPr>
      </w:pPr>
      <w:r w:rsidRPr="00DE1E82">
        <w:rPr>
          <w:rFonts w:asciiTheme="minorHAnsi" w:hAnsiTheme="minorHAnsi" w:cstheme="minorHAnsi"/>
          <w:b/>
          <w:noProof/>
          <w:lang w:val="en-US"/>
        </w:rPr>
        <w:drawing>
          <wp:anchor distT="0" distB="0" distL="114300" distR="114300" simplePos="0" relativeHeight="251910144" behindDoc="0" locked="0" layoutInCell="1" allowOverlap="1" wp14:anchorId="5B5F08AE" wp14:editId="67DCDD24">
            <wp:simplePos x="0" y="0"/>
            <wp:positionH relativeFrom="margin">
              <wp:posOffset>71120</wp:posOffset>
            </wp:positionH>
            <wp:positionV relativeFrom="paragraph">
              <wp:posOffset>128905</wp:posOffset>
            </wp:positionV>
            <wp:extent cx="3766820" cy="2499995"/>
            <wp:effectExtent l="0" t="0" r="5080" b="0"/>
            <wp:wrapSquare wrapText="bothSides"/>
            <wp:docPr id="459" name="Picture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3766820" cy="2499995"/>
                    </a:xfrm>
                    <a:prstGeom prst="rect">
                      <a:avLst/>
                    </a:prstGeom>
                    <a:noFill/>
                  </pic:spPr>
                </pic:pic>
              </a:graphicData>
            </a:graphic>
            <wp14:sizeRelH relativeFrom="page">
              <wp14:pctWidth>0</wp14:pctWidth>
            </wp14:sizeRelH>
            <wp14:sizeRelV relativeFrom="page">
              <wp14:pctHeight>0</wp14:pctHeight>
            </wp14:sizeRelV>
          </wp:anchor>
        </w:drawing>
      </w:r>
      <w:r w:rsidRPr="00DE1E82">
        <w:rPr>
          <w:rFonts w:asciiTheme="minorHAnsi" w:hAnsiTheme="minorHAnsi" w:cstheme="minorHAnsi"/>
          <w:b/>
          <w:noProof/>
          <w:lang w:val="en-US"/>
        </w:rPr>
        <w:t>Alcohol-related Harm</w:t>
      </w:r>
    </w:p>
    <w:p w14:paraId="6FB4E33D" w14:textId="77777777" w:rsidR="00C65183" w:rsidRDefault="00C65183" w:rsidP="00C65183">
      <w:pPr>
        <w:spacing w:before="60" w:line="360" w:lineRule="auto"/>
        <w:jc w:val="both"/>
        <w:rPr>
          <w:rFonts w:asciiTheme="minorHAnsi" w:hAnsiTheme="minorHAnsi" w:cstheme="minorHAnsi"/>
          <w:bCs/>
          <w:lang w:val="en-US"/>
        </w:rPr>
      </w:pPr>
      <w:r w:rsidRPr="00DE1E82">
        <w:rPr>
          <w:rFonts w:asciiTheme="minorHAnsi" w:hAnsiTheme="minorHAnsi" w:cstheme="minorHAnsi"/>
          <w:bCs/>
          <w:lang w:val="en-US"/>
        </w:rPr>
        <w:t xml:space="preserve">The 2019 National Drug Strategy Survey revealed that nearly 18% of Australians aged 14 years or more were at risk of long-term harm owing to their levels and frequency of alcohol consumption. </w:t>
      </w:r>
    </w:p>
    <w:p w14:paraId="097E83EA" w14:textId="77777777" w:rsidR="00C65183" w:rsidRPr="00CD1417" w:rsidRDefault="00C65183" w:rsidP="00C65183">
      <w:pPr>
        <w:spacing w:before="60" w:after="60"/>
        <w:jc w:val="both"/>
        <w:rPr>
          <w:rFonts w:asciiTheme="minorHAnsi" w:eastAsia="Times New Roman" w:hAnsiTheme="minorHAnsi" w:cstheme="minorHAnsi"/>
          <w:color w:val="7F7F7F" w:themeColor="text1" w:themeTint="80"/>
          <w:sz w:val="10"/>
          <w:szCs w:val="10"/>
          <w:lang w:val="en-US"/>
        </w:rPr>
      </w:pPr>
    </w:p>
    <w:p w14:paraId="55975916" w14:textId="77777777" w:rsidR="00C65183" w:rsidRDefault="00C65183" w:rsidP="00C65183">
      <w:pPr>
        <w:spacing w:before="60" w:after="60"/>
        <w:jc w:val="both"/>
        <w:rPr>
          <w:rFonts w:asciiTheme="minorHAnsi" w:eastAsia="Times New Roman" w:hAnsiTheme="minorHAnsi" w:cstheme="minorHAnsi"/>
          <w:color w:val="7F7F7F" w:themeColor="text1" w:themeTint="80"/>
          <w:sz w:val="20"/>
          <w:szCs w:val="20"/>
          <w:lang w:val="en-US"/>
        </w:rPr>
      </w:pPr>
      <w:r>
        <w:rPr>
          <w:rFonts w:asciiTheme="minorHAnsi" w:eastAsia="Times New Roman" w:hAnsiTheme="minorHAnsi" w:cstheme="minorHAnsi"/>
          <w:color w:val="7F7F7F" w:themeColor="text1" w:themeTint="80"/>
          <w:sz w:val="20"/>
          <w:szCs w:val="20"/>
          <w:lang w:val="en-US"/>
        </w:rPr>
        <w:t>Per cent persons</w:t>
      </w:r>
      <w:r w:rsidRPr="00DE1E82">
        <w:rPr>
          <w:rFonts w:asciiTheme="minorHAnsi" w:eastAsia="Times New Roman" w:hAnsiTheme="minorHAnsi" w:cstheme="minorHAnsi"/>
          <w:color w:val="7F7F7F" w:themeColor="text1" w:themeTint="80"/>
          <w:sz w:val="20"/>
          <w:szCs w:val="20"/>
          <w:lang w:val="en-US"/>
        </w:rPr>
        <w:t xml:space="preserve"> </w:t>
      </w:r>
      <w:r>
        <w:rPr>
          <w:rFonts w:asciiTheme="minorHAnsi" w:eastAsia="Times New Roman" w:hAnsiTheme="minorHAnsi" w:cstheme="minorHAnsi"/>
          <w:color w:val="7F7F7F" w:themeColor="text1" w:themeTint="80"/>
          <w:sz w:val="20"/>
          <w:szCs w:val="20"/>
          <w:lang w:val="en-US"/>
        </w:rPr>
        <w:t>at risk of long-term harm from alcohol consumption</w:t>
      </w:r>
      <w:r w:rsidRPr="00DE1E82">
        <w:rPr>
          <w:rFonts w:asciiTheme="minorHAnsi" w:eastAsia="Times New Roman" w:hAnsiTheme="minorHAnsi" w:cstheme="minorHAnsi"/>
          <w:color w:val="7F7F7F" w:themeColor="text1" w:themeTint="80"/>
          <w:sz w:val="20"/>
          <w:szCs w:val="20"/>
          <w:lang w:val="en-US"/>
        </w:rPr>
        <w:t>, by age: 2019</w:t>
      </w:r>
    </w:p>
    <w:p w14:paraId="2A4179DC" w14:textId="77777777" w:rsidR="00C65183" w:rsidRPr="00CD1417" w:rsidRDefault="00C65183" w:rsidP="00C65183">
      <w:pPr>
        <w:spacing w:before="60" w:after="60"/>
        <w:jc w:val="both"/>
        <w:rPr>
          <w:rFonts w:asciiTheme="minorHAnsi" w:eastAsia="Times New Roman" w:hAnsiTheme="minorHAnsi" w:cstheme="minorHAnsi"/>
          <w:color w:val="7F7F7F" w:themeColor="text1" w:themeTint="80"/>
          <w:sz w:val="10"/>
          <w:szCs w:val="10"/>
          <w:lang w:val="en-US"/>
        </w:rPr>
      </w:pPr>
    </w:p>
    <w:p w14:paraId="2CECB0BC" w14:textId="77777777" w:rsidR="00C65183" w:rsidRPr="00DE1E82" w:rsidRDefault="00C65183" w:rsidP="00C65183">
      <w:pPr>
        <w:spacing w:before="60" w:line="360" w:lineRule="auto"/>
        <w:jc w:val="both"/>
        <w:rPr>
          <w:rFonts w:asciiTheme="minorHAnsi" w:hAnsiTheme="minorHAnsi" w:cstheme="minorHAnsi"/>
          <w:bCs/>
          <w:lang w:val="en-US"/>
        </w:rPr>
      </w:pPr>
      <w:r w:rsidRPr="00DE1E82">
        <w:rPr>
          <w:rFonts w:asciiTheme="minorHAnsi" w:hAnsiTheme="minorHAnsi" w:cstheme="minorHAnsi"/>
          <w:bCs/>
          <w:lang w:val="en-US"/>
        </w:rPr>
        <w:t xml:space="preserve">Notably, males were more than twice as likely to be exposed to such risk among most age groups, with 26% risking long-term harm, compared with approximately 10% of females. </w:t>
      </w:r>
    </w:p>
    <w:p w14:paraId="0F44DE89" w14:textId="77777777" w:rsidR="00C65183" w:rsidRPr="00DE1E82" w:rsidRDefault="00C65183" w:rsidP="00C65183">
      <w:pPr>
        <w:spacing w:line="360" w:lineRule="auto"/>
        <w:jc w:val="both"/>
        <w:rPr>
          <w:rFonts w:asciiTheme="minorHAnsi" w:hAnsiTheme="minorHAnsi" w:cstheme="minorHAnsi"/>
          <w:color w:val="000000"/>
        </w:rPr>
      </w:pPr>
      <w:r w:rsidRPr="00DE1E82">
        <w:rPr>
          <w:rFonts w:asciiTheme="minorHAnsi" w:hAnsiTheme="minorHAnsi" w:cstheme="minorHAnsi"/>
          <w:color w:val="000000"/>
        </w:rPr>
        <w:t>An earlier, 2015 survey of Victorian residents, found that the risk of short-term alcohol-related harm was highest among young</w:t>
      </w:r>
      <w:r>
        <w:rPr>
          <w:rFonts w:asciiTheme="minorHAnsi" w:hAnsiTheme="minorHAnsi" w:cstheme="minorHAnsi"/>
          <w:color w:val="000000"/>
        </w:rPr>
        <w:t>,</w:t>
      </w:r>
      <w:r w:rsidRPr="00DE1E82">
        <w:rPr>
          <w:rFonts w:asciiTheme="minorHAnsi" w:hAnsiTheme="minorHAnsi" w:cstheme="minorHAnsi"/>
          <w:color w:val="000000"/>
        </w:rPr>
        <w:t xml:space="preserve"> Australian-born males and people with higher incomes or education levels.</w:t>
      </w:r>
    </w:p>
    <w:p w14:paraId="6019F71F" w14:textId="77777777" w:rsidR="00C65183" w:rsidRDefault="00C65183" w:rsidP="00C65183">
      <w:pPr>
        <w:tabs>
          <w:tab w:val="right" w:pos="9638"/>
        </w:tabs>
        <w:spacing w:line="360" w:lineRule="auto"/>
        <w:jc w:val="both"/>
        <w:rPr>
          <w:rFonts w:asciiTheme="minorHAnsi" w:hAnsiTheme="minorHAnsi" w:cstheme="minorHAnsi"/>
          <w:b/>
          <w:color w:val="000000"/>
        </w:rPr>
      </w:pPr>
    </w:p>
    <w:p w14:paraId="5F2A59CB" w14:textId="77777777" w:rsidR="00C65183" w:rsidRPr="00DE1E82" w:rsidRDefault="00C65183" w:rsidP="00C65183">
      <w:pPr>
        <w:tabs>
          <w:tab w:val="right" w:pos="9638"/>
        </w:tabs>
        <w:spacing w:line="360" w:lineRule="auto"/>
        <w:jc w:val="both"/>
        <w:rPr>
          <w:rFonts w:asciiTheme="minorHAnsi" w:hAnsiTheme="minorHAnsi" w:cstheme="minorHAnsi"/>
          <w:b/>
          <w:color w:val="000000"/>
        </w:rPr>
      </w:pPr>
      <w:r w:rsidRPr="00DE1E82">
        <w:rPr>
          <w:rFonts w:asciiTheme="minorHAnsi" w:hAnsiTheme="minorHAnsi" w:cstheme="minorHAnsi"/>
          <w:b/>
          <w:color w:val="000000"/>
        </w:rPr>
        <w:t>Local Measures of Alcohol-related Harm</w:t>
      </w:r>
      <w:r>
        <w:rPr>
          <w:rFonts w:asciiTheme="minorHAnsi" w:hAnsiTheme="minorHAnsi" w:cstheme="minorHAnsi"/>
          <w:b/>
          <w:color w:val="000000"/>
        </w:rPr>
        <w:tab/>
      </w:r>
    </w:p>
    <w:p w14:paraId="76C3B269" w14:textId="77777777" w:rsidR="00C65183" w:rsidRPr="00DE1E82" w:rsidRDefault="00C65183" w:rsidP="00C65183">
      <w:pPr>
        <w:spacing w:line="360" w:lineRule="auto"/>
        <w:jc w:val="both"/>
        <w:rPr>
          <w:rFonts w:asciiTheme="minorHAnsi" w:hAnsiTheme="minorHAnsi" w:cstheme="minorHAnsi"/>
          <w:color w:val="000000"/>
        </w:rPr>
      </w:pPr>
      <w:r w:rsidRPr="00DE1E82">
        <w:rPr>
          <w:rFonts w:asciiTheme="minorHAnsi" w:hAnsiTheme="minorHAnsi" w:cstheme="minorHAnsi"/>
          <w:color w:val="000000"/>
        </w:rPr>
        <w:t>The 2017 VicHealth Indicators Survey results showed that 60% of Victorian residents were at a lifetime risk of alcohol-related harm, compared with 41% of Greater Dandenong residents – the second lowest proportion in Victoria. Similarly, 25% of Greater Dandenong residents were at risk of short-term alcohol-related harm, substantially lower than the corresponding proportion, of 43%, among Victorians.</w:t>
      </w:r>
    </w:p>
    <w:p w14:paraId="4CA0550A" w14:textId="77777777" w:rsidR="00C65183" w:rsidRPr="00DE1E82" w:rsidRDefault="00C65183" w:rsidP="00C65183">
      <w:pPr>
        <w:spacing w:line="360" w:lineRule="auto"/>
        <w:jc w:val="both"/>
        <w:rPr>
          <w:rFonts w:asciiTheme="minorHAnsi" w:hAnsiTheme="minorHAnsi" w:cstheme="minorHAnsi"/>
          <w:lang w:val="en-US"/>
        </w:rPr>
      </w:pPr>
      <w:r w:rsidRPr="00DE1E82">
        <w:rPr>
          <w:rFonts w:asciiTheme="minorHAnsi" w:hAnsiTheme="minorHAnsi" w:cstheme="minorHAnsi"/>
          <w:lang w:val="en-US"/>
        </w:rPr>
        <w:t xml:space="preserve">Measures of the social and health impacts of excessive alcohol consumption, published by Turning Point, include alcohol-related ambulance attendances and hospital admissions. The ate of alcohol-related ambulance attendances </w:t>
      </w:r>
      <w:r>
        <w:rPr>
          <w:rFonts w:asciiTheme="minorHAnsi" w:hAnsiTheme="minorHAnsi" w:cstheme="minorHAnsi"/>
          <w:lang w:val="en-US"/>
        </w:rPr>
        <w:t xml:space="preserve">was </w:t>
      </w:r>
      <w:r w:rsidRPr="00DE1E82">
        <w:rPr>
          <w:rFonts w:asciiTheme="minorHAnsi" w:hAnsiTheme="minorHAnsi" w:cstheme="minorHAnsi"/>
          <w:lang w:val="en-US"/>
        </w:rPr>
        <w:t xml:space="preserve">9% higher than the metropolitan level and the rate of hospital admissions due to alcohol 12% less than the Melbourne rate. </w:t>
      </w:r>
    </w:p>
    <w:p w14:paraId="3DEB33E1" w14:textId="77777777" w:rsidR="00C65183" w:rsidRPr="00DE1E82" w:rsidRDefault="00C65183" w:rsidP="00C65183">
      <w:pPr>
        <w:spacing w:line="360" w:lineRule="auto"/>
        <w:jc w:val="both"/>
        <w:rPr>
          <w:rFonts w:asciiTheme="minorHAnsi" w:hAnsiTheme="minorHAnsi" w:cstheme="minorHAnsi"/>
          <w:lang w:val="en-US"/>
        </w:rPr>
      </w:pPr>
      <w:r>
        <w:rPr>
          <w:rFonts w:asciiTheme="minorHAnsi" w:hAnsiTheme="minorHAnsi" w:cstheme="minorHAnsi"/>
          <w:lang w:val="en-US"/>
        </w:rPr>
        <w:t>T</w:t>
      </w:r>
      <w:r w:rsidRPr="00DE1E82">
        <w:rPr>
          <w:rFonts w:asciiTheme="minorHAnsi" w:hAnsiTheme="minorHAnsi" w:cstheme="minorHAnsi"/>
          <w:lang w:val="en-US"/>
        </w:rPr>
        <w:t>urning Point figures for 2018/19 show that the rate of assaults recorded during hours of typically high alcohol consumption (including late evenings) was 35% higher in Greater Dandenong than for metropolitan Melbourne.</w:t>
      </w:r>
    </w:p>
    <w:p w14:paraId="03321103" w14:textId="77777777" w:rsidR="00C65183" w:rsidRDefault="00C65183" w:rsidP="00C65183">
      <w:pPr>
        <w:rPr>
          <w:rFonts w:asciiTheme="minorHAnsi" w:hAnsiTheme="minorHAnsi" w:cstheme="minorHAnsi"/>
          <w:lang w:val="en-US"/>
        </w:rPr>
      </w:pPr>
      <w:r>
        <w:rPr>
          <w:rFonts w:asciiTheme="minorHAnsi" w:hAnsiTheme="minorHAnsi" w:cstheme="minorHAnsi"/>
          <w:lang w:val="en-US"/>
        </w:rPr>
        <w:br w:type="page"/>
      </w:r>
    </w:p>
    <w:p w14:paraId="32C36480" w14:textId="77777777" w:rsidR="00C65183" w:rsidRPr="00827F47" w:rsidRDefault="00C65183" w:rsidP="00C65183">
      <w:pPr>
        <w:pBdr>
          <w:top w:val="single" w:sz="4" w:space="0" w:color="244061" w:themeColor="accent1" w:themeShade="80"/>
          <w:bottom w:val="single" w:sz="4" w:space="1" w:color="244061" w:themeColor="accent1" w:themeShade="80"/>
        </w:pBdr>
        <w:tabs>
          <w:tab w:val="center" w:pos="4678"/>
        </w:tabs>
        <w:jc w:val="center"/>
        <w:rPr>
          <w:rFonts w:ascii="Garamond" w:hAnsi="Garamond"/>
          <w:noProof/>
          <w:color w:val="244061" w:themeColor="accent1" w:themeShade="80"/>
          <w:sz w:val="34"/>
          <w:szCs w:val="34"/>
        </w:rPr>
      </w:pPr>
      <w:r w:rsidRPr="00827F47">
        <w:rPr>
          <w:rFonts w:ascii="Garamond" w:hAnsi="Garamond"/>
          <w:noProof/>
          <w:color w:val="244061" w:themeColor="accent1" w:themeShade="80"/>
          <w:sz w:val="34"/>
          <w:szCs w:val="34"/>
        </w:rPr>
        <w:lastRenderedPageBreak/>
        <w:t>Smoking</w:t>
      </w:r>
    </w:p>
    <w:p w14:paraId="0CF35620" w14:textId="77777777" w:rsidR="00C65183" w:rsidRPr="00DA146A" w:rsidRDefault="00C65183" w:rsidP="00C65183">
      <w:pPr>
        <w:spacing w:line="360" w:lineRule="auto"/>
        <w:jc w:val="both"/>
        <w:rPr>
          <w:rFonts w:ascii="Calibri" w:hAnsi="Calibri"/>
          <w:sz w:val="8"/>
          <w:szCs w:val="8"/>
        </w:rPr>
      </w:pPr>
      <w:r>
        <w:rPr>
          <w:rFonts w:ascii="Calibri" w:hAnsi="Calibri"/>
          <w:noProof/>
        </w:rPr>
        <w:drawing>
          <wp:anchor distT="0" distB="0" distL="114300" distR="114300" simplePos="0" relativeHeight="251912192" behindDoc="1" locked="0" layoutInCell="1" allowOverlap="1" wp14:anchorId="1F1C976E" wp14:editId="26EA1946">
            <wp:simplePos x="0" y="0"/>
            <wp:positionH relativeFrom="column">
              <wp:posOffset>4984115</wp:posOffset>
            </wp:positionH>
            <wp:positionV relativeFrom="paragraph">
              <wp:posOffset>56515</wp:posOffset>
            </wp:positionV>
            <wp:extent cx="1174750" cy="900430"/>
            <wp:effectExtent l="0" t="0" r="6350" b="0"/>
            <wp:wrapTight wrapText="bothSides">
              <wp:wrapPolygon edited="0">
                <wp:start x="1401" y="0"/>
                <wp:lineTo x="0" y="914"/>
                <wp:lineTo x="0" y="20564"/>
                <wp:lineTo x="1401" y="21021"/>
                <wp:lineTo x="19965" y="21021"/>
                <wp:lineTo x="21366" y="20564"/>
                <wp:lineTo x="21366" y="914"/>
                <wp:lineTo x="19965" y="0"/>
                <wp:lineTo x="1401" y="0"/>
              </wp:wrapPolygon>
            </wp:wrapTight>
            <wp:docPr id="469" name="Picture 61" descr="Cigarett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1" descr="Cigarette"/>
                    <pic:cNvPicPr>
                      <a:picLocks noChangeAspect="1" noChangeArrowheads="1"/>
                    </pic:cNvPicPr>
                  </pic:nvPicPr>
                  <pic:blipFill>
                    <a:blip r:embed="rId278" cstate="print"/>
                    <a:srcRect/>
                    <a:stretch>
                      <a:fillRect/>
                    </a:stretch>
                  </pic:blipFill>
                  <pic:spPr bwMode="auto">
                    <a:xfrm>
                      <a:off x="0" y="0"/>
                      <a:ext cx="1174750" cy="90043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6E3BC903" w14:textId="77777777" w:rsidR="00C65183" w:rsidRDefault="00C65183" w:rsidP="00C65183">
      <w:pPr>
        <w:spacing w:line="360" w:lineRule="auto"/>
        <w:jc w:val="both"/>
        <w:rPr>
          <w:rFonts w:ascii="Calibri" w:hAnsi="Calibri"/>
        </w:rPr>
      </w:pPr>
    </w:p>
    <w:p w14:paraId="069B6B8F" w14:textId="77777777" w:rsidR="00C65183" w:rsidRPr="00D0334F" w:rsidRDefault="00C65183" w:rsidP="00C65183">
      <w:pPr>
        <w:spacing w:line="360" w:lineRule="auto"/>
        <w:jc w:val="both"/>
        <w:rPr>
          <w:rFonts w:ascii="Calibri" w:hAnsi="Calibri"/>
        </w:rPr>
      </w:pPr>
      <w:r w:rsidRPr="00D0334F">
        <w:rPr>
          <w:rFonts w:ascii="Calibri" w:hAnsi="Calibri"/>
        </w:rPr>
        <w:t xml:space="preserve">Smoking is responsible for various respiratory and cardiovascular effects, including emphysema and chronic bronchitis, heart attacks, aneurisms and stroke; and is linked to a higher incidence of pancreatic, lung, bladder and cervical cancer. The 2018 Australian National Health Survey found that </w:t>
      </w:r>
      <w:r w:rsidRPr="00D0334F">
        <w:rPr>
          <w:rFonts w:asciiTheme="minorHAnsi" w:hAnsiTheme="minorHAnsi"/>
        </w:rPr>
        <w:t>smokers are 3.6 times more likely to have chronic lung conditions (COPD) than those who had never smoked.</w:t>
      </w:r>
      <w:r w:rsidRPr="00D0334F">
        <w:rPr>
          <w:rFonts w:ascii="Calibri" w:hAnsi="Calibri"/>
        </w:rPr>
        <w:t xml:space="preserve"> In the United States,</w:t>
      </w:r>
      <w:r>
        <w:rPr>
          <w:rFonts w:ascii="Calibri" w:hAnsi="Calibri"/>
        </w:rPr>
        <w:t xml:space="preserve"> the American Cancer Society has estimated that</w:t>
      </w:r>
      <w:r w:rsidRPr="00D0334F">
        <w:rPr>
          <w:rFonts w:ascii="Calibri" w:hAnsi="Calibri"/>
        </w:rPr>
        <w:t xml:space="preserve"> smoking </w:t>
      </w:r>
      <w:r>
        <w:rPr>
          <w:rFonts w:ascii="Calibri" w:hAnsi="Calibri"/>
        </w:rPr>
        <w:t>causes</w:t>
      </w:r>
      <w:r w:rsidRPr="00D0334F">
        <w:rPr>
          <w:rFonts w:ascii="Calibri" w:hAnsi="Calibri"/>
        </w:rPr>
        <w:t xml:space="preserve"> nearly one in five deaths, reducing the average life span by 13 years in males, and 15 years among females. It may be expected that smoking has similar implications for health and the human life span in Australia. Up to two-thirds of deaths of smokers can be attributed to smoking, with smoking reducing life span by about ten years in smokers, in Australia</w:t>
      </w:r>
      <w:r w:rsidRPr="00A44150">
        <w:rPr>
          <w:rFonts w:ascii="Calibri" w:hAnsi="Calibri"/>
        </w:rPr>
        <w:t>.</w:t>
      </w:r>
      <w:r>
        <w:rPr>
          <w:rStyle w:val="FootnoteReference"/>
          <w:rFonts w:ascii="Calibri" w:hAnsi="Calibri"/>
        </w:rPr>
        <w:footnoteReference w:id="81"/>
      </w:r>
      <w:r>
        <w:rPr>
          <w:rFonts w:ascii="Calibri" w:hAnsi="Calibri"/>
        </w:rPr>
        <w:t xml:space="preserve"> </w:t>
      </w:r>
      <w:r w:rsidRPr="00D0334F">
        <w:rPr>
          <w:rFonts w:ascii="Calibri" w:hAnsi="Calibri"/>
        </w:rPr>
        <w:t>Smoking may be responsible for approximately 22,000 deaths each year in Australia</w:t>
      </w:r>
      <w:r>
        <w:rPr>
          <w:rStyle w:val="FootnoteReference"/>
          <w:rFonts w:ascii="Calibri" w:hAnsi="Calibri"/>
        </w:rPr>
        <w:footnoteReference w:id="82"/>
      </w:r>
      <w:r>
        <w:rPr>
          <w:rFonts w:ascii="Calibri" w:hAnsi="Calibri"/>
        </w:rPr>
        <w:t xml:space="preserve"> </w:t>
      </w:r>
      <w:r w:rsidRPr="00D0334F">
        <w:rPr>
          <w:rFonts w:ascii="Calibri" w:hAnsi="Calibri"/>
        </w:rPr>
        <w:t xml:space="preserve">– equivalent to four-fifths of all drug-related mortality, and a possible 140 deaths within Greater Dandenong. </w:t>
      </w:r>
    </w:p>
    <w:p w14:paraId="1379FCFB" w14:textId="77777777" w:rsidR="00C65183" w:rsidRDefault="00C65183" w:rsidP="00C65183">
      <w:pPr>
        <w:spacing w:line="360" w:lineRule="auto"/>
        <w:jc w:val="both"/>
        <w:rPr>
          <w:rFonts w:ascii="Calibri" w:hAnsi="Calibri"/>
        </w:rPr>
      </w:pPr>
      <w:r w:rsidRPr="00D0334F">
        <w:rPr>
          <w:rFonts w:ascii="Calibri" w:hAnsi="Calibri"/>
        </w:rPr>
        <w:t>Summing the contribution of drugs to human illness, the Institute for Health Metrics and Evaluation concluded that tobacco accounts for 8.3% of the burden of disease in Australia, alcohol for 2.7% and illicit drugs 2.6%</w:t>
      </w:r>
      <w:r>
        <w:rPr>
          <w:rStyle w:val="FootnoteReference"/>
          <w:rFonts w:ascii="Calibri" w:hAnsi="Calibri"/>
        </w:rPr>
        <w:footnoteReference w:id="83"/>
      </w:r>
      <w:r w:rsidRPr="00D266DE">
        <w:rPr>
          <w:rFonts w:ascii="Calibri" w:hAnsi="Calibri"/>
        </w:rPr>
        <w:t>.</w:t>
      </w:r>
    </w:p>
    <w:p w14:paraId="49EAED38" w14:textId="77777777" w:rsidR="00C65183" w:rsidRPr="00AC7D82" w:rsidRDefault="00C65183" w:rsidP="00C65183">
      <w:pPr>
        <w:spacing w:line="360" w:lineRule="auto"/>
        <w:jc w:val="both"/>
        <w:rPr>
          <w:rFonts w:ascii="Calibri" w:hAnsi="Calibri"/>
        </w:rPr>
      </w:pPr>
      <w:r>
        <w:rPr>
          <w:rFonts w:ascii="Calibri" w:hAnsi="Calibri"/>
        </w:rPr>
        <w:t>M</w:t>
      </w:r>
      <w:r w:rsidRPr="00D0334F">
        <w:rPr>
          <w:rFonts w:ascii="Calibri" w:hAnsi="Calibri"/>
        </w:rPr>
        <w:t>easures of the financial and health costs of drug use, also place tobacco at the top of the list. The cost of drug use (adjusted to 2020 dollars) is estimated at $80 billion per year (the equivalent of $116 million within Greater Dandenong, each year), with tobacco accounting for $41 billion, alcohol for $20 billion and illicit drug use for $11 billion</w:t>
      </w:r>
      <w:r>
        <w:rPr>
          <w:rStyle w:val="FootnoteReference"/>
          <w:rFonts w:ascii="Calibri" w:hAnsi="Calibri"/>
        </w:rPr>
        <w:footnoteReference w:id="84"/>
      </w:r>
      <w:r>
        <w:rPr>
          <w:rFonts w:ascii="Calibri" w:hAnsi="Calibri"/>
        </w:rPr>
        <w:t>.</w:t>
      </w:r>
    </w:p>
    <w:p w14:paraId="549B547C" w14:textId="77777777" w:rsidR="00C65183" w:rsidRDefault="00C65183" w:rsidP="00C65183">
      <w:pPr>
        <w:spacing w:before="120"/>
        <w:rPr>
          <w:rFonts w:ascii="Calibri" w:hAnsi="Calibri"/>
          <w:b/>
        </w:rPr>
      </w:pPr>
      <w:r>
        <w:rPr>
          <w:rFonts w:asciiTheme="minorHAnsi" w:hAnsiTheme="minorHAnsi" w:cstheme="minorHAnsi"/>
          <w:noProof/>
        </w:rPr>
        <w:drawing>
          <wp:anchor distT="0" distB="0" distL="114300" distR="114300" simplePos="0" relativeHeight="251913216" behindDoc="0" locked="0" layoutInCell="1" allowOverlap="1" wp14:anchorId="7DD862C0" wp14:editId="71515529">
            <wp:simplePos x="0" y="0"/>
            <wp:positionH relativeFrom="margin">
              <wp:posOffset>2705100</wp:posOffset>
            </wp:positionH>
            <wp:positionV relativeFrom="paragraph">
              <wp:posOffset>242253</wp:posOffset>
            </wp:positionV>
            <wp:extent cx="3447415" cy="2466340"/>
            <wp:effectExtent l="0" t="0" r="635" b="0"/>
            <wp:wrapSquare wrapText="bothSides"/>
            <wp:docPr id="470" name="Picture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3447415" cy="2466340"/>
                    </a:xfrm>
                    <a:prstGeom prst="rect">
                      <a:avLst/>
                    </a:prstGeom>
                    <a:noFill/>
                  </pic:spPr>
                </pic:pic>
              </a:graphicData>
            </a:graphic>
            <wp14:sizeRelH relativeFrom="page">
              <wp14:pctWidth>0</wp14:pctWidth>
            </wp14:sizeRelH>
            <wp14:sizeRelV relativeFrom="page">
              <wp14:pctHeight>0</wp14:pctHeight>
            </wp14:sizeRelV>
          </wp:anchor>
        </w:drawing>
      </w:r>
    </w:p>
    <w:p w14:paraId="6604FC66" w14:textId="77777777" w:rsidR="00C65183" w:rsidRPr="009C2789" w:rsidRDefault="00C65183" w:rsidP="00C65183">
      <w:pPr>
        <w:spacing w:before="120"/>
        <w:rPr>
          <w:rFonts w:ascii="Calibri" w:hAnsi="Calibri"/>
          <w:color w:val="7F7F7F"/>
          <w:sz w:val="20"/>
          <w:szCs w:val="20"/>
        </w:rPr>
      </w:pPr>
      <w:r w:rsidRPr="00D266DE">
        <w:rPr>
          <w:rFonts w:ascii="Calibri" w:hAnsi="Calibri"/>
          <w:b/>
        </w:rPr>
        <w:t>Prevalence of Smoking</w:t>
      </w:r>
      <w:r>
        <w:rPr>
          <w:rFonts w:ascii="Calibri" w:hAnsi="Calibri"/>
          <w:b/>
        </w:rPr>
        <w:t xml:space="preserve">                                                     </w:t>
      </w:r>
    </w:p>
    <w:p w14:paraId="6853CFB6" w14:textId="77777777" w:rsidR="00C65183" w:rsidRPr="00D0334F" w:rsidRDefault="00C65183" w:rsidP="00C65183">
      <w:pPr>
        <w:spacing w:before="120" w:line="360" w:lineRule="auto"/>
        <w:jc w:val="both"/>
        <w:rPr>
          <w:rFonts w:asciiTheme="minorHAnsi" w:hAnsiTheme="minorHAnsi" w:cstheme="minorHAnsi"/>
        </w:rPr>
      </w:pPr>
      <w:bookmarkStart w:id="32" w:name="_Hlk23248667"/>
      <w:r w:rsidRPr="00D0334F">
        <w:rPr>
          <w:rFonts w:ascii="Calibri" w:hAnsi="Calibri"/>
        </w:rPr>
        <w:t xml:space="preserve">The 2019 </w:t>
      </w:r>
      <w:r w:rsidRPr="00D0334F">
        <w:rPr>
          <w:rFonts w:asciiTheme="minorHAnsi" w:hAnsiTheme="minorHAnsi" w:cstheme="minorHAnsi"/>
        </w:rPr>
        <w:t xml:space="preserve">National Drug Strategy Household Survey </w:t>
      </w:r>
      <w:r>
        <w:rPr>
          <w:rFonts w:asciiTheme="minorHAnsi" w:hAnsiTheme="minorHAnsi" w:cstheme="minorHAnsi"/>
        </w:rPr>
        <w:t>reported</w:t>
      </w:r>
      <w:r w:rsidRPr="00D0334F">
        <w:rPr>
          <w:rFonts w:asciiTheme="minorHAnsi" w:hAnsiTheme="minorHAnsi" w:cstheme="minorHAnsi"/>
        </w:rPr>
        <w:t xml:space="preserve"> that</w:t>
      </w:r>
      <w:r w:rsidRPr="00D0334F">
        <w:rPr>
          <w:rFonts w:ascii="Calibri" w:hAnsi="Calibri"/>
        </w:rPr>
        <w:t xml:space="preserve"> </w:t>
      </w:r>
      <w:bookmarkEnd w:id="32"/>
      <w:r>
        <w:rPr>
          <w:rFonts w:asciiTheme="minorHAnsi" w:hAnsiTheme="minorHAnsi" w:cstheme="minorHAnsi"/>
        </w:rPr>
        <w:t>t</w:t>
      </w:r>
      <w:r w:rsidRPr="00D0334F">
        <w:rPr>
          <w:rFonts w:asciiTheme="minorHAnsi" w:hAnsiTheme="minorHAnsi" w:cstheme="minorHAnsi"/>
        </w:rPr>
        <w:t xml:space="preserve">he proportion of Australians </w:t>
      </w:r>
      <w:r>
        <w:rPr>
          <w:rFonts w:asciiTheme="minorHAnsi" w:hAnsiTheme="minorHAnsi" w:cstheme="minorHAnsi"/>
        </w:rPr>
        <w:t xml:space="preserve">aged 14 years or more </w:t>
      </w:r>
      <w:r w:rsidRPr="00D0334F">
        <w:rPr>
          <w:rFonts w:asciiTheme="minorHAnsi" w:hAnsiTheme="minorHAnsi" w:cstheme="minorHAnsi"/>
        </w:rPr>
        <w:t>who smoke has halved in the past 25 years, from 30% of those aged 14 years or more in 1991, to 14% in 2019</w:t>
      </w:r>
      <w:r>
        <w:rPr>
          <w:rFonts w:asciiTheme="minorHAnsi" w:hAnsiTheme="minorHAnsi" w:cstheme="minorHAnsi"/>
        </w:rPr>
        <w:t>.</w:t>
      </w:r>
    </w:p>
    <w:p w14:paraId="72546037" w14:textId="77777777" w:rsidR="00C65183" w:rsidRPr="009C2789" w:rsidRDefault="00C65183" w:rsidP="00C65183">
      <w:pPr>
        <w:spacing w:before="120"/>
        <w:rPr>
          <w:rFonts w:ascii="Calibri" w:hAnsi="Calibri"/>
          <w:color w:val="7F7F7F"/>
          <w:sz w:val="20"/>
          <w:szCs w:val="20"/>
        </w:rPr>
      </w:pPr>
      <w:r w:rsidRPr="009C2789">
        <w:rPr>
          <w:rFonts w:ascii="Calibri" w:hAnsi="Calibri"/>
          <w:color w:val="7F7F7F"/>
          <w:sz w:val="20"/>
          <w:szCs w:val="20"/>
        </w:rPr>
        <w:t xml:space="preserve">Prevalence of </w:t>
      </w:r>
      <w:r>
        <w:rPr>
          <w:rFonts w:ascii="Calibri" w:hAnsi="Calibri"/>
          <w:color w:val="7F7F7F"/>
          <w:sz w:val="20"/>
          <w:szCs w:val="20"/>
        </w:rPr>
        <w:t>s</w:t>
      </w:r>
      <w:r w:rsidRPr="009C2789">
        <w:rPr>
          <w:rFonts w:ascii="Calibri" w:hAnsi="Calibri"/>
          <w:color w:val="7F7F7F"/>
          <w:sz w:val="20"/>
          <w:szCs w:val="20"/>
        </w:rPr>
        <w:t xml:space="preserve">moking: Australia, </w:t>
      </w:r>
      <w:r>
        <w:rPr>
          <w:rFonts w:ascii="Calibri" w:hAnsi="Calibri"/>
          <w:color w:val="7F7F7F"/>
          <w:sz w:val="20"/>
          <w:szCs w:val="20"/>
        </w:rPr>
        <w:t>1991-2019</w:t>
      </w:r>
    </w:p>
    <w:p w14:paraId="29FC1BC9" w14:textId="77777777" w:rsidR="00C65183" w:rsidRPr="00FC43FD" w:rsidRDefault="00C65183" w:rsidP="00C65183">
      <w:pPr>
        <w:spacing w:before="120" w:line="360" w:lineRule="auto"/>
        <w:jc w:val="both"/>
        <w:rPr>
          <w:rFonts w:asciiTheme="minorHAnsi" w:hAnsiTheme="minorHAnsi" w:cstheme="minorHAnsi"/>
        </w:rPr>
      </w:pPr>
      <w:r>
        <w:rPr>
          <w:rFonts w:asciiTheme="minorHAnsi" w:hAnsiTheme="minorHAnsi" w:cstheme="minorHAnsi"/>
          <w:noProof/>
        </w:rPr>
        <w:lastRenderedPageBreak/>
        <w:drawing>
          <wp:anchor distT="0" distB="0" distL="114300" distR="114300" simplePos="0" relativeHeight="251914240" behindDoc="0" locked="0" layoutInCell="1" allowOverlap="1" wp14:anchorId="583CF802" wp14:editId="36035725">
            <wp:simplePos x="0" y="0"/>
            <wp:positionH relativeFrom="column">
              <wp:posOffset>22860</wp:posOffset>
            </wp:positionH>
            <wp:positionV relativeFrom="paragraph">
              <wp:posOffset>470535</wp:posOffset>
            </wp:positionV>
            <wp:extent cx="3542030" cy="2209800"/>
            <wp:effectExtent l="0" t="0" r="1270" b="0"/>
            <wp:wrapSquare wrapText="bothSides"/>
            <wp:docPr id="471" name="Picture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3542030" cy="2209800"/>
                    </a:xfrm>
                    <a:prstGeom prst="rect">
                      <a:avLst/>
                    </a:prstGeom>
                    <a:noFill/>
                  </pic:spPr>
                </pic:pic>
              </a:graphicData>
            </a:graphic>
            <wp14:sizeRelH relativeFrom="page">
              <wp14:pctWidth>0</wp14:pctWidth>
            </wp14:sizeRelH>
            <wp14:sizeRelV relativeFrom="page">
              <wp14:pctHeight>0</wp14:pctHeight>
            </wp14:sizeRelV>
          </wp:anchor>
        </w:drawing>
      </w:r>
      <w:r>
        <w:rPr>
          <w:rFonts w:asciiTheme="minorHAnsi" w:hAnsiTheme="minorHAnsi" w:cstheme="minorHAnsi"/>
        </w:rPr>
        <w:t>Similarly, the survey found that the</w:t>
      </w:r>
      <w:r w:rsidRPr="00FC43FD">
        <w:rPr>
          <w:rFonts w:asciiTheme="minorHAnsi" w:hAnsiTheme="minorHAnsi" w:cstheme="minorHAnsi"/>
        </w:rPr>
        <w:t xml:space="preserve"> proportion of children exposed to smoke within their homes daily, has fallen from 19.7% in 2001</w:t>
      </w:r>
      <w:r>
        <w:rPr>
          <w:rFonts w:asciiTheme="minorHAnsi" w:hAnsiTheme="minorHAnsi" w:cstheme="minorHAnsi"/>
        </w:rPr>
        <w:t>,</w:t>
      </w:r>
      <w:r w:rsidRPr="00FC43FD">
        <w:rPr>
          <w:rFonts w:asciiTheme="minorHAnsi" w:hAnsiTheme="minorHAnsi" w:cstheme="minorHAnsi"/>
        </w:rPr>
        <w:t xml:space="preserve"> to 2.1% by 2019.</w:t>
      </w:r>
    </w:p>
    <w:p w14:paraId="47C2C6F6" w14:textId="77777777" w:rsidR="00C65183" w:rsidRPr="00D0334F" w:rsidRDefault="00C65183" w:rsidP="00C65183">
      <w:pPr>
        <w:spacing w:before="120" w:line="360" w:lineRule="auto"/>
        <w:jc w:val="both"/>
        <w:rPr>
          <w:rFonts w:asciiTheme="minorHAnsi" w:hAnsiTheme="minorHAnsi" w:cstheme="minorHAnsi"/>
        </w:rPr>
      </w:pPr>
      <w:r>
        <w:rPr>
          <w:rFonts w:asciiTheme="minorHAnsi" w:hAnsiTheme="minorHAnsi" w:cstheme="minorHAnsi"/>
        </w:rPr>
        <w:t xml:space="preserve">The </w:t>
      </w:r>
      <w:r w:rsidRPr="00D0334F">
        <w:rPr>
          <w:rFonts w:ascii="Calibri" w:hAnsi="Calibri"/>
        </w:rPr>
        <w:t xml:space="preserve">2019 </w:t>
      </w:r>
      <w:r w:rsidRPr="00D0334F">
        <w:rPr>
          <w:rFonts w:asciiTheme="minorHAnsi" w:hAnsiTheme="minorHAnsi" w:cstheme="minorHAnsi"/>
        </w:rPr>
        <w:t xml:space="preserve">National Drug Strategy Household Survey </w:t>
      </w:r>
      <w:r>
        <w:rPr>
          <w:rFonts w:asciiTheme="minorHAnsi" w:hAnsiTheme="minorHAnsi" w:cstheme="minorHAnsi"/>
        </w:rPr>
        <w:t>also determined that smoking was more prevalent among males, with 15.9% of those aged 14 years or more smoking, compared with 12.2% of females.</w:t>
      </w:r>
    </w:p>
    <w:p w14:paraId="16579626" w14:textId="77777777" w:rsidR="00C65183" w:rsidRPr="00D0334F" w:rsidRDefault="00C65183" w:rsidP="00C65183">
      <w:pPr>
        <w:spacing w:before="120" w:line="360" w:lineRule="auto"/>
        <w:jc w:val="both"/>
        <w:rPr>
          <w:rFonts w:ascii="Calibri" w:hAnsi="Calibri"/>
        </w:rPr>
      </w:pPr>
    </w:p>
    <w:p w14:paraId="3927EDEC" w14:textId="77777777" w:rsidR="00C65183" w:rsidRPr="009C2789" w:rsidRDefault="00C65183" w:rsidP="00C65183">
      <w:pPr>
        <w:rPr>
          <w:rFonts w:ascii="Calibri" w:hAnsi="Calibri"/>
          <w:color w:val="7F7F7F"/>
          <w:sz w:val="20"/>
          <w:szCs w:val="20"/>
        </w:rPr>
      </w:pPr>
      <w:r w:rsidRPr="009C2789">
        <w:rPr>
          <w:rFonts w:ascii="Calibri" w:hAnsi="Calibri"/>
          <w:color w:val="7F7F7F"/>
          <w:sz w:val="20"/>
          <w:szCs w:val="20"/>
        </w:rPr>
        <w:t xml:space="preserve">Prevalence of </w:t>
      </w:r>
      <w:r>
        <w:rPr>
          <w:rFonts w:ascii="Calibri" w:hAnsi="Calibri"/>
          <w:color w:val="7F7F7F"/>
          <w:sz w:val="20"/>
          <w:szCs w:val="20"/>
        </w:rPr>
        <w:t>s</w:t>
      </w:r>
      <w:r w:rsidRPr="009C2789">
        <w:rPr>
          <w:rFonts w:ascii="Calibri" w:hAnsi="Calibri"/>
          <w:color w:val="7F7F7F"/>
          <w:sz w:val="20"/>
          <w:szCs w:val="20"/>
        </w:rPr>
        <w:t>moking</w:t>
      </w:r>
      <w:r>
        <w:rPr>
          <w:rFonts w:ascii="Calibri" w:hAnsi="Calibri"/>
          <w:color w:val="7F7F7F"/>
          <w:sz w:val="20"/>
          <w:szCs w:val="20"/>
        </w:rPr>
        <w:t xml:space="preserve"> by sex</w:t>
      </w:r>
      <w:r w:rsidRPr="009C2789">
        <w:rPr>
          <w:rFonts w:ascii="Calibri" w:hAnsi="Calibri"/>
          <w:color w:val="7F7F7F"/>
          <w:sz w:val="20"/>
          <w:szCs w:val="20"/>
        </w:rPr>
        <w:t xml:space="preserve">: Australia, </w:t>
      </w:r>
      <w:r>
        <w:rPr>
          <w:rFonts w:ascii="Calibri" w:hAnsi="Calibri"/>
          <w:color w:val="7F7F7F"/>
          <w:sz w:val="20"/>
          <w:szCs w:val="20"/>
        </w:rPr>
        <w:t>2019</w:t>
      </w:r>
    </w:p>
    <w:p w14:paraId="4BDF4077" w14:textId="77777777" w:rsidR="00C65183" w:rsidRPr="00D0334F" w:rsidRDefault="00C65183" w:rsidP="00C65183">
      <w:pPr>
        <w:spacing w:before="120" w:line="360" w:lineRule="auto"/>
        <w:jc w:val="both"/>
        <w:rPr>
          <w:rFonts w:ascii="Calibri" w:hAnsi="Calibri"/>
        </w:rPr>
      </w:pPr>
      <w:r>
        <w:rPr>
          <w:rFonts w:ascii="Calibri" w:hAnsi="Calibri"/>
          <w:noProof/>
        </w:rPr>
        <w:drawing>
          <wp:anchor distT="0" distB="0" distL="114300" distR="114300" simplePos="0" relativeHeight="251915264" behindDoc="0" locked="0" layoutInCell="1" allowOverlap="1" wp14:anchorId="3932E7EE" wp14:editId="70F865DB">
            <wp:simplePos x="0" y="0"/>
            <wp:positionH relativeFrom="column">
              <wp:posOffset>2199322</wp:posOffset>
            </wp:positionH>
            <wp:positionV relativeFrom="paragraph">
              <wp:posOffset>253683</wp:posOffset>
            </wp:positionV>
            <wp:extent cx="4006850" cy="2457450"/>
            <wp:effectExtent l="0" t="0" r="0" b="0"/>
            <wp:wrapSquare wrapText="bothSides"/>
            <wp:docPr id="472" name="Picture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4006850" cy="2457450"/>
                    </a:xfrm>
                    <a:prstGeom prst="rect">
                      <a:avLst/>
                    </a:prstGeom>
                    <a:noFill/>
                  </pic:spPr>
                </pic:pic>
              </a:graphicData>
            </a:graphic>
            <wp14:sizeRelH relativeFrom="page">
              <wp14:pctWidth>0</wp14:pctWidth>
            </wp14:sizeRelH>
            <wp14:sizeRelV relativeFrom="page">
              <wp14:pctHeight>0</wp14:pctHeight>
            </wp14:sizeRelV>
          </wp:anchor>
        </w:drawing>
      </w:r>
    </w:p>
    <w:p w14:paraId="4EB8E4E1" w14:textId="77777777" w:rsidR="00C65183" w:rsidRPr="006322D3" w:rsidRDefault="00C65183" w:rsidP="00C65183">
      <w:pPr>
        <w:spacing w:before="120" w:line="360" w:lineRule="auto"/>
        <w:jc w:val="both"/>
        <w:rPr>
          <w:rFonts w:ascii="Calibri" w:hAnsi="Calibri"/>
        </w:rPr>
      </w:pPr>
      <w:r>
        <w:rPr>
          <w:rFonts w:asciiTheme="minorHAnsi" w:hAnsiTheme="minorHAnsi"/>
        </w:rPr>
        <w:t xml:space="preserve">The </w:t>
      </w:r>
      <w:r w:rsidRPr="00986827">
        <w:rPr>
          <w:rFonts w:asciiTheme="minorHAnsi" w:hAnsiTheme="minorHAnsi"/>
        </w:rPr>
        <w:t>prevalence of smoking surges among people aged 18 to 24 years, remaining relatively stable</w:t>
      </w:r>
      <w:r>
        <w:rPr>
          <w:rFonts w:asciiTheme="minorHAnsi" w:hAnsiTheme="minorHAnsi"/>
        </w:rPr>
        <w:t xml:space="preserve"> through most of adulthood,</w:t>
      </w:r>
      <w:r w:rsidRPr="00986827">
        <w:rPr>
          <w:rFonts w:asciiTheme="minorHAnsi" w:hAnsiTheme="minorHAnsi"/>
        </w:rPr>
        <w:t xml:space="preserve"> </w:t>
      </w:r>
      <w:r>
        <w:rPr>
          <w:rFonts w:asciiTheme="minorHAnsi" w:hAnsiTheme="minorHAnsi"/>
        </w:rPr>
        <w:t xml:space="preserve">before subsiding </w:t>
      </w:r>
      <w:r w:rsidRPr="00986827">
        <w:rPr>
          <w:rFonts w:asciiTheme="minorHAnsi" w:hAnsiTheme="minorHAnsi"/>
        </w:rPr>
        <w:t xml:space="preserve">in </w:t>
      </w:r>
      <w:r>
        <w:rPr>
          <w:rFonts w:asciiTheme="minorHAnsi" w:hAnsiTheme="minorHAnsi"/>
        </w:rPr>
        <w:t>older age.</w:t>
      </w:r>
    </w:p>
    <w:p w14:paraId="263168CD" w14:textId="77777777" w:rsidR="00C65183" w:rsidRPr="006322D3" w:rsidRDefault="00C65183" w:rsidP="00C65183">
      <w:pPr>
        <w:spacing w:before="120" w:line="360" w:lineRule="auto"/>
        <w:jc w:val="both"/>
        <w:rPr>
          <w:rFonts w:ascii="Calibri" w:hAnsi="Calibri"/>
          <w:sz w:val="10"/>
          <w:szCs w:val="10"/>
        </w:rPr>
      </w:pPr>
    </w:p>
    <w:p w14:paraId="508E4AE0" w14:textId="77777777" w:rsidR="00C65183" w:rsidRPr="009C2789" w:rsidRDefault="00C65183" w:rsidP="00C65183">
      <w:pPr>
        <w:rPr>
          <w:rFonts w:ascii="Calibri" w:hAnsi="Calibri"/>
          <w:color w:val="7F7F7F"/>
          <w:sz w:val="20"/>
          <w:szCs w:val="20"/>
        </w:rPr>
      </w:pPr>
      <w:r w:rsidRPr="009C2789">
        <w:rPr>
          <w:rFonts w:ascii="Calibri" w:hAnsi="Calibri"/>
          <w:color w:val="7F7F7F"/>
          <w:sz w:val="20"/>
          <w:szCs w:val="20"/>
        </w:rPr>
        <w:t xml:space="preserve">Prevalence of </w:t>
      </w:r>
      <w:r>
        <w:rPr>
          <w:rFonts w:ascii="Calibri" w:hAnsi="Calibri"/>
          <w:color w:val="7F7F7F"/>
          <w:sz w:val="20"/>
          <w:szCs w:val="20"/>
        </w:rPr>
        <w:t>s</w:t>
      </w:r>
      <w:r w:rsidRPr="009C2789">
        <w:rPr>
          <w:rFonts w:ascii="Calibri" w:hAnsi="Calibri"/>
          <w:color w:val="7F7F7F"/>
          <w:sz w:val="20"/>
          <w:szCs w:val="20"/>
        </w:rPr>
        <w:t>moking</w:t>
      </w:r>
      <w:r>
        <w:rPr>
          <w:rFonts w:ascii="Calibri" w:hAnsi="Calibri"/>
          <w:color w:val="7F7F7F"/>
          <w:sz w:val="20"/>
          <w:szCs w:val="20"/>
        </w:rPr>
        <w:t xml:space="preserve"> by sex and age</w:t>
      </w:r>
      <w:r w:rsidRPr="009C2789">
        <w:rPr>
          <w:rFonts w:ascii="Calibri" w:hAnsi="Calibri"/>
          <w:color w:val="7F7F7F"/>
          <w:sz w:val="20"/>
          <w:szCs w:val="20"/>
        </w:rPr>
        <w:t xml:space="preserve">: Australia, </w:t>
      </w:r>
      <w:r>
        <w:rPr>
          <w:rFonts w:ascii="Calibri" w:hAnsi="Calibri"/>
          <w:color w:val="7F7F7F"/>
          <w:sz w:val="20"/>
          <w:szCs w:val="20"/>
        </w:rPr>
        <w:t>2019</w:t>
      </w:r>
    </w:p>
    <w:p w14:paraId="7DDB5B5F" w14:textId="77777777" w:rsidR="00C65183" w:rsidRDefault="00C65183" w:rsidP="00C65183">
      <w:pPr>
        <w:spacing w:line="360" w:lineRule="auto"/>
        <w:jc w:val="both"/>
        <w:rPr>
          <w:rFonts w:ascii="Calibri" w:hAnsi="Calibri"/>
          <w:b/>
          <w:sz w:val="10"/>
          <w:szCs w:val="10"/>
        </w:rPr>
      </w:pPr>
    </w:p>
    <w:p w14:paraId="634D5035" w14:textId="77777777" w:rsidR="00C65183" w:rsidRPr="006322D3" w:rsidRDefault="00C65183" w:rsidP="00C65183">
      <w:pPr>
        <w:spacing w:line="360" w:lineRule="auto"/>
        <w:jc w:val="both"/>
        <w:rPr>
          <w:rFonts w:ascii="Calibri" w:hAnsi="Calibri"/>
          <w:b/>
          <w:sz w:val="10"/>
          <w:szCs w:val="10"/>
        </w:rPr>
      </w:pPr>
    </w:p>
    <w:p w14:paraId="280AF578" w14:textId="77777777" w:rsidR="00C65183" w:rsidRDefault="00C65183" w:rsidP="00C65183">
      <w:pPr>
        <w:spacing w:line="360" w:lineRule="auto"/>
        <w:jc w:val="both"/>
        <w:rPr>
          <w:rFonts w:ascii="Calibri" w:hAnsi="Calibri"/>
        </w:rPr>
      </w:pPr>
      <w:r>
        <w:rPr>
          <w:rFonts w:ascii="Calibri" w:hAnsi="Calibri"/>
          <w:b/>
        </w:rPr>
        <w:t xml:space="preserve">Local </w:t>
      </w:r>
      <w:r w:rsidRPr="00D266DE">
        <w:rPr>
          <w:rFonts w:ascii="Calibri" w:hAnsi="Calibri"/>
          <w:b/>
        </w:rPr>
        <w:t>Prevalence of Smoking</w:t>
      </w:r>
      <w:r>
        <w:rPr>
          <w:rFonts w:ascii="Calibri" w:hAnsi="Calibri"/>
        </w:rPr>
        <w:t xml:space="preserve"> </w:t>
      </w:r>
    </w:p>
    <w:p w14:paraId="4777CBDE" w14:textId="77777777" w:rsidR="00C65183" w:rsidRDefault="00C65183" w:rsidP="00C65183">
      <w:pPr>
        <w:spacing w:line="360" w:lineRule="auto"/>
        <w:jc w:val="both"/>
        <w:rPr>
          <w:rFonts w:ascii="Calibri" w:hAnsi="Calibri"/>
        </w:rPr>
      </w:pPr>
      <w:r>
        <w:rPr>
          <w:rFonts w:ascii="Calibri" w:hAnsi="Calibri"/>
        </w:rPr>
        <w:t>The 2017 Victorian Population Health Survey revealed that 21% of Greater Dandenong respondents smoked, compared with 17% of those across Victoria. More generally, the Survey also found that the prevalence of smoking was 21% among residents of the most disadvantaged municipalities, substantially higher than the corresponding figure of 14% among residents of the least disadvantaged communities.</w:t>
      </w:r>
    </w:p>
    <w:p w14:paraId="59D4E43B" w14:textId="77777777" w:rsidR="00C65183" w:rsidRDefault="00C65183" w:rsidP="00C65183">
      <w:pPr>
        <w:spacing w:line="360" w:lineRule="auto"/>
        <w:jc w:val="both"/>
        <w:rPr>
          <w:rFonts w:ascii="Calibri" w:hAnsi="Calibri"/>
          <w:b/>
          <w:sz w:val="10"/>
          <w:szCs w:val="10"/>
        </w:rPr>
      </w:pPr>
    </w:p>
    <w:p w14:paraId="57448A71" w14:textId="77777777" w:rsidR="00C65183" w:rsidRPr="00E267BD" w:rsidRDefault="00C65183" w:rsidP="00C65183">
      <w:pPr>
        <w:spacing w:line="360" w:lineRule="auto"/>
        <w:jc w:val="both"/>
        <w:rPr>
          <w:rFonts w:ascii="Calibri" w:hAnsi="Calibri"/>
          <w:b/>
        </w:rPr>
      </w:pPr>
      <w:r>
        <w:rPr>
          <w:rFonts w:ascii="Calibri" w:hAnsi="Calibri"/>
          <w:b/>
        </w:rPr>
        <w:t>Use of E-cigarettes</w:t>
      </w:r>
    </w:p>
    <w:p w14:paraId="7B7FF72D" w14:textId="77777777" w:rsidR="00C65183" w:rsidRDefault="00C65183" w:rsidP="00C65183">
      <w:pPr>
        <w:spacing w:line="360" w:lineRule="auto"/>
        <w:jc w:val="both"/>
        <w:rPr>
          <w:rFonts w:ascii="Calibri" w:hAnsi="Calibri"/>
        </w:rPr>
      </w:pPr>
      <w:r w:rsidRPr="00FC43FD">
        <w:rPr>
          <w:rFonts w:ascii="Calibri" w:hAnsi="Calibri"/>
        </w:rPr>
        <w:t xml:space="preserve">The </w:t>
      </w:r>
      <w:r>
        <w:rPr>
          <w:rFonts w:ascii="Calibri" w:hAnsi="Calibri"/>
        </w:rPr>
        <w:t xml:space="preserve">2019 </w:t>
      </w:r>
      <w:r w:rsidRPr="00E267BD">
        <w:rPr>
          <w:rFonts w:ascii="Calibri" w:hAnsi="Calibri"/>
        </w:rPr>
        <w:t>National Drug Strategy Household Survey</w:t>
      </w:r>
      <w:r>
        <w:rPr>
          <w:rFonts w:ascii="Calibri" w:hAnsi="Calibri"/>
        </w:rPr>
        <w:t xml:space="preserve"> determined that</w:t>
      </w:r>
      <w:r w:rsidRPr="00FC43FD">
        <w:rPr>
          <w:rFonts w:ascii="Calibri" w:hAnsi="Calibri"/>
        </w:rPr>
        <w:t xml:space="preserve"> 11% of Australians aged 14 years or more had ever smoke</w:t>
      </w:r>
      <w:r>
        <w:rPr>
          <w:rFonts w:ascii="Calibri" w:hAnsi="Calibri"/>
        </w:rPr>
        <w:t>d</w:t>
      </w:r>
      <w:r w:rsidRPr="00FC43FD">
        <w:rPr>
          <w:rFonts w:ascii="Calibri" w:hAnsi="Calibri"/>
        </w:rPr>
        <w:t xml:space="preserve"> e-cigarettes and 2.5% were current users</w:t>
      </w:r>
      <w:r>
        <w:rPr>
          <w:rFonts w:ascii="Calibri" w:hAnsi="Calibri"/>
        </w:rPr>
        <w:t>.</w:t>
      </w:r>
    </w:p>
    <w:p w14:paraId="773A694A" w14:textId="77777777" w:rsidR="00C65183" w:rsidRPr="00FC43FD" w:rsidRDefault="00C65183" w:rsidP="00C65183">
      <w:pPr>
        <w:spacing w:line="360" w:lineRule="auto"/>
        <w:jc w:val="both"/>
        <w:rPr>
          <w:rFonts w:ascii="Calibri" w:hAnsi="Calibri"/>
        </w:rPr>
      </w:pPr>
      <w:r>
        <w:rPr>
          <w:rFonts w:ascii="Calibri" w:hAnsi="Calibri"/>
        </w:rPr>
        <w:t>Current users included</w:t>
      </w:r>
      <w:r w:rsidRPr="00FC43FD">
        <w:rPr>
          <w:rFonts w:ascii="Calibri" w:hAnsi="Calibri"/>
        </w:rPr>
        <w:t xml:space="preserve"> 9.7% of smokers (and 19% of 18-24 year-old smokers)</w:t>
      </w:r>
      <w:r>
        <w:rPr>
          <w:rFonts w:ascii="Calibri" w:hAnsi="Calibri"/>
        </w:rPr>
        <w:t xml:space="preserve"> and</w:t>
      </w:r>
      <w:r w:rsidRPr="00FC43FD">
        <w:rPr>
          <w:rFonts w:ascii="Calibri" w:hAnsi="Calibri"/>
        </w:rPr>
        <w:t xml:space="preserve"> 1.4% of non-smokers. Reasons given for favouring e-cigarettes included their perceived safety, lower cost and to reduce smoking.</w:t>
      </w:r>
    </w:p>
    <w:p w14:paraId="16E6241C" w14:textId="77777777" w:rsidR="00C65183" w:rsidRDefault="00C65183" w:rsidP="00C65183">
      <w:pPr>
        <w:spacing w:line="360" w:lineRule="auto"/>
        <w:jc w:val="both"/>
        <w:rPr>
          <w:rFonts w:ascii="Calibri" w:hAnsi="Calibri"/>
          <w:sz w:val="14"/>
          <w:szCs w:val="14"/>
        </w:rPr>
      </w:pPr>
      <w:r w:rsidRPr="00E267BD">
        <w:rPr>
          <w:rFonts w:ascii="Calibri" w:hAnsi="Calibri"/>
        </w:rPr>
        <w:t xml:space="preserve">Similar trends are reported elsewhere: US National Youth Tobacco Survey estimated 21% of high-school students had </w:t>
      </w:r>
      <w:r>
        <w:rPr>
          <w:rFonts w:ascii="Calibri" w:hAnsi="Calibri"/>
        </w:rPr>
        <w:t>used e-cigarettes</w:t>
      </w:r>
      <w:r w:rsidRPr="00E267BD">
        <w:rPr>
          <w:rFonts w:ascii="Calibri" w:hAnsi="Calibri"/>
        </w:rPr>
        <w:t xml:space="preserve"> in the previous 30 days, compared with 12% in 2017 – suggesting a relatively high rate among young people and a steep rise in a short period of time.</w:t>
      </w:r>
      <w:r w:rsidRPr="001814A7">
        <w:rPr>
          <w:rFonts w:ascii="Calibri" w:hAnsi="Calibri"/>
          <w:sz w:val="14"/>
          <w:szCs w:val="14"/>
        </w:rPr>
        <w:footnoteReference w:id="85"/>
      </w:r>
      <w:r w:rsidRPr="001814A7">
        <w:rPr>
          <w:rFonts w:ascii="Calibri" w:hAnsi="Calibri"/>
          <w:sz w:val="14"/>
          <w:szCs w:val="14"/>
        </w:rPr>
        <w:t xml:space="preserve"> </w:t>
      </w:r>
    </w:p>
    <w:p w14:paraId="16041320" w14:textId="77777777" w:rsidR="00C65183" w:rsidRDefault="00C65183" w:rsidP="00C65183">
      <w:pPr>
        <w:rPr>
          <w:rFonts w:ascii="Calibri" w:hAnsi="Calibri"/>
          <w:sz w:val="14"/>
          <w:szCs w:val="14"/>
        </w:rPr>
      </w:pPr>
      <w:r>
        <w:rPr>
          <w:rFonts w:ascii="Calibri" w:hAnsi="Calibri"/>
          <w:sz w:val="14"/>
          <w:szCs w:val="14"/>
        </w:rPr>
        <w:br w:type="page"/>
      </w:r>
    </w:p>
    <w:p w14:paraId="355E7B02" w14:textId="77777777" w:rsidR="00C65183" w:rsidRPr="00827F47" w:rsidRDefault="00C65183" w:rsidP="00C65183">
      <w:pPr>
        <w:pBdr>
          <w:top w:val="single" w:sz="4" w:space="0" w:color="244061" w:themeColor="accent1" w:themeShade="80"/>
          <w:bottom w:val="single" w:sz="4" w:space="1" w:color="244061" w:themeColor="accent1" w:themeShade="80"/>
        </w:pBdr>
        <w:tabs>
          <w:tab w:val="center" w:pos="4678"/>
        </w:tabs>
        <w:jc w:val="center"/>
        <w:rPr>
          <w:rFonts w:ascii="Garamond" w:hAnsi="Garamond"/>
          <w:noProof/>
          <w:color w:val="244061" w:themeColor="accent1" w:themeShade="80"/>
          <w:sz w:val="34"/>
          <w:szCs w:val="34"/>
        </w:rPr>
      </w:pPr>
      <w:r w:rsidRPr="00827F47">
        <w:rPr>
          <w:rFonts w:ascii="Garamond" w:hAnsi="Garamond"/>
          <w:noProof/>
          <w:color w:val="244061" w:themeColor="accent1" w:themeShade="80"/>
          <w:sz w:val="34"/>
          <w:szCs w:val="34"/>
        </w:rPr>
        <w:lastRenderedPageBreak/>
        <w:t>Illicit Drug Use</w:t>
      </w:r>
    </w:p>
    <w:p w14:paraId="04A1C10A" w14:textId="77777777" w:rsidR="00C65183" w:rsidRPr="00301042" w:rsidRDefault="00C65183" w:rsidP="00C65183">
      <w:pPr>
        <w:spacing w:line="360" w:lineRule="auto"/>
        <w:ind w:left="5103"/>
        <w:jc w:val="both"/>
        <w:rPr>
          <w:rFonts w:ascii="Calibri" w:hAnsi="Calibri"/>
          <w:b/>
          <w:sz w:val="12"/>
          <w:szCs w:val="12"/>
        </w:rPr>
      </w:pPr>
      <w:r>
        <w:rPr>
          <w:rFonts w:ascii="Calibri" w:hAnsi="Calibri"/>
          <w:b/>
          <w:noProof/>
          <w:sz w:val="12"/>
          <w:szCs w:val="12"/>
          <w:lang w:eastAsia="en-AU"/>
        </w:rPr>
        <w:drawing>
          <wp:anchor distT="0" distB="0" distL="114300" distR="114300" simplePos="0" relativeHeight="251922432" behindDoc="0" locked="0" layoutInCell="1" allowOverlap="1" wp14:anchorId="04687EF2" wp14:editId="37DAAB1C">
            <wp:simplePos x="0" y="0"/>
            <wp:positionH relativeFrom="column">
              <wp:posOffset>5101907</wp:posOffset>
            </wp:positionH>
            <wp:positionV relativeFrom="paragraph">
              <wp:posOffset>7302</wp:posOffset>
            </wp:positionV>
            <wp:extent cx="1054518" cy="1038225"/>
            <wp:effectExtent l="0" t="0" r="0" b="0"/>
            <wp:wrapNone/>
            <wp:docPr id="474" name="Picture 65" descr="illicit dru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illicit drugs"/>
                    <pic:cNvPicPr>
                      <a:picLocks noChangeAspect="1" noChangeArrowheads="1"/>
                    </pic:cNvPicPr>
                  </pic:nvPicPr>
                  <pic:blipFill rotWithShape="1">
                    <a:blip r:embed="rId282" cstate="print"/>
                    <a:srcRect t="8790" r="4268" b="5781"/>
                    <a:stretch/>
                  </pic:blipFill>
                  <pic:spPr bwMode="auto">
                    <a:xfrm>
                      <a:off x="0" y="0"/>
                      <a:ext cx="1054518" cy="103822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C7750C8" w14:textId="77777777" w:rsidR="00C65183" w:rsidRPr="009815FD" w:rsidRDefault="00C65183" w:rsidP="00C65183">
      <w:pPr>
        <w:spacing w:line="360" w:lineRule="auto"/>
        <w:jc w:val="both"/>
        <w:rPr>
          <w:rFonts w:ascii="Calibri" w:hAnsi="Calibri"/>
          <w:b/>
        </w:rPr>
      </w:pPr>
      <w:r>
        <w:rPr>
          <w:rFonts w:ascii="Calibri" w:hAnsi="Calibri"/>
          <w:noProof/>
        </w:rPr>
        <w:drawing>
          <wp:anchor distT="0" distB="0" distL="114300" distR="114300" simplePos="0" relativeHeight="251916288" behindDoc="0" locked="0" layoutInCell="1" allowOverlap="1" wp14:anchorId="5AE3168E" wp14:editId="54E52711">
            <wp:simplePos x="0" y="0"/>
            <wp:positionH relativeFrom="column">
              <wp:posOffset>2478405</wp:posOffset>
            </wp:positionH>
            <wp:positionV relativeFrom="paragraph">
              <wp:posOffset>262255</wp:posOffset>
            </wp:positionV>
            <wp:extent cx="3641725" cy="2271395"/>
            <wp:effectExtent l="0" t="0" r="0" b="0"/>
            <wp:wrapSquare wrapText="bothSides"/>
            <wp:docPr id="475" name="Picture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3641725" cy="2271395"/>
                    </a:xfrm>
                    <a:prstGeom prst="rect">
                      <a:avLst/>
                    </a:prstGeom>
                    <a:noFill/>
                  </pic:spPr>
                </pic:pic>
              </a:graphicData>
            </a:graphic>
            <wp14:sizeRelH relativeFrom="page">
              <wp14:pctWidth>0</wp14:pctWidth>
            </wp14:sizeRelH>
            <wp14:sizeRelV relativeFrom="page">
              <wp14:pctHeight>0</wp14:pctHeight>
            </wp14:sizeRelV>
          </wp:anchor>
        </w:drawing>
      </w:r>
      <w:r w:rsidRPr="009815FD">
        <w:rPr>
          <w:rFonts w:ascii="Calibri" w:hAnsi="Calibri"/>
          <w:b/>
        </w:rPr>
        <w:t>Prevalence and Patterns of Illicit Drug Use</w:t>
      </w:r>
    </w:p>
    <w:p w14:paraId="1862F2AF" w14:textId="77777777" w:rsidR="00C65183" w:rsidRDefault="00C65183" w:rsidP="00C65183">
      <w:pPr>
        <w:spacing w:line="360" w:lineRule="auto"/>
        <w:jc w:val="both"/>
        <w:rPr>
          <w:rFonts w:ascii="Calibri" w:hAnsi="Calibri"/>
        </w:rPr>
      </w:pPr>
      <w:r w:rsidRPr="009815FD">
        <w:rPr>
          <w:rFonts w:ascii="Calibri" w:hAnsi="Calibri"/>
        </w:rPr>
        <w:t>The 201</w:t>
      </w:r>
      <w:r>
        <w:rPr>
          <w:rFonts w:ascii="Calibri" w:hAnsi="Calibri"/>
        </w:rPr>
        <w:t>9</w:t>
      </w:r>
      <w:r w:rsidRPr="009815FD">
        <w:rPr>
          <w:rFonts w:ascii="Calibri" w:hAnsi="Calibri"/>
        </w:rPr>
        <w:t xml:space="preserve"> National Drug Strategy Household Survey </w:t>
      </w:r>
      <w:r>
        <w:rPr>
          <w:rFonts w:ascii="Calibri" w:hAnsi="Calibri"/>
        </w:rPr>
        <w:t>found that 43</w:t>
      </w:r>
      <w:r w:rsidRPr="008258A4">
        <w:rPr>
          <w:rFonts w:ascii="Calibri" w:hAnsi="Calibri"/>
        </w:rPr>
        <w:t>% of Australians 14</w:t>
      </w:r>
      <w:r>
        <w:rPr>
          <w:rFonts w:ascii="Calibri" w:hAnsi="Calibri"/>
        </w:rPr>
        <w:t xml:space="preserve"> years</w:t>
      </w:r>
      <w:r w:rsidRPr="008258A4">
        <w:rPr>
          <w:rFonts w:ascii="Calibri" w:hAnsi="Calibri"/>
        </w:rPr>
        <w:t xml:space="preserve"> or older had used illicit drugs in their lifetimes (including abuse of pharmaceuticals), and </w:t>
      </w:r>
      <w:r>
        <w:rPr>
          <w:rFonts w:ascii="Calibri" w:hAnsi="Calibri"/>
        </w:rPr>
        <w:t>9.2</w:t>
      </w:r>
      <w:r w:rsidRPr="008258A4">
        <w:rPr>
          <w:rFonts w:ascii="Calibri" w:hAnsi="Calibri"/>
        </w:rPr>
        <w:t xml:space="preserve">% during the </w:t>
      </w:r>
      <w:r>
        <w:rPr>
          <w:rFonts w:ascii="Calibri" w:hAnsi="Calibri"/>
        </w:rPr>
        <w:t>previous month</w:t>
      </w:r>
      <w:r w:rsidRPr="008258A4">
        <w:rPr>
          <w:rFonts w:ascii="Calibri" w:hAnsi="Calibri"/>
        </w:rPr>
        <w:t>.</w:t>
      </w:r>
    </w:p>
    <w:p w14:paraId="2704D7E0" w14:textId="77777777" w:rsidR="00C65183" w:rsidRPr="002D53C6" w:rsidRDefault="00C65183" w:rsidP="00C65183">
      <w:pPr>
        <w:jc w:val="both"/>
        <w:rPr>
          <w:rFonts w:ascii="Calibri" w:hAnsi="Calibri"/>
          <w:sz w:val="10"/>
          <w:szCs w:val="10"/>
        </w:rPr>
      </w:pPr>
    </w:p>
    <w:p w14:paraId="7FDA7DF8" w14:textId="77777777" w:rsidR="00C65183" w:rsidRPr="002D53C6" w:rsidRDefault="00C65183" w:rsidP="00C65183">
      <w:pPr>
        <w:jc w:val="both"/>
        <w:rPr>
          <w:rFonts w:ascii="Calibri" w:hAnsi="Calibri"/>
          <w:color w:val="7F7F7F" w:themeColor="text1" w:themeTint="80"/>
          <w:sz w:val="20"/>
          <w:szCs w:val="20"/>
        </w:rPr>
      </w:pPr>
      <w:r w:rsidRPr="002D53C6">
        <w:rPr>
          <w:rFonts w:ascii="Calibri" w:hAnsi="Calibri"/>
          <w:color w:val="7F7F7F" w:themeColor="text1" w:themeTint="80"/>
          <w:sz w:val="20"/>
          <w:szCs w:val="20"/>
        </w:rPr>
        <w:t xml:space="preserve">Prevalence of </w:t>
      </w:r>
      <w:r>
        <w:rPr>
          <w:rFonts w:ascii="Calibri" w:hAnsi="Calibri"/>
          <w:color w:val="7F7F7F" w:themeColor="text1" w:themeTint="80"/>
          <w:sz w:val="20"/>
          <w:szCs w:val="20"/>
        </w:rPr>
        <w:t>m</w:t>
      </w:r>
      <w:r w:rsidRPr="002D53C6">
        <w:rPr>
          <w:rFonts w:ascii="Calibri" w:hAnsi="Calibri"/>
          <w:color w:val="7F7F7F" w:themeColor="text1" w:themeTint="80"/>
          <w:sz w:val="20"/>
          <w:szCs w:val="20"/>
        </w:rPr>
        <w:t xml:space="preserve">onthly and </w:t>
      </w:r>
      <w:r>
        <w:rPr>
          <w:rFonts w:ascii="Calibri" w:hAnsi="Calibri"/>
          <w:color w:val="7F7F7F" w:themeColor="text1" w:themeTint="80"/>
          <w:sz w:val="20"/>
          <w:szCs w:val="20"/>
        </w:rPr>
        <w:t>l</w:t>
      </w:r>
      <w:r w:rsidRPr="002D53C6">
        <w:rPr>
          <w:rFonts w:ascii="Calibri" w:hAnsi="Calibri"/>
          <w:color w:val="7F7F7F" w:themeColor="text1" w:themeTint="80"/>
          <w:sz w:val="20"/>
          <w:szCs w:val="20"/>
        </w:rPr>
        <w:t xml:space="preserve">ifetime </w:t>
      </w:r>
      <w:r>
        <w:rPr>
          <w:rFonts w:ascii="Calibri" w:hAnsi="Calibri"/>
          <w:color w:val="7F7F7F" w:themeColor="text1" w:themeTint="80"/>
          <w:sz w:val="20"/>
          <w:szCs w:val="20"/>
        </w:rPr>
        <w:t>u</w:t>
      </w:r>
      <w:r w:rsidRPr="002D53C6">
        <w:rPr>
          <w:rFonts w:ascii="Calibri" w:hAnsi="Calibri"/>
          <w:color w:val="7F7F7F" w:themeColor="text1" w:themeTint="80"/>
          <w:sz w:val="20"/>
          <w:szCs w:val="20"/>
        </w:rPr>
        <w:t xml:space="preserve">se of </w:t>
      </w:r>
      <w:r>
        <w:rPr>
          <w:rFonts w:ascii="Calibri" w:hAnsi="Calibri"/>
          <w:color w:val="7F7F7F" w:themeColor="text1" w:themeTint="80"/>
          <w:sz w:val="20"/>
          <w:szCs w:val="20"/>
        </w:rPr>
        <w:t>i</w:t>
      </w:r>
      <w:r w:rsidRPr="002D53C6">
        <w:rPr>
          <w:rFonts w:ascii="Calibri" w:hAnsi="Calibri"/>
          <w:color w:val="7F7F7F" w:themeColor="text1" w:themeTint="80"/>
          <w:sz w:val="20"/>
          <w:szCs w:val="20"/>
        </w:rPr>
        <w:t xml:space="preserve">llicit </w:t>
      </w:r>
      <w:r>
        <w:rPr>
          <w:rFonts w:ascii="Calibri" w:hAnsi="Calibri"/>
          <w:color w:val="7F7F7F" w:themeColor="text1" w:themeTint="80"/>
          <w:sz w:val="20"/>
          <w:szCs w:val="20"/>
        </w:rPr>
        <w:t>d</w:t>
      </w:r>
      <w:r w:rsidRPr="002D53C6">
        <w:rPr>
          <w:rFonts w:ascii="Calibri" w:hAnsi="Calibri"/>
          <w:color w:val="7F7F7F" w:themeColor="text1" w:themeTint="80"/>
          <w:sz w:val="20"/>
          <w:szCs w:val="20"/>
        </w:rPr>
        <w:t>rugs</w:t>
      </w:r>
      <w:r>
        <w:rPr>
          <w:rFonts w:ascii="Calibri" w:hAnsi="Calibri"/>
          <w:color w:val="7F7F7F" w:themeColor="text1" w:themeTint="80"/>
          <w:sz w:val="20"/>
          <w:szCs w:val="20"/>
        </w:rPr>
        <w:t>:</w:t>
      </w:r>
      <w:r w:rsidRPr="002D53C6">
        <w:rPr>
          <w:rFonts w:ascii="Calibri" w:hAnsi="Calibri"/>
          <w:color w:val="7F7F7F" w:themeColor="text1" w:themeTint="80"/>
          <w:sz w:val="20"/>
          <w:szCs w:val="20"/>
        </w:rPr>
        <w:t xml:space="preserve"> persons 14+, Australia</w:t>
      </w:r>
      <w:r>
        <w:rPr>
          <w:rFonts w:ascii="Calibri" w:hAnsi="Calibri"/>
          <w:color w:val="7F7F7F" w:themeColor="text1" w:themeTint="80"/>
          <w:sz w:val="20"/>
          <w:szCs w:val="20"/>
        </w:rPr>
        <w:t>,</w:t>
      </w:r>
      <w:r w:rsidRPr="002D53C6">
        <w:rPr>
          <w:rFonts w:ascii="Calibri" w:hAnsi="Calibri"/>
          <w:color w:val="7F7F7F" w:themeColor="text1" w:themeTint="80"/>
          <w:sz w:val="20"/>
          <w:szCs w:val="20"/>
        </w:rPr>
        <w:t xml:space="preserve"> 2019</w:t>
      </w:r>
    </w:p>
    <w:p w14:paraId="7C1F8BE0" w14:textId="77777777" w:rsidR="00C65183" w:rsidRDefault="00C65183" w:rsidP="00C65183">
      <w:pPr>
        <w:spacing w:line="360" w:lineRule="auto"/>
        <w:jc w:val="both"/>
        <w:rPr>
          <w:rFonts w:ascii="Calibri" w:hAnsi="Calibri"/>
        </w:rPr>
      </w:pPr>
    </w:p>
    <w:p w14:paraId="61460915" w14:textId="77777777" w:rsidR="00C65183" w:rsidRDefault="00C65183" w:rsidP="00C65183">
      <w:pPr>
        <w:spacing w:line="360" w:lineRule="auto"/>
        <w:jc w:val="both"/>
        <w:rPr>
          <w:rFonts w:ascii="Calibri" w:hAnsi="Calibri"/>
        </w:rPr>
      </w:pPr>
    </w:p>
    <w:p w14:paraId="56D75C72" w14:textId="77777777" w:rsidR="00C65183" w:rsidRDefault="00C65183" w:rsidP="00C65183">
      <w:pPr>
        <w:spacing w:line="360" w:lineRule="auto"/>
        <w:jc w:val="both"/>
        <w:rPr>
          <w:rFonts w:ascii="Calibri" w:hAnsi="Calibri"/>
        </w:rPr>
      </w:pPr>
    </w:p>
    <w:p w14:paraId="1F0257E2" w14:textId="77777777" w:rsidR="00C65183" w:rsidRDefault="00C65183" w:rsidP="00C65183">
      <w:pPr>
        <w:spacing w:line="360" w:lineRule="auto"/>
        <w:jc w:val="both"/>
        <w:rPr>
          <w:rFonts w:ascii="Calibri" w:hAnsi="Calibri"/>
        </w:rPr>
      </w:pPr>
      <w:r>
        <w:rPr>
          <w:rFonts w:ascii="Calibri" w:hAnsi="Calibri"/>
          <w:noProof/>
        </w:rPr>
        <w:drawing>
          <wp:anchor distT="0" distB="0" distL="114300" distR="114300" simplePos="0" relativeHeight="251917312" behindDoc="0" locked="0" layoutInCell="1" allowOverlap="1" wp14:anchorId="76189D13" wp14:editId="294EE34E">
            <wp:simplePos x="0" y="0"/>
            <wp:positionH relativeFrom="column">
              <wp:posOffset>55880</wp:posOffset>
            </wp:positionH>
            <wp:positionV relativeFrom="paragraph">
              <wp:posOffset>2540</wp:posOffset>
            </wp:positionV>
            <wp:extent cx="3776345" cy="2451735"/>
            <wp:effectExtent l="0" t="0" r="0" b="5715"/>
            <wp:wrapSquare wrapText="bothSides"/>
            <wp:docPr id="476" name="Picture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3776345" cy="2451735"/>
                    </a:xfrm>
                    <a:prstGeom prst="rect">
                      <a:avLst/>
                    </a:prstGeom>
                    <a:noFill/>
                  </pic:spPr>
                </pic:pic>
              </a:graphicData>
            </a:graphic>
            <wp14:sizeRelH relativeFrom="page">
              <wp14:pctWidth>0</wp14:pctWidth>
            </wp14:sizeRelH>
            <wp14:sizeRelV relativeFrom="page">
              <wp14:pctHeight>0</wp14:pctHeight>
            </wp14:sizeRelV>
          </wp:anchor>
        </w:drawing>
      </w:r>
    </w:p>
    <w:p w14:paraId="37F2441B" w14:textId="77777777" w:rsidR="00C65183" w:rsidRDefault="00C65183" w:rsidP="00C65183">
      <w:pPr>
        <w:spacing w:line="360" w:lineRule="auto"/>
        <w:jc w:val="both"/>
        <w:rPr>
          <w:rFonts w:ascii="Calibri" w:hAnsi="Calibri"/>
        </w:rPr>
      </w:pPr>
    </w:p>
    <w:p w14:paraId="642B92D4" w14:textId="77777777" w:rsidR="00C65183" w:rsidRDefault="00C65183" w:rsidP="00C65183">
      <w:pPr>
        <w:spacing w:line="360" w:lineRule="auto"/>
        <w:jc w:val="both"/>
        <w:rPr>
          <w:rFonts w:ascii="Calibri" w:hAnsi="Calibri"/>
        </w:rPr>
      </w:pPr>
      <w:r>
        <w:rPr>
          <w:rFonts w:ascii="Calibri" w:hAnsi="Calibri"/>
        </w:rPr>
        <w:t>The proportion of people who had used illicit drugs in the previous month was highest among young adults and males.</w:t>
      </w:r>
    </w:p>
    <w:p w14:paraId="76ACB2BE" w14:textId="77777777" w:rsidR="00C65183" w:rsidRDefault="00C65183" w:rsidP="00C65183">
      <w:pPr>
        <w:jc w:val="both"/>
        <w:rPr>
          <w:rFonts w:ascii="Calibri" w:hAnsi="Calibri"/>
          <w:sz w:val="8"/>
          <w:szCs w:val="8"/>
        </w:rPr>
      </w:pPr>
    </w:p>
    <w:p w14:paraId="5A521A28" w14:textId="77777777" w:rsidR="00C65183" w:rsidRPr="00A47712" w:rsidRDefault="00C65183" w:rsidP="00C65183">
      <w:pPr>
        <w:jc w:val="both"/>
        <w:rPr>
          <w:rFonts w:ascii="Calibri" w:hAnsi="Calibri"/>
          <w:sz w:val="8"/>
          <w:szCs w:val="8"/>
        </w:rPr>
      </w:pPr>
    </w:p>
    <w:p w14:paraId="1AC2698B" w14:textId="77777777" w:rsidR="00C65183" w:rsidRPr="002D53C6" w:rsidRDefault="00C65183" w:rsidP="00C65183">
      <w:pPr>
        <w:jc w:val="both"/>
        <w:rPr>
          <w:rFonts w:ascii="Calibri" w:hAnsi="Calibri"/>
          <w:color w:val="7F7F7F" w:themeColor="text1" w:themeTint="80"/>
          <w:sz w:val="20"/>
          <w:szCs w:val="20"/>
        </w:rPr>
      </w:pPr>
      <w:r w:rsidRPr="002D53C6">
        <w:rPr>
          <w:rFonts w:ascii="Calibri" w:hAnsi="Calibri"/>
          <w:color w:val="7F7F7F" w:themeColor="text1" w:themeTint="80"/>
          <w:sz w:val="20"/>
          <w:szCs w:val="20"/>
        </w:rPr>
        <w:t xml:space="preserve">Prevalence of </w:t>
      </w:r>
      <w:r>
        <w:rPr>
          <w:rFonts w:ascii="Calibri" w:hAnsi="Calibri"/>
          <w:color w:val="7F7F7F" w:themeColor="text1" w:themeTint="80"/>
          <w:sz w:val="20"/>
          <w:szCs w:val="20"/>
        </w:rPr>
        <w:t>the</w:t>
      </w:r>
      <w:r w:rsidRPr="002D53C6">
        <w:rPr>
          <w:rFonts w:ascii="Calibri" w:hAnsi="Calibri"/>
          <w:color w:val="7F7F7F" w:themeColor="text1" w:themeTint="80"/>
          <w:sz w:val="20"/>
          <w:szCs w:val="20"/>
        </w:rPr>
        <w:t xml:space="preserve"> </w:t>
      </w:r>
      <w:r>
        <w:rPr>
          <w:rFonts w:ascii="Calibri" w:hAnsi="Calibri"/>
          <w:color w:val="7F7F7F" w:themeColor="text1" w:themeTint="80"/>
          <w:sz w:val="20"/>
          <w:szCs w:val="20"/>
        </w:rPr>
        <w:t>u</w:t>
      </w:r>
      <w:r w:rsidRPr="002D53C6">
        <w:rPr>
          <w:rFonts w:ascii="Calibri" w:hAnsi="Calibri"/>
          <w:color w:val="7F7F7F" w:themeColor="text1" w:themeTint="80"/>
          <w:sz w:val="20"/>
          <w:szCs w:val="20"/>
        </w:rPr>
        <w:t xml:space="preserve">se of </w:t>
      </w:r>
      <w:r>
        <w:rPr>
          <w:rFonts w:ascii="Calibri" w:hAnsi="Calibri"/>
          <w:color w:val="7F7F7F" w:themeColor="text1" w:themeTint="80"/>
          <w:sz w:val="20"/>
          <w:szCs w:val="20"/>
        </w:rPr>
        <w:t>i</w:t>
      </w:r>
      <w:r w:rsidRPr="002D53C6">
        <w:rPr>
          <w:rFonts w:ascii="Calibri" w:hAnsi="Calibri"/>
          <w:color w:val="7F7F7F" w:themeColor="text1" w:themeTint="80"/>
          <w:sz w:val="20"/>
          <w:szCs w:val="20"/>
        </w:rPr>
        <w:t xml:space="preserve">llicit </w:t>
      </w:r>
      <w:r>
        <w:rPr>
          <w:rFonts w:ascii="Calibri" w:hAnsi="Calibri"/>
          <w:color w:val="7F7F7F" w:themeColor="text1" w:themeTint="80"/>
          <w:sz w:val="20"/>
          <w:szCs w:val="20"/>
        </w:rPr>
        <w:t>d</w:t>
      </w:r>
      <w:r w:rsidRPr="002D53C6">
        <w:rPr>
          <w:rFonts w:ascii="Calibri" w:hAnsi="Calibri"/>
          <w:color w:val="7F7F7F" w:themeColor="text1" w:themeTint="80"/>
          <w:sz w:val="20"/>
          <w:szCs w:val="20"/>
        </w:rPr>
        <w:t>rugs</w:t>
      </w:r>
      <w:r>
        <w:rPr>
          <w:rFonts w:ascii="Calibri" w:hAnsi="Calibri"/>
          <w:color w:val="7F7F7F" w:themeColor="text1" w:themeTint="80"/>
          <w:sz w:val="20"/>
          <w:szCs w:val="20"/>
        </w:rPr>
        <w:t xml:space="preserve"> during the previous month by sex and age:</w:t>
      </w:r>
      <w:r w:rsidRPr="002D53C6">
        <w:rPr>
          <w:rFonts w:ascii="Calibri" w:hAnsi="Calibri"/>
          <w:color w:val="7F7F7F" w:themeColor="text1" w:themeTint="80"/>
          <w:sz w:val="20"/>
          <w:szCs w:val="20"/>
        </w:rPr>
        <w:t xml:space="preserve"> Australia</w:t>
      </w:r>
      <w:r>
        <w:rPr>
          <w:rFonts w:ascii="Calibri" w:hAnsi="Calibri"/>
          <w:color w:val="7F7F7F" w:themeColor="text1" w:themeTint="80"/>
          <w:sz w:val="20"/>
          <w:szCs w:val="20"/>
        </w:rPr>
        <w:t>,</w:t>
      </w:r>
      <w:r w:rsidRPr="002D53C6">
        <w:rPr>
          <w:rFonts w:ascii="Calibri" w:hAnsi="Calibri"/>
          <w:color w:val="7F7F7F" w:themeColor="text1" w:themeTint="80"/>
          <w:sz w:val="20"/>
          <w:szCs w:val="20"/>
        </w:rPr>
        <w:t xml:space="preserve"> 2019</w:t>
      </w:r>
    </w:p>
    <w:p w14:paraId="2F57BA63" w14:textId="77777777" w:rsidR="00C65183" w:rsidRDefault="00C65183" w:rsidP="00C65183">
      <w:pPr>
        <w:jc w:val="both"/>
        <w:rPr>
          <w:rFonts w:ascii="Calibri" w:hAnsi="Calibri"/>
          <w:sz w:val="8"/>
          <w:szCs w:val="8"/>
        </w:rPr>
      </w:pPr>
    </w:p>
    <w:p w14:paraId="539626FB" w14:textId="77777777" w:rsidR="00C65183" w:rsidRPr="00A47712" w:rsidRDefault="00C65183" w:rsidP="00C65183">
      <w:pPr>
        <w:jc w:val="both"/>
        <w:rPr>
          <w:rFonts w:ascii="Calibri" w:hAnsi="Calibri"/>
          <w:sz w:val="8"/>
          <w:szCs w:val="8"/>
        </w:rPr>
      </w:pPr>
    </w:p>
    <w:p w14:paraId="42623BCE" w14:textId="77777777" w:rsidR="00C65183" w:rsidRDefault="00C65183" w:rsidP="00C65183">
      <w:pPr>
        <w:spacing w:line="360" w:lineRule="auto"/>
        <w:jc w:val="both"/>
        <w:rPr>
          <w:rFonts w:ascii="Calibri" w:hAnsi="Calibri"/>
        </w:rPr>
      </w:pPr>
    </w:p>
    <w:p w14:paraId="4D9D38C2" w14:textId="77777777" w:rsidR="00C65183" w:rsidRDefault="00C65183" w:rsidP="00C65183">
      <w:pPr>
        <w:spacing w:line="360" w:lineRule="auto"/>
        <w:jc w:val="both"/>
        <w:rPr>
          <w:rFonts w:ascii="Calibri" w:hAnsi="Calibri"/>
        </w:rPr>
      </w:pPr>
    </w:p>
    <w:p w14:paraId="23974C09" w14:textId="77777777" w:rsidR="00C65183" w:rsidRDefault="00C65183" w:rsidP="00C65183">
      <w:pPr>
        <w:spacing w:line="360" w:lineRule="auto"/>
        <w:jc w:val="both"/>
        <w:rPr>
          <w:rFonts w:ascii="Calibri" w:hAnsi="Calibri"/>
        </w:rPr>
      </w:pPr>
    </w:p>
    <w:p w14:paraId="7E4CBBC6" w14:textId="77777777" w:rsidR="00C65183" w:rsidRDefault="00C65183" w:rsidP="00C65183">
      <w:pPr>
        <w:spacing w:line="360" w:lineRule="auto"/>
        <w:jc w:val="both"/>
        <w:rPr>
          <w:rFonts w:ascii="Calibri" w:hAnsi="Calibri"/>
        </w:rPr>
      </w:pPr>
      <w:r>
        <w:rPr>
          <w:rFonts w:ascii="Calibri" w:hAnsi="Calibri"/>
          <w:noProof/>
        </w:rPr>
        <w:drawing>
          <wp:anchor distT="0" distB="0" distL="114300" distR="114300" simplePos="0" relativeHeight="251925504" behindDoc="0" locked="0" layoutInCell="1" allowOverlap="1" wp14:anchorId="5272F57C" wp14:editId="1F408132">
            <wp:simplePos x="0" y="0"/>
            <wp:positionH relativeFrom="column">
              <wp:posOffset>2355850</wp:posOffset>
            </wp:positionH>
            <wp:positionV relativeFrom="paragraph">
              <wp:posOffset>278130</wp:posOffset>
            </wp:positionV>
            <wp:extent cx="3768090" cy="2342515"/>
            <wp:effectExtent l="0" t="0" r="3810" b="635"/>
            <wp:wrapSquare wrapText="bothSides"/>
            <wp:docPr id="477" name="Picture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3768090" cy="2342515"/>
                    </a:xfrm>
                    <a:prstGeom prst="rect">
                      <a:avLst/>
                    </a:prstGeom>
                    <a:noFill/>
                  </pic:spPr>
                </pic:pic>
              </a:graphicData>
            </a:graphic>
            <wp14:sizeRelH relativeFrom="page">
              <wp14:pctWidth>0</wp14:pctWidth>
            </wp14:sizeRelH>
            <wp14:sizeRelV relativeFrom="page">
              <wp14:pctHeight>0</wp14:pctHeight>
            </wp14:sizeRelV>
          </wp:anchor>
        </w:drawing>
      </w:r>
      <w:r w:rsidRPr="00A47712">
        <w:rPr>
          <w:rFonts w:ascii="Calibri" w:hAnsi="Calibri"/>
        </w:rPr>
        <w:t xml:space="preserve">The </w:t>
      </w:r>
      <w:r>
        <w:rPr>
          <w:rFonts w:ascii="Calibri" w:hAnsi="Calibri"/>
        </w:rPr>
        <w:t>prevalence of</w:t>
      </w:r>
      <w:r w:rsidRPr="00A47712">
        <w:rPr>
          <w:rFonts w:ascii="Calibri" w:hAnsi="Calibri"/>
        </w:rPr>
        <w:t xml:space="preserve"> illicit drug</w:t>
      </w:r>
      <w:r>
        <w:rPr>
          <w:rFonts w:ascii="Calibri" w:hAnsi="Calibri"/>
        </w:rPr>
        <w:t xml:space="preserve"> use</w:t>
      </w:r>
      <w:r w:rsidRPr="00A47712">
        <w:rPr>
          <w:rFonts w:ascii="Calibri" w:hAnsi="Calibri"/>
        </w:rPr>
        <w:t xml:space="preserve"> was </w:t>
      </w:r>
      <w:r>
        <w:rPr>
          <w:rFonts w:ascii="Calibri" w:hAnsi="Calibri"/>
        </w:rPr>
        <w:t xml:space="preserve">also </w:t>
      </w:r>
      <w:r w:rsidRPr="00A47712">
        <w:rPr>
          <w:rFonts w:ascii="Calibri" w:hAnsi="Calibri"/>
        </w:rPr>
        <w:t xml:space="preserve">slightly higher among </w:t>
      </w:r>
      <w:r>
        <w:rPr>
          <w:rFonts w:ascii="Calibri" w:hAnsi="Calibri"/>
        </w:rPr>
        <w:t>people</w:t>
      </w:r>
      <w:r w:rsidRPr="00A47712">
        <w:rPr>
          <w:rFonts w:ascii="Calibri" w:hAnsi="Calibri"/>
        </w:rPr>
        <w:t xml:space="preserve"> with limited formal education, those who were unemployed and those living in less affluent localities.</w:t>
      </w:r>
      <w:r>
        <w:rPr>
          <w:rFonts w:ascii="Calibri" w:hAnsi="Calibri"/>
        </w:rPr>
        <w:t xml:space="preserve"> The highest</w:t>
      </w:r>
      <w:r w:rsidRPr="00A47712">
        <w:rPr>
          <w:rFonts w:ascii="Calibri" w:hAnsi="Calibri"/>
        </w:rPr>
        <w:t xml:space="preserve"> rates of use of illicit drugs in the previous 12 months though</w:t>
      </w:r>
      <w:r>
        <w:rPr>
          <w:rFonts w:ascii="Calibri" w:hAnsi="Calibri"/>
        </w:rPr>
        <w:t>,</w:t>
      </w:r>
      <w:r w:rsidRPr="00A47712">
        <w:rPr>
          <w:rFonts w:ascii="Calibri" w:hAnsi="Calibri"/>
        </w:rPr>
        <w:t xml:space="preserve"> were recorded among indigenous people</w:t>
      </w:r>
      <w:r>
        <w:rPr>
          <w:rFonts w:ascii="Calibri" w:hAnsi="Calibri"/>
        </w:rPr>
        <w:t xml:space="preserve"> and</w:t>
      </w:r>
      <w:r w:rsidRPr="00A47712">
        <w:rPr>
          <w:rFonts w:ascii="Calibri" w:hAnsi="Calibri"/>
        </w:rPr>
        <w:t xml:space="preserve"> homosexual</w:t>
      </w:r>
      <w:r>
        <w:rPr>
          <w:rFonts w:ascii="Calibri" w:hAnsi="Calibri"/>
        </w:rPr>
        <w:t xml:space="preserve"> or bisexual individuals (diagram, right)</w:t>
      </w:r>
      <w:r w:rsidRPr="00A47712">
        <w:rPr>
          <w:rFonts w:ascii="Calibri" w:hAnsi="Calibri"/>
        </w:rPr>
        <w:t>.</w:t>
      </w:r>
    </w:p>
    <w:p w14:paraId="60CC9835" w14:textId="77777777" w:rsidR="00C65183" w:rsidRPr="003F2584" w:rsidRDefault="00C65183" w:rsidP="00C65183">
      <w:pPr>
        <w:spacing w:line="360" w:lineRule="auto"/>
        <w:jc w:val="both"/>
        <w:rPr>
          <w:rFonts w:ascii="Calibri" w:hAnsi="Calibri"/>
          <w:sz w:val="8"/>
          <w:szCs w:val="8"/>
        </w:rPr>
      </w:pPr>
    </w:p>
    <w:p w14:paraId="23F81E12" w14:textId="77777777" w:rsidR="00C65183" w:rsidRPr="002D53C6" w:rsidRDefault="00C65183" w:rsidP="00C65183">
      <w:pPr>
        <w:jc w:val="both"/>
        <w:rPr>
          <w:rFonts w:ascii="Calibri" w:hAnsi="Calibri"/>
          <w:color w:val="7F7F7F" w:themeColor="text1" w:themeTint="80"/>
          <w:sz w:val="20"/>
          <w:szCs w:val="20"/>
        </w:rPr>
      </w:pPr>
      <w:r w:rsidRPr="002D53C6">
        <w:rPr>
          <w:rFonts w:ascii="Calibri" w:hAnsi="Calibri"/>
          <w:color w:val="7F7F7F" w:themeColor="text1" w:themeTint="80"/>
          <w:sz w:val="20"/>
          <w:szCs w:val="20"/>
        </w:rPr>
        <w:t xml:space="preserve">Prevalence of </w:t>
      </w:r>
      <w:r>
        <w:rPr>
          <w:rFonts w:ascii="Calibri" w:hAnsi="Calibri"/>
          <w:color w:val="7F7F7F" w:themeColor="text1" w:themeTint="80"/>
          <w:sz w:val="20"/>
          <w:szCs w:val="20"/>
        </w:rPr>
        <w:t>the</w:t>
      </w:r>
      <w:r w:rsidRPr="002D53C6">
        <w:rPr>
          <w:rFonts w:ascii="Calibri" w:hAnsi="Calibri"/>
          <w:color w:val="7F7F7F" w:themeColor="text1" w:themeTint="80"/>
          <w:sz w:val="20"/>
          <w:szCs w:val="20"/>
        </w:rPr>
        <w:t xml:space="preserve"> </w:t>
      </w:r>
      <w:r>
        <w:rPr>
          <w:rFonts w:ascii="Calibri" w:hAnsi="Calibri"/>
          <w:color w:val="7F7F7F" w:themeColor="text1" w:themeTint="80"/>
          <w:sz w:val="20"/>
          <w:szCs w:val="20"/>
        </w:rPr>
        <w:t>u</w:t>
      </w:r>
      <w:r w:rsidRPr="002D53C6">
        <w:rPr>
          <w:rFonts w:ascii="Calibri" w:hAnsi="Calibri"/>
          <w:color w:val="7F7F7F" w:themeColor="text1" w:themeTint="80"/>
          <w:sz w:val="20"/>
          <w:szCs w:val="20"/>
        </w:rPr>
        <w:t xml:space="preserve">se of </w:t>
      </w:r>
      <w:r>
        <w:rPr>
          <w:rFonts w:ascii="Calibri" w:hAnsi="Calibri"/>
          <w:color w:val="7F7F7F" w:themeColor="text1" w:themeTint="80"/>
          <w:sz w:val="20"/>
          <w:szCs w:val="20"/>
        </w:rPr>
        <w:t>i</w:t>
      </w:r>
      <w:r w:rsidRPr="002D53C6">
        <w:rPr>
          <w:rFonts w:ascii="Calibri" w:hAnsi="Calibri"/>
          <w:color w:val="7F7F7F" w:themeColor="text1" w:themeTint="80"/>
          <w:sz w:val="20"/>
          <w:szCs w:val="20"/>
        </w:rPr>
        <w:t xml:space="preserve">llicit </w:t>
      </w:r>
      <w:r>
        <w:rPr>
          <w:rFonts w:ascii="Calibri" w:hAnsi="Calibri"/>
          <w:color w:val="7F7F7F" w:themeColor="text1" w:themeTint="80"/>
          <w:sz w:val="20"/>
          <w:szCs w:val="20"/>
        </w:rPr>
        <w:t>d</w:t>
      </w:r>
      <w:r w:rsidRPr="002D53C6">
        <w:rPr>
          <w:rFonts w:ascii="Calibri" w:hAnsi="Calibri"/>
          <w:color w:val="7F7F7F" w:themeColor="text1" w:themeTint="80"/>
          <w:sz w:val="20"/>
          <w:szCs w:val="20"/>
        </w:rPr>
        <w:t>rugs</w:t>
      </w:r>
      <w:r>
        <w:rPr>
          <w:rFonts w:ascii="Calibri" w:hAnsi="Calibri"/>
          <w:color w:val="7F7F7F" w:themeColor="text1" w:themeTint="80"/>
          <w:sz w:val="20"/>
          <w:szCs w:val="20"/>
        </w:rPr>
        <w:t xml:space="preserve"> during the previous month by selected social characteristics:</w:t>
      </w:r>
      <w:r w:rsidRPr="002D53C6">
        <w:rPr>
          <w:rFonts w:ascii="Calibri" w:hAnsi="Calibri"/>
          <w:color w:val="7F7F7F" w:themeColor="text1" w:themeTint="80"/>
          <w:sz w:val="20"/>
          <w:szCs w:val="20"/>
        </w:rPr>
        <w:t xml:space="preserve"> Australia</w:t>
      </w:r>
      <w:r>
        <w:rPr>
          <w:rFonts w:ascii="Calibri" w:hAnsi="Calibri"/>
          <w:color w:val="7F7F7F" w:themeColor="text1" w:themeTint="80"/>
          <w:sz w:val="20"/>
          <w:szCs w:val="20"/>
        </w:rPr>
        <w:t>,</w:t>
      </w:r>
      <w:r w:rsidRPr="002D53C6">
        <w:rPr>
          <w:rFonts w:ascii="Calibri" w:hAnsi="Calibri"/>
          <w:color w:val="7F7F7F" w:themeColor="text1" w:themeTint="80"/>
          <w:sz w:val="20"/>
          <w:szCs w:val="20"/>
        </w:rPr>
        <w:t xml:space="preserve"> 2019</w:t>
      </w:r>
    </w:p>
    <w:p w14:paraId="00A652D6" w14:textId="77777777" w:rsidR="00C65183" w:rsidRDefault="00C65183" w:rsidP="00C65183">
      <w:pPr>
        <w:spacing w:line="360" w:lineRule="auto"/>
        <w:jc w:val="both"/>
        <w:rPr>
          <w:rFonts w:ascii="Calibri" w:hAnsi="Calibri"/>
        </w:rPr>
      </w:pPr>
    </w:p>
    <w:p w14:paraId="07C49B5C" w14:textId="77777777" w:rsidR="00C65183" w:rsidRDefault="00C65183" w:rsidP="00C65183">
      <w:pPr>
        <w:spacing w:line="360" w:lineRule="auto"/>
        <w:jc w:val="both"/>
        <w:rPr>
          <w:rFonts w:ascii="Calibri" w:hAnsi="Calibri"/>
        </w:rPr>
      </w:pPr>
      <w:r>
        <w:rPr>
          <w:rFonts w:ascii="Calibri" w:hAnsi="Calibri"/>
          <w:noProof/>
        </w:rPr>
        <w:lastRenderedPageBreak/>
        <w:drawing>
          <wp:anchor distT="0" distB="0" distL="114300" distR="114300" simplePos="0" relativeHeight="251918336" behindDoc="0" locked="0" layoutInCell="1" allowOverlap="1" wp14:anchorId="08A92B44" wp14:editId="5CED89D9">
            <wp:simplePos x="0" y="0"/>
            <wp:positionH relativeFrom="column">
              <wp:posOffset>2010410</wp:posOffset>
            </wp:positionH>
            <wp:positionV relativeFrom="paragraph">
              <wp:posOffset>-296545</wp:posOffset>
            </wp:positionV>
            <wp:extent cx="4109085" cy="3524250"/>
            <wp:effectExtent l="0" t="0" r="5715" b="0"/>
            <wp:wrapSquare wrapText="bothSides"/>
            <wp:docPr id="478" name="Picture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4109085" cy="3524250"/>
                    </a:xfrm>
                    <a:prstGeom prst="rect">
                      <a:avLst/>
                    </a:prstGeom>
                    <a:noFill/>
                  </pic:spPr>
                </pic:pic>
              </a:graphicData>
            </a:graphic>
            <wp14:sizeRelH relativeFrom="page">
              <wp14:pctWidth>0</wp14:pctWidth>
            </wp14:sizeRelH>
            <wp14:sizeRelV relativeFrom="page">
              <wp14:pctHeight>0</wp14:pctHeight>
            </wp14:sizeRelV>
          </wp:anchor>
        </w:drawing>
      </w:r>
      <w:r>
        <w:rPr>
          <w:rFonts w:ascii="Calibri" w:hAnsi="Calibri"/>
        </w:rPr>
        <w:t>Aside from pharmaceuticals the illicit drugs most widely used in the previous month were cannabis, cocaine and ecstasy.</w:t>
      </w:r>
    </w:p>
    <w:p w14:paraId="1C88D412" w14:textId="77777777" w:rsidR="00C65183" w:rsidRDefault="00C65183" w:rsidP="00C65183">
      <w:pPr>
        <w:spacing w:line="360" w:lineRule="auto"/>
        <w:jc w:val="both"/>
        <w:rPr>
          <w:rFonts w:ascii="Calibri" w:hAnsi="Calibri"/>
        </w:rPr>
      </w:pPr>
      <w:r>
        <w:rPr>
          <w:rFonts w:ascii="Calibri" w:hAnsi="Calibri"/>
        </w:rPr>
        <w:t>Pain relieving drugs and tranquillizers were the most popular pharmaceutical drugs – illustrated in blue in the accompanying chart.</w:t>
      </w:r>
    </w:p>
    <w:p w14:paraId="483C65A2" w14:textId="77777777" w:rsidR="00C65183" w:rsidRPr="002D53C6" w:rsidRDefault="00C65183" w:rsidP="00C65183">
      <w:pPr>
        <w:spacing w:line="360" w:lineRule="auto"/>
        <w:jc w:val="both"/>
        <w:rPr>
          <w:rFonts w:ascii="Calibri" w:hAnsi="Calibri"/>
          <w:sz w:val="8"/>
          <w:szCs w:val="8"/>
        </w:rPr>
      </w:pPr>
    </w:p>
    <w:p w14:paraId="5013C4B1" w14:textId="77777777" w:rsidR="00C65183" w:rsidRPr="00E3487A" w:rsidRDefault="00C65183" w:rsidP="00C65183">
      <w:pPr>
        <w:spacing w:line="360" w:lineRule="auto"/>
        <w:jc w:val="both"/>
        <w:rPr>
          <w:rFonts w:ascii="Calibri" w:hAnsi="Calibri"/>
          <w:sz w:val="6"/>
          <w:szCs w:val="6"/>
        </w:rPr>
      </w:pPr>
    </w:p>
    <w:p w14:paraId="216D8B60" w14:textId="77777777" w:rsidR="00C65183" w:rsidRDefault="00C65183" w:rsidP="00C65183">
      <w:pPr>
        <w:jc w:val="both"/>
        <w:rPr>
          <w:rFonts w:ascii="Calibri" w:hAnsi="Calibri"/>
          <w:color w:val="7F7F7F" w:themeColor="text1" w:themeTint="80"/>
          <w:sz w:val="20"/>
          <w:szCs w:val="20"/>
        </w:rPr>
      </w:pPr>
      <w:r w:rsidRPr="002D53C6">
        <w:rPr>
          <w:rFonts w:ascii="Calibri" w:hAnsi="Calibri"/>
          <w:color w:val="7F7F7F" w:themeColor="text1" w:themeTint="80"/>
          <w:sz w:val="20"/>
          <w:szCs w:val="20"/>
        </w:rPr>
        <w:t xml:space="preserve">Prevalence of </w:t>
      </w:r>
      <w:r>
        <w:rPr>
          <w:rFonts w:ascii="Calibri" w:hAnsi="Calibri"/>
          <w:color w:val="7F7F7F" w:themeColor="text1" w:themeTint="80"/>
          <w:sz w:val="20"/>
          <w:szCs w:val="20"/>
        </w:rPr>
        <w:t>the</w:t>
      </w:r>
      <w:r w:rsidRPr="002D53C6">
        <w:rPr>
          <w:rFonts w:ascii="Calibri" w:hAnsi="Calibri"/>
          <w:color w:val="7F7F7F" w:themeColor="text1" w:themeTint="80"/>
          <w:sz w:val="20"/>
          <w:szCs w:val="20"/>
        </w:rPr>
        <w:t xml:space="preserve"> </w:t>
      </w:r>
      <w:r>
        <w:rPr>
          <w:rFonts w:ascii="Calibri" w:hAnsi="Calibri"/>
          <w:color w:val="7F7F7F" w:themeColor="text1" w:themeTint="80"/>
          <w:sz w:val="20"/>
          <w:szCs w:val="20"/>
        </w:rPr>
        <w:t>u</w:t>
      </w:r>
      <w:r w:rsidRPr="002D53C6">
        <w:rPr>
          <w:rFonts w:ascii="Calibri" w:hAnsi="Calibri"/>
          <w:color w:val="7F7F7F" w:themeColor="text1" w:themeTint="80"/>
          <w:sz w:val="20"/>
          <w:szCs w:val="20"/>
        </w:rPr>
        <w:t xml:space="preserve">se of </w:t>
      </w:r>
      <w:r>
        <w:rPr>
          <w:rFonts w:ascii="Calibri" w:hAnsi="Calibri"/>
          <w:color w:val="7F7F7F" w:themeColor="text1" w:themeTint="80"/>
          <w:sz w:val="20"/>
          <w:szCs w:val="20"/>
        </w:rPr>
        <w:t>i</w:t>
      </w:r>
      <w:r w:rsidRPr="002D53C6">
        <w:rPr>
          <w:rFonts w:ascii="Calibri" w:hAnsi="Calibri"/>
          <w:color w:val="7F7F7F" w:themeColor="text1" w:themeTint="80"/>
          <w:sz w:val="20"/>
          <w:szCs w:val="20"/>
        </w:rPr>
        <w:t xml:space="preserve">llicit </w:t>
      </w:r>
      <w:r>
        <w:rPr>
          <w:rFonts w:ascii="Calibri" w:hAnsi="Calibri"/>
          <w:color w:val="7F7F7F" w:themeColor="text1" w:themeTint="80"/>
          <w:sz w:val="20"/>
          <w:szCs w:val="20"/>
        </w:rPr>
        <w:t>d</w:t>
      </w:r>
      <w:r w:rsidRPr="002D53C6">
        <w:rPr>
          <w:rFonts w:ascii="Calibri" w:hAnsi="Calibri"/>
          <w:color w:val="7F7F7F" w:themeColor="text1" w:themeTint="80"/>
          <w:sz w:val="20"/>
          <w:szCs w:val="20"/>
        </w:rPr>
        <w:t>rugs</w:t>
      </w:r>
      <w:r>
        <w:rPr>
          <w:rFonts w:ascii="Calibri" w:hAnsi="Calibri"/>
          <w:color w:val="7F7F7F" w:themeColor="text1" w:themeTint="80"/>
          <w:sz w:val="20"/>
          <w:szCs w:val="20"/>
        </w:rPr>
        <w:t xml:space="preserve"> during the previous month, by drug category: persons aged 14+</w:t>
      </w:r>
      <w:r w:rsidRPr="002D53C6">
        <w:rPr>
          <w:rFonts w:ascii="Calibri" w:hAnsi="Calibri"/>
          <w:color w:val="7F7F7F" w:themeColor="text1" w:themeTint="80"/>
          <w:sz w:val="20"/>
          <w:szCs w:val="20"/>
        </w:rPr>
        <w:t>, Australia</w:t>
      </w:r>
      <w:r>
        <w:rPr>
          <w:rFonts w:ascii="Calibri" w:hAnsi="Calibri"/>
          <w:color w:val="7F7F7F" w:themeColor="text1" w:themeTint="80"/>
          <w:sz w:val="20"/>
          <w:szCs w:val="20"/>
        </w:rPr>
        <w:t>,</w:t>
      </w:r>
      <w:r w:rsidRPr="002D53C6">
        <w:rPr>
          <w:rFonts w:ascii="Calibri" w:hAnsi="Calibri"/>
          <w:color w:val="7F7F7F" w:themeColor="text1" w:themeTint="80"/>
          <w:sz w:val="20"/>
          <w:szCs w:val="20"/>
        </w:rPr>
        <w:t xml:space="preserve"> 2019</w:t>
      </w:r>
    </w:p>
    <w:p w14:paraId="0288A9E3" w14:textId="77777777" w:rsidR="00C65183" w:rsidRDefault="00C65183" w:rsidP="00C65183">
      <w:pPr>
        <w:jc w:val="both"/>
        <w:rPr>
          <w:rFonts w:ascii="Calibri" w:hAnsi="Calibri"/>
          <w:color w:val="7F7F7F" w:themeColor="text1" w:themeTint="80"/>
          <w:sz w:val="20"/>
          <w:szCs w:val="20"/>
        </w:rPr>
      </w:pPr>
    </w:p>
    <w:p w14:paraId="4FEA0BEE" w14:textId="77777777" w:rsidR="00C65183" w:rsidRDefault="00C65183" w:rsidP="00C65183">
      <w:pPr>
        <w:jc w:val="both"/>
        <w:rPr>
          <w:rFonts w:ascii="Calibri" w:hAnsi="Calibri"/>
          <w:color w:val="7F7F7F" w:themeColor="text1" w:themeTint="80"/>
          <w:sz w:val="20"/>
          <w:szCs w:val="20"/>
        </w:rPr>
      </w:pPr>
    </w:p>
    <w:p w14:paraId="60D89895" w14:textId="77777777" w:rsidR="00C65183" w:rsidRDefault="00C65183" w:rsidP="00C65183">
      <w:pPr>
        <w:jc w:val="both"/>
        <w:rPr>
          <w:rFonts w:ascii="Calibri" w:hAnsi="Calibri"/>
          <w:color w:val="7F7F7F" w:themeColor="text1" w:themeTint="80"/>
          <w:sz w:val="20"/>
          <w:szCs w:val="20"/>
        </w:rPr>
      </w:pPr>
      <w:r>
        <w:rPr>
          <w:rFonts w:ascii="Calibri" w:hAnsi="Calibri"/>
          <w:noProof/>
        </w:rPr>
        <w:drawing>
          <wp:anchor distT="0" distB="0" distL="114300" distR="114300" simplePos="0" relativeHeight="251919360" behindDoc="0" locked="0" layoutInCell="1" allowOverlap="1" wp14:anchorId="1FCE21E0" wp14:editId="41F65243">
            <wp:simplePos x="0" y="0"/>
            <wp:positionH relativeFrom="column">
              <wp:posOffset>-20320</wp:posOffset>
            </wp:positionH>
            <wp:positionV relativeFrom="paragraph">
              <wp:posOffset>172720</wp:posOffset>
            </wp:positionV>
            <wp:extent cx="3395345" cy="2673985"/>
            <wp:effectExtent l="0" t="0" r="0" b="0"/>
            <wp:wrapSquare wrapText="bothSides"/>
            <wp:docPr id="479" name="Picture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3395345" cy="2673985"/>
                    </a:xfrm>
                    <a:prstGeom prst="rect">
                      <a:avLst/>
                    </a:prstGeom>
                    <a:noFill/>
                  </pic:spPr>
                </pic:pic>
              </a:graphicData>
            </a:graphic>
            <wp14:sizeRelH relativeFrom="page">
              <wp14:pctWidth>0</wp14:pctWidth>
            </wp14:sizeRelH>
            <wp14:sizeRelV relativeFrom="page">
              <wp14:pctHeight>0</wp14:pctHeight>
            </wp14:sizeRelV>
          </wp:anchor>
        </w:drawing>
      </w:r>
    </w:p>
    <w:p w14:paraId="706264EB" w14:textId="77777777" w:rsidR="00C65183" w:rsidRDefault="00C65183" w:rsidP="00C65183">
      <w:pPr>
        <w:jc w:val="both"/>
        <w:rPr>
          <w:rFonts w:ascii="Calibri" w:hAnsi="Calibri"/>
          <w:color w:val="7F7F7F" w:themeColor="text1" w:themeTint="80"/>
          <w:sz w:val="20"/>
          <w:szCs w:val="20"/>
        </w:rPr>
      </w:pPr>
    </w:p>
    <w:p w14:paraId="09C66E94" w14:textId="77777777" w:rsidR="00C65183" w:rsidRDefault="00C65183" w:rsidP="00C65183">
      <w:pPr>
        <w:jc w:val="both"/>
        <w:rPr>
          <w:rFonts w:ascii="Calibri" w:hAnsi="Calibri"/>
          <w:color w:val="7F7F7F" w:themeColor="text1" w:themeTint="80"/>
          <w:sz w:val="20"/>
          <w:szCs w:val="20"/>
        </w:rPr>
      </w:pPr>
    </w:p>
    <w:p w14:paraId="1C8CEA20" w14:textId="77777777" w:rsidR="00C65183" w:rsidRPr="002D53C6" w:rsidRDefault="00C65183" w:rsidP="00C65183">
      <w:pPr>
        <w:jc w:val="both"/>
        <w:rPr>
          <w:rFonts w:ascii="Calibri" w:hAnsi="Calibri"/>
          <w:color w:val="7F7F7F" w:themeColor="text1" w:themeTint="80"/>
          <w:sz w:val="20"/>
          <w:szCs w:val="20"/>
        </w:rPr>
      </w:pPr>
    </w:p>
    <w:p w14:paraId="64FE969A" w14:textId="77777777" w:rsidR="00C65183" w:rsidRPr="00E3487A" w:rsidRDefault="00C65183" w:rsidP="00C65183">
      <w:pPr>
        <w:spacing w:line="360" w:lineRule="auto"/>
        <w:jc w:val="both"/>
        <w:rPr>
          <w:rFonts w:ascii="Calibri" w:hAnsi="Calibri"/>
          <w:sz w:val="6"/>
          <w:szCs w:val="6"/>
        </w:rPr>
      </w:pPr>
    </w:p>
    <w:p w14:paraId="15E48F01" w14:textId="77777777" w:rsidR="00C65183" w:rsidRDefault="00C65183" w:rsidP="00C65183">
      <w:pPr>
        <w:spacing w:line="360" w:lineRule="auto"/>
        <w:jc w:val="both"/>
        <w:rPr>
          <w:rFonts w:ascii="Calibri" w:hAnsi="Calibri"/>
        </w:rPr>
      </w:pPr>
      <w:r w:rsidRPr="009815FD">
        <w:rPr>
          <w:rFonts w:ascii="Calibri" w:hAnsi="Calibri"/>
        </w:rPr>
        <w:t>The 201</w:t>
      </w:r>
      <w:r>
        <w:rPr>
          <w:rFonts w:ascii="Calibri" w:hAnsi="Calibri"/>
        </w:rPr>
        <w:t>9</w:t>
      </w:r>
      <w:r w:rsidRPr="009815FD">
        <w:rPr>
          <w:rFonts w:ascii="Calibri" w:hAnsi="Calibri"/>
        </w:rPr>
        <w:t xml:space="preserve"> National Drug Strategy Household Survey</w:t>
      </w:r>
      <w:r>
        <w:rPr>
          <w:rFonts w:ascii="Calibri" w:hAnsi="Calibri"/>
        </w:rPr>
        <w:t xml:space="preserve"> also determined that the monthly use of a selection of illicit, non-pharmaceutical drugs was most prevalent among males.</w:t>
      </w:r>
    </w:p>
    <w:p w14:paraId="7C4ED2E8" w14:textId="77777777" w:rsidR="00C65183" w:rsidRPr="000F1FCD" w:rsidRDefault="00C65183" w:rsidP="00C65183">
      <w:pPr>
        <w:spacing w:line="360" w:lineRule="auto"/>
        <w:jc w:val="both"/>
        <w:rPr>
          <w:rFonts w:ascii="Calibri" w:hAnsi="Calibri"/>
          <w:sz w:val="8"/>
          <w:szCs w:val="8"/>
        </w:rPr>
      </w:pPr>
    </w:p>
    <w:p w14:paraId="76FDFB4D" w14:textId="77777777" w:rsidR="00C65183" w:rsidRDefault="00C65183" w:rsidP="00C65183">
      <w:pPr>
        <w:jc w:val="both"/>
        <w:rPr>
          <w:rFonts w:ascii="Calibri" w:hAnsi="Calibri"/>
          <w:color w:val="7F7F7F" w:themeColor="text1" w:themeTint="80"/>
          <w:sz w:val="20"/>
          <w:szCs w:val="20"/>
        </w:rPr>
      </w:pPr>
      <w:r w:rsidRPr="002D53C6">
        <w:rPr>
          <w:rFonts w:ascii="Calibri" w:hAnsi="Calibri"/>
          <w:color w:val="7F7F7F" w:themeColor="text1" w:themeTint="80"/>
          <w:sz w:val="20"/>
          <w:szCs w:val="20"/>
        </w:rPr>
        <w:t xml:space="preserve">Prevalence of </w:t>
      </w:r>
      <w:r>
        <w:rPr>
          <w:rFonts w:ascii="Calibri" w:hAnsi="Calibri"/>
          <w:color w:val="7F7F7F" w:themeColor="text1" w:themeTint="80"/>
          <w:sz w:val="20"/>
          <w:szCs w:val="20"/>
        </w:rPr>
        <w:t>the</w:t>
      </w:r>
      <w:r w:rsidRPr="002D53C6">
        <w:rPr>
          <w:rFonts w:ascii="Calibri" w:hAnsi="Calibri"/>
          <w:color w:val="7F7F7F" w:themeColor="text1" w:themeTint="80"/>
          <w:sz w:val="20"/>
          <w:szCs w:val="20"/>
        </w:rPr>
        <w:t xml:space="preserve"> </w:t>
      </w:r>
      <w:r>
        <w:rPr>
          <w:rFonts w:ascii="Calibri" w:hAnsi="Calibri"/>
          <w:color w:val="7F7F7F" w:themeColor="text1" w:themeTint="80"/>
          <w:sz w:val="20"/>
          <w:szCs w:val="20"/>
        </w:rPr>
        <w:t>u</w:t>
      </w:r>
      <w:r w:rsidRPr="002D53C6">
        <w:rPr>
          <w:rFonts w:ascii="Calibri" w:hAnsi="Calibri"/>
          <w:color w:val="7F7F7F" w:themeColor="text1" w:themeTint="80"/>
          <w:sz w:val="20"/>
          <w:szCs w:val="20"/>
        </w:rPr>
        <w:t xml:space="preserve">se of </w:t>
      </w:r>
      <w:r>
        <w:rPr>
          <w:rFonts w:ascii="Calibri" w:hAnsi="Calibri"/>
          <w:color w:val="7F7F7F" w:themeColor="text1" w:themeTint="80"/>
          <w:sz w:val="20"/>
          <w:szCs w:val="20"/>
        </w:rPr>
        <w:t>i</w:t>
      </w:r>
      <w:r w:rsidRPr="002D53C6">
        <w:rPr>
          <w:rFonts w:ascii="Calibri" w:hAnsi="Calibri"/>
          <w:color w:val="7F7F7F" w:themeColor="text1" w:themeTint="80"/>
          <w:sz w:val="20"/>
          <w:szCs w:val="20"/>
        </w:rPr>
        <w:t xml:space="preserve">llicit </w:t>
      </w:r>
      <w:r>
        <w:rPr>
          <w:rFonts w:ascii="Calibri" w:hAnsi="Calibri"/>
          <w:color w:val="7F7F7F" w:themeColor="text1" w:themeTint="80"/>
          <w:sz w:val="20"/>
          <w:szCs w:val="20"/>
        </w:rPr>
        <w:t>d</w:t>
      </w:r>
      <w:r w:rsidRPr="002D53C6">
        <w:rPr>
          <w:rFonts w:ascii="Calibri" w:hAnsi="Calibri"/>
          <w:color w:val="7F7F7F" w:themeColor="text1" w:themeTint="80"/>
          <w:sz w:val="20"/>
          <w:szCs w:val="20"/>
        </w:rPr>
        <w:t>rugs</w:t>
      </w:r>
      <w:r>
        <w:rPr>
          <w:rFonts w:ascii="Calibri" w:hAnsi="Calibri"/>
          <w:color w:val="7F7F7F" w:themeColor="text1" w:themeTint="80"/>
          <w:sz w:val="20"/>
          <w:szCs w:val="20"/>
        </w:rPr>
        <w:t xml:space="preserve"> during the previous month by sex and drug category: persons aged 14+</w:t>
      </w:r>
      <w:r w:rsidRPr="002D53C6">
        <w:rPr>
          <w:rFonts w:ascii="Calibri" w:hAnsi="Calibri"/>
          <w:color w:val="7F7F7F" w:themeColor="text1" w:themeTint="80"/>
          <w:sz w:val="20"/>
          <w:szCs w:val="20"/>
        </w:rPr>
        <w:t>, Australia</w:t>
      </w:r>
      <w:r>
        <w:rPr>
          <w:rFonts w:ascii="Calibri" w:hAnsi="Calibri"/>
          <w:color w:val="7F7F7F" w:themeColor="text1" w:themeTint="80"/>
          <w:sz w:val="20"/>
          <w:szCs w:val="20"/>
        </w:rPr>
        <w:t>,</w:t>
      </w:r>
      <w:r w:rsidRPr="002D53C6">
        <w:rPr>
          <w:rFonts w:ascii="Calibri" w:hAnsi="Calibri"/>
          <w:color w:val="7F7F7F" w:themeColor="text1" w:themeTint="80"/>
          <w:sz w:val="20"/>
          <w:szCs w:val="20"/>
        </w:rPr>
        <w:t xml:space="preserve"> 2019</w:t>
      </w:r>
    </w:p>
    <w:p w14:paraId="089E9DE8" w14:textId="77777777" w:rsidR="00C65183" w:rsidRDefault="00C65183" w:rsidP="00C65183">
      <w:pPr>
        <w:spacing w:line="360" w:lineRule="auto"/>
        <w:jc w:val="both"/>
        <w:rPr>
          <w:rFonts w:ascii="Calibri" w:hAnsi="Calibri"/>
        </w:rPr>
      </w:pPr>
    </w:p>
    <w:p w14:paraId="481C742B" w14:textId="77777777" w:rsidR="00C65183" w:rsidRDefault="00C65183" w:rsidP="00C65183">
      <w:pPr>
        <w:spacing w:line="360" w:lineRule="auto"/>
        <w:jc w:val="both"/>
        <w:rPr>
          <w:rFonts w:ascii="Calibri" w:hAnsi="Calibri"/>
        </w:rPr>
      </w:pPr>
    </w:p>
    <w:p w14:paraId="06A179E1" w14:textId="77777777" w:rsidR="00C65183" w:rsidRDefault="00C65183" w:rsidP="00C65183">
      <w:pPr>
        <w:spacing w:line="360" w:lineRule="auto"/>
        <w:jc w:val="both"/>
        <w:rPr>
          <w:rFonts w:ascii="Calibri" w:hAnsi="Calibri"/>
        </w:rPr>
      </w:pPr>
    </w:p>
    <w:p w14:paraId="7BCD618F" w14:textId="77777777" w:rsidR="00C65183" w:rsidRDefault="00C65183" w:rsidP="00C65183">
      <w:pPr>
        <w:spacing w:line="360" w:lineRule="auto"/>
        <w:jc w:val="both"/>
        <w:rPr>
          <w:rFonts w:ascii="Calibri" w:hAnsi="Calibri"/>
        </w:rPr>
      </w:pPr>
      <w:r>
        <w:rPr>
          <w:rFonts w:ascii="Calibri" w:hAnsi="Calibri"/>
          <w:noProof/>
        </w:rPr>
        <w:drawing>
          <wp:anchor distT="0" distB="0" distL="114300" distR="114300" simplePos="0" relativeHeight="251923456" behindDoc="0" locked="0" layoutInCell="1" allowOverlap="1" wp14:anchorId="21BE9D8C" wp14:editId="28AEC918">
            <wp:simplePos x="0" y="0"/>
            <wp:positionH relativeFrom="margin">
              <wp:align>right</wp:align>
            </wp:positionH>
            <wp:positionV relativeFrom="paragraph">
              <wp:posOffset>185420</wp:posOffset>
            </wp:positionV>
            <wp:extent cx="3399155" cy="2520315"/>
            <wp:effectExtent l="0" t="0" r="0" b="0"/>
            <wp:wrapSquare wrapText="bothSides"/>
            <wp:docPr id="480" name="Picture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3399155" cy="2520315"/>
                    </a:xfrm>
                    <a:prstGeom prst="rect">
                      <a:avLst/>
                    </a:prstGeom>
                    <a:noFill/>
                  </pic:spPr>
                </pic:pic>
              </a:graphicData>
            </a:graphic>
            <wp14:sizeRelH relativeFrom="page">
              <wp14:pctWidth>0</wp14:pctWidth>
            </wp14:sizeRelH>
            <wp14:sizeRelV relativeFrom="page">
              <wp14:pctHeight>0</wp14:pctHeight>
            </wp14:sizeRelV>
          </wp:anchor>
        </w:drawing>
      </w:r>
    </w:p>
    <w:p w14:paraId="1124AD54" w14:textId="77777777" w:rsidR="00C65183" w:rsidRDefault="00C65183" w:rsidP="00C65183">
      <w:pPr>
        <w:spacing w:line="360" w:lineRule="auto"/>
        <w:jc w:val="both"/>
        <w:rPr>
          <w:rFonts w:ascii="Calibri" w:hAnsi="Calibri"/>
        </w:rPr>
      </w:pPr>
      <w:r>
        <w:rPr>
          <w:rFonts w:ascii="Calibri" w:hAnsi="Calibri"/>
        </w:rPr>
        <w:t>The survey also found that the use of such drugs was about twice as popular among young adults as the average for people aged 14 years or more.</w:t>
      </w:r>
    </w:p>
    <w:p w14:paraId="471A2517" w14:textId="77777777" w:rsidR="00C65183" w:rsidRPr="000F1FCD" w:rsidRDefault="00C65183" w:rsidP="00C65183">
      <w:pPr>
        <w:spacing w:line="360" w:lineRule="auto"/>
        <w:jc w:val="both"/>
        <w:rPr>
          <w:rFonts w:ascii="Calibri" w:hAnsi="Calibri"/>
          <w:sz w:val="12"/>
          <w:szCs w:val="12"/>
        </w:rPr>
      </w:pPr>
    </w:p>
    <w:p w14:paraId="510DB853" w14:textId="77777777" w:rsidR="00C65183" w:rsidRPr="002D53C6" w:rsidRDefault="00C65183" w:rsidP="00C65183">
      <w:pPr>
        <w:jc w:val="both"/>
        <w:rPr>
          <w:rFonts w:ascii="Calibri" w:hAnsi="Calibri"/>
          <w:color w:val="7F7F7F" w:themeColor="text1" w:themeTint="80"/>
          <w:sz w:val="20"/>
          <w:szCs w:val="20"/>
        </w:rPr>
      </w:pPr>
      <w:r w:rsidRPr="002D53C6">
        <w:rPr>
          <w:rFonts w:ascii="Calibri" w:hAnsi="Calibri"/>
          <w:color w:val="7F7F7F" w:themeColor="text1" w:themeTint="80"/>
          <w:sz w:val="20"/>
          <w:szCs w:val="20"/>
        </w:rPr>
        <w:t xml:space="preserve">Prevalence of </w:t>
      </w:r>
      <w:r>
        <w:rPr>
          <w:rFonts w:ascii="Calibri" w:hAnsi="Calibri"/>
          <w:color w:val="7F7F7F" w:themeColor="text1" w:themeTint="80"/>
          <w:sz w:val="20"/>
          <w:szCs w:val="20"/>
        </w:rPr>
        <w:t>the</w:t>
      </w:r>
      <w:r w:rsidRPr="002D53C6">
        <w:rPr>
          <w:rFonts w:ascii="Calibri" w:hAnsi="Calibri"/>
          <w:color w:val="7F7F7F" w:themeColor="text1" w:themeTint="80"/>
          <w:sz w:val="20"/>
          <w:szCs w:val="20"/>
        </w:rPr>
        <w:t xml:space="preserve"> </w:t>
      </w:r>
      <w:r>
        <w:rPr>
          <w:rFonts w:ascii="Calibri" w:hAnsi="Calibri"/>
          <w:color w:val="7F7F7F" w:themeColor="text1" w:themeTint="80"/>
          <w:sz w:val="20"/>
          <w:szCs w:val="20"/>
        </w:rPr>
        <w:t>u</w:t>
      </w:r>
      <w:r w:rsidRPr="002D53C6">
        <w:rPr>
          <w:rFonts w:ascii="Calibri" w:hAnsi="Calibri"/>
          <w:color w:val="7F7F7F" w:themeColor="text1" w:themeTint="80"/>
          <w:sz w:val="20"/>
          <w:szCs w:val="20"/>
        </w:rPr>
        <w:t xml:space="preserve">se of </w:t>
      </w:r>
      <w:r>
        <w:rPr>
          <w:rFonts w:ascii="Calibri" w:hAnsi="Calibri"/>
          <w:color w:val="7F7F7F" w:themeColor="text1" w:themeTint="80"/>
          <w:sz w:val="20"/>
          <w:szCs w:val="20"/>
        </w:rPr>
        <w:t>a selection of i</w:t>
      </w:r>
      <w:r w:rsidRPr="002D53C6">
        <w:rPr>
          <w:rFonts w:ascii="Calibri" w:hAnsi="Calibri"/>
          <w:color w:val="7F7F7F" w:themeColor="text1" w:themeTint="80"/>
          <w:sz w:val="20"/>
          <w:szCs w:val="20"/>
        </w:rPr>
        <w:t xml:space="preserve">llicit </w:t>
      </w:r>
      <w:r>
        <w:rPr>
          <w:rFonts w:ascii="Calibri" w:hAnsi="Calibri"/>
          <w:color w:val="7F7F7F" w:themeColor="text1" w:themeTint="80"/>
          <w:sz w:val="20"/>
          <w:szCs w:val="20"/>
        </w:rPr>
        <w:t>d</w:t>
      </w:r>
      <w:r w:rsidRPr="002D53C6">
        <w:rPr>
          <w:rFonts w:ascii="Calibri" w:hAnsi="Calibri"/>
          <w:color w:val="7F7F7F" w:themeColor="text1" w:themeTint="80"/>
          <w:sz w:val="20"/>
          <w:szCs w:val="20"/>
        </w:rPr>
        <w:t>rugs</w:t>
      </w:r>
      <w:r>
        <w:rPr>
          <w:rFonts w:ascii="Calibri" w:hAnsi="Calibri"/>
          <w:color w:val="7F7F7F" w:themeColor="text1" w:themeTint="80"/>
          <w:sz w:val="20"/>
          <w:szCs w:val="20"/>
        </w:rPr>
        <w:t xml:space="preserve"> during the previous month: persons aged 20-29 and 14+, </w:t>
      </w:r>
      <w:r w:rsidRPr="002D53C6">
        <w:rPr>
          <w:rFonts w:ascii="Calibri" w:hAnsi="Calibri"/>
          <w:color w:val="7F7F7F" w:themeColor="text1" w:themeTint="80"/>
          <w:sz w:val="20"/>
          <w:szCs w:val="20"/>
        </w:rPr>
        <w:t>Australia</w:t>
      </w:r>
      <w:r>
        <w:rPr>
          <w:rFonts w:ascii="Calibri" w:hAnsi="Calibri"/>
          <w:color w:val="7F7F7F" w:themeColor="text1" w:themeTint="80"/>
          <w:sz w:val="20"/>
          <w:szCs w:val="20"/>
        </w:rPr>
        <w:t>,</w:t>
      </w:r>
      <w:r w:rsidRPr="002D53C6">
        <w:rPr>
          <w:rFonts w:ascii="Calibri" w:hAnsi="Calibri"/>
          <w:color w:val="7F7F7F" w:themeColor="text1" w:themeTint="80"/>
          <w:sz w:val="20"/>
          <w:szCs w:val="20"/>
        </w:rPr>
        <w:t xml:space="preserve"> 2019</w:t>
      </w:r>
    </w:p>
    <w:p w14:paraId="1665213F" w14:textId="77777777" w:rsidR="00C65183" w:rsidRDefault="00C65183" w:rsidP="00C65183">
      <w:pPr>
        <w:spacing w:line="360" w:lineRule="auto"/>
        <w:jc w:val="both"/>
        <w:rPr>
          <w:rFonts w:ascii="Calibri" w:hAnsi="Calibri"/>
        </w:rPr>
      </w:pPr>
    </w:p>
    <w:p w14:paraId="40B9203D" w14:textId="77777777" w:rsidR="00C65183" w:rsidRDefault="00C65183" w:rsidP="00C65183">
      <w:pPr>
        <w:spacing w:line="360" w:lineRule="auto"/>
        <w:jc w:val="both"/>
        <w:rPr>
          <w:rFonts w:ascii="Calibri" w:hAnsi="Calibri"/>
        </w:rPr>
      </w:pPr>
    </w:p>
    <w:p w14:paraId="1916A066" w14:textId="77777777" w:rsidR="00C65183" w:rsidRDefault="00C65183" w:rsidP="00C65183">
      <w:pPr>
        <w:spacing w:line="360" w:lineRule="auto"/>
        <w:jc w:val="both"/>
        <w:rPr>
          <w:rFonts w:ascii="Calibri" w:hAnsi="Calibri"/>
        </w:rPr>
      </w:pPr>
    </w:p>
    <w:p w14:paraId="14143389" w14:textId="77777777" w:rsidR="00C65183" w:rsidRPr="009815FD" w:rsidRDefault="00C65183" w:rsidP="00C65183">
      <w:pPr>
        <w:spacing w:line="360" w:lineRule="auto"/>
        <w:jc w:val="both"/>
        <w:rPr>
          <w:rFonts w:ascii="Calibri" w:hAnsi="Calibri"/>
          <w:i/>
        </w:rPr>
      </w:pPr>
      <w:r w:rsidRPr="009815FD">
        <w:rPr>
          <w:rFonts w:ascii="Calibri" w:hAnsi="Calibri"/>
          <w:i/>
        </w:rPr>
        <w:lastRenderedPageBreak/>
        <w:t>Cannabis</w:t>
      </w:r>
    </w:p>
    <w:p w14:paraId="6609D760" w14:textId="77777777" w:rsidR="00C65183" w:rsidRDefault="00C65183" w:rsidP="00C65183">
      <w:pPr>
        <w:spacing w:line="360" w:lineRule="auto"/>
        <w:jc w:val="both"/>
        <w:rPr>
          <w:rFonts w:ascii="Calibri" w:hAnsi="Calibri"/>
        </w:rPr>
      </w:pPr>
      <w:r>
        <w:rPr>
          <w:rFonts w:ascii="Calibri" w:hAnsi="Calibri"/>
          <w:noProof/>
        </w:rPr>
        <w:drawing>
          <wp:anchor distT="0" distB="0" distL="114300" distR="114300" simplePos="0" relativeHeight="251920384" behindDoc="0" locked="0" layoutInCell="1" allowOverlap="1" wp14:anchorId="54657143" wp14:editId="52B7057C">
            <wp:simplePos x="0" y="0"/>
            <wp:positionH relativeFrom="column">
              <wp:posOffset>-10795</wp:posOffset>
            </wp:positionH>
            <wp:positionV relativeFrom="paragraph">
              <wp:posOffset>84455</wp:posOffset>
            </wp:positionV>
            <wp:extent cx="3519805" cy="2466975"/>
            <wp:effectExtent l="0" t="0" r="4445" b="9525"/>
            <wp:wrapSquare wrapText="bothSides"/>
            <wp:docPr id="481" name="Picture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289">
                      <a:extLst>
                        <a:ext uri="{28A0092B-C50C-407E-A947-70E740481C1C}">
                          <a14:useLocalDpi xmlns:a14="http://schemas.microsoft.com/office/drawing/2010/main" val="0"/>
                        </a:ext>
                      </a:extLst>
                    </a:blip>
                    <a:srcRect t="12356"/>
                    <a:stretch/>
                  </pic:blipFill>
                  <pic:spPr bwMode="auto">
                    <a:xfrm>
                      <a:off x="0" y="0"/>
                      <a:ext cx="3519805" cy="24669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815FD">
        <w:rPr>
          <w:rFonts w:ascii="Calibri" w:hAnsi="Calibri"/>
        </w:rPr>
        <w:t>Cannabis, the most popular illicit drug</w:t>
      </w:r>
      <w:r>
        <w:rPr>
          <w:rFonts w:ascii="Calibri" w:hAnsi="Calibri"/>
        </w:rPr>
        <w:t>,</w:t>
      </w:r>
      <w:r w:rsidRPr="009815FD">
        <w:rPr>
          <w:rFonts w:ascii="Calibri" w:hAnsi="Calibri"/>
        </w:rPr>
        <w:t xml:space="preserve"> ha</w:t>
      </w:r>
      <w:r>
        <w:rPr>
          <w:rFonts w:ascii="Calibri" w:hAnsi="Calibri"/>
        </w:rPr>
        <w:t>d</w:t>
      </w:r>
      <w:r w:rsidRPr="009815FD">
        <w:rPr>
          <w:rFonts w:ascii="Calibri" w:hAnsi="Calibri"/>
        </w:rPr>
        <w:t xml:space="preserve"> been used by </w:t>
      </w:r>
      <w:r>
        <w:rPr>
          <w:rFonts w:ascii="Calibri" w:hAnsi="Calibri"/>
        </w:rPr>
        <w:t>approximately a third (</w:t>
      </w:r>
      <w:r w:rsidRPr="009815FD">
        <w:rPr>
          <w:rFonts w:ascii="Calibri" w:hAnsi="Calibri"/>
        </w:rPr>
        <w:t>3</w:t>
      </w:r>
      <w:r>
        <w:rPr>
          <w:rFonts w:ascii="Calibri" w:hAnsi="Calibri"/>
        </w:rPr>
        <w:t>7</w:t>
      </w:r>
      <w:r w:rsidRPr="009815FD">
        <w:rPr>
          <w:rFonts w:ascii="Calibri" w:hAnsi="Calibri"/>
        </w:rPr>
        <w:t>%</w:t>
      </w:r>
      <w:r>
        <w:rPr>
          <w:rFonts w:ascii="Calibri" w:hAnsi="Calibri"/>
        </w:rPr>
        <w:t>)</w:t>
      </w:r>
      <w:r w:rsidRPr="009815FD">
        <w:rPr>
          <w:rFonts w:ascii="Calibri" w:hAnsi="Calibri"/>
        </w:rPr>
        <w:t xml:space="preserve"> of Australians over 14, and </w:t>
      </w:r>
      <w:r>
        <w:rPr>
          <w:rFonts w:ascii="Calibri" w:hAnsi="Calibri"/>
        </w:rPr>
        <w:t>12%</w:t>
      </w:r>
      <w:r w:rsidRPr="009815FD">
        <w:rPr>
          <w:rFonts w:ascii="Calibri" w:hAnsi="Calibri"/>
        </w:rPr>
        <w:t xml:space="preserve"> in the past month</w:t>
      </w:r>
      <w:r>
        <w:rPr>
          <w:rFonts w:ascii="Calibri" w:hAnsi="Calibri"/>
        </w:rPr>
        <w:t>, according to the findings of the 2019 National Drug Strategy Household Survey</w:t>
      </w:r>
      <w:r w:rsidRPr="009815FD">
        <w:rPr>
          <w:rFonts w:ascii="Calibri" w:hAnsi="Calibri"/>
        </w:rPr>
        <w:t xml:space="preserve">. </w:t>
      </w:r>
    </w:p>
    <w:p w14:paraId="22985817" w14:textId="77777777" w:rsidR="00C65183" w:rsidRPr="002420C8" w:rsidRDefault="00C65183" w:rsidP="00C65183">
      <w:pPr>
        <w:spacing w:line="360" w:lineRule="auto"/>
        <w:jc w:val="both"/>
        <w:rPr>
          <w:rFonts w:ascii="Calibri" w:hAnsi="Calibri"/>
          <w:sz w:val="8"/>
          <w:szCs w:val="8"/>
        </w:rPr>
      </w:pPr>
    </w:p>
    <w:p w14:paraId="49783881" w14:textId="77777777" w:rsidR="00C65183" w:rsidRDefault="00C65183" w:rsidP="00C65183">
      <w:pPr>
        <w:jc w:val="both"/>
        <w:rPr>
          <w:rFonts w:ascii="Calibri" w:hAnsi="Calibri"/>
        </w:rPr>
      </w:pPr>
      <w:r w:rsidRPr="002D53C6">
        <w:rPr>
          <w:rFonts w:ascii="Calibri" w:hAnsi="Calibri"/>
          <w:color w:val="7F7F7F" w:themeColor="text1" w:themeTint="80"/>
          <w:sz w:val="20"/>
          <w:szCs w:val="20"/>
        </w:rPr>
        <w:t xml:space="preserve">Prevalence of </w:t>
      </w:r>
      <w:r>
        <w:rPr>
          <w:rFonts w:ascii="Calibri" w:hAnsi="Calibri"/>
          <w:color w:val="7F7F7F" w:themeColor="text1" w:themeTint="80"/>
          <w:sz w:val="20"/>
          <w:szCs w:val="20"/>
        </w:rPr>
        <w:t>the</w:t>
      </w:r>
      <w:r w:rsidRPr="002D53C6">
        <w:rPr>
          <w:rFonts w:ascii="Calibri" w:hAnsi="Calibri"/>
          <w:color w:val="7F7F7F" w:themeColor="text1" w:themeTint="80"/>
          <w:sz w:val="20"/>
          <w:szCs w:val="20"/>
        </w:rPr>
        <w:t xml:space="preserve"> </w:t>
      </w:r>
      <w:r>
        <w:rPr>
          <w:rFonts w:ascii="Calibri" w:hAnsi="Calibri"/>
          <w:color w:val="7F7F7F" w:themeColor="text1" w:themeTint="80"/>
          <w:sz w:val="20"/>
          <w:szCs w:val="20"/>
        </w:rPr>
        <w:t>u</w:t>
      </w:r>
      <w:r w:rsidRPr="002D53C6">
        <w:rPr>
          <w:rFonts w:ascii="Calibri" w:hAnsi="Calibri"/>
          <w:color w:val="7F7F7F" w:themeColor="text1" w:themeTint="80"/>
          <w:sz w:val="20"/>
          <w:szCs w:val="20"/>
        </w:rPr>
        <w:t xml:space="preserve">se of </w:t>
      </w:r>
      <w:r>
        <w:rPr>
          <w:rFonts w:ascii="Calibri" w:hAnsi="Calibri"/>
          <w:color w:val="7F7F7F" w:themeColor="text1" w:themeTint="80"/>
          <w:sz w:val="20"/>
          <w:szCs w:val="20"/>
        </w:rPr>
        <w:t xml:space="preserve">cannabis during the previous month, by sex and age, </w:t>
      </w:r>
      <w:r w:rsidRPr="002D53C6">
        <w:rPr>
          <w:rFonts w:ascii="Calibri" w:hAnsi="Calibri"/>
          <w:color w:val="7F7F7F" w:themeColor="text1" w:themeTint="80"/>
          <w:sz w:val="20"/>
          <w:szCs w:val="20"/>
        </w:rPr>
        <w:t>Australia: 2019</w:t>
      </w:r>
    </w:p>
    <w:p w14:paraId="241C9803" w14:textId="77777777" w:rsidR="00C65183" w:rsidRDefault="00C65183" w:rsidP="00C65183">
      <w:pPr>
        <w:spacing w:line="360" w:lineRule="auto"/>
        <w:jc w:val="both"/>
        <w:rPr>
          <w:rFonts w:ascii="Calibri" w:hAnsi="Calibri"/>
        </w:rPr>
      </w:pPr>
    </w:p>
    <w:p w14:paraId="78007B2F" w14:textId="77777777" w:rsidR="00C65183" w:rsidRPr="003F2584" w:rsidRDefault="00C65183" w:rsidP="00C65183">
      <w:pPr>
        <w:spacing w:line="360" w:lineRule="auto"/>
        <w:jc w:val="both"/>
        <w:rPr>
          <w:rFonts w:ascii="Calibri" w:hAnsi="Calibri"/>
          <w:sz w:val="8"/>
          <w:szCs w:val="8"/>
        </w:rPr>
      </w:pPr>
    </w:p>
    <w:p w14:paraId="4582C0F2" w14:textId="77777777" w:rsidR="00C65183" w:rsidRDefault="00C65183" w:rsidP="00C65183">
      <w:pPr>
        <w:spacing w:line="360" w:lineRule="auto"/>
        <w:jc w:val="both"/>
        <w:rPr>
          <w:rFonts w:ascii="Calibri" w:hAnsi="Calibri"/>
        </w:rPr>
      </w:pPr>
      <w:r w:rsidRPr="009815FD">
        <w:rPr>
          <w:rFonts w:ascii="Calibri" w:hAnsi="Calibri"/>
        </w:rPr>
        <w:t xml:space="preserve">Cannabis is most popular among males and people aged in their 20s. The </w:t>
      </w:r>
      <w:r>
        <w:rPr>
          <w:rFonts w:ascii="Calibri" w:hAnsi="Calibri"/>
        </w:rPr>
        <w:t>2013 National Drug Strategy Household Survey</w:t>
      </w:r>
      <w:r w:rsidRPr="009815FD">
        <w:rPr>
          <w:rFonts w:ascii="Calibri" w:hAnsi="Calibri"/>
        </w:rPr>
        <w:t xml:space="preserve"> found that cannabis usage </w:t>
      </w:r>
      <w:r>
        <w:rPr>
          <w:rFonts w:ascii="Calibri" w:hAnsi="Calibri"/>
        </w:rPr>
        <w:t>was</w:t>
      </w:r>
      <w:r w:rsidRPr="009815FD">
        <w:rPr>
          <w:rFonts w:ascii="Calibri" w:hAnsi="Calibri"/>
        </w:rPr>
        <w:t xml:space="preserve"> three times more widespread among homosexual Australians than others, and twice as prevalent among people who were indigenous, unemployed, never married or from non-English-speaking households, than others. By contrast, the prevalence of marijuana use </w:t>
      </w:r>
      <w:r>
        <w:rPr>
          <w:rFonts w:ascii="Calibri" w:hAnsi="Calibri"/>
        </w:rPr>
        <w:t>bore little relationship</w:t>
      </w:r>
      <w:r w:rsidRPr="009815FD">
        <w:rPr>
          <w:rFonts w:ascii="Calibri" w:hAnsi="Calibri"/>
        </w:rPr>
        <w:t xml:space="preserve"> </w:t>
      </w:r>
      <w:r>
        <w:rPr>
          <w:rFonts w:ascii="Calibri" w:hAnsi="Calibri"/>
        </w:rPr>
        <w:t xml:space="preserve">to </w:t>
      </w:r>
      <w:r w:rsidRPr="009815FD">
        <w:rPr>
          <w:rFonts w:ascii="Calibri" w:hAnsi="Calibri"/>
        </w:rPr>
        <w:t>income, socio-economic status or geographic location.</w:t>
      </w:r>
      <w:r>
        <w:rPr>
          <w:rFonts w:ascii="Calibri" w:hAnsi="Calibri"/>
        </w:rPr>
        <w:t xml:space="preserve"> </w:t>
      </w:r>
      <w:r w:rsidRPr="009815FD">
        <w:rPr>
          <w:rFonts w:ascii="Calibri" w:hAnsi="Calibri"/>
        </w:rPr>
        <w:t xml:space="preserve">Evidence of a decline in its use among younger people, coupled with a slight rise in its use among middle-aged Australians, suggests that cannabis use </w:t>
      </w:r>
      <w:r>
        <w:rPr>
          <w:rFonts w:ascii="Calibri" w:hAnsi="Calibri"/>
        </w:rPr>
        <w:t>is most</w:t>
      </w:r>
      <w:r w:rsidRPr="009815FD">
        <w:rPr>
          <w:rFonts w:ascii="Calibri" w:hAnsi="Calibri"/>
        </w:rPr>
        <w:t xml:space="preserve"> popular among an ageing group of people. </w:t>
      </w:r>
    </w:p>
    <w:p w14:paraId="4430DBF4" w14:textId="77777777" w:rsidR="00C65183" w:rsidRPr="003F2584" w:rsidRDefault="00C65183" w:rsidP="00C65183">
      <w:pPr>
        <w:spacing w:line="360" w:lineRule="auto"/>
        <w:jc w:val="both"/>
        <w:rPr>
          <w:rFonts w:ascii="Calibri" w:hAnsi="Calibri"/>
          <w:sz w:val="8"/>
          <w:szCs w:val="8"/>
        </w:rPr>
      </w:pPr>
    </w:p>
    <w:p w14:paraId="217309E4" w14:textId="77777777" w:rsidR="00C65183" w:rsidRPr="009815FD" w:rsidRDefault="00C65183" w:rsidP="00C65183">
      <w:pPr>
        <w:spacing w:before="120" w:line="360" w:lineRule="auto"/>
        <w:jc w:val="both"/>
        <w:rPr>
          <w:rFonts w:ascii="Calibri" w:hAnsi="Calibri"/>
          <w:i/>
        </w:rPr>
      </w:pPr>
      <w:r w:rsidRPr="009815FD">
        <w:rPr>
          <w:rFonts w:ascii="Calibri" w:hAnsi="Calibri"/>
          <w:i/>
        </w:rPr>
        <w:t>Ecstasy</w:t>
      </w:r>
    </w:p>
    <w:p w14:paraId="554F3908" w14:textId="77777777" w:rsidR="00C65183" w:rsidRDefault="00C65183" w:rsidP="00C65183">
      <w:pPr>
        <w:spacing w:line="360" w:lineRule="auto"/>
        <w:jc w:val="both"/>
        <w:rPr>
          <w:rFonts w:ascii="Calibri" w:hAnsi="Calibri"/>
        </w:rPr>
      </w:pPr>
      <w:r>
        <w:rPr>
          <w:rFonts w:ascii="Calibri" w:hAnsi="Calibri"/>
          <w:i/>
          <w:noProof/>
        </w:rPr>
        <w:drawing>
          <wp:anchor distT="0" distB="0" distL="114300" distR="114300" simplePos="0" relativeHeight="251924480" behindDoc="0" locked="0" layoutInCell="1" allowOverlap="1" wp14:anchorId="525A4056" wp14:editId="6B62F85C">
            <wp:simplePos x="0" y="0"/>
            <wp:positionH relativeFrom="column">
              <wp:posOffset>2351405</wp:posOffset>
            </wp:positionH>
            <wp:positionV relativeFrom="paragraph">
              <wp:posOffset>92075</wp:posOffset>
            </wp:positionV>
            <wp:extent cx="3757930" cy="2367915"/>
            <wp:effectExtent l="0" t="0" r="0" b="0"/>
            <wp:wrapSquare wrapText="bothSides"/>
            <wp:docPr id="482" name="Picture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290">
                      <a:extLst>
                        <a:ext uri="{28A0092B-C50C-407E-A947-70E740481C1C}">
                          <a14:useLocalDpi xmlns:a14="http://schemas.microsoft.com/office/drawing/2010/main" val="0"/>
                        </a:ext>
                      </a:extLst>
                    </a:blip>
                    <a:srcRect t="9632"/>
                    <a:stretch/>
                  </pic:blipFill>
                  <pic:spPr bwMode="auto">
                    <a:xfrm>
                      <a:off x="0" y="0"/>
                      <a:ext cx="3757930" cy="23679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14FDB">
        <w:rPr>
          <w:rFonts w:ascii="Calibri" w:hAnsi="Calibri"/>
        </w:rPr>
        <w:t>Ecstasy has been use</w:t>
      </w:r>
      <w:r>
        <w:rPr>
          <w:rFonts w:ascii="Calibri" w:hAnsi="Calibri"/>
        </w:rPr>
        <w:t>d</w:t>
      </w:r>
      <w:r w:rsidRPr="00514FDB">
        <w:rPr>
          <w:rFonts w:ascii="Calibri" w:hAnsi="Calibri"/>
        </w:rPr>
        <w:t xml:space="preserve"> by </w:t>
      </w:r>
      <w:r>
        <w:rPr>
          <w:rFonts w:ascii="Calibri" w:hAnsi="Calibri"/>
        </w:rPr>
        <w:t xml:space="preserve">approximately </w:t>
      </w:r>
      <w:r w:rsidRPr="00514FDB">
        <w:rPr>
          <w:rFonts w:ascii="Calibri" w:hAnsi="Calibri"/>
        </w:rPr>
        <w:t>1</w:t>
      </w:r>
      <w:r>
        <w:rPr>
          <w:rFonts w:ascii="Calibri" w:hAnsi="Calibri"/>
        </w:rPr>
        <w:t>3</w:t>
      </w:r>
      <w:r w:rsidRPr="00514FDB">
        <w:rPr>
          <w:rFonts w:ascii="Calibri" w:hAnsi="Calibri"/>
        </w:rPr>
        <w:t>%</w:t>
      </w:r>
      <w:r>
        <w:rPr>
          <w:rFonts w:ascii="Calibri" w:hAnsi="Calibri"/>
        </w:rPr>
        <w:t xml:space="preserve"> of Australians aged 14 years or more</w:t>
      </w:r>
      <w:r w:rsidRPr="00514FDB">
        <w:rPr>
          <w:rFonts w:ascii="Calibri" w:hAnsi="Calibri"/>
        </w:rPr>
        <w:t xml:space="preserve"> </w:t>
      </w:r>
      <w:r>
        <w:rPr>
          <w:rFonts w:ascii="Calibri" w:hAnsi="Calibri"/>
        </w:rPr>
        <w:t xml:space="preserve">at some time in their lives, </w:t>
      </w:r>
      <w:r w:rsidRPr="00514FDB">
        <w:rPr>
          <w:rFonts w:ascii="Calibri" w:hAnsi="Calibri"/>
        </w:rPr>
        <w:t xml:space="preserve">and in the past month by </w:t>
      </w:r>
      <w:r>
        <w:rPr>
          <w:rFonts w:ascii="Calibri" w:hAnsi="Calibri"/>
        </w:rPr>
        <w:t>4.2%, according to the findings of the 2019 National Drug Strategy Household Survey</w:t>
      </w:r>
      <w:r w:rsidRPr="00514FDB">
        <w:rPr>
          <w:rFonts w:ascii="Calibri" w:hAnsi="Calibri"/>
        </w:rPr>
        <w:t xml:space="preserve">. </w:t>
      </w:r>
      <w:r>
        <w:rPr>
          <w:rFonts w:ascii="Calibri" w:hAnsi="Calibri"/>
        </w:rPr>
        <w:t>Its use was most widespread among males and younger adults.</w:t>
      </w:r>
    </w:p>
    <w:p w14:paraId="5B4BD380" w14:textId="77777777" w:rsidR="00C65183" w:rsidRDefault="00C65183" w:rsidP="00C65183">
      <w:pPr>
        <w:spacing w:line="360" w:lineRule="auto"/>
        <w:jc w:val="both"/>
        <w:rPr>
          <w:rFonts w:ascii="Calibri" w:hAnsi="Calibri"/>
          <w:sz w:val="10"/>
          <w:szCs w:val="10"/>
        </w:rPr>
      </w:pPr>
    </w:p>
    <w:p w14:paraId="06FDCF6A" w14:textId="77777777" w:rsidR="00C65183" w:rsidRDefault="00C65183" w:rsidP="00C65183">
      <w:pPr>
        <w:jc w:val="both"/>
        <w:rPr>
          <w:rFonts w:ascii="Calibri" w:hAnsi="Calibri"/>
        </w:rPr>
      </w:pPr>
      <w:r w:rsidRPr="002D53C6">
        <w:rPr>
          <w:rFonts w:ascii="Calibri" w:hAnsi="Calibri"/>
          <w:color w:val="7F7F7F" w:themeColor="text1" w:themeTint="80"/>
          <w:sz w:val="20"/>
          <w:szCs w:val="20"/>
        </w:rPr>
        <w:t xml:space="preserve">Prevalence of </w:t>
      </w:r>
      <w:r>
        <w:rPr>
          <w:rFonts w:ascii="Calibri" w:hAnsi="Calibri"/>
          <w:color w:val="7F7F7F" w:themeColor="text1" w:themeTint="80"/>
          <w:sz w:val="20"/>
          <w:szCs w:val="20"/>
        </w:rPr>
        <w:t>the</w:t>
      </w:r>
      <w:r w:rsidRPr="002D53C6">
        <w:rPr>
          <w:rFonts w:ascii="Calibri" w:hAnsi="Calibri"/>
          <w:color w:val="7F7F7F" w:themeColor="text1" w:themeTint="80"/>
          <w:sz w:val="20"/>
          <w:szCs w:val="20"/>
        </w:rPr>
        <w:t xml:space="preserve"> </w:t>
      </w:r>
      <w:r>
        <w:rPr>
          <w:rFonts w:ascii="Calibri" w:hAnsi="Calibri"/>
          <w:color w:val="7F7F7F" w:themeColor="text1" w:themeTint="80"/>
          <w:sz w:val="20"/>
          <w:szCs w:val="20"/>
        </w:rPr>
        <w:t>u</w:t>
      </w:r>
      <w:r w:rsidRPr="002D53C6">
        <w:rPr>
          <w:rFonts w:ascii="Calibri" w:hAnsi="Calibri"/>
          <w:color w:val="7F7F7F" w:themeColor="text1" w:themeTint="80"/>
          <w:sz w:val="20"/>
          <w:szCs w:val="20"/>
        </w:rPr>
        <w:t xml:space="preserve">se of </w:t>
      </w:r>
      <w:r>
        <w:rPr>
          <w:rFonts w:ascii="Calibri" w:hAnsi="Calibri"/>
          <w:color w:val="7F7F7F" w:themeColor="text1" w:themeTint="80"/>
          <w:sz w:val="20"/>
          <w:szCs w:val="20"/>
        </w:rPr>
        <w:t xml:space="preserve">ecstasy during the previous month, by sex and age, </w:t>
      </w:r>
      <w:r w:rsidRPr="002D53C6">
        <w:rPr>
          <w:rFonts w:ascii="Calibri" w:hAnsi="Calibri"/>
          <w:color w:val="7F7F7F" w:themeColor="text1" w:themeTint="80"/>
          <w:sz w:val="20"/>
          <w:szCs w:val="20"/>
        </w:rPr>
        <w:t>Australia: 2019</w:t>
      </w:r>
    </w:p>
    <w:p w14:paraId="520AB6ED" w14:textId="77777777" w:rsidR="00C65183" w:rsidRDefault="00C65183" w:rsidP="00C65183">
      <w:pPr>
        <w:spacing w:line="360" w:lineRule="auto"/>
        <w:jc w:val="both"/>
        <w:rPr>
          <w:rFonts w:ascii="Calibri" w:hAnsi="Calibri"/>
          <w:sz w:val="10"/>
          <w:szCs w:val="10"/>
        </w:rPr>
      </w:pPr>
    </w:p>
    <w:p w14:paraId="00187C64" w14:textId="77777777" w:rsidR="00C65183" w:rsidRPr="009103FC" w:rsidRDefault="00C65183" w:rsidP="00C65183">
      <w:pPr>
        <w:spacing w:line="360" w:lineRule="auto"/>
        <w:jc w:val="both"/>
        <w:rPr>
          <w:rFonts w:ascii="Calibri" w:hAnsi="Calibri"/>
          <w:sz w:val="10"/>
          <w:szCs w:val="10"/>
        </w:rPr>
      </w:pPr>
    </w:p>
    <w:p w14:paraId="4668B715" w14:textId="77777777" w:rsidR="00C65183" w:rsidRDefault="00C65183" w:rsidP="00C65183">
      <w:pPr>
        <w:spacing w:line="360" w:lineRule="auto"/>
        <w:jc w:val="both"/>
        <w:rPr>
          <w:rFonts w:ascii="Calibri" w:hAnsi="Calibri"/>
        </w:rPr>
      </w:pPr>
      <w:r>
        <w:rPr>
          <w:rFonts w:ascii="Calibri" w:hAnsi="Calibri"/>
        </w:rPr>
        <w:t>A further report observed that users of ecstasy were largely under 25 years, with most consuming the drug at nightclubs and music events, and 40% using ecstasy for two or more days without sleep, on occasion</w:t>
      </w:r>
      <w:r>
        <w:rPr>
          <w:rStyle w:val="FootnoteReference"/>
        </w:rPr>
        <w:footnoteReference w:id="86"/>
      </w:r>
      <w:r>
        <w:rPr>
          <w:rFonts w:ascii="Calibri" w:hAnsi="Calibri"/>
        </w:rPr>
        <w:t>.</w:t>
      </w:r>
    </w:p>
    <w:p w14:paraId="3A4487A8" w14:textId="77777777" w:rsidR="00C65183" w:rsidRDefault="00C65183" w:rsidP="00C65183">
      <w:pPr>
        <w:spacing w:line="360" w:lineRule="auto"/>
        <w:jc w:val="both"/>
        <w:rPr>
          <w:rFonts w:ascii="Calibri" w:hAnsi="Calibri"/>
        </w:rPr>
      </w:pPr>
    </w:p>
    <w:p w14:paraId="72151623" w14:textId="77777777" w:rsidR="00C65183" w:rsidRPr="009815FD" w:rsidRDefault="00C65183" w:rsidP="00C65183">
      <w:pPr>
        <w:spacing w:before="120" w:line="360" w:lineRule="auto"/>
        <w:ind w:left="5670"/>
        <w:rPr>
          <w:rFonts w:ascii="Calibri" w:hAnsi="Calibri"/>
          <w:i/>
        </w:rPr>
      </w:pPr>
      <w:r>
        <w:rPr>
          <w:rFonts w:ascii="Calibri" w:hAnsi="Calibri"/>
          <w:noProof/>
        </w:rPr>
        <w:lastRenderedPageBreak/>
        <w:drawing>
          <wp:anchor distT="0" distB="0" distL="114300" distR="114300" simplePos="0" relativeHeight="251921408" behindDoc="0" locked="0" layoutInCell="1" allowOverlap="1" wp14:anchorId="4EDEC873" wp14:editId="53BCB453">
            <wp:simplePos x="0" y="0"/>
            <wp:positionH relativeFrom="column">
              <wp:posOffset>74930</wp:posOffset>
            </wp:positionH>
            <wp:positionV relativeFrom="paragraph">
              <wp:posOffset>17780</wp:posOffset>
            </wp:positionV>
            <wp:extent cx="3495675" cy="2238375"/>
            <wp:effectExtent l="0" t="0" r="9525" b="9525"/>
            <wp:wrapSquare wrapText="bothSides"/>
            <wp:docPr id="483" name="Picture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291">
                      <a:extLst>
                        <a:ext uri="{28A0092B-C50C-407E-A947-70E740481C1C}">
                          <a14:useLocalDpi xmlns:a14="http://schemas.microsoft.com/office/drawing/2010/main" val="0"/>
                        </a:ext>
                      </a:extLst>
                    </a:blip>
                    <a:srcRect t="7345"/>
                    <a:stretch/>
                  </pic:blipFill>
                  <pic:spPr bwMode="auto">
                    <a:xfrm>
                      <a:off x="0" y="0"/>
                      <a:ext cx="3495675" cy="22383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alibri" w:hAnsi="Calibri"/>
          <w:i/>
        </w:rPr>
        <w:t>Cocaine</w:t>
      </w:r>
    </w:p>
    <w:p w14:paraId="2DFF4250" w14:textId="77777777" w:rsidR="00C65183" w:rsidRDefault="00C65183" w:rsidP="00C65183">
      <w:pPr>
        <w:spacing w:line="360" w:lineRule="auto"/>
        <w:jc w:val="both"/>
        <w:rPr>
          <w:rFonts w:ascii="Calibri" w:hAnsi="Calibri"/>
        </w:rPr>
      </w:pPr>
      <w:r w:rsidRPr="009815FD">
        <w:rPr>
          <w:rFonts w:ascii="Calibri" w:hAnsi="Calibri"/>
        </w:rPr>
        <w:t>The 201</w:t>
      </w:r>
      <w:r>
        <w:rPr>
          <w:rFonts w:ascii="Calibri" w:hAnsi="Calibri"/>
        </w:rPr>
        <w:t>9</w:t>
      </w:r>
      <w:r w:rsidRPr="009815FD">
        <w:rPr>
          <w:rFonts w:ascii="Calibri" w:hAnsi="Calibri"/>
        </w:rPr>
        <w:t xml:space="preserve"> National Drug Strategy Household Survey</w:t>
      </w:r>
      <w:r>
        <w:rPr>
          <w:rFonts w:ascii="Calibri" w:hAnsi="Calibri"/>
        </w:rPr>
        <w:t xml:space="preserve"> determined that 11% of Australians aged 14 or more had ever used cocaine, and 4.5% in the previous month. As with ecstasy, its use is most common among males and young adults.</w:t>
      </w:r>
    </w:p>
    <w:p w14:paraId="349FCBCF" w14:textId="77777777" w:rsidR="00C65183" w:rsidRPr="003345F5" w:rsidRDefault="00C65183" w:rsidP="00C65183">
      <w:pPr>
        <w:spacing w:line="360" w:lineRule="auto"/>
        <w:jc w:val="both"/>
        <w:rPr>
          <w:rFonts w:ascii="Calibri" w:hAnsi="Calibri"/>
          <w:sz w:val="8"/>
          <w:szCs w:val="8"/>
        </w:rPr>
      </w:pPr>
    </w:p>
    <w:p w14:paraId="715A8862" w14:textId="77777777" w:rsidR="00C65183" w:rsidRDefault="00C65183" w:rsidP="00C65183">
      <w:pPr>
        <w:jc w:val="both"/>
        <w:rPr>
          <w:rFonts w:ascii="Calibri" w:hAnsi="Calibri"/>
        </w:rPr>
      </w:pPr>
      <w:r w:rsidRPr="002D53C6">
        <w:rPr>
          <w:rFonts w:ascii="Calibri" w:hAnsi="Calibri"/>
          <w:color w:val="7F7F7F" w:themeColor="text1" w:themeTint="80"/>
          <w:sz w:val="20"/>
          <w:szCs w:val="20"/>
        </w:rPr>
        <w:t xml:space="preserve">Prevalence of </w:t>
      </w:r>
      <w:r>
        <w:rPr>
          <w:rFonts w:ascii="Calibri" w:hAnsi="Calibri"/>
          <w:color w:val="7F7F7F" w:themeColor="text1" w:themeTint="80"/>
          <w:sz w:val="20"/>
          <w:szCs w:val="20"/>
        </w:rPr>
        <w:t>the</w:t>
      </w:r>
      <w:r w:rsidRPr="002D53C6">
        <w:rPr>
          <w:rFonts w:ascii="Calibri" w:hAnsi="Calibri"/>
          <w:color w:val="7F7F7F" w:themeColor="text1" w:themeTint="80"/>
          <w:sz w:val="20"/>
          <w:szCs w:val="20"/>
        </w:rPr>
        <w:t xml:space="preserve"> </w:t>
      </w:r>
      <w:r>
        <w:rPr>
          <w:rFonts w:ascii="Calibri" w:hAnsi="Calibri"/>
          <w:color w:val="7F7F7F" w:themeColor="text1" w:themeTint="80"/>
          <w:sz w:val="20"/>
          <w:szCs w:val="20"/>
        </w:rPr>
        <w:t>u</w:t>
      </w:r>
      <w:r w:rsidRPr="002D53C6">
        <w:rPr>
          <w:rFonts w:ascii="Calibri" w:hAnsi="Calibri"/>
          <w:color w:val="7F7F7F" w:themeColor="text1" w:themeTint="80"/>
          <w:sz w:val="20"/>
          <w:szCs w:val="20"/>
        </w:rPr>
        <w:t xml:space="preserve">se of </w:t>
      </w:r>
      <w:r>
        <w:rPr>
          <w:rFonts w:ascii="Calibri" w:hAnsi="Calibri"/>
          <w:color w:val="7F7F7F" w:themeColor="text1" w:themeTint="80"/>
          <w:sz w:val="20"/>
          <w:szCs w:val="20"/>
        </w:rPr>
        <w:t xml:space="preserve">cocaine during the previous month, by sex and age: </w:t>
      </w:r>
      <w:r w:rsidRPr="002D53C6">
        <w:rPr>
          <w:rFonts w:ascii="Calibri" w:hAnsi="Calibri"/>
          <w:color w:val="7F7F7F" w:themeColor="text1" w:themeTint="80"/>
          <w:sz w:val="20"/>
          <w:szCs w:val="20"/>
        </w:rPr>
        <w:t>Australia</w:t>
      </w:r>
      <w:r>
        <w:rPr>
          <w:rFonts w:ascii="Calibri" w:hAnsi="Calibri"/>
          <w:color w:val="7F7F7F" w:themeColor="text1" w:themeTint="80"/>
          <w:sz w:val="20"/>
          <w:szCs w:val="20"/>
        </w:rPr>
        <w:t>,</w:t>
      </w:r>
      <w:r w:rsidRPr="002D53C6">
        <w:rPr>
          <w:rFonts w:ascii="Calibri" w:hAnsi="Calibri"/>
          <w:color w:val="7F7F7F" w:themeColor="text1" w:themeTint="80"/>
          <w:sz w:val="20"/>
          <w:szCs w:val="20"/>
        </w:rPr>
        <w:t xml:space="preserve"> 2019</w:t>
      </w:r>
    </w:p>
    <w:p w14:paraId="392EFCAE" w14:textId="77777777" w:rsidR="00C65183" w:rsidRPr="00087013" w:rsidRDefault="00C65183" w:rsidP="00C65183">
      <w:pPr>
        <w:spacing w:line="360" w:lineRule="auto"/>
        <w:jc w:val="both"/>
        <w:rPr>
          <w:rFonts w:ascii="Calibri" w:hAnsi="Calibri"/>
          <w:i/>
          <w:sz w:val="12"/>
          <w:szCs w:val="12"/>
        </w:rPr>
      </w:pPr>
    </w:p>
    <w:p w14:paraId="5AA07A66" w14:textId="77777777" w:rsidR="00C65183" w:rsidRPr="009815FD" w:rsidRDefault="00C65183" w:rsidP="00C65183">
      <w:pPr>
        <w:spacing w:line="360" w:lineRule="auto"/>
        <w:jc w:val="both"/>
        <w:rPr>
          <w:rFonts w:ascii="Calibri" w:hAnsi="Calibri"/>
          <w:i/>
        </w:rPr>
      </w:pPr>
      <w:r w:rsidRPr="009815FD">
        <w:rPr>
          <w:rFonts w:ascii="Calibri" w:hAnsi="Calibri"/>
          <w:i/>
        </w:rPr>
        <w:t>Amphetamines - including ‘Ice’</w:t>
      </w:r>
    </w:p>
    <w:p w14:paraId="59847711" w14:textId="77777777" w:rsidR="00C65183" w:rsidRDefault="00C65183" w:rsidP="00C65183">
      <w:pPr>
        <w:spacing w:line="360" w:lineRule="auto"/>
        <w:jc w:val="both"/>
        <w:rPr>
          <w:rFonts w:asciiTheme="minorHAnsi" w:hAnsiTheme="minorHAnsi"/>
        </w:rPr>
      </w:pPr>
      <w:r w:rsidRPr="009815FD">
        <w:rPr>
          <w:rFonts w:ascii="Calibri" w:hAnsi="Calibri"/>
        </w:rPr>
        <w:t>The 201</w:t>
      </w:r>
      <w:r>
        <w:rPr>
          <w:rFonts w:ascii="Calibri" w:hAnsi="Calibri"/>
        </w:rPr>
        <w:t>9</w:t>
      </w:r>
      <w:r w:rsidRPr="009815FD">
        <w:rPr>
          <w:rFonts w:ascii="Calibri" w:hAnsi="Calibri"/>
        </w:rPr>
        <w:t xml:space="preserve"> National Drug Strategy Household Survey</w:t>
      </w:r>
      <w:r>
        <w:rPr>
          <w:rFonts w:ascii="Calibri" w:hAnsi="Calibri"/>
        </w:rPr>
        <w:t xml:space="preserve"> found that </w:t>
      </w:r>
      <w:r>
        <w:rPr>
          <w:rFonts w:asciiTheme="minorHAnsi" w:hAnsiTheme="minorHAnsi"/>
        </w:rPr>
        <w:t>5.8</w:t>
      </w:r>
      <w:r w:rsidRPr="007656D7">
        <w:rPr>
          <w:rFonts w:asciiTheme="minorHAnsi" w:hAnsiTheme="minorHAnsi"/>
        </w:rPr>
        <w:t>% Australians had used methamphetamines</w:t>
      </w:r>
      <w:r>
        <w:rPr>
          <w:rFonts w:asciiTheme="minorHAnsi" w:hAnsiTheme="minorHAnsi"/>
        </w:rPr>
        <w:t xml:space="preserve"> at any time in their lives, and 1.4% in the past 12 months, chiefly young adults and males. Other inquiries have determined that its users are more frequently</w:t>
      </w:r>
      <w:r w:rsidRPr="007656D7">
        <w:rPr>
          <w:rFonts w:asciiTheme="minorHAnsi" w:hAnsiTheme="minorHAnsi"/>
        </w:rPr>
        <w:t xml:space="preserve"> </w:t>
      </w:r>
      <w:r>
        <w:rPr>
          <w:rFonts w:asciiTheme="minorHAnsi" w:hAnsiTheme="minorHAnsi"/>
        </w:rPr>
        <w:t>un</w:t>
      </w:r>
      <w:r w:rsidRPr="007656D7">
        <w:rPr>
          <w:rFonts w:asciiTheme="minorHAnsi" w:hAnsiTheme="minorHAnsi"/>
        </w:rPr>
        <w:t>employed</w:t>
      </w:r>
      <w:r>
        <w:rPr>
          <w:rFonts w:asciiTheme="minorHAnsi" w:hAnsiTheme="minorHAnsi"/>
        </w:rPr>
        <w:t>, less educated</w:t>
      </w:r>
      <w:r w:rsidRPr="007656D7">
        <w:rPr>
          <w:rFonts w:asciiTheme="minorHAnsi" w:hAnsiTheme="minorHAnsi"/>
        </w:rPr>
        <w:t xml:space="preserve"> </w:t>
      </w:r>
      <w:r>
        <w:rPr>
          <w:rFonts w:asciiTheme="minorHAnsi" w:hAnsiTheme="minorHAnsi"/>
        </w:rPr>
        <w:t>and affected by</w:t>
      </w:r>
      <w:r w:rsidRPr="007656D7">
        <w:rPr>
          <w:rFonts w:asciiTheme="minorHAnsi" w:hAnsiTheme="minorHAnsi"/>
        </w:rPr>
        <w:t xml:space="preserve"> mental illness</w:t>
      </w:r>
      <w:r>
        <w:rPr>
          <w:rFonts w:asciiTheme="minorHAnsi" w:hAnsiTheme="minorHAnsi"/>
        </w:rPr>
        <w:t>, than others.</w:t>
      </w:r>
      <w:r>
        <w:rPr>
          <w:rStyle w:val="FootnoteReference"/>
          <w:rFonts w:asciiTheme="minorHAnsi" w:hAnsiTheme="minorHAnsi"/>
        </w:rPr>
        <w:footnoteReference w:id="87"/>
      </w:r>
      <w:r w:rsidRPr="007656D7">
        <w:rPr>
          <w:rFonts w:asciiTheme="minorHAnsi" w:hAnsiTheme="minorHAnsi"/>
        </w:rPr>
        <w:t xml:space="preserve"> </w:t>
      </w:r>
      <w:r>
        <w:rPr>
          <w:rFonts w:asciiTheme="minorHAnsi" w:hAnsiTheme="minorHAnsi"/>
        </w:rPr>
        <w:t xml:space="preserve">Such findings are consistent with the 2013 </w:t>
      </w:r>
      <w:r w:rsidRPr="001101D6">
        <w:rPr>
          <w:rFonts w:ascii="Calibri" w:hAnsi="Calibri"/>
        </w:rPr>
        <w:t xml:space="preserve">National Drug Survey Household Survey </w:t>
      </w:r>
      <w:r>
        <w:rPr>
          <w:rFonts w:ascii="Calibri" w:hAnsi="Calibri"/>
        </w:rPr>
        <w:t>which established</w:t>
      </w:r>
      <w:r w:rsidRPr="001101D6">
        <w:rPr>
          <w:rFonts w:ascii="Calibri" w:hAnsi="Calibri"/>
        </w:rPr>
        <w:t xml:space="preserve"> that most regular (weekly or monthly) ice users were male, unmarried, unemployed and</w:t>
      </w:r>
      <w:r>
        <w:rPr>
          <w:rFonts w:ascii="Calibri" w:hAnsi="Calibri"/>
        </w:rPr>
        <w:t xml:space="preserve"> nearly half were</w:t>
      </w:r>
      <w:r w:rsidRPr="001101D6">
        <w:rPr>
          <w:rFonts w:ascii="Calibri" w:hAnsi="Calibri"/>
        </w:rPr>
        <w:t xml:space="preserve"> psychologically distressed. Sixty-two per cent drove under influence of drugs and 78% drank at risky levels.</w:t>
      </w:r>
      <w:r>
        <w:rPr>
          <w:rStyle w:val="FootnoteReference"/>
        </w:rPr>
        <w:footnoteReference w:id="88"/>
      </w:r>
    </w:p>
    <w:p w14:paraId="49D8A31D" w14:textId="77777777" w:rsidR="00C65183" w:rsidRDefault="00C65183" w:rsidP="00C65183">
      <w:pPr>
        <w:spacing w:line="360" w:lineRule="auto"/>
        <w:jc w:val="both"/>
        <w:rPr>
          <w:rFonts w:asciiTheme="minorHAnsi" w:hAnsiTheme="minorHAnsi"/>
          <w:color w:val="211D1E"/>
        </w:rPr>
      </w:pPr>
      <w:r>
        <w:rPr>
          <w:rFonts w:asciiTheme="minorHAnsi" w:hAnsiTheme="minorHAnsi"/>
        </w:rPr>
        <w:t>A 2014</w:t>
      </w:r>
      <w:r w:rsidRPr="007656D7">
        <w:rPr>
          <w:rFonts w:asciiTheme="minorHAnsi" w:hAnsiTheme="minorHAnsi"/>
          <w:color w:val="211D1E"/>
        </w:rPr>
        <w:t xml:space="preserve"> Victorian Parliamentary</w:t>
      </w:r>
      <w:r w:rsidRPr="007656D7">
        <w:rPr>
          <w:rFonts w:asciiTheme="minorHAnsi" w:hAnsiTheme="minorHAnsi"/>
          <w:i/>
          <w:color w:val="211D1E"/>
        </w:rPr>
        <w:t xml:space="preserve"> </w:t>
      </w:r>
      <w:r>
        <w:rPr>
          <w:rFonts w:asciiTheme="minorHAnsi" w:hAnsiTheme="minorHAnsi"/>
          <w:color w:val="211D1E"/>
        </w:rPr>
        <w:t>i</w:t>
      </w:r>
      <w:r w:rsidRPr="007656D7">
        <w:rPr>
          <w:rFonts w:asciiTheme="minorHAnsi" w:hAnsiTheme="minorHAnsi"/>
          <w:color w:val="211D1E"/>
        </w:rPr>
        <w:t>nquiry</w:t>
      </w:r>
      <w:r>
        <w:rPr>
          <w:rFonts w:asciiTheme="minorHAnsi" w:hAnsiTheme="minorHAnsi"/>
          <w:color w:val="211D1E"/>
        </w:rPr>
        <w:t xml:space="preserve"> received evidence</w:t>
      </w:r>
      <w:r w:rsidRPr="007656D7">
        <w:rPr>
          <w:rFonts w:asciiTheme="minorHAnsi" w:hAnsiTheme="minorHAnsi"/>
          <w:color w:val="211D1E"/>
        </w:rPr>
        <w:t xml:space="preserve"> that</w:t>
      </w:r>
      <w:r>
        <w:rPr>
          <w:rFonts w:asciiTheme="minorHAnsi" w:hAnsiTheme="minorHAnsi"/>
          <w:color w:val="211D1E"/>
        </w:rPr>
        <w:t xml:space="preserve"> the use of ice</w:t>
      </w:r>
      <w:r w:rsidRPr="007656D7">
        <w:rPr>
          <w:rFonts w:asciiTheme="minorHAnsi" w:hAnsiTheme="minorHAnsi"/>
          <w:color w:val="211D1E"/>
        </w:rPr>
        <w:t xml:space="preserve"> </w:t>
      </w:r>
      <w:r>
        <w:rPr>
          <w:rFonts w:asciiTheme="minorHAnsi" w:hAnsiTheme="minorHAnsi"/>
          <w:color w:val="211D1E"/>
        </w:rPr>
        <w:t>contributes to</w:t>
      </w:r>
      <w:r w:rsidRPr="007656D7">
        <w:rPr>
          <w:rFonts w:asciiTheme="minorHAnsi" w:hAnsiTheme="minorHAnsi"/>
          <w:color w:val="211D1E"/>
        </w:rPr>
        <w:t xml:space="preserve"> neurological and other health problems, aggression and violence, depression, crime, unemployment, and deterioration in family and social relationships.</w:t>
      </w:r>
      <w:r>
        <w:rPr>
          <w:rStyle w:val="FootnoteReference"/>
          <w:rFonts w:asciiTheme="minorHAnsi" w:hAnsiTheme="minorHAnsi"/>
          <w:color w:val="211D1E"/>
        </w:rPr>
        <w:footnoteReference w:id="89"/>
      </w:r>
    </w:p>
    <w:p w14:paraId="16F66482" w14:textId="77777777" w:rsidR="00C65183" w:rsidRPr="00087013" w:rsidRDefault="00C65183" w:rsidP="00C65183">
      <w:pPr>
        <w:spacing w:line="360" w:lineRule="auto"/>
        <w:jc w:val="both"/>
        <w:rPr>
          <w:rFonts w:ascii="Calibri" w:hAnsi="Calibri"/>
          <w:sz w:val="8"/>
          <w:szCs w:val="8"/>
        </w:rPr>
      </w:pPr>
    </w:p>
    <w:p w14:paraId="057A81F5" w14:textId="77777777" w:rsidR="00C65183" w:rsidRPr="005B1E6F" w:rsidRDefault="00C65183" w:rsidP="00C65183">
      <w:pPr>
        <w:spacing w:line="360" w:lineRule="auto"/>
        <w:jc w:val="both"/>
        <w:rPr>
          <w:rFonts w:ascii="Calibri" w:hAnsi="Calibri"/>
          <w:b/>
        </w:rPr>
      </w:pPr>
      <w:r w:rsidRPr="005B1E6F">
        <w:rPr>
          <w:rFonts w:ascii="Calibri" w:hAnsi="Calibri"/>
          <w:b/>
        </w:rPr>
        <w:t>Local Measures of the Effects of Illicit Drug Use</w:t>
      </w:r>
    </w:p>
    <w:p w14:paraId="47D8465B" w14:textId="77777777" w:rsidR="00C65183" w:rsidRDefault="00C65183" w:rsidP="00C65183">
      <w:pPr>
        <w:spacing w:line="360" w:lineRule="auto"/>
        <w:jc w:val="both"/>
        <w:rPr>
          <w:rFonts w:ascii="Calibri" w:hAnsi="Calibri"/>
        </w:rPr>
      </w:pPr>
      <w:r>
        <w:rPr>
          <w:rFonts w:ascii="Calibri" w:hAnsi="Calibri"/>
        </w:rPr>
        <w:t>Information published by Turning Point reveals that levels of illicit drug-related ambulance attendances among Greater Dandenong residents are somewhat higher than Victorian levels</w:t>
      </w:r>
      <w:r w:rsidRPr="003F2584">
        <w:rPr>
          <w:rStyle w:val="FootnoteReference"/>
          <w:sz w:val="18"/>
          <w:szCs w:val="18"/>
        </w:rPr>
        <w:footnoteReference w:id="90"/>
      </w:r>
      <w:r>
        <w:rPr>
          <w:rFonts w:ascii="Calibri" w:hAnsi="Calibri"/>
        </w:rPr>
        <w:t xml:space="preserve"> while hospital admission rates were similar to those for Victoria</w:t>
      </w:r>
    </w:p>
    <w:p w14:paraId="4F0FED4B" w14:textId="77777777" w:rsidR="00C65183" w:rsidRPr="007E2AEA" w:rsidRDefault="00C65183" w:rsidP="00C65183">
      <w:pPr>
        <w:spacing w:line="360" w:lineRule="auto"/>
        <w:jc w:val="both"/>
        <w:rPr>
          <w:rFonts w:ascii="Calibri" w:hAnsi="Calibri"/>
          <w:color w:val="7F7F7F"/>
          <w:sz w:val="20"/>
          <w:szCs w:val="20"/>
        </w:rPr>
      </w:pPr>
      <w:r w:rsidRPr="007E2AEA">
        <w:rPr>
          <w:rFonts w:ascii="Calibri" w:hAnsi="Calibri"/>
          <w:color w:val="7F7F7F"/>
          <w:sz w:val="20"/>
          <w:szCs w:val="20"/>
        </w:rPr>
        <w:t xml:space="preserve">Rates of </w:t>
      </w:r>
      <w:r>
        <w:rPr>
          <w:rFonts w:ascii="Calibri" w:hAnsi="Calibri"/>
          <w:color w:val="7F7F7F"/>
          <w:sz w:val="20"/>
          <w:szCs w:val="20"/>
        </w:rPr>
        <w:t>il</w:t>
      </w:r>
      <w:r w:rsidRPr="007E2AEA">
        <w:rPr>
          <w:rFonts w:ascii="Calibri" w:hAnsi="Calibri"/>
          <w:color w:val="7F7F7F"/>
          <w:sz w:val="20"/>
          <w:szCs w:val="20"/>
        </w:rPr>
        <w:t xml:space="preserve">licit </w:t>
      </w:r>
      <w:r>
        <w:rPr>
          <w:rFonts w:ascii="Calibri" w:hAnsi="Calibri"/>
          <w:color w:val="7F7F7F"/>
          <w:sz w:val="20"/>
          <w:szCs w:val="20"/>
        </w:rPr>
        <w:t>d</w:t>
      </w:r>
      <w:r w:rsidRPr="007E2AEA">
        <w:rPr>
          <w:rFonts w:ascii="Calibri" w:hAnsi="Calibri"/>
          <w:color w:val="7F7F7F"/>
          <w:sz w:val="20"/>
          <w:szCs w:val="20"/>
        </w:rPr>
        <w:t xml:space="preserve">rug-related </w:t>
      </w:r>
      <w:r>
        <w:rPr>
          <w:rFonts w:ascii="Calibri" w:hAnsi="Calibri"/>
          <w:color w:val="7F7F7F"/>
          <w:sz w:val="20"/>
          <w:szCs w:val="20"/>
        </w:rPr>
        <w:t>m</w:t>
      </w:r>
      <w:r w:rsidRPr="007E2AEA">
        <w:rPr>
          <w:rFonts w:ascii="Calibri" w:hAnsi="Calibri"/>
          <w:color w:val="7F7F7F"/>
          <w:sz w:val="20"/>
          <w:szCs w:val="20"/>
        </w:rPr>
        <w:t xml:space="preserve">edical </w:t>
      </w:r>
      <w:r>
        <w:rPr>
          <w:rFonts w:ascii="Calibri" w:hAnsi="Calibri"/>
          <w:color w:val="7F7F7F"/>
          <w:sz w:val="20"/>
          <w:szCs w:val="20"/>
        </w:rPr>
        <w:t>i</w:t>
      </w:r>
      <w:r w:rsidRPr="007E2AEA">
        <w:rPr>
          <w:rFonts w:ascii="Calibri" w:hAnsi="Calibri"/>
          <w:color w:val="7F7F7F"/>
          <w:sz w:val="20"/>
          <w:szCs w:val="20"/>
        </w:rPr>
        <w:t xml:space="preserve">nterventions: Greater Dandenong &amp; </w:t>
      </w:r>
      <w:r>
        <w:rPr>
          <w:rFonts w:ascii="Calibri" w:hAnsi="Calibri"/>
          <w:color w:val="7F7F7F"/>
          <w:sz w:val="20"/>
          <w:szCs w:val="20"/>
        </w:rPr>
        <w:t>Victoria</w:t>
      </w:r>
    </w:p>
    <w:tbl>
      <w:tblPr>
        <w:tblW w:w="8580" w:type="dxa"/>
        <w:tblInd w:w="93" w:type="dxa"/>
        <w:tblLook w:val="04A0" w:firstRow="1" w:lastRow="0" w:firstColumn="1" w:lastColumn="0" w:noHBand="0" w:noVBand="1"/>
      </w:tblPr>
      <w:tblGrid>
        <w:gridCol w:w="5980"/>
        <w:gridCol w:w="1300"/>
        <w:gridCol w:w="1300"/>
      </w:tblGrid>
      <w:tr w:rsidR="00C65183" w:rsidRPr="00C91752" w14:paraId="47B08A47" w14:textId="77777777" w:rsidTr="0051723D">
        <w:trPr>
          <w:trHeight w:val="510"/>
        </w:trPr>
        <w:tc>
          <w:tcPr>
            <w:tcW w:w="5980" w:type="dxa"/>
            <w:tcBorders>
              <w:top w:val="nil"/>
              <w:left w:val="nil"/>
              <w:bottom w:val="nil"/>
              <w:right w:val="nil"/>
            </w:tcBorders>
            <w:shd w:val="clear" w:color="auto" w:fill="auto"/>
            <w:noWrap/>
            <w:vAlign w:val="bottom"/>
            <w:hideMark/>
          </w:tcPr>
          <w:p w14:paraId="310F4717" w14:textId="77777777" w:rsidR="00C65183" w:rsidRPr="00C91752" w:rsidRDefault="00C65183" w:rsidP="0051723D">
            <w:pPr>
              <w:rPr>
                <w:rFonts w:ascii="Calibri" w:hAnsi="Calibri"/>
                <w:color w:val="000000"/>
                <w:sz w:val="20"/>
                <w:szCs w:val="20"/>
                <w:lang w:eastAsia="en-AU"/>
              </w:rPr>
            </w:pPr>
          </w:p>
        </w:tc>
        <w:tc>
          <w:tcPr>
            <w:tcW w:w="1300" w:type="dxa"/>
            <w:tcBorders>
              <w:top w:val="nil"/>
              <w:left w:val="nil"/>
              <w:bottom w:val="nil"/>
              <w:right w:val="nil"/>
            </w:tcBorders>
            <w:shd w:val="clear" w:color="auto" w:fill="auto"/>
            <w:vAlign w:val="center"/>
            <w:hideMark/>
          </w:tcPr>
          <w:p w14:paraId="322705F6" w14:textId="77777777" w:rsidR="00C65183" w:rsidRPr="00C91752" w:rsidRDefault="00C65183" w:rsidP="0051723D">
            <w:pPr>
              <w:jc w:val="center"/>
              <w:rPr>
                <w:rFonts w:ascii="Calibri" w:hAnsi="Calibri"/>
                <w:color w:val="000000"/>
                <w:sz w:val="20"/>
                <w:szCs w:val="20"/>
                <w:lang w:eastAsia="en-AU"/>
              </w:rPr>
            </w:pPr>
            <w:r w:rsidRPr="00C91752">
              <w:rPr>
                <w:rFonts w:ascii="Calibri" w:hAnsi="Calibri"/>
                <w:color w:val="000000"/>
                <w:sz w:val="20"/>
                <w:szCs w:val="20"/>
                <w:lang w:eastAsia="en-AU"/>
              </w:rPr>
              <w:t>Greater Dandenong</w:t>
            </w:r>
          </w:p>
        </w:tc>
        <w:tc>
          <w:tcPr>
            <w:tcW w:w="1300" w:type="dxa"/>
            <w:tcBorders>
              <w:top w:val="nil"/>
              <w:left w:val="nil"/>
              <w:bottom w:val="nil"/>
              <w:right w:val="nil"/>
            </w:tcBorders>
            <w:shd w:val="clear" w:color="auto" w:fill="auto"/>
            <w:vAlign w:val="center"/>
            <w:hideMark/>
          </w:tcPr>
          <w:p w14:paraId="1E1C8895" w14:textId="77777777" w:rsidR="00C65183" w:rsidRPr="00C91752" w:rsidRDefault="00C65183" w:rsidP="0051723D">
            <w:pPr>
              <w:jc w:val="center"/>
              <w:rPr>
                <w:rFonts w:ascii="Calibri" w:hAnsi="Calibri"/>
                <w:color w:val="000000"/>
                <w:sz w:val="20"/>
                <w:szCs w:val="20"/>
                <w:lang w:eastAsia="en-AU"/>
              </w:rPr>
            </w:pPr>
            <w:r>
              <w:rPr>
                <w:rFonts w:ascii="Calibri" w:hAnsi="Calibri"/>
                <w:color w:val="000000"/>
                <w:sz w:val="20"/>
                <w:szCs w:val="20"/>
                <w:lang w:eastAsia="en-AU"/>
              </w:rPr>
              <w:t>Victoria</w:t>
            </w:r>
          </w:p>
        </w:tc>
      </w:tr>
      <w:tr w:rsidR="00C65183" w:rsidRPr="00C91752" w14:paraId="24D2489B" w14:textId="77777777" w:rsidTr="0051723D">
        <w:trPr>
          <w:trHeight w:val="340"/>
        </w:trPr>
        <w:tc>
          <w:tcPr>
            <w:tcW w:w="5980" w:type="dxa"/>
            <w:tcBorders>
              <w:top w:val="single" w:sz="4" w:space="0" w:color="auto"/>
              <w:left w:val="nil"/>
              <w:bottom w:val="single" w:sz="4" w:space="0" w:color="auto"/>
              <w:right w:val="nil"/>
            </w:tcBorders>
            <w:shd w:val="clear" w:color="auto" w:fill="auto"/>
            <w:vAlign w:val="center"/>
            <w:hideMark/>
          </w:tcPr>
          <w:p w14:paraId="5AB5B0F0" w14:textId="77777777" w:rsidR="00C65183" w:rsidRPr="00C91752" w:rsidRDefault="00C65183" w:rsidP="0051723D">
            <w:pPr>
              <w:rPr>
                <w:rFonts w:ascii="Calibri" w:hAnsi="Calibri"/>
                <w:color w:val="000000"/>
                <w:sz w:val="20"/>
                <w:szCs w:val="20"/>
                <w:lang w:eastAsia="en-AU"/>
              </w:rPr>
            </w:pPr>
            <w:r w:rsidRPr="00C91752">
              <w:rPr>
                <w:rFonts w:ascii="Calibri" w:hAnsi="Calibri"/>
                <w:color w:val="000000"/>
                <w:sz w:val="20"/>
                <w:szCs w:val="20"/>
                <w:lang w:eastAsia="en-AU"/>
              </w:rPr>
              <w:t>Illicit: Ambulance attendances per 10</w:t>
            </w:r>
            <w:r>
              <w:rPr>
                <w:rFonts w:ascii="Calibri" w:hAnsi="Calibri"/>
                <w:color w:val="000000"/>
                <w:sz w:val="20"/>
                <w:szCs w:val="20"/>
                <w:lang w:eastAsia="en-AU"/>
              </w:rPr>
              <w:t>0</w:t>
            </w:r>
            <w:r w:rsidRPr="00C91752">
              <w:rPr>
                <w:rFonts w:ascii="Calibri" w:hAnsi="Calibri"/>
                <w:color w:val="000000"/>
                <w:sz w:val="20"/>
                <w:szCs w:val="20"/>
                <w:lang w:eastAsia="en-AU"/>
              </w:rPr>
              <w:t xml:space="preserve">,000 pop., </w:t>
            </w:r>
            <w:r>
              <w:rPr>
                <w:rFonts w:ascii="Calibri" w:hAnsi="Calibri"/>
                <w:color w:val="000000"/>
                <w:sz w:val="20"/>
                <w:szCs w:val="20"/>
                <w:lang w:eastAsia="en-AU"/>
              </w:rPr>
              <w:t>2018/19</w:t>
            </w:r>
          </w:p>
        </w:tc>
        <w:tc>
          <w:tcPr>
            <w:tcW w:w="1300" w:type="dxa"/>
            <w:tcBorders>
              <w:top w:val="single" w:sz="4" w:space="0" w:color="auto"/>
              <w:left w:val="nil"/>
              <w:bottom w:val="single" w:sz="4" w:space="0" w:color="auto"/>
              <w:right w:val="nil"/>
            </w:tcBorders>
            <w:shd w:val="clear" w:color="auto" w:fill="auto"/>
            <w:noWrap/>
            <w:vAlign w:val="center"/>
            <w:hideMark/>
          </w:tcPr>
          <w:p w14:paraId="0751DDA7" w14:textId="77777777" w:rsidR="00C65183" w:rsidRPr="00C91752" w:rsidRDefault="00C65183" w:rsidP="0051723D">
            <w:pPr>
              <w:jc w:val="center"/>
              <w:rPr>
                <w:rFonts w:ascii="Calibri" w:hAnsi="Calibri"/>
                <w:color w:val="000000"/>
                <w:sz w:val="20"/>
                <w:szCs w:val="20"/>
                <w:lang w:eastAsia="en-AU"/>
              </w:rPr>
            </w:pPr>
            <w:r>
              <w:rPr>
                <w:rFonts w:ascii="Calibri" w:hAnsi="Calibri"/>
                <w:color w:val="000000"/>
                <w:sz w:val="20"/>
                <w:szCs w:val="20"/>
                <w:lang w:eastAsia="en-AU"/>
              </w:rPr>
              <w:t>323</w:t>
            </w:r>
          </w:p>
        </w:tc>
        <w:tc>
          <w:tcPr>
            <w:tcW w:w="1300" w:type="dxa"/>
            <w:tcBorders>
              <w:top w:val="single" w:sz="4" w:space="0" w:color="auto"/>
              <w:left w:val="nil"/>
              <w:bottom w:val="single" w:sz="4" w:space="0" w:color="auto"/>
              <w:right w:val="nil"/>
            </w:tcBorders>
            <w:shd w:val="clear" w:color="auto" w:fill="auto"/>
            <w:noWrap/>
            <w:vAlign w:val="center"/>
            <w:hideMark/>
          </w:tcPr>
          <w:p w14:paraId="6AB109CF" w14:textId="77777777" w:rsidR="00C65183" w:rsidRPr="00C91752" w:rsidRDefault="00C65183" w:rsidP="0051723D">
            <w:pPr>
              <w:jc w:val="center"/>
              <w:rPr>
                <w:rFonts w:ascii="Calibri" w:hAnsi="Calibri"/>
                <w:color w:val="000000"/>
                <w:sz w:val="20"/>
                <w:szCs w:val="20"/>
                <w:lang w:eastAsia="en-AU"/>
              </w:rPr>
            </w:pPr>
            <w:r>
              <w:rPr>
                <w:rFonts w:ascii="Calibri" w:hAnsi="Calibri"/>
                <w:color w:val="000000"/>
                <w:sz w:val="20"/>
                <w:szCs w:val="20"/>
                <w:lang w:eastAsia="en-AU"/>
              </w:rPr>
              <w:t>242</w:t>
            </w:r>
          </w:p>
        </w:tc>
      </w:tr>
      <w:tr w:rsidR="00C65183" w:rsidRPr="00C91752" w14:paraId="553E4CEE" w14:textId="77777777" w:rsidTr="0051723D">
        <w:trPr>
          <w:trHeight w:val="340"/>
        </w:trPr>
        <w:tc>
          <w:tcPr>
            <w:tcW w:w="5980" w:type="dxa"/>
            <w:tcBorders>
              <w:top w:val="nil"/>
              <w:left w:val="nil"/>
              <w:bottom w:val="single" w:sz="4" w:space="0" w:color="auto"/>
              <w:right w:val="nil"/>
            </w:tcBorders>
            <w:shd w:val="clear" w:color="auto" w:fill="auto"/>
            <w:vAlign w:val="center"/>
            <w:hideMark/>
          </w:tcPr>
          <w:p w14:paraId="32382632" w14:textId="77777777" w:rsidR="00C65183" w:rsidRPr="00C91752" w:rsidRDefault="00C65183" w:rsidP="0051723D">
            <w:pPr>
              <w:rPr>
                <w:rFonts w:ascii="Calibri" w:hAnsi="Calibri"/>
                <w:color w:val="000000"/>
                <w:sz w:val="20"/>
                <w:szCs w:val="20"/>
                <w:lang w:eastAsia="en-AU"/>
              </w:rPr>
            </w:pPr>
            <w:r w:rsidRPr="00C91752">
              <w:rPr>
                <w:rFonts w:ascii="Calibri" w:hAnsi="Calibri"/>
                <w:color w:val="000000"/>
                <w:sz w:val="20"/>
                <w:szCs w:val="20"/>
                <w:lang w:eastAsia="en-AU"/>
              </w:rPr>
              <w:t xml:space="preserve">Illicit: </w:t>
            </w:r>
            <w:r>
              <w:rPr>
                <w:rFonts w:ascii="Calibri" w:hAnsi="Calibri"/>
                <w:color w:val="000000"/>
                <w:sz w:val="20"/>
                <w:szCs w:val="20"/>
                <w:lang w:eastAsia="en-AU"/>
              </w:rPr>
              <w:t>Hospital admissions per 10,000 pop., 2018/19</w:t>
            </w:r>
          </w:p>
        </w:tc>
        <w:tc>
          <w:tcPr>
            <w:tcW w:w="1300" w:type="dxa"/>
            <w:tcBorders>
              <w:top w:val="nil"/>
              <w:left w:val="nil"/>
              <w:bottom w:val="single" w:sz="4" w:space="0" w:color="auto"/>
              <w:right w:val="nil"/>
            </w:tcBorders>
            <w:shd w:val="clear" w:color="auto" w:fill="auto"/>
            <w:noWrap/>
            <w:vAlign w:val="center"/>
            <w:hideMark/>
          </w:tcPr>
          <w:p w14:paraId="2F1E155F" w14:textId="77777777" w:rsidR="00C65183" w:rsidRPr="00C91752" w:rsidRDefault="00C65183" w:rsidP="0051723D">
            <w:pPr>
              <w:jc w:val="center"/>
              <w:rPr>
                <w:rFonts w:ascii="Calibri" w:hAnsi="Calibri"/>
                <w:color w:val="000000"/>
                <w:sz w:val="20"/>
                <w:szCs w:val="20"/>
                <w:lang w:eastAsia="en-AU"/>
              </w:rPr>
            </w:pPr>
            <w:r>
              <w:rPr>
                <w:rFonts w:ascii="Calibri" w:hAnsi="Calibri"/>
                <w:color w:val="000000"/>
                <w:sz w:val="20"/>
                <w:szCs w:val="20"/>
                <w:lang w:eastAsia="en-AU"/>
              </w:rPr>
              <w:t>30</w:t>
            </w:r>
          </w:p>
        </w:tc>
        <w:tc>
          <w:tcPr>
            <w:tcW w:w="1300" w:type="dxa"/>
            <w:tcBorders>
              <w:top w:val="nil"/>
              <w:left w:val="nil"/>
              <w:bottom w:val="single" w:sz="4" w:space="0" w:color="auto"/>
              <w:right w:val="nil"/>
            </w:tcBorders>
            <w:shd w:val="clear" w:color="auto" w:fill="auto"/>
            <w:noWrap/>
            <w:vAlign w:val="center"/>
            <w:hideMark/>
          </w:tcPr>
          <w:p w14:paraId="3026A2BF" w14:textId="77777777" w:rsidR="00C65183" w:rsidRPr="00C91752" w:rsidRDefault="00C65183" w:rsidP="0051723D">
            <w:pPr>
              <w:jc w:val="center"/>
              <w:rPr>
                <w:rFonts w:ascii="Calibri" w:hAnsi="Calibri"/>
                <w:color w:val="000000"/>
                <w:sz w:val="20"/>
                <w:szCs w:val="20"/>
                <w:lang w:eastAsia="en-AU"/>
              </w:rPr>
            </w:pPr>
            <w:r>
              <w:rPr>
                <w:rFonts w:ascii="Calibri" w:hAnsi="Calibri"/>
                <w:color w:val="000000"/>
                <w:sz w:val="20"/>
                <w:szCs w:val="20"/>
                <w:lang w:eastAsia="en-AU"/>
              </w:rPr>
              <w:t>28</w:t>
            </w:r>
          </w:p>
        </w:tc>
      </w:tr>
    </w:tbl>
    <w:p w14:paraId="521A349B" w14:textId="77777777" w:rsidR="00C65183" w:rsidRPr="00056FE5" w:rsidRDefault="00C65183" w:rsidP="00C65183">
      <w:pPr>
        <w:spacing w:line="360" w:lineRule="auto"/>
        <w:jc w:val="both"/>
        <w:rPr>
          <w:rFonts w:ascii="Calibri" w:hAnsi="Calibri"/>
          <w:i/>
          <w:sz w:val="10"/>
          <w:szCs w:val="10"/>
        </w:rPr>
      </w:pPr>
    </w:p>
    <w:p w14:paraId="5260F899" w14:textId="77777777" w:rsidR="00C65183" w:rsidRDefault="00C65183" w:rsidP="00C65183">
      <w:pPr>
        <w:rPr>
          <w:rFonts w:asciiTheme="minorHAnsi" w:hAnsiTheme="minorHAnsi" w:cstheme="minorHAnsi"/>
        </w:rPr>
      </w:pPr>
      <w:r>
        <w:rPr>
          <w:rFonts w:asciiTheme="minorHAnsi" w:hAnsiTheme="minorHAnsi" w:cstheme="minorHAnsi"/>
        </w:rPr>
        <w:br w:type="page"/>
      </w:r>
    </w:p>
    <w:p w14:paraId="6D2DDAB3" w14:textId="77777777" w:rsidR="00C65183" w:rsidRPr="00827F47" w:rsidRDefault="00C65183" w:rsidP="00C65183">
      <w:pPr>
        <w:pBdr>
          <w:top w:val="single" w:sz="4" w:space="0" w:color="244061" w:themeColor="accent1" w:themeShade="80"/>
          <w:bottom w:val="single" w:sz="4" w:space="1" w:color="244061" w:themeColor="accent1" w:themeShade="80"/>
        </w:pBdr>
        <w:tabs>
          <w:tab w:val="center" w:pos="4678"/>
        </w:tabs>
        <w:jc w:val="center"/>
        <w:rPr>
          <w:rFonts w:ascii="Garamond" w:hAnsi="Garamond"/>
          <w:noProof/>
          <w:color w:val="244061" w:themeColor="accent1" w:themeShade="80"/>
          <w:sz w:val="34"/>
          <w:szCs w:val="34"/>
        </w:rPr>
      </w:pPr>
      <w:bookmarkStart w:id="34" w:name="OLE_LINK1"/>
      <w:r w:rsidRPr="00827F47">
        <w:rPr>
          <w:rFonts w:ascii="Garamond" w:hAnsi="Garamond"/>
          <w:noProof/>
          <w:color w:val="244061" w:themeColor="accent1" w:themeShade="80"/>
          <w:sz w:val="34"/>
          <w:szCs w:val="34"/>
        </w:rPr>
        <w:lastRenderedPageBreak/>
        <w:t>Mental Health and Psychological Wellbeing</w:t>
      </w:r>
    </w:p>
    <w:bookmarkEnd w:id="34"/>
    <w:p w14:paraId="132BEC0F" w14:textId="77777777" w:rsidR="00C65183" w:rsidRPr="00E732FA" w:rsidRDefault="00C65183" w:rsidP="00C65183">
      <w:pPr>
        <w:jc w:val="both"/>
        <w:rPr>
          <w:rFonts w:ascii="Calibri" w:hAnsi="Calibri"/>
          <w:sz w:val="8"/>
          <w:szCs w:val="8"/>
        </w:rPr>
      </w:pPr>
    </w:p>
    <w:p w14:paraId="170BA5A3" w14:textId="77777777" w:rsidR="00C65183" w:rsidRDefault="00C65183" w:rsidP="00C65183">
      <w:pPr>
        <w:spacing w:line="360" w:lineRule="auto"/>
        <w:jc w:val="both"/>
        <w:rPr>
          <w:rFonts w:ascii="Calibri" w:hAnsi="Calibri"/>
          <w:b/>
        </w:rPr>
      </w:pPr>
      <w:r w:rsidRPr="00083A3E">
        <w:rPr>
          <w:rFonts w:ascii="Calibri" w:hAnsi="Calibri"/>
          <w:b/>
          <w:noProof/>
          <w:lang w:val="en-US"/>
        </w:rPr>
        <w:drawing>
          <wp:anchor distT="0" distB="0" distL="114300" distR="114300" simplePos="0" relativeHeight="251930624" behindDoc="0" locked="0" layoutInCell="1" allowOverlap="1" wp14:anchorId="095EB81C" wp14:editId="11C9C97D">
            <wp:simplePos x="0" y="0"/>
            <wp:positionH relativeFrom="column">
              <wp:posOffset>13335</wp:posOffset>
            </wp:positionH>
            <wp:positionV relativeFrom="paragraph">
              <wp:posOffset>68580</wp:posOffset>
            </wp:positionV>
            <wp:extent cx="866775" cy="1424940"/>
            <wp:effectExtent l="0" t="0" r="9525" b="3810"/>
            <wp:wrapSquare wrapText="bothSides"/>
            <wp:docPr id="488"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204" cstate="print"/>
                    <a:srcRect/>
                    <a:stretch>
                      <a:fillRect/>
                    </a:stretch>
                  </pic:blipFill>
                  <pic:spPr bwMode="auto">
                    <a:xfrm>
                      <a:off x="0" y="0"/>
                      <a:ext cx="866775" cy="142494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34DE1BCF" w14:textId="77777777" w:rsidR="00C65183" w:rsidRPr="0091758D" w:rsidRDefault="00C65183" w:rsidP="00C65183">
      <w:pPr>
        <w:spacing w:line="360" w:lineRule="auto"/>
        <w:jc w:val="both"/>
        <w:rPr>
          <w:rFonts w:ascii="Calibri" w:hAnsi="Calibri"/>
          <w:b/>
        </w:rPr>
      </w:pPr>
      <w:r w:rsidRPr="0091758D">
        <w:rPr>
          <w:rFonts w:ascii="Calibri" w:hAnsi="Calibri"/>
          <w:b/>
        </w:rPr>
        <w:t xml:space="preserve">The Prevalence of Mental Health </w:t>
      </w:r>
      <w:r>
        <w:rPr>
          <w:rFonts w:ascii="Calibri" w:hAnsi="Calibri"/>
          <w:b/>
        </w:rPr>
        <w:t>Conditions – Broad Categories</w:t>
      </w:r>
    </w:p>
    <w:p w14:paraId="47DD9383" w14:textId="77777777" w:rsidR="00C65183" w:rsidRDefault="00C65183" w:rsidP="00C65183">
      <w:pPr>
        <w:spacing w:line="360" w:lineRule="auto"/>
        <w:jc w:val="both"/>
        <w:rPr>
          <w:rFonts w:asciiTheme="minorHAnsi" w:hAnsiTheme="minorHAnsi"/>
        </w:rPr>
      </w:pPr>
      <w:r>
        <w:rPr>
          <w:rFonts w:asciiTheme="minorHAnsi" w:hAnsiTheme="minorHAnsi"/>
          <w:noProof/>
          <w:lang w:val="en-US"/>
        </w:rPr>
        <w:drawing>
          <wp:anchor distT="0" distB="0" distL="114300" distR="114300" simplePos="0" relativeHeight="251926528" behindDoc="0" locked="0" layoutInCell="1" allowOverlap="1" wp14:anchorId="0543868C" wp14:editId="0A8D5CF0">
            <wp:simplePos x="0" y="0"/>
            <wp:positionH relativeFrom="margin">
              <wp:posOffset>2748280</wp:posOffset>
            </wp:positionH>
            <wp:positionV relativeFrom="paragraph">
              <wp:posOffset>561340</wp:posOffset>
            </wp:positionV>
            <wp:extent cx="3377565" cy="2438400"/>
            <wp:effectExtent l="0" t="0" r="0" b="0"/>
            <wp:wrapSquare wrapText="bothSides"/>
            <wp:docPr id="489" name="Picture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92" cstate="print">
                      <a:extLst>
                        <a:ext uri="{28A0092B-C50C-407E-A947-70E740481C1C}">
                          <a14:useLocalDpi xmlns:a14="http://schemas.microsoft.com/office/drawing/2010/main" val="0"/>
                        </a:ext>
                      </a:extLst>
                    </a:blip>
                    <a:srcRect/>
                    <a:stretch>
                      <a:fillRect/>
                    </a:stretch>
                  </pic:blipFill>
                  <pic:spPr bwMode="auto">
                    <a:xfrm>
                      <a:off x="0" y="0"/>
                      <a:ext cx="3377565" cy="2438400"/>
                    </a:xfrm>
                    <a:prstGeom prst="rect">
                      <a:avLst/>
                    </a:prstGeom>
                    <a:noFill/>
                  </pic:spPr>
                </pic:pic>
              </a:graphicData>
            </a:graphic>
            <wp14:sizeRelH relativeFrom="margin">
              <wp14:pctWidth>0</wp14:pctWidth>
            </wp14:sizeRelH>
            <wp14:sizeRelV relativeFrom="margin">
              <wp14:pctHeight>0</wp14:pctHeight>
            </wp14:sizeRelV>
          </wp:anchor>
        </w:drawing>
      </w:r>
      <w:r>
        <w:rPr>
          <w:rFonts w:asciiTheme="minorHAnsi" w:hAnsiTheme="minorHAnsi"/>
        </w:rPr>
        <w:t xml:space="preserve">About one in eight (13%) adult participants in the </w:t>
      </w:r>
      <w:r>
        <w:rPr>
          <w:rFonts w:ascii="Calibri" w:hAnsi="Calibri"/>
        </w:rPr>
        <w:t>2018 National Health Survey</w:t>
      </w:r>
      <w:r w:rsidRPr="00986827">
        <w:rPr>
          <w:rFonts w:asciiTheme="minorHAnsi" w:hAnsiTheme="minorHAnsi"/>
        </w:rPr>
        <w:t xml:space="preserve"> </w:t>
      </w:r>
      <w:r>
        <w:rPr>
          <w:rFonts w:asciiTheme="minorHAnsi" w:hAnsiTheme="minorHAnsi"/>
        </w:rPr>
        <w:t xml:space="preserve">stated that they </w:t>
      </w:r>
      <w:r w:rsidRPr="00986827">
        <w:rPr>
          <w:rFonts w:asciiTheme="minorHAnsi" w:hAnsiTheme="minorHAnsi"/>
        </w:rPr>
        <w:t xml:space="preserve">experience </w:t>
      </w:r>
      <w:r>
        <w:rPr>
          <w:rFonts w:asciiTheme="minorHAnsi" w:hAnsiTheme="minorHAnsi"/>
        </w:rPr>
        <w:t>‘</w:t>
      </w:r>
      <w:r w:rsidRPr="00986827">
        <w:rPr>
          <w:rFonts w:asciiTheme="minorHAnsi" w:hAnsiTheme="minorHAnsi"/>
        </w:rPr>
        <w:t>high</w:t>
      </w:r>
      <w:r>
        <w:rPr>
          <w:rFonts w:asciiTheme="minorHAnsi" w:hAnsiTheme="minorHAnsi"/>
        </w:rPr>
        <w:t>’</w:t>
      </w:r>
      <w:r w:rsidRPr="00986827">
        <w:rPr>
          <w:rFonts w:asciiTheme="minorHAnsi" w:hAnsiTheme="minorHAnsi"/>
        </w:rPr>
        <w:t xml:space="preserve"> or </w:t>
      </w:r>
      <w:r>
        <w:rPr>
          <w:rFonts w:asciiTheme="minorHAnsi" w:hAnsiTheme="minorHAnsi"/>
        </w:rPr>
        <w:t>‘</w:t>
      </w:r>
      <w:r w:rsidRPr="00986827">
        <w:rPr>
          <w:rFonts w:asciiTheme="minorHAnsi" w:hAnsiTheme="minorHAnsi"/>
        </w:rPr>
        <w:t>very high</w:t>
      </w:r>
      <w:r>
        <w:rPr>
          <w:rFonts w:asciiTheme="minorHAnsi" w:hAnsiTheme="minorHAnsi"/>
        </w:rPr>
        <w:t>’</w:t>
      </w:r>
      <w:r w:rsidRPr="00986827">
        <w:rPr>
          <w:rFonts w:asciiTheme="minorHAnsi" w:hAnsiTheme="minorHAnsi"/>
        </w:rPr>
        <w:t xml:space="preserve"> levels of psychological distress, including about 15% of women and 11% of men.</w:t>
      </w:r>
    </w:p>
    <w:p w14:paraId="1A70F517" w14:textId="77777777" w:rsidR="00C65183" w:rsidRDefault="00C65183" w:rsidP="00C65183">
      <w:pPr>
        <w:spacing w:line="360" w:lineRule="auto"/>
        <w:jc w:val="both"/>
        <w:rPr>
          <w:rFonts w:asciiTheme="minorHAnsi" w:hAnsiTheme="minorHAnsi"/>
        </w:rPr>
      </w:pPr>
    </w:p>
    <w:p w14:paraId="7A77276D" w14:textId="77777777" w:rsidR="00C65183" w:rsidRPr="00336E15" w:rsidRDefault="00C65183" w:rsidP="00C65183">
      <w:pPr>
        <w:spacing w:after="120"/>
        <w:jc w:val="both"/>
        <w:rPr>
          <w:rFonts w:asciiTheme="minorHAnsi" w:hAnsiTheme="minorHAnsi"/>
          <w:color w:val="7F7F7F" w:themeColor="text1" w:themeTint="80"/>
          <w:sz w:val="20"/>
          <w:szCs w:val="20"/>
        </w:rPr>
      </w:pPr>
      <w:r w:rsidRPr="00336E15">
        <w:rPr>
          <w:rFonts w:asciiTheme="minorHAnsi" w:hAnsiTheme="minorHAnsi"/>
          <w:color w:val="7F7F7F" w:themeColor="text1" w:themeTint="80"/>
          <w:sz w:val="20"/>
          <w:szCs w:val="20"/>
        </w:rPr>
        <w:t>Prevalence of high levels of psychological distress, by sex and age: Australia, 2018</w:t>
      </w:r>
    </w:p>
    <w:p w14:paraId="48308A04" w14:textId="77777777" w:rsidR="00C65183" w:rsidRDefault="00C65183" w:rsidP="00C65183">
      <w:pPr>
        <w:spacing w:line="360" w:lineRule="auto"/>
        <w:jc w:val="both"/>
        <w:rPr>
          <w:rFonts w:asciiTheme="minorHAnsi" w:hAnsiTheme="minorHAnsi"/>
        </w:rPr>
      </w:pPr>
      <w:r w:rsidRPr="00986827">
        <w:rPr>
          <w:rFonts w:asciiTheme="minorHAnsi" w:hAnsiTheme="minorHAnsi"/>
        </w:rPr>
        <w:t xml:space="preserve">The proportion of people </w:t>
      </w:r>
      <w:r>
        <w:rPr>
          <w:rFonts w:asciiTheme="minorHAnsi" w:hAnsiTheme="minorHAnsi"/>
        </w:rPr>
        <w:t xml:space="preserve">in </w:t>
      </w:r>
      <w:r w:rsidRPr="00986827">
        <w:rPr>
          <w:rFonts w:asciiTheme="minorHAnsi" w:hAnsiTheme="minorHAnsi"/>
        </w:rPr>
        <w:t>psychological distress declines with age, but traces an unsteady course</w:t>
      </w:r>
      <w:r>
        <w:rPr>
          <w:rFonts w:asciiTheme="minorHAnsi" w:hAnsiTheme="minorHAnsi"/>
        </w:rPr>
        <w:t>, surging</w:t>
      </w:r>
      <w:r w:rsidRPr="00986827">
        <w:rPr>
          <w:rFonts w:asciiTheme="minorHAnsi" w:hAnsiTheme="minorHAnsi"/>
        </w:rPr>
        <w:t xml:space="preserve"> in late middle age and among people aged 85 years or more, perhaps reflecting </w:t>
      </w:r>
      <w:r>
        <w:rPr>
          <w:rFonts w:asciiTheme="minorHAnsi" w:hAnsiTheme="minorHAnsi"/>
        </w:rPr>
        <w:t>common</w:t>
      </w:r>
      <w:r w:rsidRPr="00986827">
        <w:rPr>
          <w:rFonts w:asciiTheme="minorHAnsi" w:hAnsiTheme="minorHAnsi"/>
        </w:rPr>
        <w:t xml:space="preserve"> challenges and stresses of changing life circumstances.</w:t>
      </w:r>
    </w:p>
    <w:p w14:paraId="092B9A64" w14:textId="77777777" w:rsidR="00C65183" w:rsidRDefault="00C65183" w:rsidP="00C65183">
      <w:pPr>
        <w:spacing w:line="360" w:lineRule="auto"/>
        <w:jc w:val="both"/>
        <w:rPr>
          <w:rFonts w:asciiTheme="minorHAnsi" w:hAnsiTheme="minorHAnsi"/>
        </w:rPr>
      </w:pPr>
      <w:r>
        <w:rPr>
          <w:rFonts w:asciiTheme="minorHAnsi" w:hAnsiTheme="minorHAnsi"/>
          <w:noProof/>
          <w:lang w:val="en-US"/>
        </w:rPr>
        <w:drawing>
          <wp:anchor distT="0" distB="0" distL="114300" distR="114300" simplePos="0" relativeHeight="251927552" behindDoc="0" locked="0" layoutInCell="1" allowOverlap="1" wp14:anchorId="6C331FE1" wp14:editId="005AD987">
            <wp:simplePos x="0" y="0"/>
            <wp:positionH relativeFrom="margin">
              <wp:posOffset>-76835</wp:posOffset>
            </wp:positionH>
            <wp:positionV relativeFrom="paragraph">
              <wp:posOffset>259715</wp:posOffset>
            </wp:positionV>
            <wp:extent cx="3275965" cy="2309495"/>
            <wp:effectExtent l="0" t="0" r="635" b="0"/>
            <wp:wrapSquare wrapText="bothSides"/>
            <wp:docPr id="490" name="Picture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93" cstate="print">
                      <a:extLst>
                        <a:ext uri="{28A0092B-C50C-407E-A947-70E740481C1C}">
                          <a14:useLocalDpi xmlns:a14="http://schemas.microsoft.com/office/drawing/2010/main" val="0"/>
                        </a:ext>
                      </a:extLst>
                    </a:blip>
                    <a:srcRect/>
                    <a:stretch>
                      <a:fillRect/>
                    </a:stretch>
                  </pic:blipFill>
                  <pic:spPr bwMode="auto">
                    <a:xfrm>
                      <a:off x="0" y="0"/>
                      <a:ext cx="3275965" cy="2309495"/>
                    </a:xfrm>
                    <a:prstGeom prst="rect">
                      <a:avLst/>
                    </a:prstGeom>
                    <a:noFill/>
                  </pic:spPr>
                </pic:pic>
              </a:graphicData>
            </a:graphic>
            <wp14:sizeRelH relativeFrom="margin">
              <wp14:pctWidth>0</wp14:pctWidth>
            </wp14:sizeRelH>
            <wp14:sizeRelV relativeFrom="margin">
              <wp14:pctHeight>0</wp14:pctHeight>
            </wp14:sizeRelV>
          </wp:anchor>
        </w:drawing>
      </w:r>
    </w:p>
    <w:p w14:paraId="68CEA71F" w14:textId="77777777" w:rsidR="00C65183" w:rsidRDefault="00C65183" w:rsidP="00C65183">
      <w:pPr>
        <w:spacing w:line="360" w:lineRule="auto"/>
        <w:jc w:val="both"/>
        <w:rPr>
          <w:rFonts w:asciiTheme="minorHAnsi" w:hAnsiTheme="minorHAnsi"/>
        </w:rPr>
      </w:pPr>
      <w:r>
        <w:rPr>
          <w:rFonts w:asciiTheme="minorHAnsi" w:hAnsiTheme="minorHAnsi"/>
        </w:rPr>
        <w:t xml:space="preserve">The </w:t>
      </w:r>
      <w:r>
        <w:rPr>
          <w:rFonts w:ascii="Calibri" w:hAnsi="Calibri"/>
        </w:rPr>
        <w:t>Survey also</w:t>
      </w:r>
      <w:r w:rsidRPr="00986827">
        <w:rPr>
          <w:rFonts w:asciiTheme="minorHAnsi" w:hAnsiTheme="minorHAnsi"/>
        </w:rPr>
        <w:t xml:space="preserve"> </w:t>
      </w:r>
      <w:r>
        <w:rPr>
          <w:rFonts w:asciiTheme="minorHAnsi" w:hAnsiTheme="minorHAnsi"/>
        </w:rPr>
        <w:t xml:space="preserve">found that the </w:t>
      </w:r>
      <w:r w:rsidRPr="00E3446B">
        <w:rPr>
          <w:rFonts w:asciiTheme="minorHAnsi" w:hAnsiTheme="minorHAnsi"/>
        </w:rPr>
        <w:t xml:space="preserve">prevalence of </w:t>
      </w:r>
      <w:r>
        <w:rPr>
          <w:rFonts w:asciiTheme="minorHAnsi" w:hAnsiTheme="minorHAnsi"/>
        </w:rPr>
        <w:t xml:space="preserve">depression and other </w:t>
      </w:r>
      <w:r w:rsidRPr="00E3446B">
        <w:rPr>
          <w:rFonts w:asciiTheme="minorHAnsi" w:hAnsiTheme="minorHAnsi"/>
        </w:rPr>
        <w:t xml:space="preserve">mood disorders remains relatively high from adolescence to </w:t>
      </w:r>
      <w:r>
        <w:rPr>
          <w:rFonts w:asciiTheme="minorHAnsi" w:hAnsiTheme="minorHAnsi"/>
        </w:rPr>
        <w:t xml:space="preserve">the brink of </w:t>
      </w:r>
      <w:r w:rsidRPr="00E3446B">
        <w:rPr>
          <w:rFonts w:asciiTheme="minorHAnsi" w:hAnsiTheme="minorHAnsi"/>
        </w:rPr>
        <w:t xml:space="preserve">old age, </w:t>
      </w:r>
      <w:r>
        <w:rPr>
          <w:rFonts w:asciiTheme="minorHAnsi" w:hAnsiTheme="minorHAnsi"/>
        </w:rPr>
        <w:t xml:space="preserve">with its highest prevalence </w:t>
      </w:r>
      <w:r w:rsidRPr="00E3446B">
        <w:rPr>
          <w:rFonts w:asciiTheme="minorHAnsi" w:hAnsiTheme="minorHAnsi"/>
        </w:rPr>
        <w:t xml:space="preserve">among people aged 55-64. Among most age groups, mood disorders are </w:t>
      </w:r>
      <w:r>
        <w:rPr>
          <w:rFonts w:asciiTheme="minorHAnsi" w:hAnsiTheme="minorHAnsi"/>
        </w:rPr>
        <w:t xml:space="preserve">somewhat </w:t>
      </w:r>
      <w:r w:rsidRPr="00E3446B">
        <w:rPr>
          <w:rFonts w:asciiTheme="minorHAnsi" w:hAnsiTheme="minorHAnsi"/>
        </w:rPr>
        <w:t>more widespread among women than men.</w:t>
      </w:r>
    </w:p>
    <w:p w14:paraId="5AEE4453" w14:textId="77777777" w:rsidR="00C65183" w:rsidRPr="00336E15" w:rsidRDefault="00C65183" w:rsidP="00C65183">
      <w:pPr>
        <w:spacing w:after="120"/>
        <w:jc w:val="both"/>
        <w:rPr>
          <w:rFonts w:asciiTheme="minorHAnsi" w:hAnsiTheme="minorHAnsi"/>
          <w:color w:val="7F7F7F" w:themeColor="text1" w:themeTint="80"/>
          <w:sz w:val="20"/>
          <w:szCs w:val="20"/>
        </w:rPr>
      </w:pPr>
      <w:r w:rsidRPr="00336E15">
        <w:rPr>
          <w:rFonts w:asciiTheme="minorHAnsi" w:hAnsiTheme="minorHAnsi"/>
          <w:color w:val="7F7F7F" w:themeColor="text1" w:themeTint="80"/>
          <w:sz w:val="20"/>
          <w:szCs w:val="20"/>
        </w:rPr>
        <w:t xml:space="preserve">Prevalence of </w:t>
      </w:r>
      <w:r>
        <w:rPr>
          <w:rFonts w:asciiTheme="minorHAnsi" w:hAnsiTheme="minorHAnsi"/>
          <w:color w:val="7F7F7F" w:themeColor="text1" w:themeTint="80"/>
          <w:sz w:val="20"/>
          <w:szCs w:val="20"/>
        </w:rPr>
        <w:t>depression</w:t>
      </w:r>
      <w:r w:rsidRPr="00336E15">
        <w:rPr>
          <w:rFonts w:asciiTheme="minorHAnsi" w:hAnsiTheme="minorHAnsi"/>
          <w:color w:val="7F7F7F" w:themeColor="text1" w:themeTint="80"/>
          <w:sz w:val="20"/>
          <w:szCs w:val="20"/>
        </w:rPr>
        <w:t>, by sex and age: Aus</w:t>
      </w:r>
      <w:r>
        <w:rPr>
          <w:rFonts w:asciiTheme="minorHAnsi" w:hAnsiTheme="minorHAnsi"/>
          <w:color w:val="7F7F7F" w:themeColor="text1" w:themeTint="80"/>
          <w:sz w:val="20"/>
          <w:szCs w:val="20"/>
        </w:rPr>
        <w:t>.</w:t>
      </w:r>
      <w:r w:rsidRPr="00336E15">
        <w:rPr>
          <w:rFonts w:asciiTheme="minorHAnsi" w:hAnsiTheme="minorHAnsi"/>
          <w:color w:val="7F7F7F" w:themeColor="text1" w:themeTint="80"/>
          <w:sz w:val="20"/>
          <w:szCs w:val="20"/>
        </w:rPr>
        <w:t>, 2018</w:t>
      </w:r>
    </w:p>
    <w:p w14:paraId="01C00BDB" w14:textId="77777777" w:rsidR="00C65183" w:rsidRDefault="00C65183" w:rsidP="00C65183">
      <w:pPr>
        <w:spacing w:line="360" w:lineRule="auto"/>
        <w:jc w:val="both"/>
        <w:rPr>
          <w:rFonts w:asciiTheme="minorHAnsi" w:hAnsiTheme="minorHAnsi"/>
        </w:rPr>
      </w:pPr>
    </w:p>
    <w:p w14:paraId="3F939305" w14:textId="77777777" w:rsidR="00C65183" w:rsidRDefault="00C65183" w:rsidP="00C65183">
      <w:pPr>
        <w:spacing w:line="360" w:lineRule="auto"/>
        <w:jc w:val="both"/>
        <w:rPr>
          <w:rFonts w:asciiTheme="minorHAnsi" w:hAnsiTheme="minorHAnsi"/>
        </w:rPr>
      </w:pPr>
    </w:p>
    <w:p w14:paraId="1B7C0515" w14:textId="77777777" w:rsidR="00C65183" w:rsidRDefault="00C65183" w:rsidP="00C65183">
      <w:pPr>
        <w:spacing w:line="360" w:lineRule="auto"/>
        <w:jc w:val="both"/>
        <w:rPr>
          <w:rFonts w:asciiTheme="minorHAnsi" w:hAnsiTheme="minorHAnsi"/>
        </w:rPr>
      </w:pPr>
      <w:r>
        <w:rPr>
          <w:rFonts w:asciiTheme="minorHAnsi" w:hAnsiTheme="minorHAnsi"/>
          <w:noProof/>
          <w:lang w:val="en-US"/>
        </w:rPr>
        <w:drawing>
          <wp:anchor distT="0" distB="0" distL="114300" distR="114300" simplePos="0" relativeHeight="251928576" behindDoc="0" locked="0" layoutInCell="1" allowOverlap="1" wp14:anchorId="3857BAFA" wp14:editId="18ACE5BC">
            <wp:simplePos x="0" y="0"/>
            <wp:positionH relativeFrom="margin">
              <wp:align>right</wp:align>
            </wp:positionH>
            <wp:positionV relativeFrom="paragraph">
              <wp:posOffset>3810</wp:posOffset>
            </wp:positionV>
            <wp:extent cx="3183890" cy="2357120"/>
            <wp:effectExtent l="0" t="0" r="0" b="5080"/>
            <wp:wrapSquare wrapText="bothSides"/>
            <wp:docPr id="491" name="Picture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4" cstate="print">
                      <a:extLst>
                        <a:ext uri="{28A0092B-C50C-407E-A947-70E740481C1C}">
                          <a14:useLocalDpi xmlns:a14="http://schemas.microsoft.com/office/drawing/2010/main" val="0"/>
                        </a:ext>
                      </a:extLst>
                    </a:blip>
                    <a:srcRect/>
                    <a:stretch>
                      <a:fillRect/>
                    </a:stretch>
                  </pic:blipFill>
                  <pic:spPr bwMode="auto">
                    <a:xfrm>
                      <a:off x="0" y="0"/>
                      <a:ext cx="3183890" cy="2357120"/>
                    </a:xfrm>
                    <a:prstGeom prst="rect">
                      <a:avLst/>
                    </a:prstGeom>
                    <a:noFill/>
                  </pic:spPr>
                </pic:pic>
              </a:graphicData>
            </a:graphic>
            <wp14:sizeRelH relativeFrom="margin">
              <wp14:pctWidth>0</wp14:pctWidth>
            </wp14:sizeRelH>
            <wp14:sizeRelV relativeFrom="margin">
              <wp14:pctHeight>0</wp14:pctHeight>
            </wp14:sizeRelV>
          </wp:anchor>
        </w:drawing>
      </w:r>
    </w:p>
    <w:p w14:paraId="7FDBAE13" w14:textId="77777777" w:rsidR="00C65183" w:rsidRPr="00E3446B" w:rsidRDefault="00C65183" w:rsidP="00C65183">
      <w:pPr>
        <w:spacing w:line="360" w:lineRule="auto"/>
        <w:jc w:val="both"/>
        <w:rPr>
          <w:rFonts w:asciiTheme="minorHAnsi" w:hAnsiTheme="minorHAnsi"/>
        </w:rPr>
      </w:pPr>
      <w:r w:rsidRPr="00E3446B">
        <w:rPr>
          <w:rFonts w:asciiTheme="minorHAnsi" w:hAnsiTheme="minorHAnsi"/>
        </w:rPr>
        <w:t>Anxiety disorders</w:t>
      </w:r>
      <w:r>
        <w:rPr>
          <w:rFonts w:asciiTheme="minorHAnsi" w:hAnsiTheme="minorHAnsi"/>
        </w:rPr>
        <w:t xml:space="preserve"> recorded in the </w:t>
      </w:r>
      <w:r>
        <w:rPr>
          <w:rFonts w:ascii="Calibri" w:hAnsi="Calibri"/>
        </w:rPr>
        <w:t>2018 National Health Survey</w:t>
      </w:r>
      <w:r w:rsidRPr="00E3446B">
        <w:rPr>
          <w:rFonts w:asciiTheme="minorHAnsi" w:hAnsiTheme="minorHAnsi"/>
        </w:rPr>
        <w:t xml:space="preserve"> rise abruptly to a peak prevalence of 19</w:t>
      </w:r>
      <w:r>
        <w:rPr>
          <w:rFonts w:asciiTheme="minorHAnsi" w:hAnsiTheme="minorHAnsi"/>
        </w:rPr>
        <w:t>%</w:t>
      </w:r>
      <w:r w:rsidRPr="00E3446B">
        <w:rPr>
          <w:rFonts w:asciiTheme="minorHAnsi" w:hAnsiTheme="minorHAnsi"/>
        </w:rPr>
        <w:t xml:space="preserve"> among 15-24 year-olds</w:t>
      </w:r>
      <w:r>
        <w:rPr>
          <w:rFonts w:asciiTheme="minorHAnsi" w:hAnsiTheme="minorHAnsi"/>
        </w:rPr>
        <w:t xml:space="preserve"> (including a quarter of females)</w:t>
      </w:r>
      <w:r w:rsidRPr="00E3446B">
        <w:rPr>
          <w:rFonts w:asciiTheme="minorHAnsi" w:hAnsiTheme="minorHAnsi"/>
        </w:rPr>
        <w:t xml:space="preserve">, </w:t>
      </w:r>
      <w:r>
        <w:rPr>
          <w:rFonts w:asciiTheme="minorHAnsi" w:hAnsiTheme="minorHAnsi"/>
        </w:rPr>
        <w:t>before declining with increasing age</w:t>
      </w:r>
      <w:r w:rsidRPr="00E3446B">
        <w:rPr>
          <w:rFonts w:asciiTheme="minorHAnsi" w:hAnsiTheme="minorHAnsi"/>
        </w:rPr>
        <w:t>.</w:t>
      </w:r>
    </w:p>
    <w:p w14:paraId="29B1F8A1" w14:textId="77777777" w:rsidR="00C65183" w:rsidRPr="00E3446B" w:rsidRDefault="00C65183" w:rsidP="00C65183">
      <w:pPr>
        <w:spacing w:line="360" w:lineRule="auto"/>
        <w:jc w:val="both"/>
        <w:rPr>
          <w:rFonts w:asciiTheme="minorHAnsi" w:hAnsiTheme="minorHAnsi"/>
        </w:rPr>
      </w:pPr>
      <w:r>
        <w:rPr>
          <w:rFonts w:asciiTheme="minorHAnsi" w:hAnsiTheme="minorHAnsi"/>
        </w:rPr>
        <w:t>Such</w:t>
      </w:r>
      <w:r w:rsidRPr="00E3446B">
        <w:rPr>
          <w:rFonts w:asciiTheme="minorHAnsi" w:hAnsiTheme="minorHAnsi"/>
        </w:rPr>
        <w:t xml:space="preserve"> conditions </w:t>
      </w:r>
      <w:r>
        <w:rPr>
          <w:rFonts w:asciiTheme="minorHAnsi" w:hAnsiTheme="minorHAnsi"/>
        </w:rPr>
        <w:t>were</w:t>
      </w:r>
      <w:r w:rsidRPr="00E3446B">
        <w:rPr>
          <w:rFonts w:asciiTheme="minorHAnsi" w:hAnsiTheme="minorHAnsi"/>
        </w:rPr>
        <w:t xml:space="preserve"> more common among</w:t>
      </w:r>
      <w:r>
        <w:rPr>
          <w:rFonts w:asciiTheme="minorHAnsi" w:hAnsiTheme="minorHAnsi"/>
        </w:rPr>
        <w:t xml:space="preserve"> women than men</w:t>
      </w:r>
      <w:r w:rsidRPr="00E3446B">
        <w:rPr>
          <w:rFonts w:asciiTheme="minorHAnsi" w:hAnsiTheme="minorHAnsi"/>
        </w:rPr>
        <w:t>.</w:t>
      </w:r>
    </w:p>
    <w:p w14:paraId="2B9BF75B" w14:textId="77777777" w:rsidR="00C65183" w:rsidRPr="00336E15" w:rsidRDefault="00C65183" w:rsidP="00C65183">
      <w:pPr>
        <w:spacing w:after="120"/>
        <w:jc w:val="both"/>
        <w:rPr>
          <w:rFonts w:asciiTheme="minorHAnsi" w:hAnsiTheme="minorHAnsi"/>
          <w:color w:val="7F7F7F" w:themeColor="text1" w:themeTint="80"/>
          <w:sz w:val="20"/>
          <w:szCs w:val="20"/>
        </w:rPr>
      </w:pPr>
      <w:r w:rsidRPr="00336E15">
        <w:rPr>
          <w:rFonts w:asciiTheme="minorHAnsi" w:hAnsiTheme="minorHAnsi"/>
          <w:color w:val="7F7F7F" w:themeColor="text1" w:themeTint="80"/>
          <w:sz w:val="20"/>
          <w:szCs w:val="20"/>
        </w:rPr>
        <w:t xml:space="preserve">Prevalence of </w:t>
      </w:r>
      <w:r>
        <w:rPr>
          <w:rFonts w:asciiTheme="minorHAnsi" w:hAnsiTheme="minorHAnsi"/>
          <w:color w:val="7F7F7F" w:themeColor="text1" w:themeTint="80"/>
          <w:sz w:val="20"/>
          <w:szCs w:val="20"/>
        </w:rPr>
        <w:t>anxiety disorders</w:t>
      </w:r>
      <w:r w:rsidRPr="00336E15">
        <w:rPr>
          <w:rFonts w:asciiTheme="minorHAnsi" w:hAnsiTheme="minorHAnsi"/>
          <w:color w:val="7F7F7F" w:themeColor="text1" w:themeTint="80"/>
          <w:sz w:val="20"/>
          <w:szCs w:val="20"/>
        </w:rPr>
        <w:t>, by sex and age: Australia, 2018</w:t>
      </w:r>
    </w:p>
    <w:p w14:paraId="196D20BF" w14:textId="77777777" w:rsidR="00C65183" w:rsidRPr="00E3446B" w:rsidRDefault="00C65183" w:rsidP="00C65183">
      <w:pPr>
        <w:spacing w:line="360" w:lineRule="auto"/>
        <w:jc w:val="both"/>
        <w:rPr>
          <w:rFonts w:asciiTheme="minorHAnsi" w:hAnsiTheme="minorHAnsi"/>
        </w:rPr>
      </w:pPr>
    </w:p>
    <w:p w14:paraId="0A8E0C31" w14:textId="77777777" w:rsidR="00C65183" w:rsidRPr="00E3446B" w:rsidRDefault="00C65183" w:rsidP="00C65183">
      <w:pPr>
        <w:jc w:val="both"/>
        <w:rPr>
          <w:rFonts w:asciiTheme="minorHAnsi" w:hAnsiTheme="minorHAnsi"/>
        </w:rPr>
      </w:pPr>
    </w:p>
    <w:p w14:paraId="06766E40" w14:textId="77777777" w:rsidR="00C65183" w:rsidRDefault="00C65183" w:rsidP="00C65183">
      <w:pPr>
        <w:spacing w:line="360" w:lineRule="auto"/>
        <w:jc w:val="both"/>
        <w:rPr>
          <w:rFonts w:asciiTheme="minorHAnsi" w:hAnsiTheme="minorHAnsi"/>
        </w:rPr>
      </w:pPr>
      <w:r>
        <w:rPr>
          <w:rFonts w:asciiTheme="minorHAnsi" w:hAnsiTheme="minorHAnsi"/>
          <w:noProof/>
          <w:lang w:val="en-US"/>
        </w:rPr>
        <w:lastRenderedPageBreak/>
        <w:drawing>
          <wp:anchor distT="0" distB="0" distL="114300" distR="114300" simplePos="0" relativeHeight="251929600" behindDoc="0" locked="0" layoutInCell="1" allowOverlap="1" wp14:anchorId="3BF62827" wp14:editId="6D6F2540">
            <wp:simplePos x="0" y="0"/>
            <wp:positionH relativeFrom="column">
              <wp:posOffset>2922905</wp:posOffset>
            </wp:positionH>
            <wp:positionV relativeFrom="paragraph">
              <wp:posOffset>55880</wp:posOffset>
            </wp:positionV>
            <wp:extent cx="3222625" cy="2573655"/>
            <wp:effectExtent l="0" t="0" r="0" b="0"/>
            <wp:wrapSquare wrapText="bothSides"/>
            <wp:docPr id="493" name="Picture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295" cstate="print">
                      <a:extLst>
                        <a:ext uri="{28A0092B-C50C-407E-A947-70E740481C1C}">
                          <a14:useLocalDpi xmlns:a14="http://schemas.microsoft.com/office/drawing/2010/main" val="0"/>
                        </a:ext>
                      </a:extLst>
                    </a:blip>
                    <a:srcRect r="5221"/>
                    <a:stretch/>
                  </pic:blipFill>
                  <pic:spPr bwMode="auto">
                    <a:xfrm>
                      <a:off x="0" y="0"/>
                      <a:ext cx="3222625" cy="25736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E3446B">
        <w:rPr>
          <w:rFonts w:asciiTheme="minorHAnsi" w:hAnsiTheme="minorHAnsi"/>
        </w:rPr>
        <w:t>The accompanying diagram illustrates difference</w:t>
      </w:r>
      <w:r>
        <w:rPr>
          <w:rFonts w:asciiTheme="minorHAnsi" w:hAnsiTheme="minorHAnsi"/>
        </w:rPr>
        <w:t>s</w:t>
      </w:r>
      <w:r w:rsidRPr="00E3446B">
        <w:rPr>
          <w:rFonts w:asciiTheme="minorHAnsi" w:hAnsiTheme="minorHAnsi"/>
        </w:rPr>
        <w:t xml:space="preserve"> between </w:t>
      </w:r>
      <w:r>
        <w:rPr>
          <w:rFonts w:asciiTheme="minorHAnsi" w:hAnsiTheme="minorHAnsi"/>
        </w:rPr>
        <w:t xml:space="preserve">the </w:t>
      </w:r>
      <w:r w:rsidRPr="00E3446B">
        <w:rPr>
          <w:rFonts w:asciiTheme="minorHAnsi" w:hAnsiTheme="minorHAnsi"/>
        </w:rPr>
        <w:t xml:space="preserve">prevalence of mental health conditions </w:t>
      </w:r>
      <w:r>
        <w:rPr>
          <w:rFonts w:asciiTheme="minorHAnsi" w:hAnsiTheme="minorHAnsi"/>
        </w:rPr>
        <w:t xml:space="preserve">among </w:t>
      </w:r>
      <w:r w:rsidRPr="00E3446B">
        <w:rPr>
          <w:rFonts w:asciiTheme="minorHAnsi" w:hAnsiTheme="minorHAnsi"/>
        </w:rPr>
        <w:t>women and men</w:t>
      </w:r>
      <w:r>
        <w:rPr>
          <w:rFonts w:asciiTheme="minorHAnsi" w:hAnsiTheme="minorHAnsi"/>
        </w:rPr>
        <w:t>, recorded in</w:t>
      </w:r>
      <w:r w:rsidRPr="00E3446B">
        <w:rPr>
          <w:rFonts w:asciiTheme="minorHAnsi" w:hAnsiTheme="minorHAnsi"/>
        </w:rPr>
        <w:t xml:space="preserve"> </w:t>
      </w:r>
      <w:r>
        <w:rPr>
          <w:rFonts w:asciiTheme="minorHAnsi" w:hAnsiTheme="minorHAnsi"/>
        </w:rPr>
        <w:t xml:space="preserve">the findings of the </w:t>
      </w:r>
      <w:r>
        <w:rPr>
          <w:rFonts w:ascii="Calibri" w:hAnsi="Calibri"/>
        </w:rPr>
        <w:t>2018 National Health Survey</w:t>
      </w:r>
      <w:r>
        <w:rPr>
          <w:rFonts w:asciiTheme="minorHAnsi" w:hAnsiTheme="minorHAnsi"/>
        </w:rPr>
        <w:t>.</w:t>
      </w:r>
    </w:p>
    <w:p w14:paraId="08703471" w14:textId="77777777" w:rsidR="00C65183" w:rsidRPr="009440AE" w:rsidRDefault="00C65183" w:rsidP="00C65183">
      <w:pPr>
        <w:jc w:val="both"/>
        <w:rPr>
          <w:rFonts w:asciiTheme="minorHAnsi" w:hAnsiTheme="minorHAnsi"/>
          <w:color w:val="7F7F7F" w:themeColor="text1" w:themeTint="80"/>
          <w:sz w:val="10"/>
          <w:szCs w:val="10"/>
        </w:rPr>
      </w:pPr>
    </w:p>
    <w:p w14:paraId="53988673" w14:textId="77777777" w:rsidR="00C65183" w:rsidRPr="009440AE" w:rsidRDefault="00C65183" w:rsidP="00C65183">
      <w:pPr>
        <w:jc w:val="both"/>
        <w:rPr>
          <w:rFonts w:asciiTheme="minorHAnsi" w:hAnsiTheme="minorHAnsi"/>
          <w:color w:val="7F7F7F" w:themeColor="text1" w:themeTint="80"/>
        </w:rPr>
      </w:pPr>
      <w:r w:rsidRPr="009440AE">
        <w:rPr>
          <w:rFonts w:asciiTheme="minorHAnsi" w:hAnsiTheme="minorHAnsi"/>
          <w:color w:val="7F7F7F" w:themeColor="text1" w:themeTint="80"/>
        </w:rPr>
        <w:t>Prevalence of mental health disorders by selected categories and sex: Australia, 2018</w:t>
      </w:r>
    </w:p>
    <w:p w14:paraId="1D6ADAD9" w14:textId="77777777" w:rsidR="00C65183" w:rsidRPr="009440AE" w:rsidRDefault="00C65183" w:rsidP="00C65183">
      <w:pPr>
        <w:jc w:val="both"/>
        <w:rPr>
          <w:rFonts w:asciiTheme="minorHAnsi" w:hAnsiTheme="minorHAnsi"/>
          <w:sz w:val="10"/>
          <w:szCs w:val="10"/>
        </w:rPr>
      </w:pPr>
    </w:p>
    <w:p w14:paraId="275A6DFB" w14:textId="77777777" w:rsidR="00C65183" w:rsidRDefault="00C65183" w:rsidP="00C65183">
      <w:pPr>
        <w:spacing w:line="360" w:lineRule="auto"/>
        <w:jc w:val="both"/>
        <w:rPr>
          <w:rFonts w:asciiTheme="minorHAnsi" w:hAnsiTheme="minorHAnsi"/>
        </w:rPr>
      </w:pPr>
      <w:r>
        <w:rPr>
          <w:rFonts w:asciiTheme="minorHAnsi" w:hAnsiTheme="minorHAnsi"/>
        </w:rPr>
        <w:t>C</w:t>
      </w:r>
      <w:r w:rsidRPr="00E3446B">
        <w:rPr>
          <w:rFonts w:asciiTheme="minorHAnsi" w:hAnsiTheme="minorHAnsi"/>
        </w:rPr>
        <w:t xml:space="preserve">onditions related to mood and anxiety are </w:t>
      </w:r>
      <w:r>
        <w:rPr>
          <w:rFonts w:asciiTheme="minorHAnsi" w:hAnsiTheme="minorHAnsi"/>
        </w:rPr>
        <w:t>markedly</w:t>
      </w:r>
      <w:r w:rsidRPr="00E3446B">
        <w:rPr>
          <w:rFonts w:asciiTheme="minorHAnsi" w:hAnsiTheme="minorHAnsi"/>
        </w:rPr>
        <w:t xml:space="preserve"> more widespread among women, while alcohol and other drug disorders</w:t>
      </w:r>
      <w:r>
        <w:rPr>
          <w:rFonts w:asciiTheme="minorHAnsi" w:hAnsiTheme="minorHAnsi"/>
        </w:rPr>
        <w:t>,</w:t>
      </w:r>
      <w:r w:rsidRPr="00E3446B">
        <w:rPr>
          <w:rFonts w:asciiTheme="minorHAnsi" w:hAnsiTheme="minorHAnsi"/>
        </w:rPr>
        <w:t xml:space="preserve"> and conditions related to psychological </w:t>
      </w:r>
      <w:r>
        <w:rPr>
          <w:rFonts w:asciiTheme="minorHAnsi" w:hAnsiTheme="minorHAnsi"/>
        </w:rPr>
        <w:t>development,</w:t>
      </w:r>
      <w:r w:rsidRPr="00E3446B">
        <w:rPr>
          <w:rFonts w:asciiTheme="minorHAnsi" w:hAnsiTheme="minorHAnsi"/>
        </w:rPr>
        <w:t xml:space="preserve"> are more prevalent among males.</w:t>
      </w:r>
    </w:p>
    <w:p w14:paraId="533A0409" w14:textId="77777777" w:rsidR="00C65183" w:rsidRPr="00BB1242" w:rsidRDefault="00C65183" w:rsidP="00C65183">
      <w:pPr>
        <w:spacing w:line="360" w:lineRule="auto"/>
        <w:jc w:val="both"/>
        <w:rPr>
          <w:rFonts w:ascii="Calibri" w:hAnsi="Calibri"/>
          <w:i/>
        </w:rPr>
      </w:pPr>
      <w:r w:rsidRPr="00BB1242">
        <w:rPr>
          <w:rFonts w:ascii="Calibri" w:hAnsi="Calibri"/>
          <w:i/>
        </w:rPr>
        <w:t>Differences in Prevalence of Mental Health Disorders among Segments of the Community</w:t>
      </w:r>
    </w:p>
    <w:p w14:paraId="73B99C8A" w14:textId="77777777" w:rsidR="00C65183" w:rsidRDefault="00C65183" w:rsidP="00C65183">
      <w:pPr>
        <w:jc w:val="both"/>
        <w:rPr>
          <w:rFonts w:ascii="Calibri" w:hAnsi="Calibri"/>
        </w:rPr>
      </w:pPr>
      <w:r>
        <w:rPr>
          <w:rFonts w:ascii="Calibri" w:hAnsi="Calibri"/>
        </w:rPr>
        <w:t xml:space="preserve">The </w:t>
      </w:r>
      <w:r w:rsidRPr="00213758">
        <w:rPr>
          <w:rFonts w:ascii="Calibri" w:hAnsi="Calibri"/>
        </w:rPr>
        <w:t>National Survey of Mental Health and Wellbeing</w:t>
      </w:r>
      <w:r>
        <w:rPr>
          <w:rFonts w:ascii="Calibri" w:hAnsi="Calibri"/>
        </w:rPr>
        <w:t xml:space="preserve"> found that the proportion of people who had experienced any mental health disorder in the previous 12 months varied with income, education level, labour force status, family structure, marital status and sexual orientation. Mental health disorders were reported by:</w:t>
      </w:r>
    </w:p>
    <w:p w14:paraId="32B76114" w14:textId="77777777" w:rsidR="00C65183" w:rsidRDefault="00C65183" w:rsidP="00C65183">
      <w:pPr>
        <w:numPr>
          <w:ilvl w:val="0"/>
          <w:numId w:val="3"/>
        </w:numPr>
        <w:spacing w:line="288" w:lineRule="auto"/>
        <w:ind w:left="709" w:hanging="357"/>
        <w:jc w:val="both"/>
        <w:rPr>
          <w:rFonts w:ascii="Calibri" w:hAnsi="Calibri"/>
        </w:rPr>
      </w:pPr>
      <w:r>
        <w:rPr>
          <w:rFonts w:ascii="Calibri" w:hAnsi="Calibri"/>
        </w:rPr>
        <w:t>22% of people on the lowest fifth of incomes, compared with 16% of those on the highest incomes.</w:t>
      </w:r>
    </w:p>
    <w:p w14:paraId="40141B5A" w14:textId="77777777" w:rsidR="00C65183" w:rsidRDefault="00C65183" w:rsidP="00C65183">
      <w:pPr>
        <w:numPr>
          <w:ilvl w:val="0"/>
          <w:numId w:val="3"/>
        </w:numPr>
        <w:spacing w:line="288" w:lineRule="auto"/>
        <w:ind w:left="709" w:hanging="357"/>
        <w:jc w:val="both"/>
        <w:rPr>
          <w:rFonts w:ascii="Calibri" w:hAnsi="Calibri"/>
        </w:rPr>
      </w:pPr>
      <w:r>
        <w:rPr>
          <w:rFonts w:ascii="Calibri" w:hAnsi="Calibri"/>
        </w:rPr>
        <w:t>34% of people in one-parent families, compared with 19% of those in two-parent households</w:t>
      </w:r>
    </w:p>
    <w:p w14:paraId="5E6A126D" w14:textId="77777777" w:rsidR="00C65183" w:rsidRDefault="00C65183" w:rsidP="00C65183">
      <w:pPr>
        <w:numPr>
          <w:ilvl w:val="0"/>
          <w:numId w:val="3"/>
        </w:numPr>
        <w:spacing w:line="288" w:lineRule="auto"/>
        <w:ind w:left="709" w:hanging="357"/>
        <w:jc w:val="both"/>
        <w:rPr>
          <w:rFonts w:ascii="Calibri" w:hAnsi="Calibri"/>
        </w:rPr>
      </w:pPr>
      <w:r>
        <w:rPr>
          <w:rFonts w:ascii="Calibri" w:hAnsi="Calibri"/>
        </w:rPr>
        <w:t>21% of people with no post-school qualifications, and with 17% of those with a degree</w:t>
      </w:r>
    </w:p>
    <w:p w14:paraId="2651CB6C" w14:textId="77777777" w:rsidR="00C65183" w:rsidRDefault="00C65183" w:rsidP="00C65183">
      <w:pPr>
        <w:numPr>
          <w:ilvl w:val="0"/>
          <w:numId w:val="3"/>
        </w:numPr>
        <w:spacing w:line="288" w:lineRule="auto"/>
        <w:ind w:left="709" w:hanging="357"/>
        <w:jc w:val="both"/>
        <w:rPr>
          <w:rFonts w:ascii="Calibri" w:hAnsi="Calibri"/>
        </w:rPr>
      </w:pPr>
      <w:r>
        <w:rPr>
          <w:rFonts w:ascii="Calibri" w:hAnsi="Calibri"/>
        </w:rPr>
        <w:t>29% of unemployed people, compared with 20% of those in paid work</w:t>
      </w:r>
    </w:p>
    <w:p w14:paraId="2AF5B053" w14:textId="77777777" w:rsidR="00C65183" w:rsidRDefault="00C65183" w:rsidP="00C65183">
      <w:pPr>
        <w:numPr>
          <w:ilvl w:val="0"/>
          <w:numId w:val="3"/>
        </w:numPr>
        <w:spacing w:line="288" w:lineRule="auto"/>
        <w:ind w:left="709" w:hanging="357"/>
        <w:jc w:val="both"/>
        <w:rPr>
          <w:rFonts w:ascii="Calibri" w:hAnsi="Calibri"/>
        </w:rPr>
      </w:pPr>
      <w:r>
        <w:rPr>
          <w:rFonts w:ascii="Calibri" w:hAnsi="Calibri"/>
        </w:rPr>
        <w:t>28% of people never married, and with 15% of those in a married/defacto relationship</w:t>
      </w:r>
    </w:p>
    <w:p w14:paraId="2E7A1B92" w14:textId="77777777" w:rsidR="00C65183" w:rsidRDefault="00C65183" w:rsidP="00C65183">
      <w:pPr>
        <w:numPr>
          <w:ilvl w:val="0"/>
          <w:numId w:val="3"/>
        </w:numPr>
        <w:spacing w:line="288" w:lineRule="auto"/>
        <w:ind w:left="709" w:hanging="357"/>
        <w:jc w:val="both"/>
        <w:rPr>
          <w:rFonts w:ascii="Calibri" w:hAnsi="Calibri"/>
        </w:rPr>
      </w:pPr>
      <w:r>
        <w:rPr>
          <w:rFonts w:ascii="Calibri" w:hAnsi="Calibri"/>
        </w:rPr>
        <w:t>54% of those who had ever been homeless, compared with 19% of others.</w:t>
      </w:r>
    </w:p>
    <w:p w14:paraId="1D808B74" w14:textId="77777777" w:rsidR="00C65183" w:rsidRPr="009176C9" w:rsidRDefault="00C65183" w:rsidP="00C65183">
      <w:pPr>
        <w:spacing w:before="120" w:line="360" w:lineRule="auto"/>
        <w:jc w:val="both"/>
        <w:rPr>
          <w:rFonts w:asciiTheme="minorHAnsi" w:hAnsiTheme="minorHAnsi" w:cstheme="minorHAnsi"/>
        </w:rPr>
      </w:pPr>
      <w:r w:rsidRPr="009176C9">
        <w:rPr>
          <w:rFonts w:asciiTheme="minorHAnsi" w:hAnsiTheme="minorHAnsi" w:cstheme="minorHAnsi"/>
        </w:rPr>
        <w:t xml:space="preserve">A high prevalence of mental health concerns has been reported among same-sex attracted individuals. The National Survey of Mental Health and Wellbeing found that mental health disorders were reported by 41% of homosexual people compared with 20% of heterosexuals. Similarly, </w:t>
      </w:r>
      <w:r w:rsidRPr="009176C9">
        <w:rPr>
          <w:rFonts w:asciiTheme="minorHAnsi" w:hAnsiTheme="minorHAnsi" w:cstheme="minorHAnsi"/>
          <w:color w:val="000000" w:themeColor="text1"/>
        </w:rPr>
        <w:t>LGBTI participants in the 2017 Victorian Population Health Survey also registered unfavorable mental health outcomes, including lower levels of satisfaction with life, with 28% assessing their life satisfaction as ‘fair’ or ‘poor’ compared with 20% of others; higher rates of psychological distress (24% compared with 15% of non-LGBTI individuals); and elevated levels of doctor-diagnosed depression or anxiety (45% compared with 26% of non-LGBTI survey participants)</w:t>
      </w:r>
      <w:r>
        <w:rPr>
          <w:rFonts w:asciiTheme="minorHAnsi" w:hAnsiTheme="minorHAnsi" w:cstheme="minorHAnsi"/>
          <w:color w:val="000000" w:themeColor="text1"/>
        </w:rPr>
        <w:t>.</w:t>
      </w:r>
      <w:r>
        <w:rPr>
          <w:rStyle w:val="FootnoteReference"/>
          <w:rFonts w:asciiTheme="minorHAnsi" w:hAnsiTheme="minorHAnsi" w:cstheme="minorHAnsi"/>
          <w:color w:val="000000" w:themeColor="text1"/>
        </w:rPr>
        <w:footnoteReference w:id="91"/>
      </w:r>
      <w:r w:rsidRPr="009176C9">
        <w:rPr>
          <w:rFonts w:asciiTheme="minorHAnsi" w:hAnsiTheme="minorHAnsi" w:cstheme="minorHAnsi"/>
          <w:color w:val="000000" w:themeColor="text1"/>
        </w:rPr>
        <w:t xml:space="preserve"> (Victorian Agency for Health Information, 2020).</w:t>
      </w:r>
    </w:p>
    <w:p w14:paraId="6772ABB1" w14:textId="77777777" w:rsidR="00C65183" w:rsidRPr="00EE61B3" w:rsidRDefault="00C65183" w:rsidP="00C65183">
      <w:pPr>
        <w:spacing w:line="360" w:lineRule="auto"/>
        <w:jc w:val="both"/>
        <w:rPr>
          <w:rFonts w:ascii="Calibri" w:hAnsi="Calibri"/>
        </w:rPr>
      </w:pPr>
      <w:r>
        <w:rPr>
          <w:rFonts w:ascii="Calibri" w:hAnsi="Calibri"/>
        </w:rPr>
        <w:t>The</w:t>
      </w:r>
      <w:r w:rsidRPr="00EE61B3">
        <w:rPr>
          <w:rFonts w:ascii="Calibri" w:hAnsi="Calibri"/>
        </w:rPr>
        <w:t xml:space="preserve"> </w:t>
      </w:r>
      <w:r w:rsidRPr="00213758">
        <w:rPr>
          <w:rFonts w:ascii="Calibri" w:hAnsi="Calibri"/>
        </w:rPr>
        <w:t>National Survey of Mental Health and Wellbeing</w:t>
      </w:r>
      <w:r>
        <w:rPr>
          <w:rFonts w:ascii="Calibri" w:hAnsi="Calibri"/>
        </w:rPr>
        <w:t xml:space="preserve"> </w:t>
      </w:r>
      <w:r w:rsidRPr="00EE61B3">
        <w:rPr>
          <w:rFonts w:ascii="Calibri" w:hAnsi="Calibri"/>
        </w:rPr>
        <w:t>also documented a relatively high prevalence of mental health disorders among people with a disability. Those with a severe or profound disability were approximately five times more likely than those with no disability to have experienced a mood disorder in past year (20% vs 4.2% among those without a disability) and three times more likely to have experienced an anxiety disorder (15% vs 4.2%)</w:t>
      </w:r>
    </w:p>
    <w:p w14:paraId="35319B3D" w14:textId="77777777" w:rsidR="00C65183" w:rsidRPr="00031808" w:rsidRDefault="00C65183" w:rsidP="00C65183">
      <w:pPr>
        <w:spacing w:line="360" w:lineRule="auto"/>
        <w:jc w:val="both"/>
        <w:rPr>
          <w:rFonts w:ascii="Calibri" w:hAnsi="Calibri"/>
          <w:b/>
          <w:sz w:val="8"/>
          <w:szCs w:val="8"/>
        </w:rPr>
      </w:pPr>
    </w:p>
    <w:p w14:paraId="4B1D4941" w14:textId="77777777" w:rsidR="00C65183" w:rsidRPr="0091758D" w:rsidRDefault="00C65183" w:rsidP="00C65183">
      <w:pPr>
        <w:spacing w:line="360" w:lineRule="auto"/>
        <w:jc w:val="both"/>
        <w:rPr>
          <w:rFonts w:ascii="Calibri" w:hAnsi="Calibri"/>
          <w:b/>
        </w:rPr>
      </w:pPr>
      <w:r w:rsidRPr="0091758D">
        <w:rPr>
          <w:rFonts w:ascii="Calibri" w:hAnsi="Calibri"/>
          <w:b/>
        </w:rPr>
        <w:lastRenderedPageBreak/>
        <w:t>The Prevalence of Mental Health Disorders</w:t>
      </w:r>
      <w:r>
        <w:rPr>
          <w:rFonts w:ascii="Calibri" w:hAnsi="Calibri"/>
          <w:b/>
        </w:rPr>
        <w:t xml:space="preserve"> – Detailed Categories</w:t>
      </w:r>
    </w:p>
    <w:p w14:paraId="3D901123" w14:textId="77777777" w:rsidR="00C65183" w:rsidRDefault="00C65183" w:rsidP="00C65183">
      <w:pPr>
        <w:spacing w:line="360" w:lineRule="auto"/>
        <w:jc w:val="both"/>
        <w:rPr>
          <w:rFonts w:ascii="Calibri" w:hAnsi="Calibri"/>
        </w:rPr>
      </w:pPr>
      <w:r>
        <w:rPr>
          <w:rFonts w:ascii="Calibri" w:hAnsi="Calibri"/>
          <w:b/>
          <w:noProof/>
          <w:lang w:val="en-US"/>
        </w:rPr>
        <w:drawing>
          <wp:anchor distT="0" distB="0" distL="114300" distR="114300" simplePos="0" relativeHeight="251972608" behindDoc="0" locked="0" layoutInCell="1" allowOverlap="1" wp14:anchorId="5BF4F438" wp14:editId="5F49FECE">
            <wp:simplePos x="0" y="0"/>
            <wp:positionH relativeFrom="margin">
              <wp:align>left</wp:align>
            </wp:positionH>
            <wp:positionV relativeFrom="paragraph">
              <wp:posOffset>513715</wp:posOffset>
            </wp:positionV>
            <wp:extent cx="4194810" cy="3305810"/>
            <wp:effectExtent l="0" t="0" r="0" b="8890"/>
            <wp:wrapSquare wrapText="bothSides"/>
            <wp:docPr id="495" name="Picture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6" cstate="print">
                      <a:extLst>
                        <a:ext uri="{28A0092B-C50C-407E-A947-70E740481C1C}">
                          <a14:useLocalDpi xmlns:a14="http://schemas.microsoft.com/office/drawing/2010/main" val="0"/>
                        </a:ext>
                      </a:extLst>
                    </a:blip>
                    <a:srcRect/>
                    <a:stretch>
                      <a:fillRect/>
                    </a:stretch>
                  </pic:blipFill>
                  <pic:spPr bwMode="auto">
                    <a:xfrm>
                      <a:off x="0" y="0"/>
                      <a:ext cx="4195805" cy="3307045"/>
                    </a:xfrm>
                    <a:prstGeom prst="rect">
                      <a:avLst/>
                    </a:prstGeom>
                    <a:noFill/>
                  </pic:spPr>
                </pic:pic>
              </a:graphicData>
            </a:graphic>
            <wp14:sizeRelH relativeFrom="margin">
              <wp14:pctWidth>0</wp14:pctWidth>
            </wp14:sizeRelH>
            <wp14:sizeRelV relativeFrom="margin">
              <wp14:pctHeight>0</wp14:pctHeight>
            </wp14:sizeRelV>
          </wp:anchor>
        </w:drawing>
      </w:r>
      <w:r w:rsidRPr="00213758">
        <w:rPr>
          <w:rFonts w:ascii="Calibri" w:hAnsi="Calibri"/>
        </w:rPr>
        <w:t xml:space="preserve">The prevalence of mental health disorders was explored in more detail </w:t>
      </w:r>
      <w:r>
        <w:rPr>
          <w:rFonts w:ascii="Calibri" w:hAnsi="Calibri"/>
        </w:rPr>
        <w:t>by</w:t>
      </w:r>
      <w:r w:rsidRPr="00213758">
        <w:rPr>
          <w:rFonts w:ascii="Calibri" w:hAnsi="Calibri"/>
        </w:rPr>
        <w:t xml:space="preserve"> the earlier, 2007 National Survey of Mental Health and Wellbeing</w:t>
      </w:r>
      <w:r>
        <w:rPr>
          <w:rFonts w:ascii="Calibri" w:hAnsi="Calibri"/>
        </w:rPr>
        <w:t>.</w:t>
      </w:r>
      <w:r w:rsidRPr="00213758">
        <w:rPr>
          <w:rFonts w:ascii="Calibri" w:hAnsi="Calibri"/>
        </w:rPr>
        <w:t xml:space="preserve"> The survey found that post-traumatic stress disorder, depression and social phobias were more </w:t>
      </w:r>
      <w:r>
        <w:rPr>
          <w:rFonts w:ascii="Calibri" w:hAnsi="Calibri"/>
        </w:rPr>
        <w:t>common</w:t>
      </w:r>
      <w:r w:rsidRPr="00213758">
        <w:rPr>
          <w:rFonts w:ascii="Calibri" w:hAnsi="Calibri"/>
        </w:rPr>
        <w:t xml:space="preserve"> among women than men, while men predominated among those who had experienced alcohol or other drug related disorders</w:t>
      </w:r>
      <w:r>
        <w:rPr>
          <w:rFonts w:ascii="Calibri" w:hAnsi="Calibri"/>
        </w:rPr>
        <w:t>, either during their lifetime or in the past year (diagram, below).</w:t>
      </w:r>
    </w:p>
    <w:p w14:paraId="5AEE5357" w14:textId="77777777" w:rsidR="00C65183" w:rsidRDefault="00C65183" w:rsidP="00C65183">
      <w:pPr>
        <w:spacing w:line="360" w:lineRule="auto"/>
        <w:jc w:val="both"/>
        <w:rPr>
          <w:rFonts w:ascii="Calibri" w:hAnsi="Calibri"/>
        </w:rPr>
      </w:pPr>
    </w:p>
    <w:p w14:paraId="04001277" w14:textId="77777777" w:rsidR="00C65183" w:rsidRPr="00213758" w:rsidRDefault="00C65183" w:rsidP="00C65183">
      <w:pPr>
        <w:jc w:val="both"/>
        <w:rPr>
          <w:rFonts w:ascii="Calibri" w:hAnsi="Calibri"/>
          <w:color w:val="808080"/>
          <w:sz w:val="20"/>
          <w:szCs w:val="20"/>
        </w:rPr>
      </w:pPr>
      <w:r>
        <w:rPr>
          <w:rFonts w:ascii="Calibri" w:hAnsi="Calibri"/>
          <w:color w:val="808080"/>
          <w:sz w:val="20"/>
          <w:szCs w:val="20"/>
        </w:rPr>
        <w:t>Per cent of persons who had experienced</w:t>
      </w:r>
      <w:r w:rsidRPr="00213758">
        <w:rPr>
          <w:rFonts w:ascii="Calibri" w:hAnsi="Calibri"/>
          <w:color w:val="808080"/>
          <w:sz w:val="20"/>
          <w:szCs w:val="20"/>
        </w:rPr>
        <w:t xml:space="preserve"> </w:t>
      </w:r>
      <w:r>
        <w:rPr>
          <w:rFonts w:ascii="Calibri" w:hAnsi="Calibri"/>
          <w:color w:val="808080"/>
          <w:sz w:val="20"/>
          <w:szCs w:val="20"/>
        </w:rPr>
        <w:t>m</w:t>
      </w:r>
      <w:r w:rsidRPr="00213758">
        <w:rPr>
          <w:rFonts w:ascii="Calibri" w:hAnsi="Calibri"/>
          <w:color w:val="808080"/>
          <w:sz w:val="20"/>
          <w:szCs w:val="20"/>
        </w:rPr>
        <w:t xml:space="preserve">ental </w:t>
      </w:r>
      <w:r>
        <w:rPr>
          <w:rFonts w:ascii="Calibri" w:hAnsi="Calibri"/>
          <w:color w:val="808080"/>
          <w:sz w:val="20"/>
          <w:szCs w:val="20"/>
        </w:rPr>
        <w:t>h</w:t>
      </w:r>
      <w:r w:rsidRPr="00213758">
        <w:rPr>
          <w:rFonts w:ascii="Calibri" w:hAnsi="Calibri"/>
          <w:color w:val="808080"/>
          <w:sz w:val="20"/>
          <w:szCs w:val="20"/>
        </w:rPr>
        <w:t xml:space="preserve">ealth </w:t>
      </w:r>
      <w:r>
        <w:rPr>
          <w:rFonts w:ascii="Calibri" w:hAnsi="Calibri"/>
          <w:color w:val="808080"/>
          <w:sz w:val="20"/>
          <w:szCs w:val="20"/>
        </w:rPr>
        <w:t>d</w:t>
      </w:r>
      <w:r w:rsidRPr="00213758">
        <w:rPr>
          <w:rFonts w:ascii="Calibri" w:hAnsi="Calibri"/>
          <w:color w:val="808080"/>
          <w:sz w:val="20"/>
          <w:szCs w:val="20"/>
        </w:rPr>
        <w:t xml:space="preserve">isorders </w:t>
      </w:r>
      <w:r>
        <w:rPr>
          <w:rFonts w:ascii="Calibri" w:hAnsi="Calibri"/>
          <w:color w:val="808080"/>
          <w:sz w:val="20"/>
          <w:szCs w:val="20"/>
        </w:rPr>
        <w:t xml:space="preserve">during the previous year, </w:t>
      </w:r>
      <w:r w:rsidRPr="00213758">
        <w:rPr>
          <w:rFonts w:ascii="Calibri" w:hAnsi="Calibri"/>
          <w:color w:val="808080"/>
          <w:sz w:val="20"/>
          <w:szCs w:val="20"/>
        </w:rPr>
        <w:t xml:space="preserve">by </w:t>
      </w:r>
      <w:r>
        <w:rPr>
          <w:rFonts w:ascii="Calibri" w:hAnsi="Calibri"/>
          <w:color w:val="808080"/>
          <w:sz w:val="20"/>
          <w:szCs w:val="20"/>
        </w:rPr>
        <w:t>d</w:t>
      </w:r>
      <w:r w:rsidRPr="00213758">
        <w:rPr>
          <w:rFonts w:ascii="Calibri" w:hAnsi="Calibri"/>
          <w:color w:val="808080"/>
          <w:sz w:val="20"/>
          <w:szCs w:val="20"/>
        </w:rPr>
        <w:t xml:space="preserve">etailed </w:t>
      </w:r>
      <w:r>
        <w:rPr>
          <w:rFonts w:ascii="Calibri" w:hAnsi="Calibri"/>
          <w:color w:val="808080"/>
          <w:sz w:val="20"/>
          <w:szCs w:val="20"/>
        </w:rPr>
        <w:t>c</w:t>
      </w:r>
      <w:r w:rsidRPr="00213758">
        <w:rPr>
          <w:rFonts w:ascii="Calibri" w:hAnsi="Calibri"/>
          <w:color w:val="808080"/>
          <w:sz w:val="20"/>
          <w:szCs w:val="20"/>
        </w:rPr>
        <w:t xml:space="preserve">ategory and </w:t>
      </w:r>
      <w:r>
        <w:rPr>
          <w:rFonts w:ascii="Calibri" w:hAnsi="Calibri"/>
          <w:color w:val="808080"/>
          <w:sz w:val="20"/>
          <w:szCs w:val="20"/>
        </w:rPr>
        <w:t>sex</w:t>
      </w:r>
      <w:r w:rsidRPr="00213758">
        <w:rPr>
          <w:rFonts w:ascii="Calibri" w:hAnsi="Calibri"/>
          <w:color w:val="808080"/>
          <w:sz w:val="20"/>
          <w:szCs w:val="20"/>
        </w:rPr>
        <w:t>: Australia, 2007</w:t>
      </w:r>
    </w:p>
    <w:p w14:paraId="11D11B40" w14:textId="77777777" w:rsidR="00C65183" w:rsidRDefault="00C65183" w:rsidP="00C65183">
      <w:pPr>
        <w:spacing w:line="360" w:lineRule="auto"/>
        <w:jc w:val="both"/>
        <w:rPr>
          <w:rFonts w:ascii="Calibri" w:hAnsi="Calibri"/>
          <w:b/>
        </w:rPr>
      </w:pPr>
    </w:p>
    <w:p w14:paraId="1E0F2CAF" w14:textId="77777777" w:rsidR="00C65183" w:rsidRDefault="00C65183" w:rsidP="00C65183">
      <w:pPr>
        <w:spacing w:line="360" w:lineRule="auto"/>
        <w:jc w:val="both"/>
        <w:rPr>
          <w:rFonts w:ascii="Calibri" w:hAnsi="Calibri"/>
          <w:b/>
        </w:rPr>
      </w:pPr>
    </w:p>
    <w:p w14:paraId="47320586" w14:textId="77777777" w:rsidR="00C65183" w:rsidRDefault="00C65183" w:rsidP="00C65183">
      <w:pPr>
        <w:spacing w:line="360" w:lineRule="auto"/>
        <w:jc w:val="both"/>
        <w:rPr>
          <w:rFonts w:ascii="Calibri" w:hAnsi="Calibri"/>
          <w:b/>
        </w:rPr>
      </w:pPr>
      <w:r>
        <w:rPr>
          <w:rFonts w:ascii="Calibri" w:hAnsi="Calibri"/>
          <w:b/>
        </w:rPr>
        <w:t>Psychological Disability</w:t>
      </w:r>
    </w:p>
    <w:p w14:paraId="650AB840" w14:textId="77777777" w:rsidR="00C65183" w:rsidRDefault="00C65183" w:rsidP="00C65183">
      <w:pPr>
        <w:spacing w:line="360" w:lineRule="auto"/>
        <w:jc w:val="both"/>
        <w:rPr>
          <w:rFonts w:ascii="Calibri" w:hAnsi="Calibri"/>
        </w:rPr>
      </w:pPr>
      <w:r w:rsidRPr="009B5ECD">
        <w:rPr>
          <w:rFonts w:ascii="Calibri" w:hAnsi="Calibri"/>
        </w:rPr>
        <w:t xml:space="preserve">Approaching this issue from another </w:t>
      </w:r>
      <w:r>
        <w:rPr>
          <w:rFonts w:ascii="Calibri" w:hAnsi="Calibri"/>
        </w:rPr>
        <w:t>vantage point</w:t>
      </w:r>
      <w:r w:rsidRPr="009B5ECD">
        <w:rPr>
          <w:rFonts w:ascii="Calibri" w:hAnsi="Calibri"/>
        </w:rPr>
        <w:t>, the 20</w:t>
      </w:r>
      <w:r>
        <w:rPr>
          <w:rFonts w:ascii="Calibri" w:hAnsi="Calibri"/>
        </w:rPr>
        <w:t>18</w:t>
      </w:r>
      <w:r w:rsidRPr="009B5ECD">
        <w:rPr>
          <w:rFonts w:ascii="Calibri" w:hAnsi="Calibri"/>
        </w:rPr>
        <w:t xml:space="preserve"> National Survey of Disability, Ageing and Carers showed that </w:t>
      </w:r>
      <w:r>
        <w:rPr>
          <w:rFonts w:ascii="Calibri" w:hAnsi="Calibri"/>
        </w:rPr>
        <w:t>3.6% of</w:t>
      </w:r>
      <w:r w:rsidRPr="009B5ECD">
        <w:rPr>
          <w:rFonts w:ascii="Calibri" w:hAnsi="Calibri"/>
        </w:rPr>
        <w:t xml:space="preserve"> Australians </w:t>
      </w:r>
      <w:r>
        <w:rPr>
          <w:rFonts w:ascii="Calibri" w:hAnsi="Calibri"/>
        </w:rPr>
        <w:t>experience such disabilities, including similar proportions of females and males</w:t>
      </w:r>
      <w:r w:rsidRPr="009B5ECD">
        <w:rPr>
          <w:rFonts w:ascii="Calibri" w:hAnsi="Calibri"/>
        </w:rPr>
        <w:t xml:space="preserve">. </w:t>
      </w:r>
      <w:r>
        <w:rPr>
          <w:rFonts w:ascii="Calibri" w:hAnsi="Calibri"/>
        </w:rPr>
        <w:t>Its prevalence</w:t>
      </w:r>
      <w:r w:rsidRPr="009B5ECD">
        <w:rPr>
          <w:rFonts w:ascii="Calibri" w:hAnsi="Calibri"/>
        </w:rPr>
        <w:t xml:space="preserve"> </w:t>
      </w:r>
      <w:r>
        <w:rPr>
          <w:rFonts w:ascii="Calibri" w:hAnsi="Calibri"/>
        </w:rPr>
        <w:t xml:space="preserve">is stable </w:t>
      </w:r>
      <w:r w:rsidRPr="009B5ECD">
        <w:rPr>
          <w:rFonts w:ascii="Calibri" w:hAnsi="Calibri"/>
        </w:rPr>
        <w:t>through</w:t>
      </w:r>
      <w:r>
        <w:rPr>
          <w:rFonts w:ascii="Calibri" w:hAnsi="Calibri"/>
        </w:rPr>
        <w:t>out most of the lifespan before surging</w:t>
      </w:r>
      <w:r w:rsidRPr="009B5ECD">
        <w:rPr>
          <w:rFonts w:ascii="Calibri" w:hAnsi="Calibri"/>
        </w:rPr>
        <w:t xml:space="preserve"> to nearly one in five among </w:t>
      </w:r>
      <w:r>
        <w:rPr>
          <w:rFonts w:ascii="Calibri" w:hAnsi="Calibri"/>
        </w:rPr>
        <w:t>those</w:t>
      </w:r>
      <w:r w:rsidRPr="009B5ECD">
        <w:rPr>
          <w:rFonts w:ascii="Calibri" w:hAnsi="Calibri"/>
        </w:rPr>
        <w:t xml:space="preserve"> aged 85 years or more.</w:t>
      </w:r>
    </w:p>
    <w:p w14:paraId="674B4F88" w14:textId="77777777" w:rsidR="00C65183" w:rsidRDefault="00C65183" w:rsidP="00C65183">
      <w:pPr>
        <w:spacing w:line="360" w:lineRule="auto"/>
        <w:jc w:val="both"/>
        <w:rPr>
          <w:rFonts w:ascii="Calibri" w:hAnsi="Calibri"/>
          <w:sz w:val="8"/>
          <w:szCs w:val="8"/>
        </w:rPr>
      </w:pPr>
    </w:p>
    <w:p w14:paraId="4F36FDE8" w14:textId="77777777" w:rsidR="00C65183" w:rsidRPr="000E6C91" w:rsidRDefault="00C65183" w:rsidP="00C65183">
      <w:pPr>
        <w:jc w:val="both"/>
        <w:rPr>
          <w:rFonts w:ascii="Calibri" w:hAnsi="Calibri"/>
          <w:sz w:val="8"/>
          <w:szCs w:val="8"/>
        </w:rPr>
      </w:pPr>
      <w:r>
        <w:rPr>
          <w:noProof/>
          <w:lang w:val="en-US"/>
        </w:rPr>
        <w:drawing>
          <wp:anchor distT="140208" distB="336804" distL="242316" distR="462407" simplePos="0" relativeHeight="251950080" behindDoc="0" locked="0" layoutInCell="1" allowOverlap="1" wp14:anchorId="34C10558" wp14:editId="6BF6D902">
            <wp:simplePos x="0" y="0"/>
            <wp:positionH relativeFrom="margin">
              <wp:posOffset>3027998</wp:posOffset>
            </wp:positionH>
            <wp:positionV relativeFrom="paragraph">
              <wp:posOffset>90488</wp:posOffset>
            </wp:positionV>
            <wp:extent cx="743535" cy="1119187"/>
            <wp:effectExtent l="0" t="0" r="0" b="5080"/>
            <wp:wrapNone/>
            <wp:docPr id="498" name="Picture 171" descr="Lonely M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Picture 171" descr="Lonely Man.jpg"/>
                    <pic:cNvPicPr/>
                  </pic:nvPicPr>
                  <pic:blipFill>
                    <a:blip r:embed="rId44" cstate="print"/>
                    <a:stretch>
                      <a:fillRect/>
                    </a:stretch>
                  </pic:blipFill>
                  <pic:spPr>
                    <a:xfrm>
                      <a:off x="0" y="0"/>
                      <a:ext cx="745149" cy="1121617"/>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rFonts w:ascii="Calibri" w:hAnsi="Calibri"/>
          <w:noProof/>
        </w:rPr>
        <w:drawing>
          <wp:anchor distT="0" distB="0" distL="114300" distR="114300" simplePos="0" relativeHeight="251931648" behindDoc="0" locked="0" layoutInCell="1" allowOverlap="1" wp14:anchorId="77F00BF9" wp14:editId="4F083F2D">
            <wp:simplePos x="0" y="0"/>
            <wp:positionH relativeFrom="margin">
              <wp:posOffset>2508885</wp:posOffset>
            </wp:positionH>
            <wp:positionV relativeFrom="paragraph">
              <wp:posOffset>114300</wp:posOffset>
            </wp:positionV>
            <wp:extent cx="3600450" cy="2229485"/>
            <wp:effectExtent l="0" t="0" r="0" b="0"/>
            <wp:wrapSquare wrapText="bothSides"/>
            <wp:docPr id="496" name="Picture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97">
                      <a:extLst>
                        <a:ext uri="{28A0092B-C50C-407E-A947-70E740481C1C}">
                          <a14:useLocalDpi xmlns:a14="http://schemas.microsoft.com/office/drawing/2010/main" val="0"/>
                        </a:ext>
                      </a:extLst>
                    </a:blip>
                    <a:srcRect t="13499"/>
                    <a:stretch/>
                  </pic:blipFill>
                  <pic:spPr bwMode="auto">
                    <a:xfrm>
                      <a:off x="0" y="0"/>
                      <a:ext cx="3600450" cy="22294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25A0E">
        <w:rPr>
          <w:rFonts w:ascii="Calibri" w:hAnsi="Calibri"/>
          <w:color w:val="808080"/>
          <w:sz w:val="20"/>
          <w:szCs w:val="20"/>
        </w:rPr>
        <w:t xml:space="preserve">Prevalence of </w:t>
      </w:r>
      <w:r>
        <w:rPr>
          <w:rFonts w:ascii="Calibri" w:hAnsi="Calibri"/>
          <w:color w:val="808080"/>
          <w:sz w:val="20"/>
          <w:szCs w:val="20"/>
        </w:rPr>
        <w:t>psychological disability</w:t>
      </w:r>
      <w:r w:rsidRPr="00725A0E">
        <w:rPr>
          <w:rFonts w:ascii="Calibri" w:hAnsi="Calibri"/>
          <w:color w:val="808080"/>
          <w:sz w:val="20"/>
          <w:szCs w:val="20"/>
        </w:rPr>
        <w:t xml:space="preserve">, by </w:t>
      </w:r>
      <w:r>
        <w:rPr>
          <w:rFonts w:ascii="Calibri" w:hAnsi="Calibri"/>
          <w:color w:val="808080"/>
          <w:sz w:val="20"/>
          <w:szCs w:val="20"/>
        </w:rPr>
        <w:t>a</w:t>
      </w:r>
      <w:r w:rsidRPr="00725A0E">
        <w:rPr>
          <w:rFonts w:ascii="Calibri" w:hAnsi="Calibri"/>
          <w:color w:val="808080"/>
          <w:sz w:val="20"/>
          <w:szCs w:val="20"/>
        </w:rPr>
        <w:t xml:space="preserve">ge and </w:t>
      </w:r>
      <w:r>
        <w:rPr>
          <w:rFonts w:ascii="Calibri" w:hAnsi="Calibri"/>
          <w:color w:val="808080"/>
          <w:sz w:val="20"/>
          <w:szCs w:val="20"/>
        </w:rPr>
        <w:t>sex</w:t>
      </w:r>
      <w:r w:rsidRPr="00725A0E">
        <w:rPr>
          <w:rFonts w:ascii="Calibri" w:hAnsi="Calibri"/>
          <w:color w:val="808080"/>
          <w:sz w:val="20"/>
          <w:szCs w:val="20"/>
        </w:rPr>
        <w:t xml:space="preserve">: Australia, </w:t>
      </w:r>
      <w:r>
        <w:rPr>
          <w:rFonts w:ascii="Calibri" w:hAnsi="Calibri"/>
          <w:color w:val="808080"/>
          <w:sz w:val="20"/>
          <w:szCs w:val="20"/>
        </w:rPr>
        <w:t>2018</w:t>
      </w:r>
    </w:p>
    <w:p w14:paraId="0BB77D88" w14:textId="77777777" w:rsidR="00C65183" w:rsidRDefault="00C65183" w:rsidP="00C65183">
      <w:pPr>
        <w:spacing w:line="360" w:lineRule="auto"/>
        <w:jc w:val="both"/>
        <w:rPr>
          <w:rFonts w:ascii="Calibri" w:hAnsi="Calibri"/>
          <w:sz w:val="8"/>
          <w:szCs w:val="8"/>
        </w:rPr>
      </w:pPr>
    </w:p>
    <w:p w14:paraId="1957927D" w14:textId="77777777" w:rsidR="00C65183" w:rsidRDefault="00C65183" w:rsidP="00C65183">
      <w:pPr>
        <w:spacing w:line="360" w:lineRule="auto"/>
        <w:jc w:val="both"/>
        <w:rPr>
          <w:rFonts w:ascii="Calibri" w:hAnsi="Calibri"/>
          <w:sz w:val="8"/>
          <w:szCs w:val="8"/>
        </w:rPr>
      </w:pPr>
    </w:p>
    <w:p w14:paraId="4F9B9535" w14:textId="77777777" w:rsidR="00C65183" w:rsidRDefault="00C65183" w:rsidP="00C65183">
      <w:pPr>
        <w:spacing w:line="360" w:lineRule="auto"/>
        <w:jc w:val="both"/>
        <w:rPr>
          <w:rFonts w:ascii="Calibri" w:hAnsi="Calibri"/>
        </w:rPr>
      </w:pPr>
      <w:r>
        <w:rPr>
          <w:rFonts w:ascii="Calibri" w:hAnsi="Calibri"/>
        </w:rPr>
        <w:t xml:space="preserve">Psychological disability appears to influence employment prospects and the need for daily assistance. </w:t>
      </w:r>
    </w:p>
    <w:p w14:paraId="1EB7FD41" w14:textId="77777777" w:rsidR="00C65183" w:rsidRDefault="00C65183" w:rsidP="00C65183">
      <w:pPr>
        <w:spacing w:line="360" w:lineRule="auto"/>
        <w:jc w:val="both"/>
        <w:rPr>
          <w:rFonts w:ascii="Calibri" w:hAnsi="Calibri"/>
        </w:rPr>
      </w:pPr>
      <w:r>
        <w:rPr>
          <w:rFonts w:ascii="Calibri" w:hAnsi="Calibri"/>
        </w:rPr>
        <w:t>Among 15-64 year-olds, 26% of those with a psychological disability held paid work, compared with 80% of those without such a condition. Asked about any requirement for daily assistance with core tasks, 54% of those with psychological disability and specific activity limitations perceived that their needs were only partially fulfilled or not met at all.</w:t>
      </w:r>
    </w:p>
    <w:p w14:paraId="137B68C7" w14:textId="77777777" w:rsidR="00C65183" w:rsidRDefault="00C65183" w:rsidP="00C65183">
      <w:pPr>
        <w:rPr>
          <w:rFonts w:ascii="Calibri" w:hAnsi="Calibri"/>
        </w:rPr>
      </w:pPr>
      <w:r>
        <w:rPr>
          <w:rFonts w:ascii="Calibri" w:hAnsi="Calibri"/>
        </w:rPr>
        <w:br w:type="page"/>
      </w:r>
    </w:p>
    <w:p w14:paraId="006F5CAF" w14:textId="77777777" w:rsidR="00C65183" w:rsidRPr="00827F47" w:rsidRDefault="00C65183" w:rsidP="00C65183">
      <w:pPr>
        <w:pBdr>
          <w:top w:val="single" w:sz="4" w:space="0" w:color="244061" w:themeColor="accent1" w:themeShade="80"/>
          <w:bottom w:val="single" w:sz="4" w:space="1" w:color="244061" w:themeColor="accent1" w:themeShade="80"/>
        </w:pBdr>
        <w:tabs>
          <w:tab w:val="center" w:pos="4678"/>
        </w:tabs>
        <w:jc w:val="center"/>
        <w:rPr>
          <w:rFonts w:ascii="Garamond" w:hAnsi="Garamond"/>
          <w:noProof/>
          <w:color w:val="244061" w:themeColor="accent1" w:themeShade="80"/>
          <w:sz w:val="34"/>
          <w:szCs w:val="34"/>
        </w:rPr>
      </w:pPr>
      <w:r w:rsidRPr="00827F47">
        <w:rPr>
          <w:rFonts w:ascii="Garamond" w:hAnsi="Garamond"/>
          <w:noProof/>
          <w:color w:val="244061" w:themeColor="accent1" w:themeShade="80"/>
          <w:sz w:val="34"/>
          <w:szCs w:val="34"/>
        </w:rPr>
        <w:lastRenderedPageBreak/>
        <w:t>Suicide</w:t>
      </w:r>
    </w:p>
    <w:p w14:paraId="4B435681" w14:textId="77777777" w:rsidR="00C65183" w:rsidRPr="004C134F" w:rsidRDefault="00C65183" w:rsidP="00C65183">
      <w:pPr>
        <w:jc w:val="center"/>
        <w:rPr>
          <w:rFonts w:ascii="Calibri" w:hAnsi="Calibri"/>
          <w:b/>
          <w:noProof/>
          <w:sz w:val="16"/>
          <w:szCs w:val="16"/>
        </w:rPr>
      </w:pPr>
      <w:r>
        <w:rPr>
          <w:rFonts w:ascii="Calibri" w:hAnsi="Calibri"/>
          <w:b/>
          <w:noProof/>
          <w:lang w:eastAsia="en-AU"/>
        </w:rPr>
        <w:drawing>
          <wp:anchor distT="0" distB="0" distL="114300" distR="114300" simplePos="0" relativeHeight="251933696" behindDoc="1" locked="0" layoutInCell="1" allowOverlap="1" wp14:anchorId="0A6C7499" wp14:editId="7DC1BD7D">
            <wp:simplePos x="0" y="0"/>
            <wp:positionH relativeFrom="column">
              <wp:posOffset>4523105</wp:posOffset>
            </wp:positionH>
            <wp:positionV relativeFrom="paragraph">
              <wp:posOffset>41275</wp:posOffset>
            </wp:positionV>
            <wp:extent cx="1670685" cy="901700"/>
            <wp:effectExtent l="38100" t="38100" r="100965" b="88900"/>
            <wp:wrapTight wrapText="bothSides">
              <wp:wrapPolygon edited="0">
                <wp:start x="0" y="-913"/>
                <wp:lineTo x="-493" y="-456"/>
                <wp:lineTo x="-493" y="21448"/>
                <wp:lineTo x="-246" y="23273"/>
                <wp:lineTo x="22166" y="23273"/>
                <wp:lineTo x="22659" y="21448"/>
                <wp:lineTo x="22659" y="6845"/>
                <wp:lineTo x="21920" y="0"/>
                <wp:lineTo x="21920" y="-913"/>
                <wp:lineTo x="0" y="-913"/>
              </wp:wrapPolygon>
            </wp:wrapTight>
            <wp:docPr id="512" name="Picture 67" descr="Suic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Suicide"/>
                    <pic:cNvPicPr>
                      <a:picLocks noChangeAspect="1" noChangeArrowheads="1"/>
                    </pic:cNvPicPr>
                  </pic:nvPicPr>
                  <pic:blipFill>
                    <a:blip r:embed="rId298" cstate="print"/>
                    <a:srcRect/>
                    <a:stretch>
                      <a:fillRect/>
                    </a:stretch>
                  </pic:blipFill>
                  <pic:spPr bwMode="auto">
                    <a:xfrm>
                      <a:off x="0" y="0"/>
                      <a:ext cx="1670685" cy="901700"/>
                    </a:xfrm>
                    <a:prstGeom prst="rect">
                      <a:avLst/>
                    </a:prstGeom>
                    <a:ln>
                      <a:no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715A5DCA" w14:textId="77777777" w:rsidR="00C65183" w:rsidRPr="00280AC4" w:rsidRDefault="00C65183" w:rsidP="00C65183">
      <w:pPr>
        <w:spacing w:line="360" w:lineRule="auto"/>
        <w:jc w:val="both"/>
        <w:rPr>
          <w:rFonts w:ascii="Calibri" w:hAnsi="Calibri"/>
          <w:b/>
        </w:rPr>
      </w:pPr>
      <w:r w:rsidRPr="00280AC4">
        <w:rPr>
          <w:rFonts w:ascii="Calibri" w:hAnsi="Calibri"/>
          <w:b/>
        </w:rPr>
        <w:t>Suicide Rates</w:t>
      </w:r>
    </w:p>
    <w:p w14:paraId="32CD0C43" w14:textId="77777777" w:rsidR="00C65183" w:rsidRPr="004C134F" w:rsidRDefault="00C65183" w:rsidP="00C65183">
      <w:pPr>
        <w:spacing w:line="360" w:lineRule="auto"/>
        <w:jc w:val="both"/>
        <w:rPr>
          <w:rFonts w:ascii="Calibri" w:hAnsi="Calibri"/>
        </w:rPr>
      </w:pPr>
      <w:r>
        <w:rPr>
          <w:rFonts w:ascii="Calibri" w:hAnsi="Calibri"/>
          <w:noProof/>
        </w:rPr>
        <w:drawing>
          <wp:anchor distT="0" distB="0" distL="114300" distR="114300" simplePos="0" relativeHeight="251934720" behindDoc="0" locked="0" layoutInCell="1" allowOverlap="1" wp14:anchorId="0C8F4F30" wp14:editId="70DD91C4">
            <wp:simplePos x="0" y="0"/>
            <wp:positionH relativeFrom="column">
              <wp:posOffset>3175</wp:posOffset>
            </wp:positionH>
            <wp:positionV relativeFrom="paragraph">
              <wp:posOffset>2540</wp:posOffset>
            </wp:positionV>
            <wp:extent cx="3439795" cy="2505075"/>
            <wp:effectExtent l="0" t="0" r="8255" b="9525"/>
            <wp:wrapSquare wrapText="bothSides"/>
            <wp:docPr id="513" name="Picture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3439795" cy="2505075"/>
                    </a:xfrm>
                    <a:prstGeom prst="rect">
                      <a:avLst/>
                    </a:prstGeom>
                    <a:noFill/>
                  </pic:spPr>
                </pic:pic>
              </a:graphicData>
            </a:graphic>
            <wp14:sizeRelH relativeFrom="page">
              <wp14:pctWidth>0</wp14:pctWidth>
            </wp14:sizeRelH>
            <wp14:sizeRelV relativeFrom="page">
              <wp14:pctHeight>0</wp14:pctHeight>
            </wp14:sizeRelV>
          </wp:anchor>
        </w:drawing>
      </w:r>
      <w:r w:rsidRPr="004C134F">
        <w:rPr>
          <w:rFonts w:ascii="Calibri" w:hAnsi="Calibri"/>
        </w:rPr>
        <w:t xml:space="preserve">Each year </w:t>
      </w:r>
      <w:r>
        <w:rPr>
          <w:rFonts w:ascii="Calibri" w:hAnsi="Calibri"/>
        </w:rPr>
        <w:t>one Australian in 1,</w:t>
      </w:r>
      <w:r w:rsidRPr="004C134F">
        <w:rPr>
          <w:rFonts w:ascii="Calibri" w:hAnsi="Calibri"/>
        </w:rPr>
        <w:t xml:space="preserve">000 takes </w:t>
      </w:r>
      <w:r>
        <w:rPr>
          <w:rFonts w:ascii="Calibri" w:hAnsi="Calibri"/>
        </w:rPr>
        <w:t>their</w:t>
      </w:r>
      <w:r w:rsidRPr="004C134F">
        <w:rPr>
          <w:rFonts w:ascii="Calibri" w:hAnsi="Calibri"/>
        </w:rPr>
        <w:t xml:space="preserve"> life. </w:t>
      </w:r>
    </w:p>
    <w:p w14:paraId="7F5C462B" w14:textId="77777777" w:rsidR="00C65183" w:rsidRPr="00680B1B" w:rsidRDefault="00C65183" w:rsidP="00C65183">
      <w:pPr>
        <w:jc w:val="both"/>
        <w:rPr>
          <w:rFonts w:ascii="Calibri" w:hAnsi="Calibri"/>
          <w:color w:val="7F7F7F"/>
          <w:sz w:val="12"/>
          <w:szCs w:val="12"/>
        </w:rPr>
      </w:pPr>
    </w:p>
    <w:p w14:paraId="11FCEC0A" w14:textId="77777777" w:rsidR="00C65183" w:rsidRPr="001950CF" w:rsidRDefault="00C65183" w:rsidP="00C65183">
      <w:pPr>
        <w:jc w:val="both"/>
        <w:rPr>
          <w:rFonts w:ascii="Calibri" w:hAnsi="Calibri"/>
          <w:color w:val="7F7F7F"/>
          <w:sz w:val="20"/>
          <w:szCs w:val="20"/>
        </w:rPr>
      </w:pPr>
      <w:r w:rsidRPr="001950CF">
        <w:rPr>
          <w:rFonts w:ascii="Calibri" w:hAnsi="Calibri"/>
          <w:color w:val="7F7F7F"/>
          <w:sz w:val="20"/>
          <w:szCs w:val="20"/>
        </w:rPr>
        <w:t xml:space="preserve">Suicide </w:t>
      </w:r>
      <w:r>
        <w:rPr>
          <w:rFonts w:ascii="Calibri" w:hAnsi="Calibri"/>
          <w:color w:val="7F7F7F"/>
          <w:sz w:val="20"/>
          <w:szCs w:val="20"/>
        </w:rPr>
        <w:t>rate, by age:</w:t>
      </w:r>
      <w:r w:rsidRPr="001950CF">
        <w:rPr>
          <w:rFonts w:ascii="Calibri" w:hAnsi="Calibri"/>
          <w:color w:val="7F7F7F"/>
          <w:sz w:val="20"/>
          <w:szCs w:val="20"/>
        </w:rPr>
        <w:t xml:space="preserve"> Australia, 201</w:t>
      </w:r>
      <w:r>
        <w:rPr>
          <w:rFonts w:ascii="Calibri" w:hAnsi="Calibri"/>
          <w:color w:val="7F7F7F"/>
          <w:sz w:val="20"/>
          <w:szCs w:val="20"/>
        </w:rPr>
        <w:t>8</w:t>
      </w:r>
    </w:p>
    <w:p w14:paraId="2EF7FE65" w14:textId="77777777" w:rsidR="00C65183" w:rsidRPr="00680B1B" w:rsidRDefault="00C65183" w:rsidP="00C65183">
      <w:pPr>
        <w:spacing w:line="360" w:lineRule="auto"/>
        <w:jc w:val="both"/>
        <w:rPr>
          <w:rFonts w:ascii="Calibri" w:hAnsi="Calibri"/>
          <w:sz w:val="12"/>
          <w:szCs w:val="12"/>
        </w:rPr>
      </w:pPr>
    </w:p>
    <w:p w14:paraId="7AE73C75" w14:textId="77777777" w:rsidR="00C65183" w:rsidRDefault="00C65183" w:rsidP="00C65183">
      <w:pPr>
        <w:spacing w:line="360" w:lineRule="auto"/>
        <w:jc w:val="both"/>
        <w:rPr>
          <w:rFonts w:ascii="Calibri" w:hAnsi="Calibri"/>
        </w:rPr>
      </w:pPr>
      <w:r>
        <w:rPr>
          <w:rFonts w:ascii="Calibri" w:hAnsi="Calibri"/>
        </w:rPr>
        <w:t>In 2018, s</w:t>
      </w:r>
      <w:r w:rsidRPr="004C134F">
        <w:rPr>
          <w:rFonts w:ascii="Calibri" w:hAnsi="Calibri"/>
        </w:rPr>
        <w:t xml:space="preserve">uicide rates </w:t>
      </w:r>
      <w:r>
        <w:rPr>
          <w:rFonts w:ascii="Calibri" w:hAnsi="Calibri"/>
        </w:rPr>
        <w:t xml:space="preserve">stood </w:t>
      </w:r>
      <w:r w:rsidRPr="004C134F">
        <w:rPr>
          <w:rFonts w:ascii="Calibri" w:hAnsi="Calibri"/>
        </w:rPr>
        <w:t xml:space="preserve">at </w:t>
      </w:r>
      <w:r>
        <w:rPr>
          <w:rFonts w:ascii="Calibri" w:hAnsi="Calibri"/>
        </w:rPr>
        <w:t>19.2</w:t>
      </w:r>
      <w:r w:rsidRPr="004C134F">
        <w:rPr>
          <w:rFonts w:ascii="Calibri" w:hAnsi="Calibri"/>
        </w:rPr>
        <w:t xml:space="preserve"> per 100,000</w:t>
      </w:r>
      <w:r>
        <w:rPr>
          <w:rFonts w:ascii="Calibri" w:hAnsi="Calibri"/>
        </w:rPr>
        <w:t xml:space="preserve"> </w:t>
      </w:r>
      <w:r w:rsidRPr="004C134F">
        <w:rPr>
          <w:rFonts w:ascii="Calibri" w:hAnsi="Calibri"/>
        </w:rPr>
        <w:t xml:space="preserve">– </w:t>
      </w:r>
      <w:r>
        <w:rPr>
          <w:rFonts w:ascii="Calibri" w:hAnsi="Calibri"/>
        </w:rPr>
        <w:t>nearly</w:t>
      </w:r>
      <w:r w:rsidRPr="004C134F">
        <w:rPr>
          <w:rFonts w:ascii="Calibri" w:hAnsi="Calibri"/>
        </w:rPr>
        <w:t xml:space="preserve"> three times higher than the</w:t>
      </w:r>
      <w:r>
        <w:rPr>
          <w:rFonts w:ascii="Calibri" w:hAnsi="Calibri"/>
        </w:rPr>
        <w:t xml:space="preserve"> corresponding</w:t>
      </w:r>
      <w:r w:rsidRPr="004C134F">
        <w:rPr>
          <w:rFonts w:ascii="Calibri" w:hAnsi="Calibri"/>
        </w:rPr>
        <w:t xml:space="preserve"> </w:t>
      </w:r>
      <w:r>
        <w:rPr>
          <w:rFonts w:ascii="Calibri" w:hAnsi="Calibri"/>
        </w:rPr>
        <w:t>female</w:t>
      </w:r>
      <w:r w:rsidRPr="004C134F">
        <w:rPr>
          <w:rFonts w:ascii="Calibri" w:hAnsi="Calibri"/>
        </w:rPr>
        <w:t xml:space="preserve"> rate of </w:t>
      </w:r>
      <w:r>
        <w:rPr>
          <w:rFonts w:ascii="Calibri" w:hAnsi="Calibri"/>
        </w:rPr>
        <w:t>6.2</w:t>
      </w:r>
      <w:r w:rsidRPr="004C134F">
        <w:rPr>
          <w:rFonts w:ascii="Calibri" w:hAnsi="Calibri"/>
        </w:rPr>
        <w:t xml:space="preserve"> per 10,000. </w:t>
      </w:r>
      <w:r>
        <w:rPr>
          <w:rFonts w:ascii="Calibri" w:hAnsi="Calibri"/>
        </w:rPr>
        <w:t>Suicide r</w:t>
      </w:r>
      <w:r w:rsidRPr="004C134F">
        <w:rPr>
          <w:rFonts w:ascii="Calibri" w:hAnsi="Calibri"/>
        </w:rPr>
        <w:t xml:space="preserve">ates also vary with age, </w:t>
      </w:r>
      <w:r>
        <w:rPr>
          <w:rFonts w:ascii="Calibri" w:hAnsi="Calibri"/>
        </w:rPr>
        <w:t>being</w:t>
      </w:r>
      <w:r w:rsidRPr="004C134F">
        <w:rPr>
          <w:rFonts w:ascii="Calibri" w:hAnsi="Calibri"/>
        </w:rPr>
        <w:t xml:space="preserve"> highest among middle-aged and elderly </w:t>
      </w:r>
      <w:r>
        <w:rPr>
          <w:rFonts w:ascii="Calibri" w:hAnsi="Calibri"/>
        </w:rPr>
        <w:t>people</w:t>
      </w:r>
      <w:r w:rsidRPr="004C134F">
        <w:rPr>
          <w:rFonts w:ascii="Calibri" w:hAnsi="Calibri"/>
        </w:rPr>
        <w:t>.</w:t>
      </w:r>
    </w:p>
    <w:p w14:paraId="1407578E" w14:textId="77777777" w:rsidR="00C65183" w:rsidRDefault="00C65183" w:rsidP="00C65183">
      <w:pPr>
        <w:spacing w:line="360" w:lineRule="auto"/>
        <w:jc w:val="both"/>
        <w:rPr>
          <w:rFonts w:ascii="Calibri" w:hAnsi="Calibri"/>
        </w:rPr>
      </w:pPr>
    </w:p>
    <w:p w14:paraId="78B6B095" w14:textId="77777777" w:rsidR="00C65183" w:rsidRPr="00675403" w:rsidRDefault="00C65183" w:rsidP="00C65183">
      <w:pPr>
        <w:spacing w:line="360" w:lineRule="auto"/>
        <w:jc w:val="both"/>
        <w:rPr>
          <w:rFonts w:ascii="Calibri" w:hAnsi="Calibri"/>
        </w:rPr>
      </w:pPr>
      <w:r>
        <w:rPr>
          <w:rFonts w:ascii="Calibri" w:hAnsi="Calibri"/>
        </w:rPr>
        <w:t xml:space="preserve">                                                                                       </w:t>
      </w:r>
      <w:r w:rsidRPr="001950CF">
        <w:rPr>
          <w:rFonts w:ascii="Calibri" w:hAnsi="Calibri"/>
          <w:color w:val="808080"/>
          <w:sz w:val="20"/>
          <w:szCs w:val="20"/>
        </w:rPr>
        <w:t xml:space="preserve">Suicide </w:t>
      </w:r>
      <w:r>
        <w:rPr>
          <w:rFonts w:ascii="Calibri" w:hAnsi="Calibri"/>
          <w:color w:val="808080"/>
          <w:sz w:val="20"/>
          <w:szCs w:val="20"/>
        </w:rPr>
        <w:t>r</w:t>
      </w:r>
      <w:r w:rsidRPr="001950CF">
        <w:rPr>
          <w:rFonts w:ascii="Calibri" w:hAnsi="Calibri"/>
          <w:color w:val="808080"/>
          <w:sz w:val="20"/>
          <w:szCs w:val="20"/>
        </w:rPr>
        <w:t>ate</w:t>
      </w:r>
      <w:r>
        <w:rPr>
          <w:rFonts w:ascii="Calibri" w:hAnsi="Calibri"/>
          <w:color w:val="808080"/>
          <w:sz w:val="20"/>
          <w:szCs w:val="20"/>
        </w:rPr>
        <w:t xml:space="preserve"> (per 10,000 pop.),</w:t>
      </w:r>
      <w:r w:rsidRPr="001950CF">
        <w:rPr>
          <w:rFonts w:ascii="Calibri" w:hAnsi="Calibri"/>
          <w:color w:val="808080"/>
          <w:sz w:val="20"/>
          <w:szCs w:val="20"/>
        </w:rPr>
        <w:t xml:space="preserve"> by </w:t>
      </w:r>
      <w:r>
        <w:rPr>
          <w:rFonts w:ascii="Calibri" w:hAnsi="Calibri"/>
          <w:color w:val="808080"/>
          <w:sz w:val="20"/>
          <w:szCs w:val="20"/>
        </w:rPr>
        <w:t>s</w:t>
      </w:r>
      <w:r w:rsidRPr="001950CF">
        <w:rPr>
          <w:rFonts w:ascii="Calibri" w:hAnsi="Calibri"/>
          <w:color w:val="808080"/>
          <w:sz w:val="20"/>
          <w:szCs w:val="20"/>
        </w:rPr>
        <w:t>ex: Australia, 1921 to 201</w:t>
      </w:r>
      <w:r>
        <w:rPr>
          <w:rFonts w:ascii="Calibri" w:hAnsi="Calibri"/>
          <w:color w:val="808080"/>
          <w:sz w:val="20"/>
          <w:szCs w:val="20"/>
        </w:rPr>
        <w:t>8</w:t>
      </w:r>
    </w:p>
    <w:p w14:paraId="13A147B5" w14:textId="77777777" w:rsidR="00C65183" w:rsidRPr="00525576" w:rsidRDefault="00C65183" w:rsidP="00C65183">
      <w:pPr>
        <w:spacing w:line="360" w:lineRule="auto"/>
        <w:jc w:val="both"/>
        <w:rPr>
          <w:rFonts w:ascii="Calibri" w:hAnsi="Calibri"/>
        </w:rPr>
      </w:pPr>
      <w:r>
        <w:rPr>
          <w:rFonts w:ascii="Calibri" w:hAnsi="Calibri"/>
          <w:noProof/>
        </w:rPr>
        <w:drawing>
          <wp:anchor distT="0" distB="0" distL="114300" distR="114300" simplePos="0" relativeHeight="251935744" behindDoc="0" locked="0" layoutInCell="1" allowOverlap="1" wp14:anchorId="7F2E0848" wp14:editId="2400AA91">
            <wp:simplePos x="0" y="0"/>
            <wp:positionH relativeFrom="margin">
              <wp:posOffset>2453640</wp:posOffset>
            </wp:positionH>
            <wp:positionV relativeFrom="paragraph">
              <wp:posOffset>34925</wp:posOffset>
            </wp:positionV>
            <wp:extent cx="3656965" cy="2505075"/>
            <wp:effectExtent l="0" t="0" r="635" b="9525"/>
            <wp:wrapSquare wrapText="bothSides"/>
            <wp:docPr id="514" name="Picture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3656965" cy="2505075"/>
                    </a:xfrm>
                    <a:prstGeom prst="rect">
                      <a:avLst/>
                    </a:prstGeom>
                    <a:noFill/>
                  </pic:spPr>
                </pic:pic>
              </a:graphicData>
            </a:graphic>
            <wp14:sizeRelH relativeFrom="page">
              <wp14:pctWidth>0</wp14:pctWidth>
            </wp14:sizeRelH>
            <wp14:sizeRelV relativeFrom="page">
              <wp14:pctHeight>0</wp14:pctHeight>
            </wp14:sizeRelV>
          </wp:anchor>
        </w:drawing>
      </w:r>
      <w:r>
        <w:rPr>
          <w:rFonts w:ascii="Calibri" w:hAnsi="Calibri"/>
        </w:rPr>
        <w:t>T</w:t>
      </w:r>
      <w:r w:rsidRPr="004C134F">
        <w:rPr>
          <w:rFonts w:ascii="Calibri" w:hAnsi="Calibri"/>
        </w:rPr>
        <w:t>he suicide rate among females has remained fairly steady throughout the past century or so</w:t>
      </w:r>
      <w:r>
        <w:rPr>
          <w:rFonts w:ascii="Calibri" w:hAnsi="Calibri"/>
        </w:rPr>
        <w:t>, aside from a rise in the late 1960s. By contast,</w:t>
      </w:r>
      <w:r w:rsidRPr="004C134F">
        <w:rPr>
          <w:rFonts w:ascii="Calibri" w:hAnsi="Calibri"/>
        </w:rPr>
        <w:t xml:space="preserve"> the male suicide rate</w:t>
      </w:r>
      <w:r>
        <w:rPr>
          <w:rFonts w:ascii="Calibri" w:hAnsi="Calibri"/>
        </w:rPr>
        <w:t xml:space="preserve"> has</w:t>
      </w:r>
      <w:r w:rsidRPr="004C134F">
        <w:rPr>
          <w:rFonts w:ascii="Calibri" w:hAnsi="Calibri"/>
        </w:rPr>
        <w:t xml:space="preserve"> fluctuated widely, exceeding 20 per 1,000 in 1926-30 and again in the period 1986-2000, before </w:t>
      </w:r>
      <w:r>
        <w:rPr>
          <w:rFonts w:ascii="Calibri" w:hAnsi="Calibri"/>
        </w:rPr>
        <w:t>subsiding</w:t>
      </w:r>
      <w:r w:rsidRPr="004C134F">
        <w:rPr>
          <w:rFonts w:ascii="Calibri" w:hAnsi="Calibri"/>
        </w:rPr>
        <w:t xml:space="preserve"> to its present level of </w:t>
      </w:r>
      <w:r>
        <w:rPr>
          <w:rFonts w:ascii="Calibri" w:hAnsi="Calibri"/>
        </w:rPr>
        <w:t>19 deaths per 100,000 males</w:t>
      </w:r>
      <w:r w:rsidRPr="004C134F">
        <w:rPr>
          <w:rFonts w:ascii="Calibri" w:hAnsi="Calibri"/>
        </w:rPr>
        <w:t xml:space="preserve">. </w:t>
      </w:r>
    </w:p>
    <w:p w14:paraId="2D489CBC" w14:textId="77777777" w:rsidR="00C65183" w:rsidRDefault="00C65183" w:rsidP="00C65183">
      <w:pPr>
        <w:jc w:val="both"/>
        <w:rPr>
          <w:rFonts w:ascii="Calibri" w:hAnsi="Calibri"/>
          <w:color w:val="808080"/>
          <w:sz w:val="20"/>
          <w:szCs w:val="20"/>
        </w:rPr>
      </w:pPr>
      <w:r w:rsidRPr="001950CF">
        <w:rPr>
          <w:rFonts w:ascii="Calibri" w:hAnsi="Calibri"/>
          <w:color w:val="808080"/>
          <w:sz w:val="20"/>
          <w:szCs w:val="20"/>
        </w:rPr>
        <w:t xml:space="preserve">Suicide </w:t>
      </w:r>
      <w:r>
        <w:rPr>
          <w:rFonts w:ascii="Calibri" w:hAnsi="Calibri"/>
          <w:color w:val="808080"/>
          <w:sz w:val="20"/>
          <w:szCs w:val="20"/>
        </w:rPr>
        <w:t>r</w:t>
      </w:r>
      <w:r w:rsidRPr="001950CF">
        <w:rPr>
          <w:rFonts w:ascii="Calibri" w:hAnsi="Calibri"/>
          <w:color w:val="808080"/>
          <w:sz w:val="20"/>
          <w:szCs w:val="20"/>
        </w:rPr>
        <w:t xml:space="preserve">ate by </w:t>
      </w:r>
      <w:r>
        <w:rPr>
          <w:rFonts w:ascii="Calibri" w:hAnsi="Calibri"/>
          <w:color w:val="808080"/>
          <w:sz w:val="20"/>
          <w:szCs w:val="20"/>
        </w:rPr>
        <w:t>s</w:t>
      </w:r>
      <w:r w:rsidRPr="001950CF">
        <w:rPr>
          <w:rFonts w:ascii="Calibri" w:hAnsi="Calibri"/>
          <w:color w:val="808080"/>
          <w:sz w:val="20"/>
          <w:szCs w:val="20"/>
        </w:rPr>
        <w:t xml:space="preserve">ex: </w:t>
      </w:r>
      <w:r>
        <w:rPr>
          <w:rFonts w:ascii="Calibri" w:hAnsi="Calibri"/>
          <w:color w:val="808080"/>
          <w:sz w:val="20"/>
          <w:szCs w:val="20"/>
        </w:rPr>
        <w:t>p</w:t>
      </w:r>
      <w:r w:rsidRPr="001950CF">
        <w:rPr>
          <w:rFonts w:ascii="Calibri" w:hAnsi="Calibri"/>
          <w:color w:val="808080"/>
          <w:sz w:val="20"/>
          <w:szCs w:val="20"/>
        </w:rPr>
        <w:t>ersons aged 20 to 24, Australia, 1921 to 201</w:t>
      </w:r>
      <w:r>
        <w:rPr>
          <w:rFonts w:ascii="Calibri" w:hAnsi="Calibri"/>
          <w:color w:val="808080"/>
          <w:sz w:val="20"/>
          <w:szCs w:val="20"/>
        </w:rPr>
        <w:t>8</w:t>
      </w:r>
    </w:p>
    <w:p w14:paraId="55B191B1" w14:textId="77777777" w:rsidR="00C65183" w:rsidRPr="00675403" w:rsidRDefault="00C65183" w:rsidP="00C65183">
      <w:pPr>
        <w:jc w:val="both"/>
        <w:rPr>
          <w:rFonts w:ascii="Calibri" w:hAnsi="Calibri"/>
          <w:color w:val="808080"/>
          <w:sz w:val="10"/>
          <w:szCs w:val="10"/>
        </w:rPr>
      </w:pPr>
      <w:r>
        <w:rPr>
          <w:rFonts w:ascii="Calibri" w:hAnsi="Calibri"/>
          <w:noProof/>
          <w:color w:val="808080"/>
          <w:sz w:val="10"/>
          <w:szCs w:val="10"/>
        </w:rPr>
        <w:drawing>
          <wp:anchor distT="0" distB="0" distL="114300" distR="114300" simplePos="0" relativeHeight="251951104" behindDoc="0" locked="0" layoutInCell="1" allowOverlap="1" wp14:anchorId="489C529E" wp14:editId="301A5E5A">
            <wp:simplePos x="0" y="0"/>
            <wp:positionH relativeFrom="margin">
              <wp:posOffset>-43815</wp:posOffset>
            </wp:positionH>
            <wp:positionV relativeFrom="paragraph">
              <wp:posOffset>85090</wp:posOffset>
            </wp:positionV>
            <wp:extent cx="3185795" cy="2700020"/>
            <wp:effectExtent l="0" t="0" r="0" b="5080"/>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3185795" cy="2700020"/>
                    </a:xfrm>
                    <a:prstGeom prst="rect">
                      <a:avLst/>
                    </a:prstGeom>
                    <a:noFill/>
                  </pic:spPr>
                </pic:pic>
              </a:graphicData>
            </a:graphic>
            <wp14:sizeRelH relativeFrom="page">
              <wp14:pctWidth>0</wp14:pctWidth>
            </wp14:sizeRelH>
            <wp14:sizeRelV relativeFrom="page">
              <wp14:pctHeight>0</wp14:pctHeight>
            </wp14:sizeRelV>
          </wp:anchor>
        </w:drawing>
      </w:r>
    </w:p>
    <w:p w14:paraId="182F1263" w14:textId="77777777" w:rsidR="00C65183" w:rsidRPr="00680B1B" w:rsidRDefault="00C65183" w:rsidP="00C65183">
      <w:pPr>
        <w:spacing w:line="360" w:lineRule="auto"/>
        <w:jc w:val="both"/>
        <w:rPr>
          <w:rFonts w:ascii="Calibri" w:hAnsi="Calibri"/>
        </w:rPr>
      </w:pPr>
      <w:bookmarkStart w:id="35" w:name="_Hlk61131820"/>
      <w:r>
        <w:rPr>
          <w:rFonts w:ascii="Calibri" w:hAnsi="Calibri"/>
        </w:rPr>
        <w:t xml:space="preserve">An outstanding </w:t>
      </w:r>
      <w:r w:rsidRPr="004C134F">
        <w:rPr>
          <w:rFonts w:ascii="Calibri" w:hAnsi="Calibri"/>
        </w:rPr>
        <w:t xml:space="preserve">trend </w:t>
      </w:r>
      <w:r>
        <w:rPr>
          <w:rFonts w:ascii="Calibri" w:hAnsi="Calibri"/>
        </w:rPr>
        <w:t>is the trebling</w:t>
      </w:r>
      <w:r w:rsidRPr="004C134F">
        <w:rPr>
          <w:rFonts w:ascii="Calibri" w:hAnsi="Calibri"/>
        </w:rPr>
        <w:t xml:space="preserve"> in the suicide rate among 20-24 year-old males, from </w:t>
      </w:r>
      <w:r>
        <w:rPr>
          <w:rFonts w:ascii="Calibri" w:hAnsi="Calibri"/>
        </w:rPr>
        <w:t>about 5.3</w:t>
      </w:r>
      <w:r w:rsidRPr="004C134F">
        <w:rPr>
          <w:rFonts w:ascii="Calibri" w:hAnsi="Calibri"/>
        </w:rPr>
        <w:t xml:space="preserve"> per 100,000 in the </w:t>
      </w:r>
      <w:r>
        <w:rPr>
          <w:rFonts w:ascii="Calibri" w:hAnsi="Calibri"/>
        </w:rPr>
        <w:t>mid-1920s</w:t>
      </w:r>
      <w:r w:rsidRPr="004C134F">
        <w:rPr>
          <w:rFonts w:ascii="Calibri" w:hAnsi="Calibri"/>
        </w:rPr>
        <w:t xml:space="preserve">, to </w:t>
      </w:r>
      <w:r>
        <w:rPr>
          <w:rFonts w:ascii="Calibri" w:hAnsi="Calibri"/>
        </w:rPr>
        <w:t>nearly 18 per 100,000 in the early 1990s, followed by a decline then a more recent surge to its previous peak, by 2018. In</w:t>
      </w:r>
      <w:r w:rsidRPr="004C134F">
        <w:rPr>
          <w:rFonts w:ascii="Calibri" w:hAnsi="Calibri"/>
        </w:rPr>
        <w:t xml:space="preserve"> Greater Dandenong in </w:t>
      </w:r>
      <w:r>
        <w:rPr>
          <w:rFonts w:ascii="Calibri" w:hAnsi="Calibri"/>
        </w:rPr>
        <w:t>the period 2010 to 2014 (the latest municipal data available)</w:t>
      </w:r>
      <w:r w:rsidRPr="004C134F">
        <w:rPr>
          <w:rFonts w:ascii="Calibri" w:hAnsi="Calibri"/>
        </w:rPr>
        <w:t xml:space="preserve"> the suicide rate was </w:t>
      </w:r>
      <w:r>
        <w:rPr>
          <w:rFonts w:ascii="Calibri" w:hAnsi="Calibri"/>
        </w:rPr>
        <w:t>8.2</w:t>
      </w:r>
      <w:r w:rsidRPr="004C134F">
        <w:rPr>
          <w:rFonts w:ascii="Calibri" w:hAnsi="Calibri"/>
        </w:rPr>
        <w:t xml:space="preserve"> per 100,000 –</w:t>
      </w:r>
      <w:r>
        <w:rPr>
          <w:rFonts w:ascii="Calibri" w:hAnsi="Calibri"/>
        </w:rPr>
        <w:t xml:space="preserve"> less than the average, of 11.2, for Victorian municipalities, at the time</w:t>
      </w:r>
      <w:r w:rsidRPr="004C134F">
        <w:rPr>
          <w:rFonts w:ascii="Calibri" w:hAnsi="Calibri"/>
        </w:rPr>
        <w:t>.</w:t>
      </w:r>
      <w:bookmarkEnd w:id="35"/>
      <w:r w:rsidRPr="004C134F">
        <w:rPr>
          <w:rFonts w:ascii="Calibri" w:hAnsi="Calibri"/>
        </w:rPr>
        <w:t xml:space="preserve"> </w:t>
      </w:r>
      <w:r>
        <w:rPr>
          <w:rFonts w:asciiTheme="minorHAnsi" w:hAnsiTheme="minorHAnsi" w:cstheme="minorHAnsi"/>
        </w:rPr>
        <w:br w:type="page"/>
      </w:r>
    </w:p>
    <w:p w14:paraId="60E126B2" w14:textId="77777777" w:rsidR="00C65183" w:rsidRPr="00827F47" w:rsidRDefault="00C65183" w:rsidP="00C65183">
      <w:pPr>
        <w:pBdr>
          <w:top w:val="single" w:sz="4" w:space="0" w:color="244061" w:themeColor="accent1" w:themeShade="80"/>
          <w:bottom w:val="single" w:sz="4" w:space="1" w:color="244061" w:themeColor="accent1" w:themeShade="80"/>
        </w:pBdr>
        <w:tabs>
          <w:tab w:val="center" w:pos="4678"/>
        </w:tabs>
        <w:jc w:val="center"/>
        <w:rPr>
          <w:rFonts w:ascii="Garamond" w:hAnsi="Garamond"/>
          <w:noProof/>
          <w:color w:val="244061" w:themeColor="accent1" w:themeShade="80"/>
          <w:sz w:val="34"/>
          <w:szCs w:val="34"/>
        </w:rPr>
      </w:pPr>
      <w:r w:rsidRPr="00827F47">
        <w:rPr>
          <w:rFonts w:ascii="Garamond" w:hAnsi="Garamond"/>
          <w:noProof/>
          <w:color w:val="244061" w:themeColor="accent1" w:themeShade="80"/>
          <w:sz w:val="34"/>
          <w:szCs w:val="34"/>
        </w:rPr>
        <w:lastRenderedPageBreak/>
        <w:t>Mortality</w:t>
      </w:r>
    </w:p>
    <w:p w14:paraId="3896667D" w14:textId="77777777" w:rsidR="00C65183" w:rsidRDefault="00C65183" w:rsidP="00C65183">
      <w:pPr>
        <w:spacing w:line="360" w:lineRule="auto"/>
        <w:jc w:val="both"/>
        <w:rPr>
          <w:rFonts w:ascii="Calibri" w:hAnsi="Calibri"/>
          <w:b/>
          <w:sz w:val="10"/>
          <w:szCs w:val="10"/>
        </w:rPr>
      </w:pPr>
      <w:r>
        <w:rPr>
          <w:rFonts w:ascii="Calibri" w:hAnsi="Calibri"/>
          <w:b/>
          <w:noProof/>
          <w:lang w:eastAsia="en-AU"/>
        </w:rPr>
        <w:drawing>
          <wp:anchor distT="0" distB="0" distL="114300" distR="114300" simplePos="0" relativeHeight="251980800" behindDoc="1" locked="0" layoutInCell="1" allowOverlap="1" wp14:anchorId="7EA26C32" wp14:editId="381DC1A3">
            <wp:simplePos x="0" y="0"/>
            <wp:positionH relativeFrom="margin">
              <wp:posOffset>4573905</wp:posOffset>
            </wp:positionH>
            <wp:positionV relativeFrom="paragraph">
              <wp:posOffset>6350</wp:posOffset>
            </wp:positionV>
            <wp:extent cx="1588770" cy="1129030"/>
            <wp:effectExtent l="0" t="0" r="0" b="0"/>
            <wp:wrapTight wrapText="bothSides">
              <wp:wrapPolygon edited="0">
                <wp:start x="1036" y="0"/>
                <wp:lineTo x="0" y="729"/>
                <wp:lineTo x="0" y="20774"/>
                <wp:lineTo x="1036" y="21138"/>
                <wp:lineTo x="20201" y="21138"/>
                <wp:lineTo x="21237" y="20774"/>
                <wp:lineTo x="21237" y="729"/>
                <wp:lineTo x="20201" y="0"/>
                <wp:lineTo x="1036" y="0"/>
              </wp:wrapPolygon>
            </wp:wrapTight>
            <wp:docPr id="505" name="Picture 51" descr="White ro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White rose"/>
                    <pic:cNvPicPr>
                      <a:picLocks noChangeAspect="1" noChangeArrowheads="1"/>
                    </pic:cNvPicPr>
                  </pic:nvPicPr>
                  <pic:blipFill>
                    <a:blip r:embed="rId213" cstate="print"/>
                    <a:srcRect t="4781" r="9596" b="16675"/>
                    <a:stretch>
                      <a:fillRect/>
                    </a:stretch>
                  </pic:blipFill>
                  <pic:spPr bwMode="auto">
                    <a:xfrm>
                      <a:off x="0" y="0"/>
                      <a:ext cx="1588770" cy="112903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7CE68B7E" w14:textId="77777777" w:rsidR="00C65183" w:rsidRDefault="00C65183" w:rsidP="00C65183">
      <w:pPr>
        <w:spacing w:line="360" w:lineRule="auto"/>
        <w:jc w:val="both"/>
        <w:rPr>
          <w:rFonts w:ascii="Calibri" w:hAnsi="Calibri"/>
          <w:b/>
          <w:sz w:val="10"/>
          <w:szCs w:val="10"/>
        </w:rPr>
      </w:pPr>
    </w:p>
    <w:p w14:paraId="338268EB" w14:textId="77777777" w:rsidR="00C65183" w:rsidRDefault="00C65183" w:rsidP="00C65183">
      <w:pPr>
        <w:spacing w:line="360" w:lineRule="auto"/>
        <w:jc w:val="both"/>
        <w:rPr>
          <w:rFonts w:ascii="Calibri" w:hAnsi="Calibri"/>
          <w:b/>
          <w:sz w:val="10"/>
          <w:szCs w:val="10"/>
        </w:rPr>
      </w:pPr>
    </w:p>
    <w:p w14:paraId="2CFFDADC" w14:textId="77777777" w:rsidR="00C65183" w:rsidRPr="0030596D" w:rsidRDefault="00C65183" w:rsidP="00C65183">
      <w:pPr>
        <w:spacing w:line="360" w:lineRule="auto"/>
        <w:jc w:val="both"/>
        <w:rPr>
          <w:rFonts w:ascii="Calibri" w:hAnsi="Calibri"/>
          <w:b/>
        </w:rPr>
      </w:pPr>
      <w:bookmarkStart w:id="36" w:name="_Hlk61279103"/>
      <w:r w:rsidRPr="0030596D">
        <w:rPr>
          <w:rFonts w:ascii="Calibri" w:hAnsi="Calibri"/>
          <w:b/>
        </w:rPr>
        <w:t>Life Expectancy</w:t>
      </w:r>
    </w:p>
    <w:p w14:paraId="6E7BFB71" w14:textId="77777777" w:rsidR="00C65183" w:rsidRDefault="00C65183" w:rsidP="00C65183">
      <w:pPr>
        <w:spacing w:line="360" w:lineRule="auto"/>
        <w:jc w:val="both"/>
        <w:rPr>
          <w:rFonts w:ascii="Calibri" w:hAnsi="Calibri"/>
        </w:rPr>
      </w:pPr>
      <w:r w:rsidRPr="00977ADB">
        <w:rPr>
          <w:rFonts w:ascii="Calibri" w:hAnsi="Calibri"/>
        </w:rPr>
        <w:t xml:space="preserve">Life expectancy from birth provides </w:t>
      </w:r>
      <w:r>
        <w:rPr>
          <w:rFonts w:ascii="Calibri" w:hAnsi="Calibri"/>
        </w:rPr>
        <w:t>an</w:t>
      </w:r>
      <w:r w:rsidRPr="00977ADB">
        <w:rPr>
          <w:rFonts w:ascii="Calibri" w:hAnsi="Calibri"/>
        </w:rPr>
        <w:t xml:space="preserve"> indication of physical health. </w:t>
      </w:r>
      <w:r>
        <w:rPr>
          <w:rFonts w:ascii="Calibri" w:hAnsi="Calibri"/>
        </w:rPr>
        <w:t xml:space="preserve">In the 1880s Australian life expectancy from birth was 47 years among males and 51 among females. By 2018, this figure had reached </w:t>
      </w:r>
      <w:r w:rsidRPr="00977ADB">
        <w:rPr>
          <w:rFonts w:ascii="Calibri" w:hAnsi="Calibri"/>
        </w:rPr>
        <w:t>8</w:t>
      </w:r>
      <w:r>
        <w:rPr>
          <w:rFonts w:ascii="Calibri" w:hAnsi="Calibri"/>
        </w:rPr>
        <w:t>1</w:t>
      </w:r>
      <w:r w:rsidRPr="00977ADB">
        <w:rPr>
          <w:rFonts w:ascii="Calibri" w:hAnsi="Calibri"/>
        </w:rPr>
        <w:t xml:space="preserve"> years</w:t>
      </w:r>
      <w:r>
        <w:rPr>
          <w:rFonts w:ascii="Calibri" w:hAnsi="Calibri"/>
        </w:rPr>
        <w:t xml:space="preserve"> </w:t>
      </w:r>
      <w:r w:rsidRPr="00977ADB">
        <w:rPr>
          <w:rFonts w:ascii="Calibri" w:hAnsi="Calibri"/>
        </w:rPr>
        <w:t xml:space="preserve">among </w:t>
      </w:r>
      <w:r>
        <w:rPr>
          <w:rFonts w:ascii="Calibri" w:hAnsi="Calibri"/>
        </w:rPr>
        <w:t>males, and 85 years among females</w:t>
      </w:r>
      <w:r w:rsidRPr="00977ADB">
        <w:rPr>
          <w:rFonts w:ascii="Calibri" w:hAnsi="Calibri"/>
        </w:rPr>
        <w:t>.</w:t>
      </w:r>
      <w:r>
        <w:rPr>
          <w:rStyle w:val="FootnoteReference"/>
          <w:rFonts w:ascii="Calibri" w:hAnsi="Calibri"/>
        </w:rPr>
        <w:footnoteReference w:id="92"/>
      </w:r>
    </w:p>
    <w:p w14:paraId="256A0FDE" w14:textId="77777777" w:rsidR="00C65183" w:rsidRPr="00977ADB" w:rsidRDefault="00C65183" w:rsidP="00C65183">
      <w:pPr>
        <w:spacing w:line="360" w:lineRule="auto"/>
        <w:jc w:val="both"/>
        <w:rPr>
          <w:rFonts w:ascii="Calibri" w:hAnsi="Calibri"/>
        </w:rPr>
      </w:pPr>
    </w:p>
    <w:p w14:paraId="70EF8E30" w14:textId="77777777" w:rsidR="00C65183" w:rsidRPr="000F26D0" w:rsidRDefault="00C65183" w:rsidP="00C65183">
      <w:pPr>
        <w:jc w:val="both"/>
        <w:rPr>
          <w:rFonts w:ascii="Calibri" w:hAnsi="Calibri"/>
          <w:color w:val="808080"/>
          <w:sz w:val="20"/>
          <w:szCs w:val="20"/>
        </w:rPr>
      </w:pPr>
      <w:r>
        <w:rPr>
          <w:rFonts w:ascii="Calibri" w:hAnsi="Calibri"/>
          <w:noProof/>
          <w:color w:val="808080"/>
          <w:sz w:val="20"/>
          <w:szCs w:val="20"/>
          <w:lang w:eastAsia="en-AU"/>
        </w:rPr>
        <w:t>,</w:t>
      </w:r>
      <w:r w:rsidRPr="000F26D0">
        <w:rPr>
          <w:rFonts w:ascii="Calibri" w:hAnsi="Calibri"/>
          <w:color w:val="808080"/>
          <w:sz w:val="20"/>
          <w:szCs w:val="20"/>
        </w:rPr>
        <w:t xml:space="preserve">Life </w:t>
      </w:r>
      <w:r>
        <w:rPr>
          <w:rFonts w:ascii="Calibri" w:hAnsi="Calibri"/>
          <w:color w:val="808080"/>
          <w:sz w:val="20"/>
          <w:szCs w:val="20"/>
        </w:rPr>
        <w:t>e</w:t>
      </w:r>
      <w:r w:rsidRPr="000F26D0">
        <w:rPr>
          <w:rFonts w:ascii="Calibri" w:hAnsi="Calibri"/>
          <w:color w:val="808080"/>
          <w:sz w:val="20"/>
          <w:szCs w:val="20"/>
        </w:rPr>
        <w:t xml:space="preserve">xpectancy by </w:t>
      </w:r>
      <w:r>
        <w:rPr>
          <w:rFonts w:ascii="Calibri" w:hAnsi="Calibri"/>
          <w:color w:val="808080"/>
          <w:sz w:val="20"/>
          <w:szCs w:val="20"/>
        </w:rPr>
        <w:t>s</w:t>
      </w:r>
      <w:r w:rsidRPr="000F26D0">
        <w:rPr>
          <w:rFonts w:ascii="Calibri" w:hAnsi="Calibri"/>
          <w:color w:val="808080"/>
          <w:sz w:val="20"/>
          <w:szCs w:val="20"/>
        </w:rPr>
        <w:t xml:space="preserve">ex: Victoria, </w:t>
      </w:r>
      <w:r>
        <w:rPr>
          <w:rFonts w:ascii="Calibri" w:hAnsi="Calibri"/>
          <w:color w:val="808080"/>
          <w:sz w:val="20"/>
          <w:szCs w:val="20"/>
        </w:rPr>
        <w:t>1982</w:t>
      </w:r>
      <w:r w:rsidRPr="000F26D0">
        <w:rPr>
          <w:rFonts w:ascii="Calibri" w:hAnsi="Calibri"/>
          <w:color w:val="808080"/>
          <w:sz w:val="20"/>
          <w:szCs w:val="20"/>
        </w:rPr>
        <w:t xml:space="preserve"> to 201</w:t>
      </w:r>
      <w:r>
        <w:rPr>
          <w:rFonts w:ascii="Calibri" w:hAnsi="Calibri"/>
          <w:color w:val="808080"/>
          <w:sz w:val="20"/>
          <w:szCs w:val="20"/>
        </w:rPr>
        <w:t>8</w:t>
      </w:r>
    </w:p>
    <w:p w14:paraId="312EBFC6" w14:textId="77777777" w:rsidR="00C65183" w:rsidRDefault="00C65183" w:rsidP="00C65183">
      <w:pPr>
        <w:spacing w:line="360" w:lineRule="auto"/>
        <w:jc w:val="both"/>
        <w:rPr>
          <w:rFonts w:ascii="Calibri" w:hAnsi="Calibri"/>
        </w:rPr>
      </w:pPr>
      <w:r>
        <w:rPr>
          <w:rFonts w:ascii="Calibri" w:hAnsi="Calibri"/>
          <w:noProof/>
          <w:color w:val="808080"/>
          <w:sz w:val="20"/>
          <w:szCs w:val="20"/>
          <w:lang w:eastAsia="en-AU"/>
        </w:rPr>
        <w:drawing>
          <wp:anchor distT="0" distB="0" distL="114300" distR="114300" simplePos="0" relativeHeight="251973632" behindDoc="0" locked="0" layoutInCell="1" allowOverlap="1" wp14:anchorId="689A4D46" wp14:editId="02936614">
            <wp:simplePos x="0" y="0"/>
            <wp:positionH relativeFrom="margin">
              <wp:align>left</wp:align>
            </wp:positionH>
            <wp:positionV relativeFrom="paragraph">
              <wp:posOffset>55880</wp:posOffset>
            </wp:positionV>
            <wp:extent cx="3965575" cy="2926080"/>
            <wp:effectExtent l="0" t="0" r="0" b="762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3968280" cy="2927782"/>
                    </a:xfrm>
                    <a:prstGeom prst="rect">
                      <a:avLst/>
                    </a:prstGeom>
                    <a:noFill/>
                  </pic:spPr>
                </pic:pic>
              </a:graphicData>
            </a:graphic>
            <wp14:sizeRelH relativeFrom="page">
              <wp14:pctWidth>0</wp14:pctWidth>
            </wp14:sizeRelH>
            <wp14:sizeRelV relativeFrom="page">
              <wp14:pctHeight>0</wp14:pctHeight>
            </wp14:sizeRelV>
          </wp:anchor>
        </w:drawing>
      </w:r>
    </w:p>
    <w:p w14:paraId="697FDDFA" w14:textId="77777777" w:rsidR="00C65183" w:rsidRDefault="00C65183" w:rsidP="00C65183">
      <w:pPr>
        <w:spacing w:line="360" w:lineRule="auto"/>
        <w:jc w:val="both"/>
        <w:rPr>
          <w:rFonts w:ascii="Calibri" w:hAnsi="Calibri"/>
        </w:rPr>
      </w:pPr>
    </w:p>
    <w:p w14:paraId="6973B1DC" w14:textId="77777777" w:rsidR="00C65183" w:rsidRDefault="00C65183" w:rsidP="00C65183">
      <w:pPr>
        <w:spacing w:line="360" w:lineRule="auto"/>
        <w:jc w:val="both"/>
        <w:rPr>
          <w:rFonts w:ascii="Calibri" w:hAnsi="Calibri"/>
        </w:rPr>
      </w:pPr>
      <w:r>
        <w:rPr>
          <w:rFonts w:ascii="Calibri" w:hAnsi="Calibri"/>
        </w:rPr>
        <w:t>Even over the past thirty-five years, little more than a generation, life expectancy for males has risen by nearly ten years, and among women, by over five years.</w:t>
      </w:r>
    </w:p>
    <w:p w14:paraId="167B304C" w14:textId="77777777" w:rsidR="00C65183" w:rsidRDefault="00C65183" w:rsidP="00C65183">
      <w:pPr>
        <w:spacing w:line="360" w:lineRule="auto"/>
        <w:jc w:val="both"/>
        <w:rPr>
          <w:rFonts w:ascii="Calibri" w:hAnsi="Calibri"/>
        </w:rPr>
      </w:pPr>
    </w:p>
    <w:p w14:paraId="0EF89241" w14:textId="77777777" w:rsidR="00C65183" w:rsidRDefault="00C65183" w:rsidP="00C65183">
      <w:pPr>
        <w:spacing w:line="360" w:lineRule="auto"/>
        <w:jc w:val="both"/>
        <w:rPr>
          <w:rFonts w:ascii="Calibri" w:hAnsi="Calibri"/>
        </w:rPr>
      </w:pPr>
    </w:p>
    <w:p w14:paraId="710F7564" w14:textId="77777777" w:rsidR="00C65183" w:rsidRDefault="00C65183" w:rsidP="00C65183">
      <w:pPr>
        <w:spacing w:line="360" w:lineRule="auto"/>
        <w:jc w:val="both"/>
        <w:rPr>
          <w:rFonts w:ascii="Calibri" w:hAnsi="Calibri"/>
        </w:rPr>
      </w:pPr>
    </w:p>
    <w:p w14:paraId="79177CDA" w14:textId="77777777" w:rsidR="00C65183" w:rsidRDefault="00C65183" w:rsidP="00C65183">
      <w:pPr>
        <w:spacing w:line="360" w:lineRule="auto"/>
        <w:jc w:val="both"/>
        <w:rPr>
          <w:rFonts w:ascii="Calibri" w:hAnsi="Calibri"/>
        </w:rPr>
      </w:pPr>
    </w:p>
    <w:p w14:paraId="151DBD65" w14:textId="77777777" w:rsidR="00C65183" w:rsidRDefault="00C65183" w:rsidP="00C65183">
      <w:pPr>
        <w:spacing w:line="360" w:lineRule="auto"/>
        <w:jc w:val="both"/>
        <w:rPr>
          <w:rFonts w:ascii="Calibri" w:hAnsi="Calibri"/>
          <w:b/>
          <w:sz w:val="10"/>
          <w:szCs w:val="10"/>
        </w:rPr>
      </w:pPr>
    </w:p>
    <w:p w14:paraId="30F78B75" w14:textId="77777777" w:rsidR="00C65183" w:rsidRPr="00C45CAF" w:rsidRDefault="00C65183" w:rsidP="00C65183">
      <w:pPr>
        <w:spacing w:line="360" w:lineRule="auto"/>
        <w:jc w:val="both"/>
        <w:rPr>
          <w:rFonts w:ascii="Calibri" w:hAnsi="Calibri"/>
          <w:b/>
          <w:sz w:val="10"/>
          <w:szCs w:val="10"/>
        </w:rPr>
      </w:pPr>
    </w:p>
    <w:p w14:paraId="23ADD116" w14:textId="77777777" w:rsidR="00C65183" w:rsidRPr="00903528" w:rsidRDefault="00C65183" w:rsidP="00C65183">
      <w:pPr>
        <w:ind w:left="3686"/>
        <w:rPr>
          <w:rFonts w:ascii="Calibri" w:hAnsi="Calibri"/>
          <w:color w:val="808080"/>
          <w:sz w:val="20"/>
          <w:szCs w:val="20"/>
        </w:rPr>
      </w:pPr>
      <w:r>
        <w:rPr>
          <w:rFonts w:ascii="Calibri" w:hAnsi="Calibri"/>
          <w:color w:val="808080"/>
          <w:sz w:val="20"/>
          <w:szCs w:val="20"/>
        </w:rPr>
        <w:t>Probability of death within a year, by age and sex: Australia, 2016-2018</w:t>
      </w:r>
    </w:p>
    <w:p w14:paraId="5E3AFAB4" w14:textId="77777777" w:rsidR="00C65183" w:rsidRPr="00567D76" w:rsidRDefault="00C65183" w:rsidP="00C65183">
      <w:pPr>
        <w:spacing w:line="360" w:lineRule="auto"/>
        <w:jc w:val="both"/>
        <w:rPr>
          <w:rFonts w:ascii="Calibri" w:hAnsi="Calibri"/>
          <w:b/>
        </w:rPr>
      </w:pPr>
      <w:r>
        <w:rPr>
          <w:rFonts w:ascii="Calibri" w:hAnsi="Calibri"/>
          <w:noProof/>
        </w:rPr>
        <w:drawing>
          <wp:anchor distT="0" distB="0" distL="114300" distR="114300" simplePos="0" relativeHeight="251974656" behindDoc="0" locked="0" layoutInCell="1" allowOverlap="1" wp14:anchorId="6BBFB31A" wp14:editId="3446E23C">
            <wp:simplePos x="0" y="0"/>
            <wp:positionH relativeFrom="column">
              <wp:posOffset>2070735</wp:posOffset>
            </wp:positionH>
            <wp:positionV relativeFrom="paragraph">
              <wp:posOffset>3810</wp:posOffset>
            </wp:positionV>
            <wp:extent cx="4138295" cy="2800350"/>
            <wp:effectExtent l="0" t="0" r="0" b="0"/>
            <wp:wrapSquare wrapText="bothSides"/>
            <wp:docPr id="507" name="Picture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4138295" cy="2800350"/>
                    </a:xfrm>
                    <a:prstGeom prst="rect">
                      <a:avLst/>
                    </a:prstGeom>
                    <a:noFill/>
                  </pic:spPr>
                </pic:pic>
              </a:graphicData>
            </a:graphic>
            <wp14:sizeRelH relativeFrom="page">
              <wp14:pctWidth>0</wp14:pctWidth>
            </wp14:sizeRelH>
            <wp14:sizeRelV relativeFrom="page">
              <wp14:pctHeight>0</wp14:pctHeight>
            </wp14:sizeRelV>
          </wp:anchor>
        </w:drawing>
      </w:r>
      <w:r w:rsidRPr="00567D76">
        <w:rPr>
          <w:rFonts w:ascii="Calibri" w:hAnsi="Calibri"/>
          <w:b/>
        </w:rPr>
        <w:t>Mortality Rate</w:t>
      </w:r>
      <w:r>
        <w:rPr>
          <w:rFonts w:ascii="Calibri" w:hAnsi="Calibri"/>
          <w:b/>
        </w:rPr>
        <w:t>s</w:t>
      </w:r>
    </w:p>
    <w:p w14:paraId="17B0B0B2" w14:textId="77777777" w:rsidR="00C65183" w:rsidRDefault="00C65183" w:rsidP="00C65183">
      <w:pPr>
        <w:spacing w:line="360" w:lineRule="auto"/>
        <w:jc w:val="both"/>
        <w:rPr>
          <w:rFonts w:ascii="Calibri" w:hAnsi="Calibri"/>
        </w:rPr>
      </w:pPr>
      <w:r>
        <w:rPr>
          <w:rFonts w:ascii="Calibri" w:hAnsi="Calibri"/>
        </w:rPr>
        <w:t xml:space="preserve">Australian </w:t>
      </w:r>
      <w:r w:rsidRPr="00B75D7F">
        <w:rPr>
          <w:rFonts w:ascii="Calibri" w:hAnsi="Calibri"/>
        </w:rPr>
        <w:t>mortality rate</w:t>
      </w:r>
      <w:r>
        <w:rPr>
          <w:rFonts w:ascii="Calibri" w:hAnsi="Calibri"/>
        </w:rPr>
        <w:t>s remain</w:t>
      </w:r>
      <w:r w:rsidRPr="00B75D7F">
        <w:rPr>
          <w:rFonts w:ascii="Calibri" w:hAnsi="Calibri"/>
        </w:rPr>
        <w:t xml:space="preserve"> below 10 per </w:t>
      </w:r>
      <w:r w:rsidRPr="00B75D7F">
        <w:rPr>
          <w:rFonts w:ascii="Calibri" w:hAnsi="Calibri"/>
          <w:color w:val="000000"/>
        </w:rPr>
        <w:t>1,000</w:t>
      </w:r>
      <w:r w:rsidRPr="00B75D7F">
        <w:rPr>
          <w:rFonts w:ascii="Calibri" w:hAnsi="Calibri"/>
        </w:rPr>
        <w:t xml:space="preserve"> persons, or 1%, in all age groups to 64 years</w:t>
      </w:r>
      <w:r>
        <w:rPr>
          <w:rFonts w:ascii="Calibri" w:hAnsi="Calibri"/>
        </w:rPr>
        <w:t>. Above that age, rates</w:t>
      </w:r>
      <w:r w:rsidRPr="00B75D7F">
        <w:rPr>
          <w:rFonts w:ascii="Calibri" w:hAnsi="Calibri"/>
        </w:rPr>
        <w:t xml:space="preserve"> </w:t>
      </w:r>
      <w:r>
        <w:rPr>
          <w:rFonts w:ascii="Calibri" w:hAnsi="Calibri"/>
        </w:rPr>
        <w:t>rise</w:t>
      </w:r>
      <w:r w:rsidRPr="00B75D7F">
        <w:rPr>
          <w:rFonts w:ascii="Calibri" w:hAnsi="Calibri"/>
        </w:rPr>
        <w:t xml:space="preserve"> </w:t>
      </w:r>
      <w:r>
        <w:rPr>
          <w:rFonts w:ascii="Calibri" w:hAnsi="Calibri"/>
        </w:rPr>
        <w:t>steeply among males and females</w:t>
      </w:r>
      <w:r w:rsidRPr="00B75D7F">
        <w:rPr>
          <w:rFonts w:ascii="Calibri" w:hAnsi="Calibri"/>
        </w:rPr>
        <w:t>. The diagrams below depict the age-specific mortality rates for males and females in Australia, in 201</w:t>
      </w:r>
      <w:r>
        <w:rPr>
          <w:rFonts w:ascii="Calibri" w:hAnsi="Calibri"/>
        </w:rPr>
        <w:t>6-2018</w:t>
      </w:r>
      <w:r>
        <w:rPr>
          <w:rStyle w:val="FootnoteReference"/>
          <w:rFonts w:ascii="Calibri" w:hAnsi="Calibri"/>
        </w:rPr>
        <w:footnoteReference w:id="93"/>
      </w:r>
      <w:r w:rsidRPr="00B75D7F">
        <w:rPr>
          <w:rFonts w:ascii="Calibri" w:hAnsi="Calibri"/>
        </w:rPr>
        <w:t>.</w:t>
      </w:r>
    </w:p>
    <w:bookmarkEnd w:id="36"/>
    <w:p w14:paraId="70776651" w14:textId="77777777" w:rsidR="00C65183" w:rsidRPr="00B75D7F" w:rsidRDefault="00C65183" w:rsidP="00C65183">
      <w:pPr>
        <w:spacing w:line="360" w:lineRule="auto"/>
        <w:jc w:val="both"/>
        <w:rPr>
          <w:rFonts w:ascii="Calibri" w:hAnsi="Calibri"/>
        </w:rPr>
      </w:pPr>
      <w:r w:rsidRPr="00B75D7F">
        <w:rPr>
          <w:rFonts w:ascii="Calibri" w:hAnsi="Calibri"/>
        </w:rPr>
        <w:t>Improvements in health care, nutrition, hygiene, road safety and other conditions, have contributed to a marked decline in death rates across Australia in the past half century. By 201</w:t>
      </w:r>
      <w:r>
        <w:rPr>
          <w:rFonts w:ascii="Calibri" w:hAnsi="Calibri"/>
        </w:rPr>
        <w:t>5</w:t>
      </w:r>
      <w:r w:rsidRPr="00B75D7F">
        <w:rPr>
          <w:rFonts w:ascii="Calibri" w:hAnsi="Calibri"/>
        </w:rPr>
        <w:t>, national mortality rates had fallen</w:t>
      </w:r>
      <w:r>
        <w:rPr>
          <w:rFonts w:ascii="Calibri" w:hAnsi="Calibri"/>
        </w:rPr>
        <w:t xml:space="preserve"> to less than a fifth of </w:t>
      </w:r>
      <w:r>
        <w:rPr>
          <w:rFonts w:ascii="Calibri" w:hAnsi="Calibri"/>
        </w:rPr>
        <w:lastRenderedPageBreak/>
        <w:t xml:space="preserve">their 1950 </w:t>
      </w:r>
      <w:r w:rsidRPr="00B75D7F">
        <w:rPr>
          <w:rFonts w:ascii="Calibri" w:hAnsi="Calibri"/>
        </w:rPr>
        <w:t xml:space="preserve">levels among people aged </w:t>
      </w:r>
      <w:r>
        <w:rPr>
          <w:rFonts w:ascii="Calibri" w:hAnsi="Calibri"/>
        </w:rPr>
        <w:t>less than 14</w:t>
      </w:r>
      <w:r w:rsidRPr="00B75D7F">
        <w:rPr>
          <w:rFonts w:ascii="Calibri" w:hAnsi="Calibri"/>
        </w:rPr>
        <w:t xml:space="preserve"> years, and </w:t>
      </w:r>
      <w:r>
        <w:rPr>
          <w:rFonts w:ascii="Calibri" w:hAnsi="Calibri"/>
        </w:rPr>
        <w:t>diminished</w:t>
      </w:r>
      <w:r w:rsidRPr="00B75D7F">
        <w:rPr>
          <w:rFonts w:ascii="Calibri" w:hAnsi="Calibri"/>
        </w:rPr>
        <w:t xml:space="preserve"> by approximately two-thirds among people in most other age groups.</w:t>
      </w:r>
      <w:r>
        <w:rPr>
          <w:rStyle w:val="FootnoteReference"/>
          <w:rFonts w:ascii="Calibri" w:hAnsi="Calibri"/>
        </w:rPr>
        <w:footnoteReference w:id="94"/>
      </w:r>
      <w:r>
        <w:rPr>
          <w:rFonts w:ascii="Calibri" w:hAnsi="Calibri"/>
        </w:rPr>
        <w:t xml:space="preserve"> </w:t>
      </w:r>
    </w:p>
    <w:p w14:paraId="2F9D2079" w14:textId="77777777" w:rsidR="00C65183" w:rsidRPr="00903528" w:rsidRDefault="00C65183" w:rsidP="00C65183">
      <w:pPr>
        <w:jc w:val="both"/>
        <w:rPr>
          <w:rFonts w:ascii="Calibri" w:hAnsi="Calibri"/>
          <w:color w:val="7F7F7F"/>
          <w:sz w:val="20"/>
          <w:szCs w:val="20"/>
        </w:rPr>
      </w:pPr>
      <w:r>
        <w:rPr>
          <w:rFonts w:ascii="Calibri" w:hAnsi="Calibri"/>
          <w:noProof/>
          <w:color w:val="7F7F7F"/>
          <w:sz w:val="20"/>
          <w:szCs w:val="20"/>
        </w:rPr>
        <w:drawing>
          <wp:anchor distT="0" distB="0" distL="114300" distR="114300" simplePos="0" relativeHeight="251932672" behindDoc="0" locked="0" layoutInCell="1" allowOverlap="1" wp14:anchorId="1E61F708" wp14:editId="2F4EC294">
            <wp:simplePos x="0" y="0"/>
            <wp:positionH relativeFrom="margin">
              <wp:align>left</wp:align>
            </wp:positionH>
            <wp:positionV relativeFrom="paragraph">
              <wp:posOffset>1905</wp:posOffset>
            </wp:positionV>
            <wp:extent cx="3486150" cy="2496185"/>
            <wp:effectExtent l="0" t="0" r="0" b="0"/>
            <wp:wrapSquare wrapText="bothSides"/>
            <wp:docPr id="508" name="Picture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3486150" cy="2496185"/>
                    </a:xfrm>
                    <a:prstGeom prst="rect">
                      <a:avLst/>
                    </a:prstGeom>
                    <a:noFill/>
                  </pic:spPr>
                </pic:pic>
              </a:graphicData>
            </a:graphic>
            <wp14:sizeRelH relativeFrom="page">
              <wp14:pctWidth>0</wp14:pctWidth>
            </wp14:sizeRelH>
            <wp14:sizeRelV relativeFrom="page">
              <wp14:pctHeight>0</wp14:pctHeight>
            </wp14:sizeRelV>
          </wp:anchor>
        </w:drawing>
      </w:r>
      <w:r w:rsidRPr="00903528">
        <w:rPr>
          <w:rFonts w:ascii="Calibri" w:hAnsi="Calibri"/>
          <w:color w:val="7F7F7F"/>
          <w:sz w:val="20"/>
          <w:szCs w:val="20"/>
        </w:rPr>
        <w:t>Infant Mortality Rate: Australia, 1901 to 201</w:t>
      </w:r>
      <w:r>
        <w:rPr>
          <w:rFonts w:ascii="Calibri" w:hAnsi="Calibri"/>
          <w:color w:val="7F7F7F"/>
          <w:sz w:val="20"/>
          <w:szCs w:val="20"/>
        </w:rPr>
        <w:t>8</w:t>
      </w:r>
    </w:p>
    <w:p w14:paraId="39F37CED" w14:textId="77777777" w:rsidR="00C65183" w:rsidRPr="002011E6" w:rsidRDefault="00C65183" w:rsidP="00C65183">
      <w:pPr>
        <w:spacing w:line="360" w:lineRule="auto"/>
        <w:jc w:val="both"/>
        <w:rPr>
          <w:rFonts w:ascii="Calibri" w:hAnsi="Calibri"/>
          <w:sz w:val="8"/>
          <w:szCs w:val="8"/>
        </w:rPr>
      </w:pPr>
    </w:p>
    <w:p w14:paraId="4D0C6810" w14:textId="77777777" w:rsidR="00C65183" w:rsidRPr="00B519DC" w:rsidRDefault="00C65183" w:rsidP="00C65183">
      <w:pPr>
        <w:spacing w:line="360" w:lineRule="auto"/>
        <w:jc w:val="both"/>
        <w:rPr>
          <w:rFonts w:ascii="Calibri" w:hAnsi="Calibri"/>
        </w:rPr>
      </w:pPr>
      <w:r w:rsidRPr="00B75D7F">
        <w:rPr>
          <w:rFonts w:ascii="Calibri" w:hAnsi="Calibri"/>
        </w:rPr>
        <w:t xml:space="preserve">Still more </w:t>
      </w:r>
      <w:r>
        <w:rPr>
          <w:rFonts w:ascii="Calibri" w:hAnsi="Calibri"/>
        </w:rPr>
        <w:t>pronounced</w:t>
      </w:r>
      <w:r w:rsidRPr="00B75D7F">
        <w:rPr>
          <w:rFonts w:ascii="Calibri" w:hAnsi="Calibri"/>
        </w:rPr>
        <w:t xml:space="preserve"> has been the decrease in infant mortality in Australia, with rates falling from 250 per 1,000 in 1850, to 104 by the opening years of the twentieth century, </w:t>
      </w:r>
      <w:r>
        <w:rPr>
          <w:rFonts w:ascii="Calibri" w:hAnsi="Calibri"/>
        </w:rPr>
        <w:t>before plunging</w:t>
      </w:r>
      <w:r w:rsidRPr="00B75D7F">
        <w:rPr>
          <w:rFonts w:ascii="Calibri" w:hAnsi="Calibri"/>
        </w:rPr>
        <w:t xml:space="preserve"> to </w:t>
      </w:r>
      <w:r>
        <w:rPr>
          <w:rFonts w:ascii="Calibri" w:hAnsi="Calibri"/>
        </w:rPr>
        <w:t>3.1</w:t>
      </w:r>
      <w:r w:rsidRPr="00B75D7F">
        <w:rPr>
          <w:rFonts w:ascii="Calibri" w:hAnsi="Calibri"/>
        </w:rPr>
        <w:t xml:space="preserve"> by 201</w:t>
      </w:r>
      <w:r>
        <w:rPr>
          <w:rFonts w:ascii="Calibri" w:hAnsi="Calibri"/>
        </w:rPr>
        <w:t>8</w:t>
      </w:r>
      <w:r>
        <w:rPr>
          <w:rStyle w:val="FootnoteReference"/>
          <w:rFonts w:ascii="Calibri" w:hAnsi="Calibri"/>
        </w:rPr>
        <w:footnoteReference w:id="95"/>
      </w:r>
      <w:r>
        <w:rPr>
          <w:rFonts w:ascii="Calibri" w:hAnsi="Calibri"/>
        </w:rPr>
        <w:t>.</w:t>
      </w:r>
      <w:r w:rsidRPr="00B75D7F">
        <w:rPr>
          <w:rFonts w:ascii="Calibri" w:hAnsi="Calibri"/>
        </w:rPr>
        <w:t xml:space="preserve"> </w:t>
      </w:r>
      <w:r>
        <w:rPr>
          <w:rFonts w:ascii="Calibri" w:hAnsi="Calibri"/>
        </w:rPr>
        <w:t>These declines are</w:t>
      </w:r>
      <w:r w:rsidRPr="00B75D7F">
        <w:rPr>
          <w:rFonts w:ascii="Calibri" w:hAnsi="Calibri"/>
        </w:rPr>
        <w:t xml:space="preserve"> attributed to conditions such as reduced exposure to infection through milk, food, water, sewerage; better education and hygiene; improved nutrition and housing; an increasing tendency to delay birth coupled with longer birth intervals; and improved medical care and maternal counse</w:t>
      </w:r>
      <w:r>
        <w:rPr>
          <w:rFonts w:ascii="Calibri" w:hAnsi="Calibri"/>
        </w:rPr>
        <w:t>ll</w:t>
      </w:r>
      <w:r w:rsidRPr="00B75D7F">
        <w:rPr>
          <w:rFonts w:ascii="Calibri" w:hAnsi="Calibri"/>
        </w:rPr>
        <w:t>ing.</w:t>
      </w:r>
    </w:p>
    <w:p w14:paraId="70011117" w14:textId="77777777" w:rsidR="00C65183" w:rsidRDefault="00C65183" w:rsidP="00C65183">
      <w:pPr>
        <w:spacing w:line="360" w:lineRule="auto"/>
        <w:jc w:val="both"/>
        <w:rPr>
          <w:rFonts w:ascii="Calibri" w:hAnsi="Calibri"/>
          <w:b/>
          <w:color w:val="000000"/>
        </w:rPr>
      </w:pPr>
      <w:r>
        <w:rPr>
          <w:rFonts w:ascii="Calibri" w:hAnsi="Calibri"/>
          <w:b/>
          <w:color w:val="000000"/>
        </w:rPr>
        <w:t>Mortality and Socioeconomic Disadvantage</w:t>
      </w:r>
    </w:p>
    <w:p w14:paraId="73F9930B" w14:textId="77777777" w:rsidR="00C65183" w:rsidRDefault="00C65183" w:rsidP="00C65183">
      <w:pPr>
        <w:spacing w:line="360" w:lineRule="auto"/>
        <w:jc w:val="both"/>
        <w:rPr>
          <w:rFonts w:ascii="Calibri" w:hAnsi="Calibri"/>
          <w:color w:val="000000"/>
        </w:rPr>
      </w:pPr>
      <w:r>
        <w:rPr>
          <w:rFonts w:ascii="Calibri" w:hAnsi="Calibri"/>
          <w:color w:val="000000"/>
        </w:rPr>
        <w:t>The Commonwealth Government ‘Australia’s Health Tracker’</w:t>
      </w:r>
      <w:r>
        <w:rPr>
          <w:rStyle w:val="FootnoteReference"/>
          <w:rFonts w:ascii="Calibri" w:hAnsi="Calibri"/>
          <w:color w:val="000000"/>
        </w:rPr>
        <w:footnoteReference w:id="96"/>
      </w:r>
      <w:r>
        <w:rPr>
          <w:rFonts w:ascii="Calibri" w:hAnsi="Calibri"/>
          <w:color w:val="000000"/>
        </w:rPr>
        <w:t xml:space="preserve"> records that the most disadvantaged fifth of localities featured substantially higher rates of mortality than the more disadvantaged areas:</w:t>
      </w:r>
    </w:p>
    <w:p w14:paraId="488AF838" w14:textId="77777777" w:rsidR="00C65183" w:rsidRDefault="00C65183" w:rsidP="00C65183">
      <w:pPr>
        <w:jc w:val="both"/>
        <w:rPr>
          <w:rFonts w:ascii="Calibri" w:hAnsi="Calibri"/>
          <w:color w:val="808080" w:themeColor="background1" w:themeShade="80"/>
          <w:sz w:val="20"/>
          <w:szCs w:val="20"/>
        </w:rPr>
      </w:pPr>
      <w:r w:rsidRPr="00ED6036">
        <w:rPr>
          <w:rFonts w:ascii="Calibri" w:hAnsi="Calibri"/>
          <w:color w:val="808080" w:themeColor="background1" w:themeShade="80"/>
          <w:sz w:val="20"/>
          <w:szCs w:val="20"/>
        </w:rPr>
        <w:t xml:space="preserve">Rates of mortality among most disadvantaged quintiles of localities in capital cities, </w:t>
      </w:r>
    </w:p>
    <w:p w14:paraId="1661537D" w14:textId="77777777" w:rsidR="00C65183" w:rsidRDefault="00C65183" w:rsidP="00C65183">
      <w:pPr>
        <w:jc w:val="both"/>
        <w:rPr>
          <w:rFonts w:ascii="Calibri" w:hAnsi="Calibri"/>
          <w:color w:val="808080" w:themeColor="background1" w:themeShade="80"/>
          <w:sz w:val="20"/>
          <w:szCs w:val="20"/>
        </w:rPr>
      </w:pPr>
      <w:r w:rsidRPr="00ED6036">
        <w:rPr>
          <w:rFonts w:ascii="Calibri" w:hAnsi="Calibri"/>
          <w:color w:val="808080" w:themeColor="background1" w:themeShade="80"/>
          <w:sz w:val="20"/>
          <w:szCs w:val="20"/>
        </w:rPr>
        <w:t>divided by rate among least disadvantaged</w:t>
      </w:r>
      <w:r>
        <w:rPr>
          <w:rFonts w:ascii="Calibri" w:hAnsi="Calibri"/>
          <w:color w:val="808080" w:themeColor="background1" w:themeShade="80"/>
          <w:sz w:val="20"/>
          <w:szCs w:val="20"/>
        </w:rPr>
        <w:t>: persons aged 30-69 years, Australia</w:t>
      </w:r>
    </w:p>
    <w:p w14:paraId="2ECC9F67" w14:textId="77777777" w:rsidR="00C65183" w:rsidRPr="00BB03AA" w:rsidRDefault="00C65183" w:rsidP="00C65183">
      <w:pPr>
        <w:jc w:val="both"/>
        <w:rPr>
          <w:rFonts w:ascii="Calibri" w:hAnsi="Calibri"/>
          <w:color w:val="000000" w:themeColor="text1"/>
          <w:sz w:val="20"/>
          <w:szCs w:val="20"/>
        </w:rPr>
      </w:pPr>
      <w:r w:rsidRPr="00BB03AA">
        <w:rPr>
          <w:rFonts w:ascii="Calibri" w:hAnsi="Calibri"/>
          <w:color w:val="000000" w:themeColor="text1"/>
          <w:sz w:val="20"/>
          <w:szCs w:val="20"/>
        </w:rPr>
        <w:t>(Here, a figure of ‘2’ would mean that the mortality rate among 30-69 year-olds in the most disadvantaged fifth of localities was 2 times that in the least disadvantaged fifth of localities)</w:t>
      </w:r>
    </w:p>
    <w:p w14:paraId="7B0C06B6" w14:textId="77777777" w:rsidR="00C65183" w:rsidRPr="00ED6036" w:rsidRDefault="00C65183" w:rsidP="00C65183">
      <w:pPr>
        <w:jc w:val="both"/>
        <w:rPr>
          <w:rFonts w:ascii="Calibri" w:hAnsi="Calibri"/>
          <w:color w:val="808080" w:themeColor="background1" w:themeShade="80"/>
          <w:sz w:val="10"/>
          <w:szCs w:val="10"/>
        </w:rPr>
      </w:pPr>
    </w:p>
    <w:p w14:paraId="176A5B39" w14:textId="77777777" w:rsidR="00C65183" w:rsidRPr="00ED6036" w:rsidRDefault="00C65183" w:rsidP="00C65183">
      <w:pPr>
        <w:pStyle w:val="ListParagraph"/>
        <w:numPr>
          <w:ilvl w:val="0"/>
          <w:numId w:val="17"/>
        </w:numPr>
        <w:tabs>
          <w:tab w:val="left" w:pos="5103"/>
        </w:tabs>
        <w:ind w:left="992" w:hanging="357"/>
        <w:jc w:val="both"/>
        <w:rPr>
          <w:rFonts w:ascii="Calibri" w:hAnsi="Calibri"/>
          <w:color w:val="000000"/>
          <w:sz w:val="21"/>
          <w:szCs w:val="21"/>
        </w:rPr>
      </w:pPr>
      <w:r w:rsidRPr="00ED6036">
        <w:rPr>
          <w:rFonts w:ascii="Calibri" w:hAnsi="Calibri"/>
          <w:color w:val="000000"/>
          <w:sz w:val="21"/>
          <w:szCs w:val="21"/>
        </w:rPr>
        <w:t xml:space="preserve">Deaths from diabetes: </w:t>
      </w:r>
      <w:r>
        <w:rPr>
          <w:rFonts w:ascii="Calibri" w:hAnsi="Calibri"/>
          <w:color w:val="000000"/>
          <w:sz w:val="21"/>
          <w:szCs w:val="21"/>
        </w:rPr>
        <w:tab/>
      </w:r>
      <w:r w:rsidRPr="00ED6036">
        <w:rPr>
          <w:rFonts w:ascii="Calibri" w:hAnsi="Calibri"/>
          <w:color w:val="000000"/>
          <w:sz w:val="21"/>
          <w:szCs w:val="21"/>
        </w:rPr>
        <w:t>4.3</w:t>
      </w:r>
    </w:p>
    <w:p w14:paraId="663A4AC8" w14:textId="77777777" w:rsidR="00C65183" w:rsidRPr="00ED6036" w:rsidRDefault="00C65183" w:rsidP="00C65183">
      <w:pPr>
        <w:pStyle w:val="ListParagraph"/>
        <w:numPr>
          <w:ilvl w:val="0"/>
          <w:numId w:val="17"/>
        </w:numPr>
        <w:tabs>
          <w:tab w:val="left" w:pos="5103"/>
        </w:tabs>
        <w:ind w:left="992" w:hanging="357"/>
        <w:jc w:val="both"/>
        <w:rPr>
          <w:rFonts w:ascii="Calibri" w:hAnsi="Calibri"/>
          <w:color w:val="000000"/>
          <w:sz w:val="21"/>
          <w:szCs w:val="21"/>
        </w:rPr>
      </w:pPr>
      <w:r w:rsidRPr="00ED6036">
        <w:rPr>
          <w:rFonts w:ascii="Calibri" w:hAnsi="Calibri"/>
          <w:color w:val="000000"/>
          <w:sz w:val="21"/>
          <w:szCs w:val="21"/>
        </w:rPr>
        <w:t xml:space="preserve">Deaths from respiratory system diseases: </w:t>
      </w:r>
      <w:r>
        <w:rPr>
          <w:rFonts w:ascii="Calibri" w:hAnsi="Calibri"/>
          <w:color w:val="000000"/>
          <w:sz w:val="21"/>
          <w:szCs w:val="21"/>
        </w:rPr>
        <w:tab/>
      </w:r>
      <w:r w:rsidRPr="00ED6036">
        <w:rPr>
          <w:rFonts w:ascii="Calibri" w:hAnsi="Calibri"/>
          <w:color w:val="000000"/>
          <w:sz w:val="21"/>
          <w:szCs w:val="21"/>
        </w:rPr>
        <w:t>3.4</w:t>
      </w:r>
    </w:p>
    <w:p w14:paraId="6553D9E2" w14:textId="77777777" w:rsidR="00C65183" w:rsidRPr="00ED6036" w:rsidRDefault="00C65183" w:rsidP="00C65183">
      <w:pPr>
        <w:pStyle w:val="ListParagraph"/>
        <w:numPr>
          <w:ilvl w:val="0"/>
          <w:numId w:val="17"/>
        </w:numPr>
        <w:tabs>
          <w:tab w:val="left" w:pos="5103"/>
        </w:tabs>
        <w:ind w:left="992" w:hanging="357"/>
        <w:jc w:val="both"/>
        <w:rPr>
          <w:rFonts w:ascii="Calibri" w:hAnsi="Calibri"/>
          <w:color w:val="000000"/>
          <w:sz w:val="21"/>
          <w:szCs w:val="21"/>
        </w:rPr>
      </w:pPr>
      <w:r w:rsidRPr="00ED6036">
        <w:rPr>
          <w:rFonts w:ascii="Calibri" w:hAnsi="Calibri"/>
          <w:color w:val="000000"/>
          <w:sz w:val="21"/>
          <w:szCs w:val="21"/>
        </w:rPr>
        <w:t xml:space="preserve">Deaths from cardiovascular diseases: </w:t>
      </w:r>
      <w:r>
        <w:rPr>
          <w:rFonts w:ascii="Calibri" w:hAnsi="Calibri"/>
          <w:color w:val="000000"/>
          <w:sz w:val="21"/>
          <w:szCs w:val="21"/>
        </w:rPr>
        <w:tab/>
      </w:r>
      <w:r w:rsidRPr="00ED6036">
        <w:rPr>
          <w:rFonts w:ascii="Calibri" w:hAnsi="Calibri"/>
          <w:color w:val="000000"/>
          <w:sz w:val="21"/>
          <w:szCs w:val="21"/>
        </w:rPr>
        <w:t>2.6</w:t>
      </w:r>
    </w:p>
    <w:p w14:paraId="5CDA9D46" w14:textId="77777777" w:rsidR="00C65183" w:rsidRPr="00ED6036" w:rsidRDefault="00C65183" w:rsidP="00C65183">
      <w:pPr>
        <w:pStyle w:val="ListParagraph"/>
        <w:numPr>
          <w:ilvl w:val="0"/>
          <w:numId w:val="17"/>
        </w:numPr>
        <w:tabs>
          <w:tab w:val="left" w:pos="5103"/>
        </w:tabs>
        <w:ind w:left="992" w:hanging="357"/>
        <w:jc w:val="both"/>
        <w:rPr>
          <w:rFonts w:ascii="Calibri" w:hAnsi="Calibri"/>
          <w:color w:val="000000"/>
          <w:sz w:val="21"/>
          <w:szCs w:val="21"/>
        </w:rPr>
      </w:pPr>
      <w:r w:rsidRPr="00ED6036">
        <w:rPr>
          <w:rFonts w:ascii="Calibri" w:hAnsi="Calibri"/>
          <w:color w:val="000000"/>
          <w:sz w:val="21"/>
          <w:szCs w:val="21"/>
        </w:rPr>
        <w:t xml:space="preserve">Deaths from lung cancer: </w:t>
      </w:r>
      <w:r>
        <w:rPr>
          <w:rFonts w:ascii="Calibri" w:hAnsi="Calibri"/>
          <w:color w:val="000000"/>
          <w:sz w:val="21"/>
          <w:szCs w:val="21"/>
        </w:rPr>
        <w:tab/>
      </w:r>
      <w:r w:rsidRPr="00ED6036">
        <w:rPr>
          <w:rFonts w:ascii="Calibri" w:hAnsi="Calibri"/>
          <w:color w:val="000000"/>
          <w:sz w:val="21"/>
          <w:szCs w:val="21"/>
        </w:rPr>
        <w:t>2.3</w:t>
      </w:r>
    </w:p>
    <w:p w14:paraId="49D06F08" w14:textId="77777777" w:rsidR="00C65183" w:rsidRPr="00ED6036" w:rsidRDefault="00C65183" w:rsidP="00C65183">
      <w:pPr>
        <w:pStyle w:val="ListParagraph"/>
        <w:numPr>
          <w:ilvl w:val="0"/>
          <w:numId w:val="17"/>
        </w:numPr>
        <w:tabs>
          <w:tab w:val="left" w:pos="5103"/>
        </w:tabs>
        <w:ind w:left="992" w:hanging="357"/>
        <w:jc w:val="both"/>
        <w:rPr>
          <w:rFonts w:ascii="Calibri" w:hAnsi="Calibri"/>
          <w:color w:val="000000"/>
          <w:sz w:val="21"/>
          <w:szCs w:val="21"/>
        </w:rPr>
      </w:pPr>
      <w:r w:rsidRPr="00ED6036">
        <w:rPr>
          <w:rFonts w:ascii="Calibri" w:hAnsi="Calibri"/>
          <w:color w:val="000000"/>
          <w:sz w:val="21"/>
          <w:szCs w:val="21"/>
        </w:rPr>
        <w:t xml:space="preserve">Deaths from cancers: </w:t>
      </w:r>
      <w:r>
        <w:rPr>
          <w:rFonts w:ascii="Calibri" w:hAnsi="Calibri"/>
          <w:color w:val="000000"/>
          <w:sz w:val="21"/>
          <w:szCs w:val="21"/>
        </w:rPr>
        <w:tab/>
      </w:r>
      <w:r w:rsidRPr="00ED6036">
        <w:rPr>
          <w:rFonts w:ascii="Calibri" w:hAnsi="Calibri"/>
          <w:color w:val="000000"/>
          <w:sz w:val="21"/>
          <w:szCs w:val="21"/>
        </w:rPr>
        <w:t>1.6</w:t>
      </w:r>
    </w:p>
    <w:p w14:paraId="5C404F42" w14:textId="77777777" w:rsidR="00C65183" w:rsidRPr="00ED6036" w:rsidRDefault="00C65183" w:rsidP="00C65183">
      <w:pPr>
        <w:pStyle w:val="ListParagraph"/>
        <w:numPr>
          <w:ilvl w:val="0"/>
          <w:numId w:val="17"/>
        </w:numPr>
        <w:tabs>
          <w:tab w:val="left" w:pos="5103"/>
        </w:tabs>
        <w:ind w:left="992" w:hanging="357"/>
        <w:jc w:val="both"/>
        <w:rPr>
          <w:rFonts w:ascii="Calibri" w:hAnsi="Calibri"/>
          <w:color w:val="000000"/>
          <w:sz w:val="21"/>
          <w:szCs w:val="21"/>
        </w:rPr>
      </w:pPr>
      <w:r w:rsidRPr="00ED6036">
        <w:rPr>
          <w:rFonts w:ascii="Calibri" w:hAnsi="Calibri"/>
          <w:color w:val="000000"/>
          <w:sz w:val="21"/>
          <w:szCs w:val="21"/>
        </w:rPr>
        <w:t xml:space="preserve">Deaths from colorectal (bowel) cancer: </w:t>
      </w:r>
      <w:r>
        <w:rPr>
          <w:rFonts w:ascii="Calibri" w:hAnsi="Calibri"/>
          <w:color w:val="000000"/>
          <w:sz w:val="21"/>
          <w:szCs w:val="21"/>
        </w:rPr>
        <w:tab/>
      </w:r>
      <w:r w:rsidRPr="00ED6036">
        <w:rPr>
          <w:rFonts w:ascii="Calibri" w:hAnsi="Calibri"/>
          <w:color w:val="000000"/>
          <w:sz w:val="21"/>
          <w:szCs w:val="21"/>
        </w:rPr>
        <w:t>1.6</w:t>
      </w:r>
    </w:p>
    <w:p w14:paraId="2A2D9083" w14:textId="77777777" w:rsidR="00C65183" w:rsidRPr="00ED6036" w:rsidRDefault="00C65183" w:rsidP="00C65183">
      <w:pPr>
        <w:pStyle w:val="ListParagraph"/>
        <w:numPr>
          <w:ilvl w:val="0"/>
          <w:numId w:val="17"/>
        </w:numPr>
        <w:tabs>
          <w:tab w:val="left" w:pos="5103"/>
        </w:tabs>
        <w:ind w:left="992" w:hanging="357"/>
        <w:jc w:val="both"/>
        <w:rPr>
          <w:rFonts w:ascii="Calibri" w:hAnsi="Calibri"/>
          <w:color w:val="000000"/>
          <w:sz w:val="21"/>
          <w:szCs w:val="21"/>
        </w:rPr>
      </w:pPr>
      <w:r w:rsidRPr="00ED6036">
        <w:rPr>
          <w:rFonts w:ascii="Calibri" w:hAnsi="Calibri"/>
          <w:color w:val="000000"/>
          <w:sz w:val="21"/>
          <w:szCs w:val="21"/>
        </w:rPr>
        <w:t xml:space="preserve">Deaths from suicides, persons aged 0 to 74: </w:t>
      </w:r>
      <w:r>
        <w:rPr>
          <w:rFonts w:ascii="Calibri" w:hAnsi="Calibri"/>
          <w:color w:val="000000"/>
          <w:sz w:val="21"/>
          <w:szCs w:val="21"/>
        </w:rPr>
        <w:tab/>
      </w:r>
      <w:r w:rsidRPr="00ED6036">
        <w:rPr>
          <w:rFonts w:ascii="Calibri" w:hAnsi="Calibri"/>
          <w:color w:val="000000"/>
          <w:sz w:val="21"/>
          <w:szCs w:val="21"/>
        </w:rPr>
        <w:t>1.6</w:t>
      </w:r>
    </w:p>
    <w:p w14:paraId="310DBCE5" w14:textId="77777777" w:rsidR="00C65183" w:rsidRPr="00ED6036" w:rsidRDefault="00C65183" w:rsidP="00C65183">
      <w:pPr>
        <w:pStyle w:val="ListParagraph"/>
        <w:numPr>
          <w:ilvl w:val="0"/>
          <w:numId w:val="17"/>
        </w:numPr>
        <w:tabs>
          <w:tab w:val="left" w:pos="5103"/>
        </w:tabs>
        <w:ind w:left="992" w:hanging="357"/>
        <w:jc w:val="both"/>
        <w:rPr>
          <w:rFonts w:ascii="Calibri" w:hAnsi="Calibri"/>
          <w:color w:val="000000"/>
          <w:sz w:val="21"/>
          <w:szCs w:val="21"/>
        </w:rPr>
      </w:pPr>
      <w:r w:rsidRPr="00ED6036">
        <w:rPr>
          <w:rFonts w:ascii="Calibri" w:hAnsi="Calibri"/>
          <w:color w:val="000000"/>
          <w:sz w:val="21"/>
          <w:szCs w:val="21"/>
        </w:rPr>
        <w:t xml:space="preserve">Deaths from breast cancer, females: </w:t>
      </w:r>
      <w:r>
        <w:rPr>
          <w:rFonts w:ascii="Calibri" w:hAnsi="Calibri"/>
          <w:color w:val="000000"/>
          <w:sz w:val="21"/>
          <w:szCs w:val="21"/>
        </w:rPr>
        <w:tab/>
      </w:r>
      <w:r w:rsidRPr="00ED6036">
        <w:rPr>
          <w:rFonts w:ascii="Calibri" w:hAnsi="Calibri"/>
          <w:color w:val="000000"/>
          <w:sz w:val="21"/>
          <w:szCs w:val="21"/>
        </w:rPr>
        <w:t>1.1</w:t>
      </w:r>
    </w:p>
    <w:p w14:paraId="771465B8" w14:textId="77777777" w:rsidR="00C65183" w:rsidRPr="007C4074" w:rsidRDefault="00C65183" w:rsidP="00C65183">
      <w:pPr>
        <w:spacing w:line="360" w:lineRule="auto"/>
        <w:jc w:val="both"/>
        <w:rPr>
          <w:rFonts w:ascii="Calibri" w:hAnsi="Calibri"/>
          <w:sz w:val="18"/>
          <w:szCs w:val="18"/>
        </w:rPr>
      </w:pPr>
    </w:p>
    <w:p w14:paraId="648F3D73" w14:textId="77777777" w:rsidR="00C65183" w:rsidRDefault="00C65183" w:rsidP="00C65183">
      <w:pPr>
        <w:spacing w:line="360" w:lineRule="auto"/>
        <w:jc w:val="both"/>
        <w:rPr>
          <w:rFonts w:ascii="Calibri" w:hAnsi="Calibri"/>
        </w:rPr>
      </w:pPr>
      <w:r w:rsidRPr="00B75D7F">
        <w:rPr>
          <w:rFonts w:ascii="Calibri" w:hAnsi="Calibri"/>
        </w:rPr>
        <w:t xml:space="preserve">Records of death in Victoria show </w:t>
      </w:r>
      <w:r>
        <w:rPr>
          <w:rFonts w:ascii="Calibri" w:hAnsi="Calibri"/>
        </w:rPr>
        <w:t>marked</w:t>
      </w:r>
      <w:r w:rsidRPr="00B75D7F">
        <w:rPr>
          <w:rFonts w:ascii="Calibri" w:hAnsi="Calibri"/>
        </w:rPr>
        <w:t xml:space="preserve"> variations in the pattern of mortality among different age groups.</w:t>
      </w:r>
      <w:r>
        <w:rPr>
          <w:rFonts w:ascii="Calibri" w:hAnsi="Calibri"/>
        </w:rPr>
        <w:t xml:space="preserve"> M</w:t>
      </w:r>
      <w:r w:rsidRPr="00B75D7F">
        <w:rPr>
          <w:rFonts w:ascii="Calibri" w:hAnsi="Calibri"/>
        </w:rPr>
        <w:t xml:space="preserve">ajor causes of death </w:t>
      </w:r>
      <w:r>
        <w:rPr>
          <w:rFonts w:ascii="Calibri" w:hAnsi="Calibri"/>
        </w:rPr>
        <w:t xml:space="preserve">in 1-14 year-olds, </w:t>
      </w:r>
      <w:r w:rsidRPr="00B75D7F">
        <w:rPr>
          <w:rFonts w:ascii="Calibri" w:hAnsi="Calibri"/>
        </w:rPr>
        <w:t>include drowning, transport accidents, cancers, heart disease, congenital circulatory disorders and cerebral palsy. With increasing age, external causes preponderate, with suicide, transport accident, assaults and poisoning ac</w:t>
      </w:r>
      <w:r>
        <w:rPr>
          <w:rFonts w:ascii="Calibri" w:hAnsi="Calibri"/>
        </w:rPr>
        <w:t>counting for well over half</w:t>
      </w:r>
      <w:r w:rsidRPr="00B75D7F">
        <w:rPr>
          <w:rFonts w:ascii="Calibri" w:hAnsi="Calibri"/>
        </w:rPr>
        <w:t xml:space="preserve"> of all mortality among 15 to 24 year-olds. By middle age, cancer and heart disease </w:t>
      </w:r>
      <w:r>
        <w:rPr>
          <w:rFonts w:ascii="Calibri" w:hAnsi="Calibri"/>
        </w:rPr>
        <w:t>form</w:t>
      </w:r>
      <w:r w:rsidRPr="00B75D7F">
        <w:rPr>
          <w:rFonts w:ascii="Calibri" w:hAnsi="Calibri"/>
        </w:rPr>
        <w:t xml:space="preserve"> the major causes of death, while in older age, conditions such as heart disease and stroke are the leading contributors to mortality, accounting for over a third of all deaths among people aged 85 years or more</w:t>
      </w:r>
      <w:r>
        <w:rPr>
          <w:rFonts w:ascii="Calibri" w:hAnsi="Calibri"/>
        </w:rPr>
        <w:t>.</w:t>
      </w:r>
    </w:p>
    <w:p w14:paraId="66355D7C" w14:textId="77777777" w:rsidR="00C65183" w:rsidRDefault="00C65183" w:rsidP="00C65183">
      <w:pPr>
        <w:rPr>
          <w:rFonts w:ascii="Calibri" w:hAnsi="Calibri"/>
        </w:rPr>
      </w:pPr>
      <w:r>
        <w:rPr>
          <w:rFonts w:ascii="Calibri" w:hAnsi="Calibri"/>
        </w:rPr>
        <w:br w:type="page"/>
      </w:r>
    </w:p>
    <w:p w14:paraId="28504FCA" w14:textId="77777777" w:rsidR="00C65183" w:rsidRPr="00827F47" w:rsidRDefault="00C65183" w:rsidP="00C65183">
      <w:pPr>
        <w:pBdr>
          <w:top w:val="single" w:sz="4" w:space="0" w:color="244061" w:themeColor="accent1" w:themeShade="80"/>
          <w:bottom w:val="single" w:sz="4" w:space="1" w:color="244061" w:themeColor="accent1" w:themeShade="80"/>
        </w:pBdr>
        <w:tabs>
          <w:tab w:val="center" w:pos="4678"/>
        </w:tabs>
        <w:jc w:val="center"/>
        <w:rPr>
          <w:rFonts w:ascii="Garamond" w:hAnsi="Garamond"/>
          <w:noProof/>
          <w:color w:val="244061" w:themeColor="accent1" w:themeShade="80"/>
          <w:sz w:val="34"/>
          <w:szCs w:val="34"/>
        </w:rPr>
      </w:pPr>
      <w:r>
        <w:rPr>
          <w:rFonts w:ascii="Garamond" w:hAnsi="Garamond"/>
          <w:noProof/>
          <w:color w:val="244061" w:themeColor="accent1" w:themeShade="80"/>
          <w:sz w:val="34"/>
          <w:szCs w:val="34"/>
        </w:rPr>
        <w:lastRenderedPageBreak/>
        <w:t>Climate Change and Health &amp; Wellbeing</w:t>
      </w:r>
    </w:p>
    <w:p w14:paraId="2C11C7E2" w14:textId="77777777" w:rsidR="00C65183" w:rsidRDefault="00C65183" w:rsidP="00C65183">
      <w:pPr>
        <w:spacing w:line="336" w:lineRule="auto"/>
        <w:jc w:val="both"/>
        <w:rPr>
          <w:sz w:val="12"/>
          <w:szCs w:val="12"/>
        </w:rPr>
      </w:pPr>
    </w:p>
    <w:p w14:paraId="412DF83A" w14:textId="77777777" w:rsidR="00C65183" w:rsidRDefault="00C65183" w:rsidP="00C65183">
      <w:pPr>
        <w:spacing w:line="336" w:lineRule="auto"/>
        <w:jc w:val="both"/>
        <w:rPr>
          <w:sz w:val="12"/>
          <w:szCs w:val="12"/>
        </w:rPr>
      </w:pPr>
    </w:p>
    <w:p w14:paraId="1B989BB8" w14:textId="77777777" w:rsidR="00C65183" w:rsidRPr="00C627BC" w:rsidRDefault="00C65183" w:rsidP="00C65183">
      <w:pPr>
        <w:spacing w:line="336" w:lineRule="auto"/>
        <w:jc w:val="both"/>
        <w:rPr>
          <w:sz w:val="12"/>
          <w:szCs w:val="12"/>
        </w:rPr>
      </w:pPr>
    </w:p>
    <w:p w14:paraId="489AA2BB" w14:textId="77777777" w:rsidR="00C65183" w:rsidRPr="00F41E10" w:rsidRDefault="00C65183" w:rsidP="00C65183">
      <w:pPr>
        <w:spacing w:line="360" w:lineRule="auto"/>
        <w:jc w:val="both"/>
        <w:rPr>
          <w:rFonts w:asciiTheme="minorHAnsi" w:hAnsiTheme="minorHAnsi" w:cstheme="minorHAnsi"/>
        </w:rPr>
      </w:pPr>
      <w:r w:rsidRPr="00F41E10">
        <w:rPr>
          <w:rFonts w:asciiTheme="minorHAnsi" w:hAnsiTheme="minorHAnsi" w:cstheme="minorHAnsi"/>
          <w:b/>
          <w:bCs/>
          <w:noProof/>
          <w:color w:val="244061" w:themeColor="accent1" w:themeShade="80"/>
        </w:rPr>
        <w:drawing>
          <wp:anchor distT="0" distB="0" distL="114300" distR="114300" simplePos="0" relativeHeight="251999232" behindDoc="0" locked="0" layoutInCell="1" allowOverlap="1" wp14:anchorId="7B8B64FB" wp14:editId="2DADDA62">
            <wp:simplePos x="0" y="0"/>
            <wp:positionH relativeFrom="margin">
              <wp:align>left</wp:align>
            </wp:positionH>
            <wp:positionV relativeFrom="paragraph">
              <wp:posOffset>28575</wp:posOffset>
            </wp:positionV>
            <wp:extent cx="827405" cy="539750"/>
            <wp:effectExtent l="0" t="0" r="0" b="0"/>
            <wp:wrapSquare wrapText="bothSides"/>
            <wp:docPr id="106" name="Picture 106" descr="A blue and white planet&#10;&#10;Description automatically generated with low confidenc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 name="Picture 21" descr="A blue and white planet&#10;&#10;Description automatically generated with low confidence"/>
                    <pic:cNvPicPr/>
                  </pic:nvPicPr>
                  <pic:blipFill>
                    <a:blip r:embed="rId305" cstate="print">
                      <a:extLst>
                        <a:ext uri="{28A0092B-C50C-407E-A947-70E740481C1C}">
                          <a14:useLocalDpi xmlns:a14="http://schemas.microsoft.com/office/drawing/2010/main" val="0"/>
                        </a:ext>
                      </a:extLst>
                    </a:blip>
                    <a:stretch>
                      <a:fillRect/>
                    </a:stretch>
                  </pic:blipFill>
                  <pic:spPr>
                    <a:xfrm>
                      <a:off x="0" y="0"/>
                      <a:ext cx="827405" cy="539750"/>
                    </a:xfrm>
                    <a:prstGeom prst="rect">
                      <a:avLst/>
                    </a:prstGeom>
                    <a:effectLst>
                      <a:softEdge rad="31750"/>
                    </a:effectLst>
                  </pic:spPr>
                </pic:pic>
              </a:graphicData>
            </a:graphic>
            <wp14:sizeRelH relativeFrom="page">
              <wp14:pctWidth>0</wp14:pctWidth>
            </wp14:sizeRelH>
            <wp14:sizeRelV relativeFrom="page">
              <wp14:pctHeight>0</wp14:pctHeight>
            </wp14:sizeRelV>
          </wp:anchor>
        </w:drawing>
      </w:r>
      <w:r w:rsidRPr="00F41E10">
        <w:rPr>
          <w:rFonts w:asciiTheme="minorHAnsi" w:hAnsiTheme="minorHAnsi" w:cstheme="minorHAnsi"/>
        </w:rPr>
        <w:t>Climate change has occurred on many occasions during the 4.5-billion-year history of the Earth, due to natural conditions such as fluctuations in the intensity of the sun, alterations in the orbit of the Earth, meteorite impacts, the evolution of life, volcanoes, continental movements and others (4, 92).</w:t>
      </w:r>
    </w:p>
    <w:p w14:paraId="6F61C54F" w14:textId="77777777" w:rsidR="00C65183" w:rsidRPr="00F41E10" w:rsidRDefault="00C65183" w:rsidP="00C65183">
      <w:pPr>
        <w:spacing w:line="360" w:lineRule="auto"/>
        <w:jc w:val="both"/>
        <w:rPr>
          <w:rFonts w:asciiTheme="minorHAnsi" w:hAnsiTheme="minorHAnsi" w:cstheme="minorHAnsi"/>
        </w:rPr>
      </w:pPr>
      <w:r w:rsidRPr="00F41E10">
        <w:rPr>
          <w:rFonts w:asciiTheme="minorHAnsi" w:hAnsiTheme="minorHAnsi" w:cstheme="minorHAnsi"/>
        </w:rPr>
        <w:t>Among conditions which normally regulate climate is the level of naturally occurring gases such as carbon dioxide, methane, nitrous oxide and water vapor, which absorb and trap some of the heat from the sun which would otherwise pass into space. This natural ‘greenhouse effect’ raises earth’s temperature by about 33 degrees, which prevents the planet from freezing and sustains conditions congenial to human life (34, 4).</w:t>
      </w:r>
    </w:p>
    <w:p w14:paraId="14DB5EB0" w14:textId="77777777" w:rsidR="00C65183" w:rsidRPr="00F41E10" w:rsidRDefault="00C65183" w:rsidP="00C65183">
      <w:pPr>
        <w:spacing w:line="360" w:lineRule="auto"/>
        <w:jc w:val="both"/>
        <w:rPr>
          <w:rFonts w:asciiTheme="minorHAnsi" w:hAnsiTheme="minorHAnsi" w:cstheme="minorHAnsi"/>
        </w:rPr>
      </w:pPr>
    </w:p>
    <w:p w14:paraId="3ECC4A7F" w14:textId="77777777" w:rsidR="00C65183" w:rsidRPr="00F41E10" w:rsidRDefault="00C65183" w:rsidP="00C65183">
      <w:pPr>
        <w:spacing w:line="360" w:lineRule="auto"/>
        <w:jc w:val="both"/>
        <w:rPr>
          <w:rFonts w:asciiTheme="minorHAnsi" w:hAnsiTheme="minorHAnsi" w:cstheme="minorHAnsi"/>
          <w:b/>
          <w:bCs/>
          <w:color w:val="244061" w:themeColor="accent1" w:themeShade="80"/>
        </w:rPr>
      </w:pPr>
      <w:r w:rsidRPr="00F41E10">
        <w:rPr>
          <w:rFonts w:asciiTheme="minorHAnsi" w:hAnsiTheme="minorHAnsi" w:cstheme="minorHAnsi"/>
          <w:b/>
          <w:bCs/>
          <w:noProof/>
          <w:color w:val="244061" w:themeColor="accent1" w:themeShade="80"/>
        </w:rPr>
        <w:drawing>
          <wp:anchor distT="0" distB="0" distL="114300" distR="114300" simplePos="0" relativeHeight="251985920" behindDoc="0" locked="0" layoutInCell="1" allowOverlap="1" wp14:anchorId="019FBC58" wp14:editId="68092E2B">
            <wp:simplePos x="0" y="0"/>
            <wp:positionH relativeFrom="margin">
              <wp:align>left</wp:align>
            </wp:positionH>
            <wp:positionV relativeFrom="paragraph">
              <wp:posOffset>4445</wp:posOffset>
            </wp:positionV>
            <wp:extent cx="827405" cy="539750"/>
            <wp:effectExtent l="0" t="0" r="0" b="0"/>
            <wp:wrapSquare wrapText="bothSides"/>
            <wp:docPr id="107" name="Picture 1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Environment - Coal burningg.jfif"/>
                    <pic:cNvPicPr/>
                  </pic:nvPicPr>
                  <pic:blipFill>
                    <a:blip r:embed="rId306" cstate="print">
                      <a:extLst>
                        <a:ext uri="{28A0092B-C50C-407E-A947-70E740481C1C}">
                          <a14:useLocalDpi xmlns:a14="http://schemas.microsoft.com/office/drawing/2010/main" val="0"/>
                        </a:ext>
                      </a:extLst>
                    </a:blip>
                    <a:stretch>
                      <a:fillRect/>
                    </a:stretch>
                  </pic:blipFill>
                  <pic:spPr>
                    <a:xfrm>
                      <a:off x="0" y="0"/>
                      <a:ext cx="827405" cy="539750"/>
                    </a:xfrm>
                    <a:prstGeom prst="rect">
                      <a:avLst/>
                    </a:prstGeom>
                    <a:effectLst>
                      <a:softEdge rad="31750"/>
                    </a:effectLst>
                  </pic:spPr>
                </pic:pic>
              </a:graphicData>
            </a:graphic>
            <wp14:sizeRelH relativeFrom="page">
              <wp14:pctWidth>0</wp14:pctWidth>
            </wp14:sizeRelH>
            <wp14:sizeRelV relativeFrom="page">
              <wp14:pctHeight>0</wp14:pctHeight>
            </wp14:sizeRelV>
          </wp:anchor>
        </w:drawing>
      </w:r>
      <w:r w:rsidRPr="00F41E10">
        <w:rPr>
          <w:rFonts w:asciiTheme="minorHAnsi" w:hAnsiTheme="minorHAnsi" w:cstheme="minorHAnsi"/>
          <w:b/>
          <w:bCs/>
          <w:color w:val="244061" w:themeColor="accent1" w:themeShade="80"/>
        </w:rPr>
        <w:t>Climate Change due to Human Activity</w:t>
      </w:r>
    </w:p>
    <w:p w14:paraId="3E52CBB2" w14:textId="77777777" w:rsidR="00C65183" w:rsidRPr="00F41E10" w:rsidRDefault="00C65183" w:rsidP="00C65183">
      <w:pPr>
        <w:spacing w:line="360" w:lineRule="auto"/>
        <w:jc w:val="both"/>
        <w:rPr>
          <w:rFonts w:asciiTheme="minorHAnsi" w:hAnsiTheme="minorHAnsi" w:cstheme="minorHAnsi"/>
        </w:rPr>
      </w:pPr>
      <w:r w:rsidRPr="00F41E10">
        <w:rPr>
          <w:rFonts w:asciiTheme="minorHAnsi" w:hAnsiTheme="minorHAnsi" w:cstheme="minorHAnsi"/>
        </w:rPr>
        <w:t xml:space="preserve">However, the tempo of human activities, including the burning of coal, oil and gas to power vehicles, generate electricity and support industry, has accelerated during the past 150 years, raising the amount of carbon dioxide and other greenhouse gases emitted into the air. This has trapped further heat in the atmosphere, triggering rises in average, global temperatures, which have reduced the extent and depth of ice sheets, raised ocean temperatures and acidity, changed weather patterns, and disrupted natural environments and animal habitats (4, 11, 10). </w:t>
      </w:r>
    </w:p>
    <w:p w14:paraId="095D322D" w14:textId="77777777" w:rsidR="00C65183" w:rsidRPr="00F41E10" w:rsidRDefault="00C65183" w:rsidP="00C65183">
      <w:pPr>
        <w:spacing w:line="360" w:lineRule="auto"/>
        <w:jc w:val="both"/>
        <w:rPr>
          <w:rFonts w:asciiTheme="minorHAnsi" w:hAnsiTheme="minorHAnsi" w:cstheme="minorHAnsi"/>
        </w:rPr>
      </w:pPr>
    </w:p>
    <w:p w14:paraId="575A98E6" w14:textId="77777777" w:rsidR="00C65183" w:rsidRPr="00F41E10" w:rsidRDefault="00C65183" w:rsidP="00C65183">
      <w:pPr>
        <w:spacing w:line="360" w:lineRule="auto"/>
        <w:jc w:val="both"/>
        <w:rPr>
          <w:rFonts w:asciiTheme="minorHAnsi" w:hAnsiTheme="minorHAnsi" w:cstheme="minorHAnsi"/>
          <w:b/>
          <w:bCs/>
          <w:color w:val="244061" w:themeColor="accent1" w:themeShade="80"/>
        </w:rPr>
      </w:pPr>
      <w:r w:rsidRPr="00F41E10">
        <w:rPr>
          <w:rFonts w:asciiTheme="minorHAnsi" w:hAnsiTheme="minorHAnsi" w:cstheme="minorHAnsi"/>
          <w:b/>
          <w:bCs/>
          <w:noProof/>
          <w:color w:val="244061" w:themeColor="accent1" w:themeShade="80"/>
        </w:rPr>
        <w:drawing>
          <wp:anchor distT="0" distB="0" distL="114300" distR="114300" simplePos="0" relativeHeight="251997184" behindDoc="0" locked="0" layoutInCell="1" allowOverlap="1" wp14:anchorId="433D1C49" wp14:editId="1A72FAB5">
            <wp:simplePos x="0" y="0"/>
            <wp:positionH relativeFrom="margin">
              <wp:align>left</wp:align>
            </wp:positionH>
            <wp:positionV relativeFrom="page">
              <wp:posOffset>5498676</wp:posOffset>
            </wp:positionV>
            <wp:extent cx="828000" cy="540000"/>
            <wp:effectExtent l="0" t="0" r="0" b="0"/>
            <wp:wrapSquare wrapText="bothSides"/>
            <wp:docPr id="110" name="Picture 110" descr="A tropical area with palm trees&#10;&#10;Description automatically generated with low confidenc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 name="Picture 13" descr="A tropical area with palm trees&#10;&#10;Description automatically generated with low confidence"/>
                    <pic:cNvPicPr/>
                  </pic:nvPicPr>
                  <pic:blipFill>
                    <a:blip r:embed="rId307" cstate="print">
                      <a:extLst>
                        <a:ext uri="{28A0092B-C50C-407E-A947-70E740481C1C}">
                          <a14:useLocalDpi xmlns:a14="http://schemas.microsoft.com/office/drawing/2010/main" val="0"/>
                        </a:ext>
                      </a:extLst>
                    </a:blip>
                    <a:stretch>
                      <a:fillRect/>
                    </a:stretch>
                  </pic:blipFill>
                  <pic:spPr>
                    <a:xfrm>
                      <a:off x="0" y="0"/>
                      <a:ext cx="828000" cy="540000"/>
                    </a:xfrm>
                    <a:prstGeom prst="rect">
                      <a:avLst/>
                    </a:prstGeom>
                    <a:effectLst>
                      <a:softEdge rad="31750"/>
                    </a:effectLst>
                  </pic:spPr>
                </pic:pic>
              </a:graphicData>
            </a:graphic>
            <wp14:sizeRelH relativeFrom="page">
              <wp14:pctWidth>0</wp14:pctWidth>
            </wp14:sizeRelH>
            <wp14:sizeRelV relativeFrom="page">
              <wp14:pctHeight>0</wp14:pctHeight>
            </wp14:sizeRelV>
          </wp:anchor>
        </w:drawing>
      </w:r>
      <w:r w:rsidRPr="00F41E10">
        <w:rPr>
          <w:rFonts w:asciiTheme="minorHAnsi" w:hAnsiTheme="minorHAnsi" w:cstheme="minorHAnsi"/>
          <w:b/>
          <w:bCs/>
          <w:color w:val="244061" w:themeColor="accent1" w:themeShade="80"/>
        </w:rPr>
        <w:t>The Role of Fossil Fuels in Human-caused Climate Change</w:t>
      </w:r>
    </w:p>
    <w:p w14:paraId="49A8A45E" w14:textId="77777777" w:rsidR="00C65183" w:rsidRPr="00F41E10" w:rsidRDefault="00C65183" w:rsidP="00C65183">
      <w:pPr>
        <w:spacing w:line="360" w:lineRule="auto"/>
        <w:jc w:val="both"/>
        <w:rPr>
          <w:rFonts w:asciiTheme="minorHAnsi" w:hAnsiTheme="minorHAnsi" w:cstheme="minorHAnsi"/>
        </w:rPr>
      </w:pPr>
      <w:r w:rsidRPr="00F41E10">
        <w:rPr>
          <w:rFonts w:asciiTheme="minorHAnsi" w:hAnsiTheme="minorHAnsi" w:cstheme="minorHAnsi"/>
        </w:rPr>
        <w:t>Coal, oil, gas, oil have their origin in algae, bacteria and plants, which thrived in swampy, tropical forests and swamps 350 to 500 million years ago (15, 16, 17). After they died, these organisms formed deposits in the soil or sea floor, sank beneath the ground, and under rising pressure and temperature were gradually converted to coal, oil, gas and other hydrocarbons (85). Millions of years later, they formed sources of energy, enabling human civilization to “...harness the power of ancient suns.” (89)</w:t>
      </w:r>
      <w:r w:rsidRPr="00F41E10">
        <w:rPr>
          <w:rStyle w:val="FootnoteReference"/>
          <w:rFonts w:asciiTheme="minorHAnsi" w:hAnsiTheme="minorHAnsi" w:cstheme="minorHAnsi"/>
        </w:rPr>
        <w:t xml:space="preserve"> </w:t>
      </w:r>
      <w:r w:rsidRPr="00F41E10">
        <w:rPr>
          <w:rStyle w:val="FootnoteReference"/>
          <w:rFonts w:asciiTheme="minorHAnsi" w:hAnsiTheme="minorHAnsi" w:cstheme="minorHAnsi"/>
        </w:rPr>
        <w:footnoteReference w:id="97"/>
      </w:r>
    </w:p>
    <w:p w14:paraId="65B68ACE" w14:textId="77777777" w:rsidR="00C65183" w:rsidRPr="00F41E10" w:rsidRDefault="00C65183" w:rsidP="00C65183">
      <w:pPr>
        <w:spacing w:line="360" w:lineRule="auto"/>
        <w:jc w:val="both"/>
        <w:rPr>
          <w:rFonts w:asciiTheme="minorHAnsi" w:hAnsiTheme="minorHAnsi" w:cstheme="minorHAnsi"/>
        </w:rPr>
      </w:pPr>
      <w:r w:rsidRPr="00F41E10">
        <w:rPr>
          <w:rFonts w:asciiTheme="minorHAnsi" w:hAnsiTheme="minorHAnsi" w:cstheme="minorHAnsi"/>
        </w:rPr>
        <w:t xml:space="preserve">The industrial revolution found wide applications for fossil fuels, with the combustion of coal powering steam engines, generating electricity and suppling heat for buildings; oil refined to produce paraffin and kerosene for lamps; and gas used to light streets and homes (87). </w:t>
      </w:r>
    </w:p>
    <w:p w14:paraId="26F7E6D1" w14:textId="77777777" w:rsidR="00C65183" w:rsidRPr="00F41E10" w:rsidRDefault="00C65183" w:rsidP="00C65183">
      <w:pPr>
        <w:spacing w:line="360" w:lineRule="auto"/>
        <w:jc w:val="both"/>
        <w:rPr>
          <w:rFonts w:asciiTheme="minorHAnsi" w:hAnsiTheme="minorHAnsi" w:cstheme="minorHAnsi"/>
        </w:rPr>
      </w:pPr>
      <w:r w:rsidRPr="00F41E10">
        <w:rPr>
          <w:rFonts w:asciiTheme="minorHAnsi" w:hAnsiTheme="minorHAnsi" w:cstheme="minorHAnsi"/>
        </w:rPr>
        <w:t xml:space="preserve">Today, fossil fuels form the primary energy source for human civilization, accounting for over nine-tenths of the energy used in Australia (88). </w:t>
      </w:r>
    </w:p>
    <w:p w14:paraId="0F5E9B92" w14:textId="77777777" w:rsidR="00C65183" w:rsidRPr="00F41E10" w:rsidRDefault="00C65183" w:rsidP="00C65183">
      <w:pPr>
        <w:spacing w:line="360" w:lineRule="auto"/>
        <w:jc w:val="both"/>
        <w:rPr>
          <w:rFonts w:asciiTheme="minorHAnsi" w:hAnsiTheme="minorHAnsi" w:cstheme="minorHAnsi"/>
          <w:color w:val="000000" w:themeColor="text1"/>
        </w:rPr>
      </w:pPr>
      <w:r w:rsidRPr="00F41E10">
        <w:rPr>
          <w:rFonts w:asciiTheme="minorHAnsi" w:hAnsiTheme="minorHAnsi" w:cstheme="minorHAnsi"/>
          <w:color w:val="000000" w:themeColor="text1"/>
        </w:rPr>
        <w:t>A further human activity which increases levels of greenhouse gases in the atmosphere and raises global average temperatures, is the clearing of forests. Deforestation reduces the absorption of carbon dioxide by plants, boosting its level in the atmosphere (35, 36, 38).</w:t>
      </w:r>
    </w:p>
    <w:p w14:paraId="3B82F9FE" w14:textId="77777777" w:rsidR="00C65183" w:rsidRPr="00F41E10" w:rsidRDefault="00C65183" w:rsidP="00C65183">
      <w:pPr>
        <w:spacing w:line="360" w:lineRule="auto"/>
        <w:jc w:val="both"/>
        <w:rPr>
          <w:rFonts w:asciiTheme="minorHAnsi" w:hAnsiTheme="minorHAnsi" w:cstheme="minorHAnsi"/>
          <w:b/>
          <w:bCs/>
          <w:color w:val="244061" w:themeColor="accent1" w:themeShade="80"/>
        </w:rPr>
      </w:pPr>
      <w:r w:rsidRPr="00F41E10">
        <w:rPr>
          <w:rFonts w:asciiTheme="minorHAnsi" w:hAnsiTheme="minorHAnsi" w:cstheme="minorHAnsi"/>
          <w:b/>
          <w:bCs/>
          <w:noProof/>
          <w:color w:val="244061" w:themeColor="accent1" w:themeShade="80"/>
        </w:rPr>
        <w:lastRenderedPageBreak/>
        <w:drawing>
          <wp:anchor distT="0" distB="0" distL="114300" distR="114300" simplePos="0" relativeHeight="251986944" behindDoc="0" locked="0" layoutInCell="1" allowOverlap="1" wp14:anchorId="4808B198" wp14:editId="1091E4C5">
            <wp:simplePos x="0" y="0"/>
            <wp:positionH relativeFrom="margin">
              <wp:posOffset>36830</wp:posOffset>
            </wp:positionH>
            <wp:positionV relativeFrom="paragraph">
              <wp:posOffset>16510</wp:posOffset>
            </wp:positionV>
            <wp:extent cx="828000" cy="540000"/>
            <wp:effectExtent l="0" t="0" r="0" b="0"/>
            <wp:wrapSquare wrapText="bothSides"/>
            <wp:docPr id="111" name="Picture 1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Environment - population growth.jfif"/>
                    <pic:cNvPicPr/>
                  </pic:nvPicPr>
                  <pic:blipFill rotWithShape="1">
                    <a:blip r:embed="rId308" cstate="print">
                      <a:extLst>
                        <a:ext uri="{28A0092B-C50C-407E-A947-70E740481C1C}">
                          <a14:useLocalDpi xmlns:a14="http://schemas.microsoft.com/office/drawing/2010/main" val="0"/>
                        </a:ext>
                      </a:extLst>
                    </a:blip>
                    <a:srcRect l="9094" t="5329" r="9545" b="7656"/>
                    <a:stretch/>
                  </pic:blipFill>
                  <pic:spPr bwMode="auto">
                    <a:xfrm>
                      <a:off x="0" y="0"/>
                      <a:ext cx="828000" cy="540000"/>
                    </a:xfrm>
                    <a:prstGeom prst="rect">
                      <a:avLst/>
                    </a:prstGeom>
                    <a:ln>
                      <a:noFill/>
                    </a:ln>
                    <a:effectLst>
                      <a:softEdge rad="3175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41E10">
        <w:rPr>
          <w:rFonts w:asciiTheme="minorHAnsi" w:hAnsiTheme="minorHAnsi" w:cstheme="minorHAnsi"/>
          <w:b/>
          <w:bCs/>
          <w:color w:val="244061" w:themeColor="accent1" w:themeShade="80"/>
        </w:rPr>
        <w:t>Global Warming and Population Growth</w:t>
      </w:r>
    </w:p>
    <w:p w14:paraId="2ABD69D4" w14:textId="77777777" w:rsidR="00C65183" w:rsidRPr="00F41E10" w:rsidRDefault="00C65183" w:rsidP="00C65183">
      <w:pPr>
        <w:spacing w:line="360" w:lineRule="auto"/>
        <w:jc w:val="both"/>
        <w:rPr>
          <w:rFonts w:asciiTheme="minorHAnsi" w:hAnsiTheme="minorHAnsi" w:cstheme="minorHAnsi"/>
        </w:rPr>
      </w:pPr>
      <w:r w:rsidRPr="00F41E10">
        <w:rPr>
          <w:rFonts w:asciiTheme="minorHAnsi" w:hAnsiTheme="minorHAnsi" w:cstheme="minorHAnsi"/>
          <w:color w:val="000000" w:themeColor="text1"/>
        </w:rPr>
        <w:t xml:space="preserve">Sustained and increasing combustion of fossil fuels, as well as clearing of natural habitat, especially forests, for farming and </w:t>
      </w:r>
      <w:r w:rsidRPr="00F41E10">
        <w:rPr>
          <w:rFonts w:asciiTheme="minorHAnsi" w:hAnsiTheme="minorHAnsi" w:cstheme="minorHAnsi"/>
        </w:rPr>
        <w:t>other human activity, is largely driven by population growth. The world’s population has risen 15-fold since the late 17</w:t>
      </w:r>
      <w:r w:rsidRPr="00F41E10">
        <w:rPr>
          <w:rFonts w:asciiTheme="minorHAnsi" w:hAnsiTheme="minorHAnsi" w:cstheme="minorHAnsi"/>
          <w:vertAlign w:val="superscript"/>
        </w:rPr>
        <w:t>th</w:t>
      </w:r>
      <w:r w:rsidRPr="00F41E10">
        <w:rPr>
          <w:rFonts w:asciiTheme="minorHAnsi" w:hAnsiTheme="minorHAnsi" w:cstheme="minorHAnsi"/>
        </w:rPr>
        <w:t xml:space="preserve"> century (90) and is expected to surge by a further two billion, to 9.7 billion persons, by 2050. As one investigator explains: "...every week an extra 1.5 million people need food and somewhere to live. This amounts to a huge new city each week, somewhere, which destroys wildlife habitats and augments world fossil fuel consumption" (55).</w:t>
      </w:r>
    </w:p>
    <w:p w14:paraId="3F91BAB7" w14:textId="77777777" w:rsidR="00C65183" w:rsidRPr="00F41E10" w:rsidRDefault="00C65183" w:rsidP="00C65183">
      <w:pPr>
        <w:spacing w:line="360" w:lineRule="auto"/>
        <w:jc w:val="both"/>
        <w:rPr>
          <w:rFonts w:asciiTheme="minorHAnsi" w:hAnsiTheme="minorHAnsi" w:cstheme="minorHAnsi"/>
          <w:sz w:val="8"/>
          <w:szCs w:val="8"/>
        </w:rPr>
      </w:pPr>
      <w:r w:rsidRPr="00F41E10">
        <w:rPr>
          <w:rFonts w:asciiTheme="minorHAnsi" w:hAnsiTheme="minorHAnsi" w:cstheme="minorHAnsi"/>
          <w:b/>
          <w:bCs/>
          <w:noProof/>
          <w:color w:val="244061" w:themeColor="accent1" w:themeShade="80"/>
          <w:sz w:val="8"/>
          <w:szCs w:val="8"/>
        </w:rPr>
        <w:drawing>
          <wp:anchor distT="0" distB="0" distL="114300" distR="114300" simplePos="0" relativeHeight="251987968" behindDoc="0" locked="0" layoutInCell="1" allowOverlap="1" wp14:anchorId="48021728" wp14:editId="133F3F36">
            <wp:simplePos x="0" y="0"/>
            <wp:positionH relativeFrom="margin">
              <wp:align>left</wp:align>
            </wp:positionH>
            <wp:positionV relativeFrom="paragraph">
              <wp:posOffset>248285</wp:posOffset>
            </wp:positionV>
            <wp:extent cx="827405" cy="539750"/>
            <wp:effectExtent l="0" t="0" r="0" b="0"/>
            <wp:wrapSquare wrapText="bothSides"/>
            <wp:docPr id="112" name="Picture 1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Environment - Temp and CO2 levels.jpg"/>
                    <pic:cNvPicPr/>
                  </pic:nvPicPr>
                  <pic:blipFill rotWithShape="1">
                    <a:blip r:embed="rId309" cstate="print">
                      <a:extLst>
                        <a:ext uri="{28A0092B-C50C-407E-A947-70E740481C1C}">
                          <a14:useLocalDpi xmlns:a14="http://schemas.microsoft.com/office/drawing/2010/main" val="0"/>
                        </a:ext>
                      </a:extLst>
                    </a:blip>
                    <a:srcRect l="19368" t="13287" r="18238" b="17806"/>
                    <a:stretch/>
                  </pic:blipFill>
                  <pic:spPr bwMode="auto">
                    <a:xfrm>
                      <a:off x="0" y="0"/>
                      <a:ext cx="827405" cy="539750"/>
                    </a:xfrm>
                    <a:prstGeom prst="rect">
                      <a:avLst/>
                    </a:prstGeom>
                    <a:ln>
                      <a:noFill/>
                    </a:ln>
                    <a:effectLst>
                      <a:softEdge rad="3175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4B4CA02" w14:textId="77777777" w:rsidR="00C65183" w:rsidRPr="00F41E10" w:rsidRDefault="00C65183" w:rsidP="00C65183">
      <w:pPr>
        <w:spacing w:line="360" w:lineRule="auto"/>
        <w:jc w:val="both"/>
        <w:rPr>
          <w:rFonts w:asciiTheme="minorHAnsi" w:hAnsiTheme="minorHAnsi" w:cstheme="minorHAnsi"/>
          <w:b/>
          <w:bCs/>
          <w:color w:val="244061" w:themeColor="accent1" w:themeShade="80"/>
        </w:rPr>
      </w:pPr>
      <w:r w:rsidRPr="00F41E10">
        <w:rPr>
          <w:rFonts w:asciiTheme="minorHAnsi" w:hAnsiTheme="minorHAnsi" w:cstheme="minorHAnsi"/>
          <w:b/>
          <w:bCs/>
          <w:color w:val="244061" w:themeColor="accent1" w:themeShade="80"/>
        </w:rPr>
        <w:t>Observed Changes to Climate</w:t>
      </w:r>
    </w:p>
    <w:p w14:paraId="36B68C2A" w14:textId="77777777" w:rsidR="00C65183" w:rsidRPr="00F41E10" w:rsidRDefault="00C65183" w:rsidP="00C65183">
      <w:pPr>
        <w:spacing w:line="360" w:lineRule="auto"/>
        <w:jc w:val="both"/>
        <w:rPr>
          <w:rFonts w:asciiTheme="minorHAnsi" w:hAnsiTheme="minorHAnsi" w:cstheme="minorHAnsi"/>
        </w:rPr>
      </w:pPr>
      <w:r w:rsidRPr="00F41E10">
        <w:rPr>
          <w:rFonts w:asciiTheme="minorHAnsi" w:hAnsiTheme="minorHAnsi" w:cstheme="minorHAnsi"/>
        </w:rPr>
        <w:t xml:space="preserve">During the past two hundred years, accelerating industrial activity has been matched by rising fossil fuel consumption (4), raising atmospheric carbon dioxide from 280 parts per million to more than 400 ppm at present (13) – a level unsurpassed in the preceding two million years (14). </w:t>
      </w:r>
    </w:p>
    <w:p w14:paraId="142BEE25" w14:textId="77777777" w:rsidR="00C65183" w:rsidRPr="00F41E10" w:rsidRDefault="00C65183" w:rsidP="00C65183">
      <w:pPr>
        <w:spacing w:line="360" w:lineRule="auto"/>
        <w:jc w:val="both"/>
        <w:rPr>
          <w:rFonts w:asciiTheme="minorHAnsi" w:hAnsiTheme="minorHAnsi" w:cstheme="minorHAnsi"/>
        </w:rPr>
      </w:pPr>
      <w:r w:rsidRPr="00F41E10">
        <w:rPr>
          <w:rFonts w:asciiTheme="minorHAnsi" w:hAnsiTheme="minorHAnsi" w:cstheme="minorHAnsi"/>
          <w:noProof/>
        </w:rPr>
        <w:drawing>
          <wp:anchor distT="0" distB="0" distL="114300" distR="114300" simplePos="0" relativeHeight="252000256" behindDoc="0" locked="0" layoutInCell="1" allowOverlap="1" wp14:anchorId="7C68C0BF" wp14:editId="59B76030">
            <wp:simplePos x="0" y="0"/>
            <wp:positionH relativeFrom="margin">
              <wp:posOffset>52387</wp:posOffset>
            </wp:positionH>
            <wp:positionV relativeFrom="paragraph">
              <wp:posOffset>230823</wp:posOffset>
            </wp:positionV>
            <wp:extent cx="2976245" cy="2327275"/>
            <wp:effectExtent l="0" t="0" r="0" b="0"/>
            <wp:wrapSquare wrapText="bothSides"/>
            <wp:docPr id="113" name="Picture 113">
              <a:extLst xmlns:a="http://schemas.openxmlformats.org/drawingml/2006/main">
                <a:ext uri="{FF2B5EF4-FFF2-40B4-BE49-F238E27FC236}">
                  <a16:creationId xmlns:a16="http://schemas.microsoft.com/office/drawing/2014/main" id="{C1C8ABF0-64AF-4EF1-9E8D-AAE6F96FCA9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C1C8ABF0-64AF-4EF1-9E8D-AAE6F96FCA93}"/>
                        </a:ext>
                      </a:extLst>
                    </pic:cNvPr>
                    <pic:cNvPicPr>
                      <a:picLocks noChangeAspect="1"/>
                    </pic:cNvPicPr>
                  </pic:nvPicPr>
                  <pic:blipFill rotWithShape="1">
                    <a:blip r:embed="rId310" cstate="print">
                      <a:extLst>
                        <a:ext uri="{28A0092B-C50C-407E-A947-70E740481C1C}">
                          <a14:useLocalDpi xmlns:a14="http://schemas.microsoft.com/office/drawing/2010/main" val="0"/>
                        </a:ext>
                      </a:extLst>
                    </a:blip>
                    <a:srcRect t="18033" b="6095"/>
                    <a:stretch/>
                  </pic:blipFill>
                  <pic:spPr bwMode="auto">
                    <a:xfrm>
                      <a:off x="0" y="0"/>
                      <a:ext cx="2976245" cy="2327275"/>
                    </a:xfrm>
                    <a:prstGeom prst="rect">
                      <a:avLst/>
                    </a:prstGeom>
                    <a:ln>
                      <a:noFill/>
                    </a:ln>
                    <a:effectLst>
                      <a:softEdge rad="127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41E10">
        <w:rPr>
          <w:rFonts w:asciiTheme="minorHAnsi" w:hAnsiTheme="minorHAnsi" w:cstheme="minorHAnsi"/>
        </w:rPr>
        <w:t xml:space="preserve">This has caused a rise in average global temperatures of about one degree during the past 150 years (10, 9, 51). Much of this change has occurred in recent years, with each of the past few decades warmer than any since 1850 (4), and NASA reporting that the past five years had been the warmest five years in centuries (10). </w:t>
      </w:r>
    </w:p>
    <w:p w14:paraId="745BAE78" w14:textId="77777777" w:rsidR="00C65183" w:rsidRPr="00F41E10" w:rsidRDefault="00C65183" w:rsidP="00C65183">
      <w:pPr>
        <w:spacing w:line="360" w:lineRule="auto"/>
        <w:jc w:val="both"/>
        <w:rPr>
          <w:rFonts w:asciiTheme="minorHAnsi" w:hAnsiTheme="minorHAnsi" w:cstheme="minorHAnsi"/>
        </w:rPr>
      </w:pPr>
    </w:p>
    <w:p w14:paraId="7C413829" w14:textId="77777777" w:rsidR="00C65183" w:rsidRPr="00F41E10" w:rsidRDefault="00C65183" w:rsidP="00C65183">
      <w:pPr>
        <w:jc w:val="both"/>
        <w:rPr>
          <w:rFonts w:asciiTheme="minorHAnsi" w:hAnsiTheme="minorHAnsi" w:cstheme="minorHAnsi"/>
          <w:color w:val="7F7F7F" w:themeColor="text1" w:themeTint="80"/>
        </w:rPr>
      </w:pPr>
      <w:r w:rsidRPr="00F41E10">
        <w:rPr>
          <w:rFonts w:asciiTheme="minorHAnsi" w:hAnsiTheme="minorHAnsi" w:cstheme="minorHAnsi"/>
          <w:color w:val="7F7F7F" w:themeColor="text1" w:themeTint="80"/>
        </w:rPr>
        <w:t>Temperature average difference from 1961-1990 average temperature: 1750-2019 (31)</w:t>
      </w:r>
    </w:p>
    <w:p w14:paraId="6D1485C9" w14:textId="77777777" w:rsidR="00C65183" w:rsidRPr="00F41E10" w:rsidRDefault="00C65183" w:rsidP="00C65183">
      <w:pPr>
        <w:spacing w:line="360" w:lineRule="auto"/>
        <w:jc w:val="both"/>
        <w:rPr>
          <w:rFonts w:asciiTheme="minorHAnsi" w:hAnsiTheme="minorHAnsi" w:cstheme="minorHAnsi"/>
        </w:rPr>
      </w:pPr>
    </w:p>
    <w:p w14:paraId="475D6AD4" w14:textId="77777777" w:rsidR="00C65183" w:rsidRPr="00F41E10" w:rsidRDefault="00C65183" w:rsidP="00C65183">
      <w:pPr>
        <w:spacing w:line="360" w:lineRule="auto"/>
        <w:jc w:val="both"/>
        <w:rPr>
          <w:rFonts w:asciiTheme="minorHAnsi" w:hAnsiTheme="minorHAnsi" w:cstheme="minorHAnsi"/>
        </w:rPr>
      </w:pPr>
      <w:r w:rsidRPr="00F41E10">
        <w:rPr>
          <w:rFonts w:asciiTheme="minorHAnsi" w:hAnsiTheme="minorHAnsi" w:cstheme="minorHAnsi"/>
        </w:rPr>
        <w:t xml:space="preserve">If greenhouse emissions decline, global temperatures are forecast to rise by a further three degrees (41, 48) while if no action is taken to arrest global warming, the CSIRO warns of a 5.1 degree rise by the close of the century (1). </w:t>
      </w:r>
    </w:p>
    <w:p w14:paraId="65D815C3" w14:textId="77777777" w:rsidR="00C65183" w:rsidRPr="00F41E10" w:rsidRDefault="00C65183" w:rsidP="00C65183">
      <w:pPr>
        <w:spacing w:line="360" w:lineRule="auto"/>
        <w:jc w:val="both"/>
        <w:rPr>
          <w:rFonts w:asciiTheme="minorHAnsi" w:hAnsiTheme="minorHAnsi" w:cstheme="minorHAnsi"/>
        </w:rPr>
      </w:pPr>
      <w:r w:rsidRPr="00F41E10">
        <w:rPr>
          <w:rFonts w:asciiTheme="minorHAnsi" w:hAnsiTheme="minorHAnsi" w:cstheme="minorHAnsi"/>
        </w:rPr>
        <w:t>Temperature changes of this scale may trigger major climatic changes: the Australian Academy of Science informs us that the last ice age, 20,000 years ago, was just five degrees colder than today, yet the earth was largely engulfed in ice and the oceans were 100 meters lower than current levels (41).</w:t>
      </w:r>
    </w:p>
    <w:p w14:paraId="2DC7D65F" w14:textId="77777777" w:rsidR="00C65183" w:rsidRPr="00F41E10" w:rsidRDefault="00C65183" w:rsidP="00C65183">
      <w:pPr>
        <w:spacing w:line="360" w:lineRule="auto"/>
        <w:jc w:val="both"/>
        <w:rPr>
          <w:rFonts w:asciiTheme="minorHAnsi" w:hAnsiTheme="minorHAnsi" w:cstheme="minorHAnsi"/>
          <w:sz w:val="8"/>
          <w:szCs w:val="8"/>
        </w:rPr>
      </w:pPr>
    </w:p>
    <w:p w14:paraId="6677D001" w14:textId="77777777" w:rsidR="00C65183" w:rsidRPr="00F41E10" w:rsidRDefault="00C65183" w:rsidP="00C65183">
      <w:pPr>
        <w:spacing w:line="360" w:lineRule="auto"/>
        <w:jc w:val="both"/>
        <w:rPr>
          <w:rFonts w:asciiTheme="minorHAnsi" w:hAnsiTheme="minorHAnsi" w:cstheme="minorHAnsi"/>
          <w:i/>
          <w:iCs/>
          <w:color w:val="244061" w:themeColor="accent1" w:themeShade="80"/>
        </w:rPr>
      </w:pPr>
      <w:r w:rsidRPr="00F41E10">
        <w:rPr>
          <w:rFonts w:asciiTheme="minorHAnsi" w:hAnsiTheme="minorHAnsi" w:cstheme="minorHAnsi"/>
          <w:i/>
          <w:iCs/>
          <w:noProof/>
          <w:color w:val="244061" w:themeColor="accent1" w:themeShade="80"/>
        </w:rPr>
        <w:drawing>
          <wp:anchor distT="0" distB="0" distL="114300" distR="114300" simplePos="0" relativeHeight="251998208" behindDoc="0" locked="0" layoutInCell="1" allowOverlap="1" wp14:anchorId="6AF1F491" wp14:editId="5F40446D">
            <wp:simplePos x="0" y="0"/>
            <wp:positionH relativeFrom="column">
              <wp:posOffset>-635</wp:posOffset>
            </wp:positionH>
            <wp:positionV relativeFrom="paragraph">
              <wp:posOffset>31115</wp:posOffset>
            </wp:positionV>
            <wp:extent cx="827405" cy="539750"/>
            <wp:effectExtent l="0" t="0" r="0" b="0"/>
            <wp:wrapSquare wrapText="bothSides"/>
            <wp:docPr id="114" name="Picture 114" descr="Lightning striking the ground&#10;&#10;Description automatically generated with medium confidenc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 name="Picture 17" descr="Lightning striking the ground&#10;&#10;Description automatically generated with medium confidence"/>
                    <pic:cNvPicPr/>
                  </pic:nvPicPr>
                  <pic:blipFill>
                    <a:blip r:embed="rId311" cstate="print">
                      <a:extLst>
                        <a:ext uri="{28A0092B-C50C-407E-A947-70E740481C1C}">
                          <a14:useLocalDpi xmlns:a14="http://schemas.microsoft.com/office/drawing/2010/main" val="0"/>
                        </a:ext>
                      </a:extLst>
                    </a:blip>
                    <a:stretch>
                      <a:fillRect/>
                    </a:stretch>
                  </pic:blipFill>
                  <pic:spPr>
                    <a:xfrm>
                      <a:off x="0" y="0"/>
                      <a:ext cx="827405" cy="539750"/>
                    </a:xfrm>
                    <a:prstGeom prst="rect">
                      <a:avLst/>
                    </a:prstGeom>
                    <a:effectLst>
                      <a:softEdge rad="31750"/>
                    </a:effectLst>
                  </pic:spPr>
                </pic:pic>
              </a:graphicData>
            </a:graphic>
            <wp14:sizeRelH relativeFrom="page">
              <wp14:pctWidth>0</wp14:pctWidth>
            </wp14:sizeRelH>
            <wp14:sizeRelV relativeFrom="page">
              <wp14:pctHeight>0</wp14:pctHeight>
            </wp14:sizeRelV>
          </wp:anchor>
        </w:drawing>
      </w:r>
      <w:r w:rsidRPr="00F41E10">
        <w:rPr>
          <w:rFonts w:asciiTheme="minorHAnsi" w:hAnsiTheme="minorHAnsi" w:cstheme="minorHAnsi"/>
          <w:i/>
          <w:iCs/>
          <w:color w:val="244061" w:themeColor="accent1" w:themeShade="80"/>
        </w:rPr>
        <w:t>Extreme Weather Events</w:t>
      </w:r>
    </w:p>
    <w:p w14:paraId="1D7399DF" w14:textId="77777777" w:rsidR="00C65183" w:rsidRPr="00F41E10" w:rsidRDefault="00C65183" w:rsidP="00C65183">
      <w:pPr>
        <w:spacing w:line="360" w:lineRule="auto"/>
        <w:jc w:val="both"/>
        <w:rPr>
          <w:rFonts w:asciiTheme="minorHAnsi" w:hAnsiTheme="minorHAnsi" w:cstheme="minorHAnsi"/>
        </w:rPr>
      </w:pPr>
      <w:r w:rsidRPr="00F41E10">
        <w:rPr>
          <w:rFonts w:asciiTheme="minorHAnsi" w:hAnsiTheme="minorHAnsi" w:cstheme="minorHAnsi"/>
        </w:rPr>
        <w:t>Climate change is expected to raise the intensity and frequency of extreme weather events, such as flooding, droughts, fires, heat waves, hurricanes and cyclones (2, 5, 41), with Australia among the regions of the world most vulnerable to such circumstances (3).</w:t>
      </w:r>
    </w:p>
    <w:p w14:paraId="76E2BBE0" w14:textId="77777777" w:rsidR="00C65183" w:rsidRPr="00F41E10" w:rsidRDefault="00C65183" w:rsidP="00C65183">
      <w:pPr>
        <w:spacing w:line="360" w:lineRule="auto"/>
        <w:jc w:val="both"/>
        <w:rPr>
          <w:rFonts w:asciiTheme="minorHAnsi" w:hAnsiTheme="minorHAnsi" w:cstheme="minorHAnsi"/>
          <w:color w:val="000000" w:themeColor="text1"/>
        </w:rPr>
      </w:pPr>
      <w:r w:rsidRPr="00F41E10">
        <w:rPr>
          <w:rFonts w:asciiTheme="minorHAnsi" w:hAnsiTheme="minorHAnsi" w:cstheme="minorHAnsi"/>
        </w:rPr>
        <w:t xml:space="preserve">A rising frequency of fire-risk days due to rising temperatures and drying conditions is forecast in the southeast (4), coupled with declining rainfall and snow (2, 4), and an increase in droughts (3, 11). </w:t>
      </w:r>
    </w:p>
    <w:p w14:paraId="734E8598" w14:textId="77777777" w:rsidR="00C65183" w:rsidRPr="00F41E10" w:rsidRDefault="00C65183" w:rsidP="00C65183">
      <w:pPr>
        <w:spacing w:line="360" w:lineRule="auto"/>
        <w:jc w:val="both"/>
        <w:rPr>
          <w:rFonts w:asciiTheme="minorHAnsi" w:hAnsiTheme="minorHAnsi" w:cstheme="minorHAnsi"/>
        </w:rPr>
      </w:pPr>
      <w:r w:rsidRPr="00F41E10">
        <w:rPr>
          <w:rFonts w:asciiTheme="minorHAnsi" w:hAnsiTheme="minorHAnsi" w:cstheme="minorHAnsi"/>
        </w:rPr>
        <w:t xml:space="preserve">Despite these developments, a rise in the number of heavy rainfall events is also expected in Australia and around the world. </w:t>
      </w:r>
      <w:r w:rsidRPr="00F41E10">
        <w:rPr>
          <w:rFonts w:asciiTheme="minorHAnsi" w:hAnsiTheme="minorHAnsi" w:cstheme="minorHAnsi"/>
          <w:color w:val="000000" w:themeColor="text1"/>
        </w:rPr>
        <w:t>Climate change is also expected to worsen storms and floods around the world (2, 10), including Victoria (4, 11).</w:t>
      </w:r>
      <w:r w:rsidRPr="00F41E10">
        <w:rPr>
          <w:rFonts w:asciiTheme="minorHAnsi" w:hAnsiTheme="minorHAnsi" w:cstheme="minorHAnsi"/>
        </w:rPr>
        <w:t xml:space="preserve"> </w:t>
      </w:r>
    </w:p>
    <w:p w14:paraId="266816ED" w14:textId="77777777" w:rsidR="00C65183" w:rsidRPr="00F41E10" w:rsidRDefault="00C65183" w:rsidP="00C65183">
      <w:pPr>
        <w:spacing w:line="360" w:lineRule="auto"/>
        <w:jc w:val="both"/>
        <w:rPr>
          <w:rFonts w:asciiTheme="minorHAnsi" w:hAnsiTheme="minorHAnsi" w:cstheme="minorHAnsi"/>
        </w:rPr>
      </w:pPr>
      <w:r w:rsidRPr="00F41E10">
        <w:rPr>
          <w:rFonts w:asciiTheme="minorHAnsi" w:hAnsiTheme="minorHAnsi" w:cstheme="minorHAnsi"/>
        </w:rPr>
        <w:lastRenderedPageBreak/>
        <w:t>Further trends include rapid melting of ice, currently raising sea levels by an average of 3 mm. per year (51) and exposing coastal and island communities to the risk of flooding (10, 4, 5, 11). Rising sea levels are likely to persist for centuries, regardless of any steps taken to arrest climate change in the meantime (4).</w:t>
      </w:r>
    </w:p>
    <w:p w14:paraId="02443B92" w14:textId="77777777" w:rsidR="00C65183" w:rsidRPr="00F41E10" w:rsidRDefault="00C65183" w:rsidP="00C65183">
      <w:pPr>
        <w:spacing w:line="360" w:lineRule="auto"/>
        <w:jc w:val="both"/>
        <w:rPr>
          <w:rFonts w:asciiTheme="minorHAnsi" w:hAnsiTheme="minorHAnsi" w:cstheme="minorHAnsi"/>
          <w:sz w:val="8"/>
          <w:szCs w:val="8"/>
        </w:rPr>
      </w:pPr>
    </w:p>
    <w:p w14:paraId="0EAE0FBB" w14:textId="77777777" w:rsidR="00C65183" w:rsidRPr="00F41E10" w:rsidRDefault="00C65183" w:rsidP="00C65183">
      <w:pPr>
        <w:spacing w:line="360" w:lineRule="auto"/>
        <w:jc w:val="both"/>
        <w:rPr>
          <w:rFonts w:asciiTheme="minorHAnsi" w:hAnsiTheme="minorHAnsi" w:cstheme="minorHAnsi"/>
          <w:color w:val="244061" w:themeColor="accent1" w:themeShade="80"/>
        </w:rPr>
      </w:pPr>
      <w:r w:rsidRPr="00F41E10">
        <w:rPr>
          <w:rFonts w:asciiTheme="minorHAnsi" w:hAnsiTheme="minorHAnsi" w:cstheme="minorHAnsi"/>
          <w:color w:val="244061" w:themeColor="accent1" w:themeShade="80"/>
        </w:rPr>
        <w:t>IMPACTS OF CLIMATE CHANGE</w:t>
      </w:r>
    </w:p>
    <w:p w14:paraId="469E3B8C" w14:textId="77777777" w:rsidR="00C65183" w:rsidRPr="00F41E10" w:rsidRDefault="00C65183" w:rsidP="00C65183">
      <w:pPr>
        <w:spacing w:line="360" w:lineRule="auto"/>
        <w:jc w:val="both"/>
        <w:rPr>
          <w:rFonts w:asciiTheme="minorHAnsi" w:hAnsiTheme="minorHAnsi" w:cstheme="minorHAnsi"/>
          <w:b/>
          <w:bCs/>
          <w:color w:val="244061" w:themeColor="accent1" w:themeShade="80"/>
        </w:rPr>
      </w:pPr>
      <w:r w:rsidRPr="00F41E10">
        <w:rPr>
          <w:rFonts w:asciiTheme="minorHAnsi" w:hAnsiTheme="minorHAnsi" w:cstheme="minorHAnsi"/>
          <w:b/>
          <w:bCs/>
          <w:noProof/>
          <w:color w:val="244061" w:themeColor="accent1" w:themeShade="80"/>
        </w:rPr>
        <w:drawing>
          <wp:anchor distT="0" distB="0" distL="114300" distR="114300" simplePos="0" relativeHeight="251983872" behindDoc="0" locked="0" layoutInCell="1" allowOverlap="1" wp14:anchorId="3F8DFD36" wp14:editId="4537E4DF">
            <wp:simplePos x="0" y="0"/>
            <wp:positionH relativeFrom="margin">
              <wp:align>left</wp:align>
            </wp:positionH>
            <wp:positionV relativeFrom="paragraph">
              <wp:posOffset>6985</wp:posOffset>
            </wp:positionV>
            <wp:extent cx="827405" cy="539750"/>
            <wp:effectExtent l="0" t="0" r="0" b="0"/>
            <wp:wrapSquare wrapText="bothSides"/>
            <wp:docPr id="115" name="Picture 115" descr="A picture containing sky, ground, outdoor, stone&#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Environment - Drought.jfif"/>
                    <pic:cNvPicPr/>
                  </pic:nvPicPr>
                  <pic:blipFill>
                    <a:blip r:embed="rId312" cstate="print">
                      <a:extLst>
                        <a:ext uri="{28A0092B-C50C-407E-A947-70E740481C1C}">
                          <a14:useLocalDpi xmlns:a14="http://schemas.microsoft.com/office/drawing/2010/main" val="0"/>
                        </a:ext>
                      </a:extLst>
                    </a:blip>
                    <a:stretch>
                      <a:fillRect/>
                    </a:stretch>
                  </pic:blipFill>
                  <pic:spPr>
                    <a:xfrm>
                      <a:off x="0" y="0"/>
                      <a:ext cx="827405" cy="539750"/>
                    </a:xfrm>
                    <a:prstGeom prst="rect">
                      <a:avLst/>
                    </a:prstGeom>
                    <a:effectLst>
                      <a:softEdge rad="31750"/>
                    </a:effectLst>
                  </pic:spPr>
                </pic:pic>
              </a:graphicData>
            </a:graphic>
            <wp14:sizeRelH relativeFrom="page">
              <wp14:pctWidth>0</wp14:pctWidth>
            </wp14:sizeRelH>
            <wp14:sizeRelV relativeFrom="page">
              <wp14:pctHeight>0</wp14:pctHeight>
            </wp14:sizeRelV>
          </wp:anchor>
        </w:drawing>
      </w:r>
      <w:r w:rsidRPr="00F41E10">
        <w:rPr>
          <w:rFonts w:asciiTheme="minorHAnsi" w:hAnsiTheme="minorHAnsi" w:cstheme="minorHAnsi"/>
          <w:b/>
          <w:bCs/>
          <w:color w:val="244061" w:themeColor="accent1" w:themeShade="80"/>
        </w:rPr>
        <w:t>Agricultural Disruption</w:t>
      </w:r>
    </w:p>
    <w:p w14:paraId="3F5F46B2" w14:textId="77777777" w:rsidR="00C65183" w:rsidRPr="00F41E10" w:rsidRDefault="00C65183" w:rsidP="00C65183">
      <w:pPr>
        <w:spacing w:line="360" w:lineRule="auto"/>
        <w:jc w:val="both"/>
        <w:rPr>
          <w:rFonts w:asciiTheme="minorHAnsi" w:hAnsiTheme="minorHAnsi" w:cstheme="minorHAnsi"/>
        </w:rPr>
      </w:pPr>
      <w:r w:rsidRPr="00F41E10">
        <w:rPr>
          <w:rFonts w:asciiTheme="minorHAnsi" w:hAnsiTheme="minorHAnsi" w:cstheme="minorHAnsi"/>
        </w:rPr>
        <w:t xml:space="preserve">Rising temperatures and declining rainfall throughout the world are expected to increase the frequency and duration of droughts (7, 10), thereby reducing water available for irrigation of crops and the reducing productivity of livestock (2). Australian forecasts point to a temperature rise of four degrees in Victoria and Melbourne during the next fifty years, a doubling in the days over 35 degrees, and dwindling rainfall (8), reducing water available for agriculture and diminishing crops (2). </w:t>
      </w:r>
    </w:p>
    <w:p w14:paraId="4527F687" w14:textId="77777777" w:rsidR="00C65183" w:rsidRPr="00F41E10" w:rsidRDefault="00C65183" w:rsidP="00C65183">
      <w:pPr>
        <w:spacing w:line="360" w:lineRule="auto"/>
        <w:jc w:val="both"/>
        <w:rPr>
          <w:rFonts w:asciiTheme="minorHAnsi" w:hAnsiTheme="minorHAnsi" w:cstheme="minorHAnsi"/>
        </w:rPr>
      </w:pPr>
      <w:r w:rsidRPr="00F41E10">
        <w:rPr>
          <w:rFonts w:asciiTheme="minorHAnsi" w:hAnsiTheme="minorHAnsi" w:cstheme="minorHAnsi"/>
        </w:rPr>
        <w:t>Further risks to agriculture associated with global warming include the disruption of pollination of plants by insects and other animals (78, 51), and</w:t>
      </w:r>
      <w:r w:rsidRPr="00F41E10">
        <w:rPr>
          <w:rFonts w:asciiTheme="minorHAnsi" w:hAnsiTheme="minorHAnsi" w:cstheme="minorHAnsi"/>
          <w:color w:val="000000" w:themeColor="text1"/>
        </w:rPr>
        <w:t xml:space="preserve"> the introduction of new pests to the environment (80, </w:t>
      </w:r>
      <w:r w:rsidRPr="00F41E10">
        <w:rPr>
          <w:rFonts w:asciiTheme="minorHAnsi" w:hAnsiTheme="minorHAnsi" w:cstheme="minorHAnsi"/>
        </w:rPr>
        <w:t>81).</w:t>
      </w:r>
    </w:p>
    <w:p w14:paraId="2929670C" w14:textId="77777777" w:rsidR="00C65183" w:rsidRPr="00F41E10" w:rsidRDefault="00C65183" w:rsidP="00C65183">
      <w:pPr>
        <w:spacing w:line="360" w:lineRule="auto"/>
        <w:jc w:val="both"/>
        <w:rPr>
          <w:rFonts w:asciiTheme="minorHAnsi" w:hAnsiTheme="minorHAnsi" w:cstheme="minorHAnsi"/>
        </w:rPr>
      </w:pPr>
      <w:r w:rsidRPr="00F41E10">
        <w:rPr>
          <w:rFonts w:asciiTheme="minorHAnsi" w:hAnsiTheme="minorHAnsi" w:cstheme="minorHAnsi"/>
        </w:rPr>
        <w:t>The impacts of climate change upon agriculture may be accentuated by the loss of farming land. Nearly one third of the world’s arable land was lost in the past 40 years due to poor conservation practices, and soil is now being depleted between 10 and 100 times faster than it is forming (20).</w:t>
      </w:r>
    </w:p>
    <w:p w14:paraId="3462EE35" w14:textId="77777777" w:rsidR="00C65183" w:rsidRPr="00F41E10" w:rsidRDefault="00C65183" w:rsidP="00C65183">
      <w:pPr>
        <w:spacing w:line="360" w:lineRule="auto"/>
        <w:jc w:val="both"/>
        <w:rPr>
          <w:rFonts w:asciiTheme="minorHAnsi" w:hAnsiTheme="minorHAnsi" w:cstheme="minorHAnsi"/>
          <w:sz w:val="8"/>
          <w:szCs w:val="8"/>
        </w:rPr>
      </w:pPr>
    </w:p>
    <w:p w14:paraId="52593F98" w14:textId="77777777" w:rsidR="00C65183" w:rsidRPr="00F41E10" w:rsidRDefault="00C65183" w:rsidP="00C65183">
      <w:pPr>
        <w:spacing w:line="360" w:lineRule="auto"/>
        <w:jc w:val="both"/>
        <w:rPr>
          <w:rFonts w:asciiTheme="minorHAnsi" w:hAnsiTheme="minorHAnsi" w:cstheme="minorHAnsi"/>
          <w:i/>
          <w:iCs/>
          <w:color w:val="244061" w:themeColor="accent1" w:themeShade="80"/>
        </w:rPr>
      </w:pPr>
      <w:r w:rsidRPr="00F41E10">
        <w:rPr>
          <w:rFonts w:asciiTheme="minorHAnsi" w:hAnsiTheme="minorHAnsi" w:cstheme="minorHAnsi"/>
          <w:i/>
          <w:iCs/>
          <w:noProof/>
          <w:color w:val="244061" w:themeColor="accent1" w:themeShade="80"/>
        </w:rPr>
        <w:drawing>
          <wp:anchor distT="0" distB="0" distL="114300" distR="114300" simplePos="0" relativeHeight="251993088" behindDoc="0" locked="0" layoutInCell="1" allowOverlap="1" wp14:anchorId="0C541A34" wp14:editId="117DF28B">
            <wp:simplePos x="0" y="0"/>
            <wp:positionH relativeFrom="margin">
              <wp:align>left</wp:align>
            </wp:positionH>
            <wp:positionV relativeFrom="paragraph">
              <wp:posOffset>36830</wp:posOffset>
            </wp:positionV>
            <wp:extent cx="828000" cy="540000"/>
            <wp:effectExtent l="0" t="0" r="0" b="0"/>
            <wp:wrapSquare wrapText="bothSides"/>
            <wp:docPr id="116" name="Picture 116" descr="A picture containing person, indoor, bowl&#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Environment - food insecurity.jpg"/>
                    <pic:cNvPicPr/>
                  </pic:nvPicPr>
                  <pic:blipFill>
                    <a:blip r:embed="rId313" cstate="print">
                      <a:extLst>
                        <a:ext uri="{28A0092B-C50C-407E-A947-70E740481C1C}">
                          <a14:useLocalDpi xmlns:a14="http://schemas.microsoft.com/office/drawing/2010/main" val="0"/>
                        </a:ext>
                      </a:extLst>
                    </a:blip>
                    <a:stretch>
                      <a:fillRect/>
                    </a:stretch>
                  </pic:blipFill>
                  <pic:spPr>
                    <a:xfrm>
                      <a:off x="0" y="0"/>
                      <a:ext cx="828000" cy="540000"/>
                    </a:xfrm>
                    <a:prstGeom prst="rect">
                      <a:avLst/>
                    </a:prstGeom>
                    <a:effectLst>
                      <a:softEdge rad="31750"/>
                    </a:effectLst>
                  </pic:spPr>
                </pic:pic>
              </a:graphicData>
            </a:graphic>
            <wp14:sizeRelH relativeFrom="page">
              <wp14:pctWidth>0</wp14:pctWidth>
            </wp14:sizeRelH>
            <wp14:sizeRelV relativeFrom="page">
              <wp14:pctHeight>0</wp14:pctHeight>
            </wp14:sizeRelV>
          </wp:anchor>
        </w:drawing>
      </w:r>
      <w:r w:rsidRPr="00F41E10">
        <w:rPr>
          <w:rFonts w:asciiTheme="minorHAnsi" w:hAnsiTheme="minorHAnsi" w:cstheme="minorHAnsi"/>
          <w:i/>
          <w:iCs/>
          <w:color w:val="244061" w:themeColor="accent1" w:themeShade="80"/>
        </w:rPr>
        <w:t>Impact on Food Production</w:t>
      </w:r>
    </w:p>
    <w:p w14:paraId="44E989FA" w14:textId="77777777" w:rsidR="00C65183" w:rsidRPr="00F41E10" w:rsidRDefault="00C65183" w:rsidP="00C65183">
      <w:pPr>
        <w:spacing w:line="360" w:lineRule="auto"/>
        <w:jc w:val="both"/>
        <w:rPr>
          <w:rFonts w:asciiTheme="minorHAnsi" w:hAnsiTheme="minorHAnsi" w:cstheme="minorHAnsi"/>
        </w:rPr>
      </w:pPr>
      <w:r w:rsidRPr="00F41E10">
        <w:rPr>
          <w:rFonts w:asciiTheme="minorHAnsi" w:hAnsiTheme="minorHAnsi" w:cstheme="minorHAnsi"/>
        </w:rPr>
        <w:t>In Australia, rising temperatures are expected to deplete crops (8), with predictions that a temperature rise of three degrees may diminish crop yields of wheat by 18%, and fruit and vegetables by 14% (41), thereby raising the price of food and worsening hardship for more disadvantaged segments of the community (66, 67). These include people on low incomes and or without paid employment, who are represented in significant numbers among the Greater Dandenong community, and among whom a high prevalence of food insecurity is well-documented (60, 61, 62, 63, 64, 65).</w:t>
      </w:r>
    </w:p>
    <w:p w14:paraId="4E5F1AE7" w14:textId="77777777" w:rsidR="00C65183" w:rsidRPr="00F41E10" w:rsidRDefault="00C65183" w:rsidP="00C65183">
      <w:pPr>
        <w:spacing w:line="360" w:lineRule="auto"/>
        <w:jc w:val="both"/>
        <w:rPr>
          <w:rFonts w:asciiTheme="minorHAnsi" w:hAnsiTheme="minorHAnsi" w:cstheme="minorHAnsi"/>
        </w:rPr>
      </w:pPr>
      <w:r w:rsidRPr="00F41E10">
        <w:rPr>
          <w:rFonts w:asciiTheme="minorHAnsi" w:hAnsiTheme="minorHAnsi" w:cstheme="minorHAnsi"/>
        </w:rPr>
        <w:t>Food rural communities, such declines in agricultural production may jeopardize their prosperity and wellbeing, displacing many of their residents from the land (3).</w:t>
      </w:r>
    </w:p>
    <w:p w14:paraId="3197FD04" w14:textId="77777777" w:rsidR="00C65183" w:rsidRPr="00F41E10" w:rsidRDefault="00C65183" w:rsidP="00C65183">
      <w:pPr>
        <w:spacing w:line="360" w:lineRule="auto"/>
        <w:jc w:val="both"/>
        <w:rPr>
          <w:rFonts w:asciiTheme="minorHAnsi" w:hAnsiTheme="minorHAnsi" w:cstheme="minorHAnsi"/>
          <w:sz w:val="8"/>
          <w:szCs w:val="8"/>
        </w:rPr>
      </w:pPr>
    </w:p>
    <w:p w14:paraId="2ED247EA" w14:textId="77777777" w:rsidR="00C65183" w:rsidRPr="00F41E10" w:rsidRDefault="00C65183" w:rsidP="00C65183">
      <w:pPr>
        <w:spacing w:line="360" w:lineRule="auto"/>
        <w:jc w:val="both"/>
        <w:rPr>
          <w:rFonts w:asciiTheme="minorHAnsi" w:hAnsiTheme="minorHAnsi" w:cstheme="minorHAnsi"/>
          <w:i/>
          <w:iCs/>
          <w:color w:val="244061" w:themeColor="accent1" w:themeShade="80"/>
        </w:rPr>
      </w:pPr>
      <w:r w:rsidRPr="00F41E10">
        <w:rPr>
          <w:rFonts w:asciiTheme="minorHAnsi" w:hAnsiTheme="minorHAnsi" w:cstheme="minorHAnsi"/>
          <w:i/>
          <w:iCs/>
          <w:noProof/>
          <w:color w:val="244061" w:themeColor="accent1" w:themeShade="80"/>
        </w:rPr>
        <w:drawing>
          <wp:anchor distT="0" distB="0" distL="114300" distR="114300" simplePos="0" relativeHeight="251995136" behindDoc="0" locked="0" layoutInCell="1" allowOverlap="1" wp14:anchorId="27CE7412" wp14:editId="3647AB82">
            <wp:simplePos x="0" y="0"/>
            <wp:positionH relativeFrom="margin">
              <wp:align>left</wp:align>
            </wp:positionH>
            <wp:positionV relativeFrom="paragraph">
              <wp:posOffset>34925</wp:posOffset>
            </wp:positionV>
            <wp:extent cx="828000" cy="540000"/>
            <wp:effectExtent l="0" t="0" r="0" b="0"/>
            <wp:wrapSquare wrapText="bothSides"/>
            <wp:docPr id="117" name="Picture 117" descr="A picture containing person, colorful, arm&#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Environment - Starvation.jpg"/>
                    <pic:cNvPicPr/>
                  </pic:nvPicPr>
                  <pic:blipFill>
                    <a:blip r:embed="rId314" cstate="print">
                      <a:extLst>
                        <a:ext uri="{28A0092B-C50C-407E-A947-70E740481C1C}">
                          <a14:useLocalDpi xmlns:a14="http://schemas.microsoft.com/office/drawing/2010/main" val="0"/>
                        </a:ext>
                      </a:extLst>
                    </a:blip>
                    <a:stretch>
                      <a:fillRect/>
                    </a:stretch>
                  </pic:blipFill>
                  <pic:spPr>
                    <a:xfrm>
                      <a:off x="0" y="0"/>
                      <a:ext cx="828000" cy="540000"/>
                    </a:xfrm>
                    <a:prstGeom prst="rect">
                      <a:avLst/>
                    </a:prstGeom>
                    <a:effectLst>
                      <a:softEdge rad="31750"/>
                    </a:effectLst>
                  </pic:spPr>
                </pic:pic>
              </a:graphicData>
            </a:graphic>
            <wp14:sizeRelH relativeFrom="page">
              <wp14:pctWidth>0</wp14:pctWidth>
            </wp14:sizeRelH>
            <wp14:sizeRelV relativeFrom="page">
              <wp14:pctHeight>0</wp14:pctHeight>
            </wp14:sizeRelV>
          </wp:anchor>
        </w:drawing>
      </w:r>
      <w:r w:rsidRPr="00F41E10">
        <w:rPr>
          <w:rFonts w:asciiTheme="minorHAnsi" w:hAnsiTheme="minorHAnsi" w:cstheme="minorHAnsi"/>
          <w:i/>
          <w:iCs/>
          <w:color w:val="244061" w:themeColor="accent1" w:themeShade="80"/>
        </w:rPr>
        <w:t xml:space="preserve">Malnutrition and Conflict </w:t>
      </w:r>
    </w:p>
    <w:p w14:paraId="541D9E18" w14:textId="77777777" w:rsidR="00C65183" w:rsidRPr="00F41E10" w:rsidRDefault="00C65183" w:rsidP="00C65183">
      <w:pPr>
        <w:spacing w:line="360" w:lineRule="auto"/>
        <w:jc w:val="both"/>
        <w:rPr>
          <w:rFonts w:asciiTheme="minorHAnsi" w:hAnsiTheme="minorHAnsi" w:cstheme="minorHAnsi"/>
        </w:rPr>
      </w:pPr>
      <w:r w:rsidRPr="00F41E10">
        <w:rPr>
          <w:rFonts w:asciiTheme="minorHAnsi" w:hAnsiTheme="minorHAnsi" w:cstheme="minorHAnsi"/>
        </w:rPr>
        <w:t>The United Nations reports that drying and degradation of the land, dwindling access to water and rising sea levels, due to climate change, are exacerbating world hunger (95), a trend which has prompted forecasts that by 2030, 100 million people may be plunged into poverty by climate change (40). Many expert observers caution that the resulting hunger, and competition for diminishing land and water resources, may ignite regional conflicts, displacing large numbers of people from their homelands and precipitating refugee crises throughout the world (3, 4, 2).</w:t>
      </w:r>
    </w:p>
    <w:p w14:paraId="0F46E081" w14:textId="77777777" w:rsidR="00C65183" w:rsidRPr="00F41E10" w:rsidRDefault="00C65183" w:rsidP="00C65183">
      <w:pPr>
        <w:spacing w:line="360" w:lineRule="auto"/>
        <w:jc w:val="both"/>
        <w:rPr>
          <w:rFonts w:asciiTheme="minorHAnsi" w:hAnsiTheme="minorHAnsi" w:cstheme="minorHAnsi"/>
          <w:sz w:val="8"/>
          <w:szCs w:val="8"/>
        </w:rPr>
      </w:pPr>
    </w:p>
    <w:p w14:paraId="2D1F69EA" w14:textId="77777777" w:rsidR="00C65183" w:rsidRPr="00F41E10" w:rsidRDefault="00C65183" w:rsidP="00C65183">
      <w:pPr>
        <w:spacing w:line="360" w:lineRule="auto"/>
        <w:jc w:val="both"/>
        <w:rPr>
          <w:rFonts w:asciiTheme="minorHAnsi" w:hAnsiTheme="minorHAnsi" w:cstheme="minorHAnsi"/>
          <w:b/>
          <w:bCs/>
          <w:color w:val="244061" w:themeColor="accent1" w:themeShade="80"/>
        </w:rPr>
      </w:pPr>
      <w:r w:rsidRPr="00F41E10">
        <w:rPr>
          <w:rFonts w:asciiTheme="minorHAnsi" w:hAnsiTheme="minorHAnsi" w:cstheme="minorHAnsi"/>
          <w:b/>
          <w:bCs/>
          <w:noProof/>
          <w:color w:val="244061" w:themeColor="accent1" w:themeShade="80"/>
        </w:rPr>
        <w:drawing>
          <wp:anchor distT="0" distB="0" distL="114300" distR="114300" simplePos="0" relativeHeight="251988992" behindDoc="0" locked="0" layoutInCell="1" allowOverlap="1" wp14:anchorId="768B7350" wp14:editId="5ED3C324">
            <wp:simplePos x="0" y="0"/>
            <wp:positionH relativeFrom="column">
              <wp:posOffset>-423</wp:posOffset>
            </wp:positionH>
            <wp:positionV relativeFrom="paragraph">
              <wp:posOffset>0</wp:posOffset>
            </wp:positionV>
            <wp:extent cx="828000" cy="540000"/>
            <wp:effectExtent l="0" t="0" r="0" b="0"/>
            <wp:wrapSquare wrapText="bothSides"/>
            <wp:docPr id="119" name="Picture 119" descr="A picture containing reef, nature, colors, colorful&#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Environment - Marine Life.jpg"/>
                    <pic:cNvPicPr/>
                  </pic:nvPicPr>
                  <pic:blipFill>
                    <a:blip r:embed="rId315" cstate="print">
                      <a:extLst>
                        <a:ext uri="{28A0092B-C50C-407E-A947-70E740481C1C}">
                          <a14:useLocalDpi xmlns:a14="http://schemas.microsoft.com/office/drawing/2010/main" val="0"/>
                        </a:ext>
                      </a:extLst>
                    </a:blip>
                    <a:stretch>
                      <a:fillRect/>
                    </a:stretch>
                  </pic:blipFill>
                  <pic:spPr>
                    <a:xfrm>
                      <a:off x="0" y="0"/>
                      <a:ext cx="828000" cy="540000"/>
                    </a:xfrm>
                    <a:prstGeom prst="rect">
                      <a:avLst/>
                    </a:prstGeom>
                    <a:effectLst>
                      <a:softEdge rad="31750"/>
                    </a:effectLst>
                  </pic:spPr>
                </pic:pic>
              </a:graphicData>
            </a:graphic>
            <wp14:sizeRelH relativeFrom="page">
              <wp14:pctWidth>0</wp14:pctWidth>
            </wp14:sizeRelH>
            <wp14:sizeRelV relativeFrom="page">
              <wp14:pctHeight>0</wp14:pctHeight>
            </wp14:sizeRelV>
          </wp:anchor>
        </w:drawing>
      </w:r>
      <w:r w:rsidRPr="00F41E10">
        <w:rPr>
          <w:rFonts w:asciiTheme="minorHAnsi" w:hAnsiTheme="minorHAnsi" w:cstheme="minorHAnsi"/>
          <w:b/>
          <w:bCs/>
          <w:color w:val="244061" w:themeColor="accent1" w:themeShade="80"/>
        </w:rPr>
        <w:t xml:space="preserve">Destruction of Marine Life </w:t>
      </w:r>
    </w:p>
    <w:p w14:paraId="292F0090" w14:textId="77777777" w:rsidR="00C65183" w:rsidRPr="00F41E10" w:rsidRDefault="00C65183" w:rsidP="00C65183">
      <w:pPr>
        <w:spacing w:line="360" w:lineRule="auto"/>
        <w:jc w:val="both"/>
        <w:rPr>
          <w:rFonts w:asciiTheme="minorHAnsi" w:hAnsiTheme="minorHAnsi" w:cstheme="minorHAnsi"/>
        </w:rPr>
      </w:pPr>
      <w:r w:rsidRPr="00F41E10">
        <w:rPr>
          <w:rFonts w:asciiTheme="minorHAnsi" w:hAnsiTheme="minorHAnsi" w:cstheme="minorHAnsi"/>
        </w:rPr>
        <w:t xml:space="preserve">Global warming is raising the temperature of the sea, harming ocean life and commercial fishing areas. In addition, rising ocean temperatures are already inducing some marine species to move to cooler waters 'outside their normal range' (3), jeopardizing marine ecosystems and </w:t>
      </w:r>
      <w:r w:rsidRPr="00F41E10">
        <w:rPr>
          <w:rFonts w:asciiTheme="minorHAnsi" w:hAnsiTheme="minorHAnsi" w:cstheme="minorHAnsi"/>
        </w:rPr>
        <w:lastRenderedPageBreak/>
        <w:t xml:space="preserve">disrupting the fishing industry. Meantime, as carbon dioxide accumulates in the atmosphere, some dissolves into the sea water (79) raising the acidity of the oceans (34), damaging marine organisms and depleting biodiversity in many regions, including the Great Barrier Reef (3). Such acidification of oceans, once well underway, may take thousands of years to be reversed (41). </w:t>
      </w:r>
    </w:p>
    <w:p w14:paraId="0B3563E4" w14:textId="77777777" w:rsidR="00C65183" w:rsidRPr="00F41E10" w:rsidRDefault="00C65183" w:rsidP="00C65183">
      <w:pPr>
        <w:spacing w:line="360" w:lineRule="auto"/>
        <w:jc w:val="both"/>
        <w:rPr>
          <w:rFonts w:asciiTheme="minorHAnsi" w:hAnsiTheme="minorHAnsi" w:cstheme="minorHAnsi"/>
          <w:sz w:val="8"/>
          <w:szCs w:val="8"/>
        </w:rPr>
      </w:pPr>
    </w:p>
    <w:p w14:paraId="1A45D18F" w14:textId="77777777" w:rsidR="00C65183" w:rsidRPr="00F41E10" w:rsidRDefault="00C65183" w:rsidP="00C65183">
      <w:pPr>
        <w:spacing w:line="360" w:lineRule="auto"/>
        <w:jc w:val="both"/>
        <w:rPr>
          <w:rFonts w:asciiTheme="minorHAnsi" w:hAnsiTheme="minorHAnsi" w:cstheme="minorHAnsi"/>
          <w:b/>
          <w:bCs/>
          <w:color w:val="244061" w:themeColor="accent1" w:themeShade="80"/>
        </w:rPr>
      </w:pPr>
      <w:r w:rsidRPr="00F41E10">
        <w:rPr>
          <w:rFonts w:asciiTheme="minorHAnsi" w:hAnsiTheme="minorHAnsi" w:cstheme="minorHAnsi"/>
          <w:b/>
          <w:bCs/>
          <w:noProof/>
          <w:color w:val="244061" w:themeColor="accent1" w:themeShade="80"/>
        </w:rPr>
        <w:drawing>
          <wp:anchor distT="0" distB="0" distL="114300" distR="114300" simplePos="0" relativeHeight="251984896" behindDoc="0" locked="0" layoutInCell="1" allowOverlap="1" wp14:anchorId="7CF21850" wp14:editId="6E9BA5E7">
            <wp:simplePos x="0" y="0"/>
            <wp:positionH relativeFrom="margin">
              <wp:align>left</wp:align>
            </wp:positionH>
            <wp:positionV relativeFrom="paragraph">
              <wp:posOffset>14605</wp:posOffset>
            </wp:positionV>
            <wp:extent cx="827405" cy="539750"/>
            <wp:effectExtent l="0" t="0" r="0" b="0"/>
            <wp:wrapSquare wrapText="bothSides"/>
            <wp:docPr id="120" name="Picture 120" descr="A picture containing outdoor, nature, wave, smoke&#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Environment - Tidal surges.jfif"/>
                    <pic:cNvPicPr/>
                  </pic:nvPicPr>
                  <pic:blipFill rotWithShape="1">
                    <a:blip r:embed="rId316" cstate="print">
                      <a:extLst>
                        <a:ext uri="{28A0092B-C50C-407E-A947-70E740481C1C}">
                          <a14:useLocalDpi xmlns:a14="http://schemas.microsoft.com/office/drawing/2010/main" val="0"/>
                        </a:ext>
                      </a:extLst>
                    </a:blip>
                    <a:srcRect l="6588" t="13313" r="23253" b="21125"/>
                    <a:stretch/>
                  </pic:blipFill>
                  <pic:spPr bwMode="auto">
                    <a:xfrm>
                      <a:off x="0" y="0"/>
                      <a:ext cx="827405" cy="539750"/>
                    </a:xfrm>
                    <a:prstGeom prst="rect">
                      <a:avLst/>
                    </a:prstGeom>
                    <a:ln>
                      <a:noFill/>
                    </a:ln>
                    <a:effectLst>
                      <a:softEdge rad="3175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41E10">
        <w:rPr>
          <w:rFonts w:asciiTheme="minorHAnsi" w:hAnsiTheme="minorHAnsi" w:cstheme="minorHAnsi"/>
          <w:b/>
          <w:bCs/>
          <w:color w:val="244061" w:themeColor="accent1" w:themeShade="80"/>
        </w:rPr>
        <w:t>Rising Sea Levels and Coastal Flooding</w:t>
      </w:r>
    </w:p>
    <w:p w14:paraId="0385297A" w14:textId="77777777" w:rsidR="00C65183" w:rsidRPr="00F41E10" w:rsidRDefault="00C65183" w:rsidP="00C65183">
      <w:pPr>
        <w:spacing w:line="360" w:lineRule="auto"/>
        <w:jc w:val="both"/>
        <w:rPr>
          <w:rFonts w:asciiTheme="minorHAnsi" w:hAnsiTheme="minorHAnsi" w:cstheme="minorHAnsi"/>
        </w:rPr>
      </w:pPr>
      <w:r w:rsidRPr="00F41E10">
        <w:rPr>
          <w:rFonts w:asciiTheme="minorHAnsi" w:hAnsiTheme="minorHAnsi" w:cstheme="minorHAnsi"/>
        </w:rPr>
        <w:t xml:space="preserve">As global average temperatures rise, ice resting upon Antarctica, Greenland and elsewhere will continue to melt and drain into the sea, thereby raising ocean levels. Until the nineteenth century, sea levels rose a few centimeters each </w:t>
      </w:r>
      <w:r w:rsidRPr="00F41E10">
        <w:rPr>
          <w:rFonts w:asciiTheme="minorHAnsi" w:hAnsiTheme="minorHAnsi" w:cstheme="minorHAnsi"/>
          <w:i/>
          <w:iCs/>
        </w:rPr>
        <w:t>century</w:t>
      </w:r>
      <w:r w:rsidRPr="00F41E10">
        <w:rPr>
          <w:rFonts w:asciiTheme="minorHAnsi" w:hAnsiTheme="minorHAnsi" w:cstheme="minorHAnsi"/>
        </w:rPr>
        <w:t xml:space="preserve"> – a rate which has soared to 3 centimeters per </w:t>
      </w:r>
      <w:r w:rsidRPr="00F41E10">
        <w:rPr>
          <w:rFonts w:asciiTheme="minorHAnsi" w:hAnsiTheme="minorHAnsi" w:cstheme="minorHAnsi"/>
          <w:i/>
          <w:iCs/>
        </w:rPr>
        <w:t>decade</w:t>
      </w:r>
      <w:r w:rsidRPr="00F41E10">
        <w:rPr>
          <w:rFonts w:asciiTheme="minorHAnsi" w:hAnsiTheme="minorHAnsi" w:cstheme="minorHAnsi"/>
        </w:rPr>
        <w:t xml:space="preserve"> in the past twenty years (51). It is forecast that sea levels may rise by up to two meters by the close of this century if the rate of carbon dioxide emissions does not slow, exposing an estimated 650 million people in coastal cities and communities to the risk of annual flooding (73). </w:t>
      </w:r>
    </w:p>
    <w:p w14:paraId="2694EE96" w14:textId="77777777" w:rsidR="00C65183" w:rsidRPr="00F41E10" w:rsidRDefault="00C65183" w:rsidP="00C65183">
      <w:pPr>
        <w:spacing w:line="360" w:lineRule="auto"/>
        <w:jc w:val="both"/>
        <w:rPr>
          <w:rFonts w:asciiTheme="minorHAnsi" w:hAnsiTheme="minorHAnsi" w:cstheme="minorHAnsi"/>
        </w:rPr>
      </w:pPr>
      <w:r w:rsidRPr="00F41E10">
        <w:rPr>
          <w:rFonts w:asciiTheme="minorHAnsi" w:hAnsiTheme="minorHAnsi" w:cstheme="minorHAnsi"/>
        </w:rPr>
        <w:t>In addition, island nations such as Tonga, Fiji, Samoa, Tuvalu, Kiribati others face a growing menace to natural habitats, infrastructure, water supplies and farming, from rising storms, waves, tides and surges stemming from climate change (75, 76).</w:t>
      </w:r>
    </w:p>
    <w:p w14:paraId="3A91ABFC" w14:textId="77777777" w:rsidR="00C65183" w:rsidRPr="00F41E10" w:rsidRDefault="00C65183" w:rsidP="00C65183">
      <w:pPr>
        <w:spacing w:line="360" w:lineRule="auto"/>
        <w:jc w:val="both"/>
        <w:rPr>
          <w:rFonts w:asciiTheme="minorHAnsi" w:hAnsiTheme="minorHAnsi" w:cstheme="minorHAnsi"/>
        </w:rPr>
      </w:pPr>
      <w:r w:rsidRPr="00F41E10">
        <w:rPr>
          <w:rFonts w:asciiTheme="minorHAnsi" w:hAnsiTheme="minorHAnsi" w:cstheme="minorHAnsi"/>
        </w:rPr>
        <w:t xml:space="preserve">Increasing sea levels and storm surges are also a growing threat to coastal areas in Australia (3,4), with the Australian Academy of Science predicting that historical 1-in-100-year coastal flooding events are likely to occur </w:t>
      </w:r>
      <w:r w:rsidRPr="00F41E10">
        <w:rPr>
          <w:rFonts w:asciiTheme="minorHAnsi" w:hAnsiTheme="minorHAnsi" w:cstheme="minorHAnsi"/>
          <w:i/>
          <w:iCs/>
        </w:rPr>
        <w:t>annually</w:t>
      </w:r>
      <w:r w:rsidRPr="00F41E10">
        <w:rPr>
          <w:rFonts w:asciiTheme="minorHAnsi" w:hAnsiTheme="minorHAnsi" w:cstheme="minorHAnsi"/>
        </w:rPr>
        <w:t xml:space="preserve"> by 2100, jeopardizing people and infrastructure in many communities. Notably, more than 85% of Australia’s population lives along the coast, with an estimated $226 billion in commercial, industrial, road, rail and residential assets at risk of flooding in the event of a 1.1 m sea level rise by 2100 (41).</w:t>
      </w:r>
    </w:p>
    <w:p w14:paraId="017FC4EF" w14:textId="77777777" w:rsidR="00C65183" w:rsidRPr="00F41E10" w:rsidRDefault="00C65183" w:rsidP="00C65183">
      <w:pPr>
        <w:spacing w:line="360" w:lineRule="auto"/>
        <w:jc w:val="both"/>
        <w:rPr>
          <w:rFonts w:asciiTheme="minorHAnsi" w:hAnsiTheme="minorHAnsi" w:cstheme="minorHAnsi"/>
          <w:sz w:val="8"/>
          <w:szCs w:val="8"/>
        </w:rPr>
      </w:pPr>
    </w:p>
    <w:p w14:paraId="1DB2A4E5" w14:textId="77777777" w:rsidR="00C65183" w:rsidRPr="00F41E10" w:rsidRDefault="00C65183" w:rsidP="00C65183">
      <w:pPr>
        <w:spacing w:line="360" w:lineRule="auto"/>
        <w:jc w:val="both"/>
        <w:rPr>
          <w:rFonts w:asciiTheme="minorHAnsi" w:hAnsiTheme="minorHAnsi" w:cstheme="minorHAnsi"/>
          <w:b/>
          <w:bCs/>
          <w:color w:val="244061" w:themeColor="accent1" w:themeShade="80"/>
        </w:rPr>
      </w:pPr>
      <w:r w:rsidRPr="00F41E10">
        <w:rPr>
          <w:rFonts w:asciiTheme="minorHAnsi" w:hAnsiTheme="minorHAnsi" w:cstheme="minorHAnsi"/>
          <w:b/>
          <w:bCs/>
          <w:noProof/>
          <w:color w:val="244061" w:themeColor="accent1" w:themeShade="80"/>
        </w:rPr>
        <w:drawing>
          <wp:anchor distT="0" distB="0" distL="114300" distR="114300" simplePos="0" relativeHeight="251990016" behindDoc="0" locked="0" layoutInCell="1" allowOverlap="1" wp14:anchorId="64387E09" wp14:editId="6648077E">
            <wp:simplePos x="0" y="0"/>
            <wp:positionH relativeFrom="margin">
              <wp:align>left</wp:align>
            </wp:positionH>
            <wp:positionV relativeFrom="paragraph">
              <wp:posOffset>10583</wp:posOffset>
            </wp:positionV>
            <wp:extent cx="827405" cy="539750"/>
            <wp:effectExtent l="0" t="0" r="0" b="0"/>
            <wp:wrapSquare wrapText="bothSides"/>
            <wp:docPr id="121" name="Picture 121" descr="A picture containing sunset, outdoor, sky, sun&#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Environment - Heat wave.jpg"/>
                    <pic:cNvPicPr/>
                  </pic:nvPicPr>
                  <pic:blipFill>
                    <a:blip r:embed="rId317" cstate="print">
                      <a:extLst>
                        <a:ext uri="{28A0092B-C50C-407E-A947-70E740481C1C}">
                          <a14:useLocalDpi xmlns:a14="http://schemas.microsoft.com/office/drawing/2010/main" val="0"/>
                        </a:ext>
                      </a:extLst>
                    </a:blip>
                    <a:stretch>
                      <a:fillRect/>
                    </a:stretch>
                  </pic:blipFill>
                  <pic:spPr>
                    <a:xfrm>
                      <a:off x="0" y="0"/>
                      <a:ext cx="827405" cy="539750"/>
                    </a:xfrm>
                    <a:prstGeom prst="rect">
                      <a:avLst/>
                    </a:prstGeom>
                    <a:effectLst>
                      <a:softEdge rad="31750"/>
                    </a:effectLst>
                  </pic:spPr>
                </pic:pic>
              </a:graphicData>
            </a:graphic>
            <wp14:sizeRelH relativeFrom="page">
              <wp14:pctWidth>0</wp14:pctWidth>
            </wp14:sizeRelH>
            <wp14:sizeRelV relativeFrom="page">
              <wp14:pctHeight>0</wp14:pctHeight>
            </wp14:sizeRelV>
          </wp:anchor>
        </w:drawing>
      </w:r>
      <w:r w:rsidRPr="00F41E10">
        <w:rPr>
          <w:rFonts w:asciiTheme="minorHAnsi" w:hAnsiTheme="minorHAnsi" w:cstheme="minorHAnsi"/>
          <w:b/>
          <w:bCs/>
          <w:color w:val="244061" w:themeColor="accent1" w:themeShade="80"/>
        </w:rPr>
        <w:t>Heatwaves</w:t>
      </w:r>
    </w:p>
    <w:p w14:paraId="696CB524" w14:textId="77777777" w:rsidR="00C65183" w:rsidRPr="00F41E10" w:rsidRDefault="00C65183" w:rsidP="00C65183">
      <w:pPr>
        <w:spacing w:line="360" w:lineRule="auto"/>
        <w:jc w:val="both"/>
        <w:rPr>
          <w:rFonts w:asciiTheme="minorHAnsi" w:hAnsiTheme="minorHAnsi" w:cstheme="minorHAnsi"/>
        </w:rPr>
      </w:pPr>
      <w:r w:rsidRPr="00F41E10">
        <w:rPr>
          <w:rFonts w:asciiTheme="minorHAnsi" w:hAnsiTheme="minorHAnsi" w:cstheme="minorHAnsi"/>
        </w:rPr>
        <w:t xml:space="preserve">Rising average global temperatures have been accompanied by an increase in the number and intensity of hot days (10, 3, 4). In Australia, the number of record hot days has doubled since 1960, with heatwaves more intense than in the past (1). And it is forecast that the likelihood of a serious heatwave occurring in a particular year will soar from 1.7% in 2010, to 79% in future, while days where the temperature exceeds 35 degrees may treble in many Australian cities and towns (41). </w:t>
      </w:r>
    </w:p>
    <w:p w14:paraId="0A6E0427" w14:textId="77777777" w:rsidR="00C65183" w:rsidRPr="00F41E10" w:rsidRDefault="00C65183" w:rsidP="00C65183">
      <w:pPr>
        <w:spacing w:line="360" w:lineRule="auto"/>
        <w:jc w:val="both"/>
        <w:rPr>
          <w:rFonts w:asciiTheme="minorHAnsi" w:hAnsiTheme="minorHAnsi" w:cstheme="minorHAnsi"/>
        </w:rPr>
      </w:pPr>
      <w:r w:rsidRPr="00F41E10">
        <w:rPr>
          <w:rFonts w:asciiTheme="minorHAnsi" w:hAnsiTheme="minorHAnsi" w:cstheme="minorHAnsi"/>
        </w:rPr>
        <w:t>Notably, heatwaves are often amplified in urban areas such as Greater Dandenong, where dark surfaces and buildings retain heat and hot air, raising the temperature by 1-3 degrees and elevating evening temperatures by up to 12 degrees (1). With increasing global urbanization, a rising proportion of the Australian population is likely to be exposed to the risk of further elevated temperatures (1).</w:t>
      </w:r>
    </w:p>
    <w:p w14:paraId="39A214B3" w14:textId="77777777" w:rsidR="00C65183" w:rsidRPr="00F41E10" w:rsidRDefault="00C65183" w:rsidP="00C65183">
      <w:pPr>
        <w:spacing w:line="360" w:lineRule="auto"/>
        <w:jc w:val="both"/>
        <w:rPr>
          <w:rFonts w:asciiTheme="minorHAnsi" w:hAnsiTheme="minorHAnsi" w:cstheme="minorHAnsi"/>
        </w:rPr>
      </w:pPr>
      <w:r w:rsidRPr="00F41E10">
        <w:rPr>
          <w:rFonts w:asciiTheme="minorHAnsi" w:hAnsiTheme="minorHAnsi" w:cstheme="minorHAnsi"/>
        </w:rPr>
        <w:t>Heatwaves increase the incidence of cardiovascular illness, renal disease, heat stroke, mental confusion and other conditions. The 2019 heatwave in southeast Australia in 2009, which raised temperatures in parts of Victoria to 49 degrees (83), was accompanied by a 2.8-fold rise in cardiac arrest callouts; a tripling in number of patients dead on arrival; and an overall increase of 62% in deaths (6). Elsewhere in the world, heatwaves have caused 70,000 deaths in Europe in 2003 and 55,000 in Russia in 2010 (1).</w:t>
      </w:r>
    </w:p>
    <w:p w14:paraId="1A00EA46" w14:textId="77777777" w:rsidR="00C65183" w:rsidRPr="00F41E10" w:rsidRDefault="00C65183" w:rsidP="00C65183">
      <w:pPr>
        <w:spacing w:line="360" w:lineRule="auto"/>
        <w:jc w:val="both"/>
        <w:rPr>
          <w:rFonts w:asciiTheme="minorHAnsi" w:hAnsiTheme="minorHAnsi" w:cstheme="minorHAnsi"/>
        </w:rPr>
      </w:pPr>
      <w:r w:rsidRPr="00F41E10">
        <w:rPr>
          <w:rFonts w:asciiTheme="minorHAnsi" w:hAnsiTheme="minorHAnsi" w:cstheme="minorHAnsi"/>
        </w:rPr>
        <w:lastRenderedPageBreak/>
        <w:t>Those most vulnerable to heatwaves include older or disabled people, due to their lesser physical resilience and mobility; children; people in lower socioeconomic circumstances – conditions widespread in Greater Dandenong – due in part to the cost of, and access to, air conditioning; people with pre-existing illnesses such as heart, lung or kidney disease; and indigenous people in remote communities (1, 3, 6, 41). Outdoor workers too, may be vulnerable, especially if they are required to keep pace with machines or are paid by output (1).</w:t>
      </w:r>
    </w:p>
    <w:p w14:paraId="302851B4" w14:textId="77777777" w:rsidR="00C65183" w:rsidRPr="00F41E10" w:rsidRDefault="00C65183" w:rsidP="00C65183">
      <w:pPr>
        <w:spacing w:line="360" w:lineRule="auto"/>
        <w:jc w:val="both"/>
        <w:rPr>
          <w:rFonts w:asciiTheme="minorHAnsi" w:hAnsiTheme="minorHAnsi" w:cstheme="minorHAnsi"/>
          <w:sz w:val="8"/>
          <w:szCs w:val="8"/>
        </w:rPr>
      </w:pPr>
    </w:p>
    <w:p w14:paraId="15D32ACE" w14:textId="77777777" w:rsidR="00C65183" w:rsidRPr="00F41E10" w:rsidRDefault="00C65183" w:rsidP="00C65183">
      <w:pPr>
        <w:spacing w:line="360" w:lineRule="auto"/>
        <w:jc w:val="both"/>
        <w:rPr>
          <w:rFonts w:asciiTheme="minorHAnsi" w:hAnsiTheme="minorHAnsi" w:cstheme="minorHAnsi"/>
          <w:b/>
          <w:bCs/>
          <w:color w:val="244061" w:themeColor="accent1" w:themeShade="80"/>
        </w:rPr>
      </w:pPr>
      <w:r w:rsidRPr="00F41E10">
        <w:rPr>
          <w:rFonts w:asciiTheme="minorHAnsi" w:hAnsiTheme="minorHAnsi" w:cstheme="minorHAnsi"/>
          <w:b/>
          <w:bCs/>
          <w:noProof/>
          <w:color w:val="244061" w:themeColor="accent1" w:themeShade="80"/>
        </w:rPr>
        <w:drawing>
          <wp:anchor distT="0" distB="0" distL="114300" distR="114300" simplePos="0" relativeHeight="251991040" behindDoc="0" locked="0" layoutInCell="1" allowOverlap="1" wp14:anchorId="74546003" wp14:editId="63F43ADD">
            <wp:simplePos x="0" y="0"/>
            <wp:positionH relativeFrom="column">
              <wp:posOffset>-423</wp:posOffset>
            </wp:positionH>
            <wp:positionV relativeFrom="paragraph">
              <wp:posOffset>-635</wp:posOffset>
            </wp:positionV>
            <wp:extent cx="828000" cy="540000"/>
            <wp:effectExtent l="0" t="0" r="0" b="0"/>
            <wp:wrapSquare wrapText="bothSides"/>
            <wp:docPr id="122" name="Picture 122" descr="A picture containing sunset, outdoor, sun, setting&#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Environment - bushfires.png"/>
                    <pic:cNvPicPr/>
                  </pic:nvPicPr>
                  <pic:blipFill rotWithShape="1">
                    <a:blip r:embed="rId318" cstate="print">
                      <a:extLst>
                        <a:ext uri="{28A0092B-C50C-407E-A947-70E740481C1C}">
                          <a14:useLocalDpi xmlns:a14="http://schemas.microsoft.com/office/drawing/2010/main" val="0"/>
                        </a:ext>
                      </a:extLst>
                    </a:blip>
                    <a:srcRect b="5493"/>
                    <a:stretch/>
                  </pic:blipFill>
                  <pic:spPr bwMode="auto">
                    <a:xfrm>
                      <a:off x="0" y="0"/>
                      <a:ext cx="828000" cy="540000"/>
                    </a:xfrm>
                    <a:prstGeom prst="rect">
                      <a:avLst/>
                    </a:prstGeom>
                    <a:ln>
                      <a:noFill/>
                    </a:ln>
                    <a:effectLst>
                      <a:softEdge rad="3175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41E10">
        <w:rPr>
          <w:rFonts w:asciiTheme="minorHAnsi" w:hAnsiTheme="minorHAnsi" w:cstheme="minorHAnsi"/>
          <w:b/>
          <w:bCs/>
          <w:color w:val="244061" w:themeColor="accent1" w:themeShade="80"/>
        </w:rPr>
        <w:t>Bushfires</w:t>
      </w:r>
    </w:p>
    <w:p w14:paraId="611DCE17" w14:textId="77777777" w:rsidR="00C65183" w:rsidRPr="00F41E10" w:rsidRDefault="00C65183" w:rsidP="00C65183">
      <w:pPr>
        <w:spacing w:line="360" w:lineRule="auto"/>
        <w:jc w:val="both"/>
        <w:rPr>
          <w:rFonts w:asciiTheme="minorHAnsi" w:hAnsiTheme="minorHAnsi" w:cstheme="minorHAnsi"/>
        </w:rPr>
      </w:pPr>
      <w:r w:rsidRPr="00F41E10">
        <w:rPr>
          <w:rFonts w:asciiTheme="minorHAnsi" w:hAnsiTheme="minorHAnsi" w:cstheme="minorHAnsi"/>
        </w:rPr>
        <w:t xml:space="preserve">Dwindling rainfall in southern Australia, coupled with rising temperatures, heatwaves and more frequent droughts, is expected to raise the likelihood of bushfires (3, 1, 7, 41). </w:t>
      </w:r>
    </w:p>
    <w:p w14:paraId="4F783D78" w14:textId="77777777" w:rsidR="00C65183" w:rsidRPr="00F41E10" w:rsidRDefault="00C65183" w:rsidP="00C65183">
      <w:pPr>
        <w:spacing w:line="360" w:lineRule="auto"/>
        <w:jc w:val="both"/>
        <w:rPr>
          <w:rFonts w:asciiTheme="minorHAnsi" w:hAnsiTheme="minorHAnsi" w:cstheme="minorHAnsi"/>
        </w:rPr>
      </w:pPr>
      <w:r w:rsidRPr="00F41E10">
        <w:rPr>
          <w:rFonts w:asciiTheme="minorHAnsi" w:hAnsiTheme="minorHAnsi" w:cstheme="minorHAnsi"/>
        </w:rPr>
        <w:t>Though Victoria accounts for just three percent of the land area of Australia, historically it has endured half of the losses from the nation’s bushfires and two-thirds of the accompanying fatalities (7). The impact of bushfires is illustrated by the destruction inflicted by the 2019/20 Australian bushfires, which caused $10 billion in damage, burned over ten million hectares including 80% of the Blue Mountains World Heritage Area, and whose smoke affected 11 million Australians (41, 96).</w:t>
      </w:r>
    </w:p>
    <w:p w14:paraId="52DAFAC3" w14:textId="77777777" w:rsidR="00C65183" w:rsidRPr="00F41E10" w:rsidRDefault="00C65183" w:rsidP="00C65183">
      <w:pPr>
        <w:spacing w:line="360" w:lineRule="auto"/>
        <w:jc w:val="both"/>
        <w:rPr>
          <w:rFonts w:asciiTheme="minorHAnsi" w:hAnsiTheme="minorHAnsi" w:cstheme="minorHAnsi"/>
        </w:rPr>
      </w:pPr>
      <w:r w:rsidRPr="00F41E10">
        <w:rPr>
          <w:rFonts w:asciiTheme="minorHAnsi" w:hAnsiTheme="minorHAnsi" w:cstheme="minorHAnsi"/>
        </w:rPr>
        <w:t>In Victoria, longer fire seasons and 60% more fire risk days are forecast for the near future (11) with the annual average $180 million cost of bushfires in Victoria expected double to nearly $400 million by mid-century (7).</w:t>
      </w:r>
    </w:p>
    <w:p w14:paraId="35D2E055" w14:textId="77777777" w:rsidR="00C65183" w:rsidRPr="00F41E10" w:rsidRDefault="00C65183" w:rsidP="00C65183">
      <w:pPr>
        <w:spacing w:line="360" w:lineRule="auto"/>
        <w:jc w:val="both"/>
        <w:rPr>
          <w:rFonts w:asciiTheme="minorHAnsi" w:hAnsiTheme="minorHAnsi" w:cstheme="minorHAnsi"/>
          <w:sz w:val="8"/>
          <w:szCs w:val="8"/>
        </w:rPr>
      </w:pPr>
    </w:p>
    <w:p w14:paraId="75F50061" w14:textId="77777777" w:rsidR="00C65183" w:rsidRPr="00F41E10" w:rsidRDefault="00C65183" w:rsidP="00C65183">
      <w:pPr>
        <w:spacing w:line="360" w:lineRule="auto"/>
        <w:jc w:val="both"/>
        <w:rPr>
          <w:rFonts w:asciiTheme="minorHAnsi" w:hAnsiTheme="minorHAnsi" w:cstheme="minorHAnsi"/>
          <w:b/>
          <w:bCs/>
          <w:color w:val="244061" w:themeColor="accent1" w:themeShade="80"/>
        </w:rPr>
      </w:pPr>
      <w:r w:rsidRPr="00F41E10">
        <w:rPr>
          <w:rFonts w:asciiTheme="minorHAnsi" w:hAnsiTheme="minorHAnsi" w:cstheme="minorHAnsi"/>
          <w:b/>
          <w:bCs/>
          <w:noProof/>
          <w:color w:val="244061" w:themeColor="accent1" w:themeShade="80"/>
        </w:rPr>
        <w:drawing>
          <wp:anchor distT="0" distB="0" distL="114300" distR="114300" simplePos="0" relativeHeight="251994112" behindDoc="0" locked="0" layoutInCell="1" allowOverlap="1" wp14:anchorId="2B832028" wp14:editId="60755946">
            <wp:simplePos x="0" y="0"/>
            <wp:positionH relativeFrom="column">
              <wp:posOffset>-423</wp:posOffset>
            </wp:positionH>
            <wp:positionV relativeFrom="paragraph">
              <wp:posOffset>4022</wp:posOffset>
            </wp:positionV>
            <wp:extent cx="828000" cy="540000"/>
            <wp:effectExtent l="0" t="0" r="0" b="0"/>
            <wp:wrapSquare wrapText="bothSides"/>
            <wp:docPr id="123" name="Picture 1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 name="Environment - tropical disease.jpg"/>
                    <pic:cNvPicPr/>
                  </pic:nvPicPr>
                  <pic:blipFill>
                    <a:blip r:embed="rId319" cstate="print">
                      <a:extLst>
                        <a:ext uri="{28A0092B-C50C-407E-A947-70E740481C1C}">
                          <a14:useLocalDpi xmlns:a14="http://schemas.microsoft.com/office/drawing/2010/main" val="0"/>
                        </a:ext>
                      </a:extLst>
                    </a:blip>
                    <a:stretch>
                      <a:fillRect/>
                    </a:stretch>
                  </pic:blipFill>
                  <pic:spPr>
                    <a:xfrm>
                      <a:off x="0" y="0"/>
                      <a:ext cx="828000" cy="540000"/>
                    </a:xfrm>
                    <a:prstGeom prst="rect">
                      <a:avLst/>
                    </a:prstGeom>
                    <a:effectLst>
                      <a:softEdge rad="31750"/>
                    </a:effectLst>
                  </pic:spPr>
                </pic:pic>
              </a:graphicData>
            </a:graphic>
            <wp14:sizeRelH relativeFrom="page">
              <wp14:pctWidth>0</wp14:pctWidth>
            </wp14:sizeRelH>
            <wp14:sizeRelV relativeFrom="page">
              <wp14:pctHeight>0</wp14:pctHeight>
            </wp14:sizeRelV>
          </wp:anchor>
        </w:drawing>
      </w:r>
      <w:r w:rsidRPr="00F41E10">
        <w:rPr>
          <w:rFonts w:asciiTheme="minorHAnsi" w:hAnsiTheme="minorHAnsi" w:cstheme="minorHAnsi"/>
          <w:b/>
          <w:bCs/>
          <w:color w:val="244061" w:themeColor="accent1" w:themeShade="80"/>
        </w:rPr>
        <w:t>Spread of Tropical Diseases</w:t>
      </w:r>
    </w:p>
    <w:p w14:paraId="531C91D5" w14:textId="77777777" w:rsidR="00C65183" w:rsidRPr="00F41E10" w:rsidRDefault="00C65183" w:rsidP="00C65183">
      <w:pPr>
        <w:spacing w:line="360" w:lineRule="auto"/>
        <w:jc w:val="both"/>
        <w:rPr>
          <w:rFonts w:asciiTheme="minorHAnsi" w:hAnsiTheme="minorHAnsi" w:cstheme="minorHAnsi"/>
        </w:rPr>
      </w:pPr>
      <w:r w:rsidRPr="00F41E10">
        <w:rPr>
          <w:rFonts w:asciiTheme="minorHAnsi" w:hAnsiTheme="minorHAnsi" w:cstheme="minorHAnsi"/>
        </w:rPr>
        <w:t>Climate change is altering the geographic distribution of tropical diseases, as they shift south under warming climatic conditions (3). It is forecast that rising global average temperatures may be accompanied by an increase in the incidence of Ross River virus, dengue fever, Zika, Lyme disease, Malaria and others, in more southerly regions of Australia (41, 72).</w:t>
      </w:r>
    </w:p>
    <w:p w14:paraId="0A137751" w14:textId="77777777" w:rsidR="00C65183" w:rsidRPr="00F41E10" w:rsidRDefault="00C65183" w:rsidP="00C65183">
      <w:pPr>
        <w:spacing w:line="360" w:lineRule="auto"/>
        <w:jc w:val="both"/>
        <w:rPr>
          <w:rFonts w:asciiTheme="minorHAnsi" w:hAnsiTheme="minorHAnsi" w:cstheme="minorHAnsi"/>
          <w:sz w:val="8"/>
          <w:szCs w:val="8"/>
        </w:rPr>
      </w:pPr>
    </w:p>
    <w:p w14:paraId="27D51739" w14:textId="77777777" w:rsidR="00C65183" w:rsidRPr="00F41E10" w:rsidRDefault="00C65183" w:rsidP="00C65183">
      <w:pPr>
        <w:spacing w:line="360" w:lineRule="auto"/>
        <w:jc w:val="both"/>
        <w:rPr>
          <w:rFonts w:asciiTheme="minorHAnsi" w:hAnsiTheme="minorHAnsi" w:cstheme="minorHAnsi"/>
          <w:b/>
          <w:bCs/>
          <w:color w:val="244061" w:themeColor="accent1" w:themeShade="80"/>
        </w:rPr>
      </w:pPr>
      <w:r w:rsidRPr="00F41E10">
        <w:rPr>
          <w:rFonts w:asciiTheme="minorHAnsi" w:hAnsiTheme="minorHAnsi" w:cstheme="minorHAnsi"/>
          <w:b/>
          <w:bCs/>
          <w:noProof/>
          <w:color w:val="244061" w:themeColor="accent1" w:themeShade="80"/>
        </w:rPr>
        <w:drawing>
          <wp:anchor distT="0" distB="0" distL="114300" distR="114300" simplePos="0" relativeHeight="251992064" behindDoc="0" locked="0" layoutInCell="1" allowOverlap="1" wp14:anchorId="10EEBBDB" wp14:editId="31A989D7">
            <wp:simplePos x="0" y="0"/>
            <wp:positionH relativeFrom="column">
              <wp:posOffset>-423</wp:posOffset>
            </wp:positionH>
            <wp:positionV relativeFrom="paragraph">
              <wp:posOffset>4445</wp:posOffset>
            </wp:positionV>
            <wp:extent cx="828000" cy="540000"/>
            <wp:effectExtent l="0" t="0" r="0" b="0"/>
            <wp:wrapSquare wrapText="bothSides"/>
            <wp:docPr id="124" name="Picture 1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Environment - Habitat destruction.jpg"/>
                    <pic:cNvPicPr/>
                  </pic:nvPicPr>
                  <pic:blipFill>
                    <a:blip r:embed="rId320" cstate="print">
                      <a:extLst>
                        <a:ext uri="{28A0092B-C50C-407E-A947-70E740481C1C}">
                          <a14:useLocalDpi xmlns:a14="http://schemas.microsoft.com/office/drawing/2010/main" val="0"/>
                        </a:ext>
                      </a:extLst>
                    </a:blip>
                    <a:stretch>
                      <a:fillRect/>
                    </a:stretch>
                  </pic:blipFill>
                  <pic:spPr>
                    <a:xfrm>
                      <a:off x="0" y="0"/>
                      <a:ext cx="828000" cy="540000"/>
                    </a:xfrm>
                    <a:prstGeom prst="rect">
                      <a:avLst/>
                    </a:prstGeom>
                    <a:effectLst>
                      <a:softEdge rad="31750"/>
                    </a:effectLst>
                  </pic:spPr>
                </pic:pic>
              </a:graphicData>
            </a:graphic>
            <wp14:sizeRelH relativeFrom="page">
              <wp14:pctWidth>0</wp14:pctWidth>
            </wp14:sizeRelH>
            <wp14:sizeRelV relativeFrom="page">
              <wp14:pctHeight>0</wp14:pctHeight>
            </wp14:sizeRelV>
          </wp:anchor>
        </w:drawing>
      </w:r>
      <w:r w:rsidRPr="00F41E10">
        <w:rPr>
          <w:rFonts w:asciiTheme="minorHAnsi" w:hAnsiTheme="minorHAnsi" w:cstheme="minorHAnsi"/>
          <w:b/>
          <w:bCs/>
          <w:color w:val="244061" w:themeColor="accent1" w:themeShade="80"/>
        </w:rPr>
        <w:t>Destruction of Natural Habitats and Wildlife</w:t>
      </w:r>
    </w:p>
    <w:p w14:paraId="34E8B369" w14:textId="77777777" w:rsidR="00C65183" w:rsidRPr="00F41E10" w:rsidRDefault="00C65183" w:rsidP="00C65183">
      <w:pPr>
        <w:spacing w:line="360" w:lineRule="auto"/>
        <w:jc w:val="both"/>
        <w:rPr>
          <w:rFonts w:asciiTheme="minorHAnsi" w:hAnsiTheme="minorHAnsi" w:cstheme="minorHAnsi"/>
        </w:rPr>
      </w:pPr>
      <w:r w:rsidRPr="00F41E10">
        <w:rPr>
          <w:rFonts w:asciiTheme="minorHAnsi" w:hAnsiTheme="minorHAnsi" w:cstheme="minorHAnsi"/>
        </w:rPr>
        <w:t>Dwindling natural habitats – stemming from rising increased temperatures, reduced rainfall, droughts, fires and other climate change impacts – coupled with deforestation and other land clearing (29), threaten many species with extinction (10, 9). Such risks are most acute in South America, New Zealand and Australia (26, 54) – a country which accounts for half of all the world’s mammalian extinctions in the past 200 years (41).</w:t>
      </w:r>
    </w:p>
    <w:p w14:paraId="5E37847B" w14:textId="77777777" w:rsidR="00C65183" w:rsidRPr="00F41E10" w:rsidRDefault="00C65183" w:rsidP="00C65183">
      <w:pPr>
        <w:spacing w:line="360" w:lineRule="auto"/>
        <w:jc w:val="both"/>
        <w:rPr>
          <w:rFonts w:asciiTheme="minorHAnsi" w:hAnsiTheme="minorHAnsi" w:cstheme="minorHAnsi"/>
        </w:rPr>
      </w:pPr>
      <w:r w:rsidRPr="00F41E10">
        <w:rPr>
          <w:rFonts w:asciiTheme="minorHAnsi" w:hAnsiTheme="minorHAnsi" w:cstheme="minorHAnsi"/>
        </w:rPr>
        <w:t>In addition, rising temperatures are pushing many species southward in Australia as they shift from regions of rising temperature in favor of cooler environments (4, 79, 77). However, southward movement in the relatively dry Australian continent may be difficult for many species (41).</w:t>
      </w:r>
    </w:p>
    <w:p w14:paraId="12E24B83" w14:textId="77777777" w:rsidR="00C65183" w:rsidRPr="00F41E10" w:rsidRDefault="00C65183" w:rsidP="00C65183">
      <w:pPr>
        <w:spacing w:line="360" w:lineRule="auto"/>
        <w:jc w:val="both"/>
        <w:rPr>
          <w:rFonts w:asciiTheme="minorHAnsi" w:hAnsiTheme="minorHAnsi" w:cstheme="minorHAnsi"/>
        </w:rPr>
      </w:pPr>
      <w:r w:rsidRPr="00F41E10">
        <w:rPr>
          <w:rFonts w:asciiTheme="minorHAnsi" w:hAnsiTheme="minorHAnsi" w:cstheme="minorHAnsi"/>
        </w:rPr>
        <w:t>The destruction of natural environments also injures their human inhabitants and visitors, for as one commentator explains, nature bestows “…inspiration, and learning, physical and psychological experiences…that are central to quality of life and cultural integrity” (51).</w:t>
      </w:r>
    </w:p>
    <w:p w14:paraId="0E77987D" w14:textId="77777777" w:rsidR="00C65183" w:rsidRPr="00F41E10" w:rsidRDefault="00C65183" w:rsidP="00C65183">
      <w:pPr>
        <w:spacing w:line="360" w:lineRule="auto"/>
        <w:jc w:val="both"/>
        <w:rPr>
          <w:rFonts w:asciiTheme="minorHAnsi" w:hAnsiTheme="minorHAnsi" w:cstheme="minorHAnsi"/>
          <w:sz w:val="8"/>
          <w:szCs w:val="8"/>
        </w:rPr>
      </w:pPr>
    </w:p>
    <w:p w14:paraId="1D21BA38" w14:textId="77777777" w:rsidR="00C65183" w:rsidRPr="00F41E10" w:rsidRDefault="00C65183" w:rsidP="00C65183">
      <w:pPr>
        <w:spacing w:line="360" w:lineRule="auto"/>
        <w:jc w:val="both"/>
        <w:rPr>
          <w:rFonts w:asciiTheme="minorHAnsi" w:hAnsiTheme="minorHAnsi" w:cstheme="minorHAnsi"/>
          <w:b/>
          <w:bCs/>
          <w:color w:val="244061" w:themeColor="accent1" w:themeShade="80"/>
        </w:rPr>
      </w:pPr>
      <w:r w:rsidRPr="00F41E10">
        <w:rPr>
          <w:rFonts w:asciiTheme="minorHAnsi" w:hAnsiTheme="minorHAnsi" w:cstheme="minorHAnsi"/>
          <w:b/>
          <w:bCs/>
          <w:noProof/>
          <w:color w:val="244061" w:themeColor="accent1" w:themeShade="80"/>
        </w:rPr>
        <w:lastRenderedPageBreak/>
        <w:drawing>
          <wp:anchor distT="0" distB="0" distL="114300" distR="114300" simplePos="0" relativeHeight="251996160" behindDoc="0" locked="0" layoutInCell="1" allowOverlap="1" wp14:anchorId="5019C94F" wp14:editId="084CAB20">
            <wp:simplePos x="0" y="0"/>
            <wp:positionH relativeFrom="margin">
              <wp:align>left</wp:align>
            </wp:positionH>
            <wp:positionV relativeFrom="paragraph">
              <wp:posOffset>6350</wp:posOffset>
            </wp:positionV>
            <wp:extent cx="827405" cy="539750"/>
            <wp:effectExtent l="0" t="0" r="0" b="0"/>
            <wp:wrapSquare wrapText="bothSides"/>
            <wp:docPr id="125" name="Picture 125" descr="Chart&#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 name="Environment - economic decline.jfif"/>
                    <pic:cNvPicPr/>
                  </pic:nvPicPr>
                  <pic:blipFill rotWithShape="1">
                    <a:blip r:embed="rId321" cstate="print">
                      <a:extLst>
                        <a:ext uri="{28A0092B-C50C-407E-A947-70E740481C1C}">
                          <a14:useLocalDpi xmlns:a14="http://schemas.microsoft.com/office/drawing/2010/main" val="0"/>
                        </a:ext>
                      </a:extLst>
                    </a:blip>
                    <a:srcRect l="6223" b="8571"/>
                    <a:stretch/>
                  </pic:blipFill>
                  <pic:spPr bwMode="auto">
                    <a:xfrm>
                      <a:off x="0" y="0"/>
                      <a:ext cx="827405" cy="539750"/>
                    </a:xfrm>
                    <a:prstGeom prst="rect">
                      <a:avLst/>
                    </a:prstGeom>
                    <a:ln>
                      <a:noFill/>
                    </a:ln>
                    <a:effectLst>
                      <a:softEdge rad="3175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41E10">
        <w:rPr>
          <w:rFonts w:asciiTheme="minorHAnsi" w:hAnsiTheme="minorHAnsi" w:cstheme="minorHAnsi"/>
          <w:b/>
          <w:bCs/>
          <w:color w:val="244061" w:themeColor="accent1" w:themeShade="80"/>
        </w:rPr>
        <w:t>Economic Decline</w:t>
      </w:r>
    </w:p>
    <w:p w14:paraId="31F1C2C6" w14:textId="77777777" w:rsidR="00C65183" w:rsidRPr="00F41E10" w:rsidRDefault="00C65183" w:rsidP="00C65183">
      <w:pPr>
        <w:spacing w:line="360" w:lineRule="auto"/>
        <w:jc w:val="both"/>
        <w:rPr>
          <w:rFonts w:asciiTheme="minorHAnsi" w:hAnsiTheme="minorHAnsi" w:cstheme="minorHAnsi"/>
        </w:rPr>
      </w:pPr>
      <w:r w:rsidRPr="00F41E10">
        <w:rPr>
          <w:rFonts w:asciiTheme="minorHAnsi" w:hAnsiTheme="minorHAnsi" w:cstheme="minorHAnsi"/>
        </w:rPr>
        <w:t xml:space="preserve">Climate changes may exact a substantial economic toll upon civilization, through dwindling water supplies; rising costs of food; increasing utility, water, and petrol costs; damage to coastal infrastructure due to rising sea levels and storm surges; and the expense entailed in mobilizing health and community services to address the impact of fires, storms and heatwaves. </w:t>
      </w:r>
    </w:p>
    <w:p w14:paraId="22C9E3E6" w14:textId="77777777" w:rsidR="00C65183" w:rsidRPr="00F41E10" w:rsidRDefault="00C65183" w:rsidP="00C65183">
      <w:pPr>
        <w:spacing w:line="360" w:lineRule="auto"/>
        <w:jc w:val="both"/>
        <w:rPr>
          <w:rFonts w:asciiTheme="minorHAnsi" w:hAnsiTheme="minorHAnsi" w:cstheme="minorHAnsi"/>
        </w:rPr>
      </w:pPr>
      <w:r w:rsidRPr="00F41E10">
        <w:rPr>
          <w:rFonts w:asciiTheme="minorHAnsi" w:hAnsiTheme="minorHAnsi" w:cstheme="minorHAnsi"/>
        </w:rPr>
        <w:t>In Australia, a downturn in tourism is a further economic risk, with coral reef bleaching and death jeopardizing the $6.4 billion p.a. (56) tourism industry at the Great Barrier Reef (53), while tourism at national parks in northern Australia is imperiled by extreme heat and water scarcity; Australian beaches by rising sea levels and coastal flooding; and ski tourism by dwindling snowfall (54).</w:t>
      </w:r>
    </w:p>
    <w:p w14:paraId="3638AA59" w14:textId="77777777" w:rsidR="00C65183" w:rsidRPr="00F41E10" w:rsidRDefault="00C65183" w:rsidP="00C65183">
      <w:pPr>
        <w:spacing w:line="360" w:lineRule="auto"/>
        <w:jc w:val="center"/>
        <w:rPr>
          <w:rFonts w:asciiTheme="minorHAnsi" w:hAnsiTheme="minorHAnsi" w:cstheme="minorHAnsi"/>
        </w:rPr>
      </w:pPr>
      <w:r w:rsidRPr="00F41E10">
        <w:rPr>
          <w:rFonts w:asciiTheme="minorHAnsi" w:hAnsiTheme="minorHAnsi" w:cstheme="minorHAnsi"/>
        </w:rPr>
        <w:t>*   *   *   *</w:t>
      </w:r>
    </w:p>
    <w:p w14:paraId="36EBF039" w14:textId="77777777" w:rsidR="00C65183" w:rsidRPr="00F41E10" w:rsidRDefault="00C65183" w:rsidP="00C65183">
      <w:pPr>
        <w:spacing w:line="360" w:lineRule="auto"/>
        <w:jc w:val="both"/>
        <w:rPr>
          <w:rFonts w:asciiTheme="minorHAnsi" w:hAnsiTheme="minorHAnsi" w:cstheme="minorHAnsi"/>
        </w:rPr>
      </w:pPr>
      <w:r w:rsidRPr="00F41E10">
        <w:rPr>
          <w:rFonts w:asciiTheme="minorHAnsi" w:hAnsiTheme="minorHAnsi" w:cstheme="minorHAnsi"/>
        </w:rPr>
        <w:t xml:space="preserve">As carbon dioxide and other greenhouse gases accumulate in the atmosphere, they fuel a continued rise in average global temperature, resulting in worsening storms, floods and droughts, changes in rainfall patterns, heatwaves and wildfires, rising sea levels and coastal flooding. </w:t>
      </w:r>
    </w:p>
    <w:p w14:paraId="146B9706" w14:textId="77777777" w:rsidR="00C65183" w:rsidRDefault="00C65183" w:rsidP="00C65183">
      <w:pPr>
        <w:spacing w:line="360" w:lineRule="auto"/>
        <w:jc w:val="both"/>
        <w:rPr>
          <w:rFonts w:asciiTheme="minorHAnsi" w:hAnsiTheme="minorHAnsi" w:cstheme="minorHAnsi"/>
        </w:rPr>
      </w:pPr>
      <w:r w:rsidRPr="00F41E10">
        <w:rPr>
          <w:rFonts w:asciiTheme="minorHAnsi" w:hAnsiTheme="minorHAnsi" w:cstheme="minorHAnsi"/>
        </w:rPr>
        <w:t>Coupled with the impact of land clearing to feed a burgeoning world population, these events pose a growing risk to housing and infrastructure, coastal communities, food supply, the natural environment, and to the health, wellbeing and peace of vulnerable communities throughout the world.</w:t>
      </w:r>
    </w:p>
    <w:p w14:paraId="7E8D6C43" w14:textId="77777777" w:rsidR="00C65183" w:rsidRDefault="00C65183" w:rsidP="00C65183">
      <w:pPr>
        <w:spacing w:line="360" w:lineRule="auto"/>
        <w:jc w:val="both"/>
        <w:rPr>
          <w:rFonts w:asciiTheme="minorHAnsi" w:hAnsiTheme="minorHAnsi" w:cstheme="minorHAnsi"/>
        </w:rPr>
      </w:pPr>
    </w:p>
    <w:p w14:paraId="127F3131" w14:textId="77777777" w:rsidR="00C65183" w:rsidRPr="00F41E10" w:rsidRDefault="00C65183" w:rsidP="00C65183">
      <w:pPr>
        <w:spacing w:line="360" w:lineRule="auto"/>
        <w:jc w:val="both"/>
        <w:rPr>
          <w:rFonts w:asciiTheme="minorHAnsi" w:hAnsiTheme="minorHAnsi" w:cstheme="minorHAnsi"/>
        </w:rPr>
      </w:pPr>
    </w:p>
    <w:p w14:paraId="348ED92D" w14:textId="77777777" w:rsidR="00C65183" w:rsidRDefault="00C65183" w:rsidP="00C65183">
      <w:pPr>
        <w:jc w:val="center"/>
        <w:rPr>
          <w:rFonts w:ascii="Garamond" w:hAnsi="Garamond"/>
          <w:color w:val="244061" w:themeColor="accent1" w:themeShade="80"/>
          <w:sz w:val="28"/>
          <w:szCs w:val="28"/>
        </w:rPr>
      </w:pPr>
      <w:r w:rsidRPr="00A909C3">
        <w:rPr>
          <w:rFonts w:ascii="Garamond" w:hAnsi="Garamond"/>
          <w:color w:val="244061" w:themeColor="accent1" w:themeShade="80"/>
          <w:sz w:val="28"/>
          <w:szCs w:val="28"/>
        </w:rPr>
        <w:t>BIBLIOGRAPHY</w:t>
      </w:r>
    </w:p>
    <w:p w14:paraId="672E6BE9" w14:textId="77777777" w:rsidR="00C65183" w:rsidRPr="00A909C3" w:rsidRDefault="00C65183" w:rsidP="00C65183">
      <w:pPr>
        <w:jc w:val="center"/>
        <w:rPr>
          <w:rFonts w:ascii="Garamond" w:hAnsi="Garamond"/>
          <w:color w:val="244061" w:themeColor="accent1" w:themeShade="80"/>
          <w:sz w:val="28"/>
          <w:szCs w:val="28"/>
        </w:rPr>
      </w:pPr>
    </w:p>
    <w:p w14:paraId="7AEEBE4E" w14:textId="77777777" w:rsidR="00C65183" w:rsidRPr="00F41E10" w:rsidRDefault="00C65183" w:rsidP="00C65183">
      <w:pPr>
        <w:spacing w:after="60"/>
        <w:jc w:val="both"/>
        <w:rPr>
          <w:rFonts w:asciiTheme="minorHAnsi" w:hAnsiTheme="minorHAnsi" w:cstheme="minorHAnsi"/>
          <w:sz w:val="18"/>
          <w:szCs w:val="18"/>
        </w:rPr>
      </w:pPr>
      <w:r w:rsidRPr="00F41E10">
        <w:rPr>
          <w:rFonts w:asciiTheme="minorHAnsi" w:hAnsiTheme="minorHAnsi" w:cstheme="minorHAnsi"/>
          <w:sz w:val="18"/>
          <w:szCs w:val="18"/>
        </w:rPr>
        <w:t xml:space="preserve">1. Hughes, L., Hanna, E. and Fenwick, J. (2016). </w:t>
      </w:r>
      <w:r w:rsidRPr="00F41E10">
        <w:rPr>
          <w:rFonts w:asciiTheme="minorHAnsi" w:hAnsiTheme="minorHAnsi" w:cstheme="minorHAnsi"/>
          <w:sz w:val="18"/>
          <w:szCs w:val="18"/>
          <w:u w:val="single"/>
        </w:rPr>
        <w:t>The Silent Killer: climate change and the health impacts of extreme heat</w:t>
      </w:r>
      <w:r w:rsidRPr="00F41E10">
        <w:rPr>
          <w:rFonts w:asciiTheme="minorHAnsi" w:hAnsiTheme="minorHAnsi" w:cstheme="minorHAnsi"/>
          <w:sz w:val="18"/>
          <w:szCs w:val="18"/>
        </w:rPr>
        <w:t>. Climate Council of Australia.</w:t>
      </w:r>
    </w:p>
    <w:p w14:paraId="3407AF6C" w14:textId="77777777" w:rsidR="00C65183" w:rsidRPr="00F41E10" w:rsidRDefault="00C65183" w:rsidP="00C65183">
      <w:pPr>
        <w:spacing w:after="60"/>
        <w:jc w:val="both"/>
        <w:rPr>
          <w:rFonts w:asciiTheme="minorHAnsi" w:hAnsiTheme="minorHAnsi" w:cstheme="minorHAnsi"/>
          <w:sz w:val="18"/>
          <w:szCs w:val="18"/>
        </w:rPr>
      </w:pPr>
      <w:r w:rsidRPr="00F41E10">
        <w:rPr>
          <w:rFonts w:asciiTheme="minorHAnsi" w:hAnsiTheme="minorHAnsi" w:cstheme="minorHAnsi"/>
          <w:sz w:val="18"/>
          <w:szCs w:val="18"/>
        </w:rPr>
        <w:t xml:space="preserve">2. Mercy Corps (2019). </w:t>
      </w:r>
      <w:r w:rsidRPr="00F41E10">
        <w:rPr>
          <w:rFonts w:asciiTheme="minorHAnsi" w:hAnsiTheme="minorHAnsi" w:cstheme="minorHAnsi"/>
          <w:sz w:val="18"/>
          <w:szCs w:val="18"/>
          <w:u w:val="single"/>
        </w:rPr>
        <w:t>How Climate Change Affects People Living in Poverty</w:t>
      </w:r>
      <w:r w:rsidRPr="00F41E10">
        <w:rPr>
          <w:rFonts w:asciiTheme="minorHAnsi" w:hAnsiTheme="minorHAnsi" w:cstheme="minorHAnsi"/>
          <w:sz w:val="18"/>
          <w:szCs w:val="18"/>
        </w:rPr>
        <w:t>. Mercy Corps.</w:t>
      </w:r>
    </w:p>
    <w:p w14:paraId="25E18A18" w14:textId="77777777" w:rsidR="00C65183" w:rsidRPr="00F41E10" w:rsidRDefault="00C65183" w:rsidP="00C65183">
      <w:pPr>
        <w:spacing w:after="60"/>
        <w:jc w:val="both"/>
        <w:rPr>
          <w:rFonts w:asciiTheme="minorHAnsi" w:hAnsiTheme="minorHAnsi" w:cstheme="minorHAnsi"/>
          <w:sz w:val="18"/>
          <w:szCs w:val="18"/>
        </w:rPr>
      </w:pPr>
      <w:r w:rsidRPr="00F41E10">
        <w:rPr>
          <w:rFonts w:asciiTheme="minorHAnsi" w:hAnsiTheme="minorHAnsi" w:cstheme="minorHAnsi"/>
          <w:sz w:val="18"/>
          <w:szCs w:val="18"/>
        </w:rPr>
        <w:t xml:space="preserve">3. US Environment Protection Authority (2017). </w:t>
      </w:r>
      <w:r w:rsidRPr="00F41E10">
        <w:rPr>
          <w:rFonts w:asciiTheme="minorHAnsi" w:hAnsiTheme="minorHAnsi" w:cstheme="minorHAnsi"/>
          <w:sz w:val="18"/>
          <w:szCs w:val="18"/>
          <w:u w:val="single"/>
        </w:rPr>
        <w:t>International Climate Impacts</w:t>
      </w:r>
      <w:r w:rsidRPr="00F41E10">
        <w:rPr>
          <w:rFonts w:asciiTheme="minorHAnsi" w:hAnsiTheme="minorHAnsi" w:cstheme="minorHAnsi"/>
          <w:sz w:val="18"/>
          <w:szCs w:val="18"/>
        </w:rPr>
        <w:t>.</w:t>
      </w:r>
    </w:p>
    <w:p w14:paraId="587B759C" w14:textId="77777777" w:rsidR="00C65183" w:rsidRPr="00F41E10" w:rsidRDefault="00C65183" w:rsidP="00C65183">
      <w:pPr>
        <w:spacing w:after="60"/>
        <w:jc w:val="both"/>
        <w:rPr>
          <w:rFonts w:asciiTheme="minorHAnsi" w:hAnsiTheme="minorHAnsi" w:cstheme="minorHAnsi"/>
          <w:sz w:val="18"/>
          <w:szCs w:val="18"/>
        </w:rPr>
      </w:pPr>
      <w:r w:rsidRPr="00F41E10">
        <w:rPr>
          <w:rFonts w:asciiTheme="minorHAnsi" w:hAnsiTheme="minorHAnsi" w:cstheme="minorHAnsi"/>
          <w:sz w:val="18"/>
          <w:szCs w:val="18"/>
        </w:rPr>
        <w:t xml:space="preserve">4. Australian Academy of Science (2015). </w:t>
      </w:r>
      <w:r w:rsidRPr="00F41E10">
        <w:rPr>
          <w:rFonts w:asciiTheme="minorHAnsi" w:hAnsiTheme="minorHAnsi" w:cstheme="minorHAnsi"/>
          <w:sz w:val="18"/>
          <w:szCs w:val="18"/>
          <w:u w:val="single"/>
        </w:rPr>
        <w:t>The Science of Climate Change: questions and answers</w:t>
      </w:r>
      <w:r w:rsidRPr="00F41E10">
        <w:rPr>
          <w:rFonts w:asciiTheme="minorHAnsi" w:hAnsiTheme="minorHAnsi" w:cstheme="minorHAnsi"/>
          <w:sz w:val="18"/>
          <w:szCs w:val="18"/>
        </w:rPr>
        <w:t xml:space="preserve">. </w:t>
      </w:r>
    </w:p>
    <w:p w14:paraId="135BD909" w14:textId="77777777" w:rsidR="00C65183" w:rsidRPr="00F41E10" w:rsidRDefault="00C65183" w:rsidP="00C65183">
      <w:pPr>
        <w:spacing w:after="60"/>
        <w:jc w:val="both"/>
        <w:rPr>
          <w:rFonts w:asciiTheme="minorHAnsi" w:hAnsiTheme="minorHAnsi" w:cstheme="minorHAnsi"/>
          <w:sz w:val="18"/>
          <w:szCs w:val="18"/>
        </w:rPr>
      </w:pPr>
      <w:r w:rsidRPr="00F41E10">
        <w:rPr>
          <w:rFonts w:asciiTheme="minorHAnsi" w:hAnsiTheme="minorHAnsi" w:cstheme="minorHAnsi"/>
          <w:sz w:val="18"/>
          <w:szCs w:val="18"/>
        </w:rPr>
        <w:t xml:space="preserve">5. Dept. Agriculture, Water and the Environment (undated). </w:t>
      </w:r>
      <w:r w:rsidRPr="00F41E10">
        <w:rPr>
          <w:rFonts w:asciiTheme="minorHAnsi" w:hAnsiTheme="minorHAnsi" w:cstheme="minorHAnsi"/>
          <w:sz w:val="18"/>
          <w:szCs w:val="18"/>
          <w:u w:val="single"/>
        </w:rPr>
        <w:t>Understanding Climate Change</w:t>
      </w:r>
      <w:r w:rsidRPr="00F41E10">
        <w:rPr>
          <w:rFonts w:asciiTheme="minorHAnsi" w:hAnsiTheme="minorHAnsi" w:cstheme="minorHAnsi"/>
          <w:sz w:val="18"/>
          <w:szCs w:val="18"/>
        </w:rPr>
        <w:t>. Australian Government</w:t>
      </w:r>
    </w:p>
    <w:p w14:paraId="45A1EF4F" w14:textId="77777777" w:rsidR="00C65183" w:rsidRPr="00F41E10" w:rsidRDefault="00C65183" w:rsidP="00C65183">
      <w:pPr>
        <w:spacing w:after="60"/>
        <w:jc w:val="both"/>
        <w:rPr>
          <w:rFonts w:asciiTheme="minorHAnsi" w:hAnsiTheme="minorHAnsi" w:cstheme="minorHAnsi"/>
          <w:sz w:val="18"/>
          <w:szCs w:val="18"/>
        </w:rPr>
      </w:pPr>
      <w:r w:rsidRPr="00F41E10">
        <w:rPr>
          <w:rFonts w:asciiTheme="minorHAnsi" w:hAnsiTheme="minorHAnsi" w:cstheme="minorHAnsi"/>
          <w:sz w:val="18"/>
          <w:szCs w:val="18"/>
        </w:rPr>
        <w:t xml:space="preserve">6. Dept. Human Services (2009). January 2009 </w:t>
      </w:r>
      <w:r w:rsidRPr="00F41E10">
        <w:rPr>
          <w:rFonts w:asciiTheme="minorHAnsi" w:hAnsiTheme="minorHAnsi" w:cstheme="minorHAnsi"/>
          <w:sz w:val="18"/>
          <w:szCs w:val="18"/>
          <w:u w:val="single"/>
        </w:rPr>
        <w:t>Heatwaves in Victoria: An Assessment of Health Impacts</w:t>
      </w:r>
      <w:r w:rsidRPr="00F41E10">
        <w:rPr>
          <w:rFonts w:asciiTheme="minorHAnsi" w:hAnsiTheme="minorHAnsi" w:cstheme="minorHAnsi"/>
          <w:sz w:val="18"/>
          <w:szCs w:val="18"/>
        </w:rPr>
        <w:t>. Victorian Government.</w:t>
      </w:r>
    </w:p>
    <w:p w14:paraId="706676A6" w14:textId="77777777" w:rsidR="00C65183" w:rsidRPr="00F41E10" w:rsidRDefault="00C65183" w:rsidP="00C65183">
      <w:pPr>
        <w:spacing w:after="60"/>
        <w:jc w:val="both"/>
        <w:rPr>
          <w:rFonts w:asciiTheme="minorHAnsi" w:hAnsiTheme="minorHAnsi" w:cstheme="minorHAnsi"/>
          <w:sz w:val="18"/>
          <w:szCs w:val="18"/>
        </w:rPr>
      </w:pPr>
      <w:r w:rsidRPr="00F41E10">
        <w:rPr>
          <w:rFonts w:asciiTheme="minorHAnsi" w:hAnsiTheme="minorHAnsi" w:cstheme="minorHAnsi"/>
          <w:sz w:val="18"/>
          <w:szCs w:val="18"/>
        </w:rPr>
        <w:t xml:space="preserve">7. Hughes, L. and Alexander, D. (2017). </w:t>
      </w:r>
      <w:r w:rsidRPr="00F41E10">
        <w:rPr>
          <w:rFonts w:asciiTheme="minorHAnsi" w:hAnsiTheme="minorHAnsi" w:cstheme="minorHAnsi"/>
          <w:sz w:val="18"/>
          <w:szCs w:val="18"/>
          <w:u w:val="single"/>
        </w:rPr>
        <w:t>Climate Change and the Victoria Bushfire Threat. Climate Council of Australia</w:t>
      </w:r>
      <w:r w:rsidRPr="00F41E10">
        <w:rPr>
          <w:rFonts w:asciiTheme="minorHAnsi" w:hAnsiTheme="minorHAnsi" w:cstheme="minorHAnsi"/>
          <w:sz w:val="18"/>
          <w:szCs w:val="18"/>
        </w:rPr>
        <w:t>.</w:t>
      </w:r>
    </w:p>
    <w:p w14:paraId="25E2AD0D" w14:textId="77777777" w:rsidR="00C65183" w:rsidRPr="00F41E10" w:rsidRDefault="00C65183" w:rsidP="00C65183">
      <w:pPr>
        <w:spacing w:after="60"/>
        <w:jc w:val="both"/>
        <w:rPr>
          <w:rFonts w:asciiTheme="minorHAnsi" w:hAnsiTheme="minorHAnsi" w:cstheme="minorHAnsi"/>
          <w:sz w:val="18"/>
          <w:szCs w:val="18"/>
        </w:rPr>
      </w:pPr>
      <w:r w:rsidRPr="00F41E10">
        <w:rPr>
          <w:rFonts w:asciiTheme="minorHAnsi" w:hAnsiTheme="minorHAnsi" w:cstheme="minorHAnsi"/>
          <w:sz w:val="18"/>
          <w:szCs w:val="18"/>
        </w:rPr>
        <w:t xml:space="preserve">8. Melbourne Sustainable Society Institute (2015). </w:t>
      </w:r>
      <w:r w:rsidRPr="00F41E10">
        <w:rPr>
          <w:rFonts w:asciiTheme="minorHAnsi" w:hAnsiTheme="minorHAnsi" w:cstheme="minorHAnsi"/>
          <w:sz w:val="18"/>
          <w:szCs w:val="18"/>
          <w:u w:val="single"/>
        </w:rPr>
        <w:t>Appetite for Change: Global Warming Impacts on Food and Framing Regions in Australia</w:t>
      </w:r>
      <w:r w:rsidRPr="00F41E10">
        <w:rPr>
          <w:rFonts w:asciiTheme="minorHAnsi" w:hAnsiTheme="minorHAnsi" w:cstheme="minorHAnsi"/>
          <w:sz w:val="18"/>
          <w:szCs w:val="18"/>
        </w:rPr>
        <w:t>. University of Melbourne.</w:t>
      </w:r>
    </w:p>
    <w:p w14:paraId="0415912F" w14:textId="77777777" w:rsidR="00C65183" w:rsidRPr="00F41E10" w:rsidRDefault="00C65183" w:rsidP="00C65183">
      <w:pPr>
        <w:spacing w:after="60"/>
        <w:jc w:val="both"/>
        <w:rPr>
          <w:rFonts w:asciiTheme="minorHAnsi" w:hAnsiTheme="minorHAnsi" w:cstheme="minorHAnsi"/>
          <w:sz w:val="18"/>
          <w:szCs w:val="18"/>
        </w:rPr>
      </w:pPr>
      <w:r w:rsidRPr="00F41E10">
        <w:rPr>
          <w:rFonts w:asciiTheme="minorHAnsi" w:hAnsiTheme="minorHAnsi" w:cstheme="minorHAnsi"/>
          <w:sz w:val="18"/>
          <w:szCs w:val="18"/>
        </w:rPr>
        <w:t xml:space="preserve">9. Watson, J. (2016). Bring Climate Change Back from the Future. </w:t>
      </w:r>
      <w:r w:rsidRPr="00F41E10">
        <w:rPr>
          <w:rFonts w:asciiTheme="minorHAnsi" w:hAnsiTheme="minorHAnsi" w:cstheme="minorHAnsi"/>
          <w:sz w:val="18"/>
          <w:szCs w:val="18"/>
          <w:u w:val="single"/>
        </w:rPr>
        <w:t>Nature</w:t>
      </w:r>
      <w:r w:rsidRPr="00F41E10">
        <w:rPr>
          <w:rFonts w:asciiTheme="minorHAnsi" w:hAnsiTheme="minorHAnsi" w:cstheme="minorHAnsi"/>
          <w:sz w:val="18"/>
          <w:szCs w:val="18"/>
        </w:rPr>
        <w:t>. Vol. 534, No. 7608. 21 June 2016</w:t>
      </w:r>
    </w:p>
    <w:p w14:paraId="4A6F7A29" w14:textId="77777777" w:rsidR="00C65183" w:rsidRPr="00F41E10" w:rsidRDefault="00C65183" w:rsidP="00C65183">
      <w:pPr>
        <w:spacing w:after="60"/>
        <w:jc w:val="both"/>
        <w:rPr>
          <w:rFonts w:asciiTheme="minorHAnsi" w:hAnsiTheme="minorHAnsi" w:cstheme="minorHAnsi"/>
          <w:sz w:val="18"/>
          <w:szCs w:val="18"/>
        </w:rPr>
      </w:pPr>
      <w:r w:rsidRPr="00F41E10">
        <w:rPr>
          <w:rFonts w:asciiTheme="minorHAnsi" w:hAnsiTheme="minorHAnsi" w:cstheme="minorHAnsi"/>
          <w:sz w:val="18"/>
          <w:szCs w:val="18"/>
        </w:rPr>
        <w:t xml:space="preserve">10. NASA (undated). </w:t>
      </w:r>
      <w:r w:rsidRPr="00F41E10">
        <w:rPr>
          <w:rFonts w:asciiTheme="minorHAnsi" w:hAnsiTheme="minorHAnsi" w:cstheme="minorHAnsi"/>
          <w:sz w:val="18"/>
          <w:szCs w:val="18"/>
          <w:u w:val="single"/>
        </w:rPr>
        <w:t>What is Climate Change</w:t>
      </w:r>
      <w:r w:rsidRPr="00F41E10">
        <w:rPr>
          <w:rFonts w:asciiTheme="minorHAnsi" w:hAnsiTheme="minorHAnsi" w:cstheme="minorHAnsi"/>
          <w:sz w:val="18"/>
          <w:szCs w:val="18"/>
        </w:rPr>
        <w:t>? National Aeronautics and Space Administration.</w:t>
      </w:r>
    </w:p>
    <w:p w14:paraId="31AE58AD" w14:textId="77777777" w:rsidR="00C65183" w:rsidRPr="00F41E10" w:rsidRDefault="00C65183" w:rsidP="00C65183">
      <w:pPr>
        <w:spacing w:after="60"/>
        <w:jc w:val="both"/>
        <w:rPr>
          <w:rFonts w:asciiTheme="minorHAnsi" w:hAnsiTheme="minorHAnsi" w:cstheme="minorHAnsi"/>
          <w:sz w:val="18"/>
          <w:szCs w:val="18"/>
        </w:rPr>
      </w:pPr>
      <w:r w:rsidRPr="00F41E10">
        <w:rPr>
          <w:rFonts w:asciiTheme="minorHAnsi" w:hAnsiTheme="minorHAnsi" w:cstheme="minorHAnsi"/>
          <w:sz w:val="18"/>
          <w:szCs w:val="18"/>
        </w:rPr>
        <w:t xml:space="preserve">11. Department of Environment, Land, Water and Planning (2020). </w:t>
      </w:r>
      <w:r w:rsidRPr="00F41E10">
        <w:rPr>
          <w:rFonts w:asciiTheme="minorHAnsi" w:hAnsiTheme="minorHAnsi" w:cstheme="minorHAnsi"/>
          <w:sz w:val="18"/>
          <w:szCs w:val="18"/>
          <w:u w:val="single"/>
        </w:rPr>
        <w:t>Victoria’s Climate Science Report 2019</w:t>
      </w:r>
      <w:r w:rsidRPr="00F41E10">
        <w:rPr>
          <w:rFonts w:asciiTheme="minorHAnsi" w:hAnsiTheme="minorHAnsi" w:cstheme="minorHAnsi"/>
          <w:sz w:val="18"/>
          <w:szCs w:val="18"/>
        </w:rPr>
        <w:t>, The State of Victoria Department of Environment, Land, Water and Planning.</w:t>
      </w:r>
    </w:p>
    <w:p w14:paraId="088CC044" w14:textId="77777777" w:rsidR="00C65183" w:rsidRPr="00F41E10" w:rsidRDefault="00C65183" w:rsidP="00C65183">
      <w:pPr>
        <w:spacing w:after="60"/>
        <w:jc w:val="both"/>
        <w:rPr>
          <w:rFonts w:asciiTheme="minorHAnsi" w:hAnsiTheme="minorHAnsi" w:cstheme="minorHAnsi"/>
          <w:sz w:val="18"/>
          <w:szCs w:val="18"/>
        </w:rPr>
      </w:pPr>
      <w:r w:rsidRPr="00F41E10">
        <w:rPr>
          <w:rFonts w:asciiTheme="minorHAnsi" w:hAnsiTheme="minorHAnsi" w:cstheme="minorHAnsi"/>
          <w:sz w:val="18"/>
          <w:szCs w:val="18"/>
        </w:rPr>
        <w:t xml:space="preserve">13. Global Carbon Project (2018). </w:t>
      </w:r>
      <w:r w:rsidRPr="00F41E10">
        <w:rPr>
          <w:rFonts w:asciiTheme="minorHAnsi" w:hAnsiTheme="minorHAnsi" w:cstheme="minorHAnsi"/>
          <w:sz w:val="18"/>
          <w:szCs w:val="18"/>
          <w:u w:val="single"/>
        </w:rPr>
        <w:t>Carbon budget and trends 2018</w:t>
      </w:r>
      <w:r w:rsidRPr="00F41E10">
        <w:rPr>
          <w:rFonts w:asciiTheme="minorHAnsi" w:hAnsiTheme="minorHAnsi" w:cstheme="minorHAnsi"/>
          <w:sz w:val="18"/>
          <w:szCs w:val="18"/>
        </w:rPr>
        <w:t xml:space="preserve">.  </w:t>
      </w:r>
    </w:p>
    <w:p w14:paraId="1AB894E5" w14:textId="77777777" w:rsidR="00C65183" w:rsidRPr="00F41E10" w:rsidRDefault="00C65183" w:rsidP="00C65183">
      <w:pPr>
        <w:spacing w:after="60"/>
        <w:jc w:val="both"/>
        <w:rPr>
          <w:rFonts w:asciiTheme="minorHAnsi" w:hAnsiTheme="minorHAnsi" w:cstheme="minorHAnsi"/>
          <w:sz w:val="18"/>
          <w:szCs w:val="18"/>
        </w:rPr>
      </w:pPr>
      <w:r w:rsidRPr="00F41E10">
        <w:rPr>
          <w:rFonts w:asciiTheme="minorHAnsi" w:hAnsiTheme="minorHAnsi" w:cstheme="minorHAnsi"/>
          <w:sz w:val="18"/>
          <w:szCs w:val="18"/>
        </w:rPr>
        <w:t xml:space="preserve">14. Bureau of Meteorology and CSIRO (2018). </w:t>
      </w:r>
      <w:r w:rsidRPr="00F41E10">
        <w:rPr>
          <w:rFonts w:asciiTheme="minorHAnsi" w:hAnsiTheme="minorHAnsi" w:cstheme="minorHAnsi"/>
          <w:sz w:val="18"/>
          <w:szCs w:val="18"/>
          <w:u w:val="single"/>
        </w:rPr>
        <w:t>State of the Climate 2018</w:t>
      </w:r>
      <w:r w:rsidRPr="00F41E10">
        <w:rPr>
          <w:rFonts w:asciiTheme="minorHAnsi" w:hAnsiTheme="minorHAnsi" w:cstheme="minorHAnsi"/>
          <w:sz w:val="18"/>
          <w:szCs w:val="18"/>
        </w:rPr>
        <w:t xml:space="preserve">. </w:t>
      </w:r>
    </w:p>
    <w:p w14:paraId="3634E4C4" w14:textId="77777777" w:rsidR="00C65183" w:rsidRPr="00F41E10" w:rsidRDefault="00C65183" w:rsidP="00C65183">
      <w:pPr>
        <w:spacing w:after="60"/>
        <w:jc w:val="both"/>
        <w:rPr>
          <w:rFonts w:asciiTheme="minorHAnsi" w:hAnsiTheme="minorHAnsi" w:cstheme="minorHAnsi"/>
          <w:sz w:val="18"/>
          <w:szCs w:val="18"/>
        </w:rPr>
      </w:pPr>
      <w:r w:rsidRPr="00F41E10">
        <w:rPr>
          <w:rFonts w:asciiTheme="minorHAnsi" w:hAnsiTheme="minorHAnsi" w:cstheme="minorHAnsi"/>
          <w:sz w:val="18"/>
          <w:szCs w:val="18"/>
        </w:rPr>
        <w:t xml:space="preserve">15.  Outreach research (undated). </w:t>
      </w:r>
      <w:r w:rsidRPr="00F41E10">
        <w:rPr>
          <w:rFonts w:asciiTheme="minorHAnsi" w:hAnsiTheme="minorHAnsi" w:cstheme="minorHAnsi"/>
          <w:sz w:val="18"/>
          <w:szCs w:val="18"/>
          <w:u w:val="single"/>
        </w:rPr>
        <w:t>The origin of life: The conditions that sparked life on Earth</w:t>
      </w:r>
      <w:r w:rsidRPr="00F41E10">
        <w:rPr>
          <w:rFonts w:asciiTheme="minorHAnsi" w:hAnsiTheme="minorHAnsi" w:cstheme="minorHAnsi"/>
          <w:sz w:val="18"/>
          <w:szCs w:val="18"/>
        </w:rPr>
        <w:t xml:space="preserve">. </w:t>
      </w:r>
    </w:p>
    <w:p w14:paraId="2639094C" w14:textId="77777777" w:rsidR="00C65183" w:rsidRPr="00F41E10" w:rsidRDefault="00C65183" w:rsidP="00C65183">
      <w:pPr>
        <w:spacing w:after="60"/>
        <w:jc w:val="both"/>
        <w:rPr>
          <w:rFonts w:asciiTheme="minorHAnsi" w:hAnsiTheme="minorHAnsi" w:cstheme="minorHAnsi"/>
          <w:sz w:val="18"/>
          <w:szCs w:val="18"/>
        </w:rPr>
      </w:pPr>
      <w:r w:rsidRPr="00F41E10">
        <w:rPr>
          <w:rFonts w:asciiTheme="minorHAnsi" w:hAnsiTheme="minorHAnsi" w:cstheme="minorHAnsi"/>
          <w:sz w:val="18"/>
          <w:szCs w:val="18"/>
        </w:rPr>
        <w:t xml:space="preserve">16. Maruyama, S, Ebisuzaki, T and Kurokawa, K. (2018). Origin and evolution of Earth and Life: Towards the establishment of astrobiology from Universe to genome. </w:t>
      </w:r>
      <w:r w:rsidRPr="00F41E10">
        <w:rPr>
          <w:rFonts w:asciiTheme="minorHAnsi" w:hAnsiTheme="minorHAnsi" w:cstheme="minorHAnsi"/>
          <w:sz w:val="18"/>
          <w:szCs w:val="18"/>
          <w:u w:val="single"/>
        </w:rPr>
        <w:t>Proceedings of Science</w:t>
      </w:r>
      <w:r w:rsidRPr="00F41E10">
        <w:rPr>
          <w:rFonts w:asciiTheme="minorHAnsi" w:hAnsiTheme="minorHAnsi" w:cstheme="minorHAnsi"/>
          <w:sz w:val="18"/>
          <w:szCs w:val="18"/>
        </w:rPr>
        <w:t>. https://pos.sissa.it/331/071/</w:t>
      </w:r>
    </w:p>
    <w:p w14:paraId="75267722" w14:textId="77777777" w:rsidR="00C65183" w:rsidRPr="00F41E10" w:rsidRDefault="00C65183" w:rsidP="00C65183">
      <w:pPr>
        <w:spacing w:after="60"/>
        <w:jc w:val="both"/>
        <w:rPr>
          <w:rFonts w:asciiTheme="minorHAnsi" w:hAnsiTheme="minorHAnsi" w:cstheme="minorHAnsi"/>
          <w:sz w:val="18"/>
          <w:szCs w:val="18"/>
        </w:rPr>
      </w:pPr>
      <w:r w:rsidRPr="00F41E10">
        <w:rPr>
          <w:rFonts w:asciiTheme="minorHAnsi" w:hAnsiTheme="minorHAnsi" w:cstheme="minorHAnsi"/>
          <w:sz w:val="18"/>
          <w:szCs w:val="18"/>
        </w:rPr>
        <w:t xml:space="preserve">17. National Geographic (2020). </w:t>
      </w:r>
      <w:r w:rsidRPr="00F41E10">
        <w:rPr>
          <w:rFonts w:asciiTheme="minorHAnsi" w:hAnsiTheme="minorHAnsi" w:cstheme="minorHAnsi"/>
          <w:sz w:val="18"/>
          <w:szCs w:val="18"/>
          <w:u w:val="single"/>
        </w:rPr>
        <w:t>Fossil Fuels</w:t>
      </w:r>
      <w:r w:rsidRPr="00F41E10">
        <w:rPr>
          <w:rFonts w:asciiTheme="minorHAnsi" w:hAnsiTheme="minorHAnsi" w:cstheme="minorHAnsi"/>
          <w:sz w:val="18"/>
          <w:szCs w:val="18"/>
        </w:rPr>
        <w:t xml:space="preserve">. </w:t>
      </w:r>
    </w:p>
    <w:p w14:paraId="5FB53AFA" w14:textId="77777777" w:rsidR="00C65183" w:rsidRPr="00F41E10" w:rsidRDefault="00C65183" w:rsidP="00C65183">
      <w:pPr>
        <w:spacing w:after="60"/>
        <w:jc w:val="both"/>
        <w:rPr>
          <w:rFonts w:asciiTheme="minorHAnsi" w:hAnsiTheme="minorHAnsi" w:cstheme="minorHAnsi"/>
          <w:sz w:val="18"/>
          <w:szCs w:val="18"/>
        </w:rPr>
      </w:pPr>
      <w:r w:rsidRPr="00F41E10">
        <w:rPr>
          <w:rFonts w:asciiTheme="minorHAnsi" w:hAnsiTheme="minorHAnsi" w:cstheme="minorHAnsi"/>
          <w:sz w:val="18"/>
          <w:szCs w:val="18"/>
        </w:rPr>
        <w:t xml:space="preserve">18. National Geographic (undated). </w:t>
      </w:r>
      <w:r w:rsidRPr="00F41E10">
        <w:rPr>
          <w:rFonts w:asciiTheme="minorHAnsi" w:hAnsiTheme="minorHAnsi" w:cstheme="minorHAnsi"/>
          <w:sz w:val="18"/>
          <w:szCs w:val="18"/>
          <w:u w:val="single"/>
        </w:rPr>
        <w:t>Non-renewable Resources</w:t>
      </w:r>
      <w:r w:rsidRPr="00F41E10">
        <w:rPr>
          <w:rFonts w:asciiTheme="minorHAnsi" w:hAnsiTheme="minorHAnsi" w:cstheme="minorHAnsi"/>
          <w:sz w:val="18"/>
          <w:szCs w:val="18"/>
        </w:rPr>
        <w:t xml:space="preserve">. </w:t>
      </w:r>
    </w:p>
    <w:p w14:paraId="46A46AC0" w14:textId="77777777" w:rsidR="00C65183" w:rsidRPr="00F41E10" w:rsidRDefault="00C65183" w:rsidP="00C65183">
      <w:pPr>
        <w:spacing w:after="60"/>
        <w:jc w:val="both"/>
        <w:rPr>
          <w:rFonts w:asciiTheme="minorHAnsi" w:hAnsiTheme="minorHAnsi" w:cstheme="minorHAnsi"/>
          <w:sz w:val="18"/>
          <w:szCs w:val="18"/>
        </w:rPr>
      </w:pPr>
      <w:r w:rsidRPr="00F41E10">
        <w:rPr>
          <w:rFonts w:asciiTheme="minorHAnsi" w:hAnsiTheme="minorHAnsi" w:cstheme="minorHAnsi"/>
          <w:sz w:val="18"/>
          <w:szCs w:val="18"/>
        </w:rPr>
        <w:t xml:space="preserve">19. Shafiee, S. and Topal, E. (2009). When will Fossil Fuels be Depleted? </w:t>
      </w:r>
      <w:r w:rsidRPr="00F41E10">
        <w:rPr>
          <w:rFonts w:asciiTheme="minorHAnsi" w:hAnsiTheme="minorHAnsi" w:cstheme="minorHAnsi"/>
          <w:sz w:val="18"/>
          <w:szCs w:val="18"/>
          <w:u w:val="single"/>
        </w:rPr>
        <w:t>Energy Policy</w:t>
      </w:r>
      <w:r w:rsidRPr="00F41E10">
        <w:rPr>
          <w:rFonts w:asciiTheme="minorHAnsi" w:hAnsiTheme="minorHAnsi" w:cstheme="minorHAnsi"/>
          <w:sz w:val="18"/>
          <w:szCs w:val="18"/>
        </w:rPr>
        <w:t xml:space="preserve">, Vol. 37, No. 1. pp. 181-189. </w:t>
      </w:r>
    </w:p>
    <w:p w14:paraId="2CA0311A" w14:textId="77777777" w:rsidR="00C65183" w:rsidRPr="00F41E10" w:rsidRDefault="00C65183" w:rsidP="00C65183">
      <w:pPr>
        <w:spacing w:after="60"/>
        <w:jc w:val="both"/>
        <w:rPr>
          <w:rFonts w:asciiTheme="minorHAnsi" w:hAnsiTheme="minorHAnsi" w:cstheme="minorHAnsi"/>
          <w:sz w:val="18"/>
          <w:szCs w:val="18"/>
        </w:rPr>
      </w:pPr>
      <w:r w:rsidRPr="00F41E10">
        <w:rPr>
          <w:rFonts w:asciiTheme="minorHAnsi" w:hAnsiTheme="minorHAnsi" w:cstheme="minorHAnsi"/>
          <w:sz w:val="18"/>
          <w:szCs w:val="18"/>
        </w:rPr>
        <w:t xml:space="preserve">20. Tilman, D. (1999). Global environmental impacts of agricultural expansion: The need for sustainable and efficient practices. </w:t>
      </w:r>
      <w:r w:rsidRPr="00F41E10">
        <w:rPr>
          <w:rFonts w:asciiTheme="minorHAnsi" w:hAnsiTheme="minorHAnsi" w:cstheme="minorHAnsi"/>
          <w:sz w:val="18"/>
          <w:szCs w:val="18"/>
          <w:u w:val="single"/>
        </w:rPr>
        <w:t>Proceedings of the National Academy of Sciences of the United States of America</w:t>
      </w:r>
      <w:r w:rsidRPr="00F41E10">
        <w:rPr>
          <w:rFonts w:asciiTheme="minorHAnsi" w:hAnsiTheme="minorHAnsi" w:cstheme="minorHAnsi"/>
          <w:sz w:val="18"/>
          <w:szCs w:val="18"/>
        </w:rPr>
        <w:t>. May 25, 1999 96 (11) Accessed at:  https://www.pnas.org/content/96/11/5995.short</w:t>
      </w:r>
    </w:p>
    <w:p w14:paraId="188874C2" w14:textId="77777777" w:rsidR="00C65183" w:rsidRPr="00F41E10" w:rsidRDefault="00C65183" w:rsidP="00C65183">
      <w:pPr>
        <w:spacing w:after="60"/>
        <w:jc w:val="both"/>
        <w:rPr>
          <w:rFonts w:asciiTheme="minorHAnsi" w:hAnsiTheme="minorHAnsi" w:cstheme="minorHAnsi"/>
          <w:sz w:val="18"/>
          <w:szCs w:val="18"/>
        </w:rPr>
      </w:pPr>
      <w:r w:rsidRPr="00F41E10">
        <w:rPr>
          <w:rFonts w:asciiTheme="minorHAnsi" w:hAnsiTheme="minorHAnsi" w:cstheme="minorHAnsi"/>
          <w:sz w:val="18"/>
          <w:szCs w:val="18"/>
        </w:rPr>
        <w:lastRenderedPageBreak/>
        <w:t xml:space="preserve">26. Urban, M. (2015). </w:t>
      </w:r>
      <w:r w:rsidRPr="00F41E10">
        <w:rPr>
          <w:rFonts w:asciiTheme="minorHAnsi" w:hAnsiTheme="minorHAnsi" w:cstheme="minorHAnsi"/>
          <w:sz w:val="18"/>
          <w:szCs w:val="18"/>
          <w:u w:val="single"/>
        </w:rPr>
        <w:t>Accelerating Extinction from Climate Change</w:t>
      </w:r>
      <w:r w:rsidRPr="00F41E10">
        <w:rPr>
          <w:rFonts w:asciiTheme="minorHAnsi" w:hAnsiTheme="minorHAnsi" w:cstheme="minorHAnsi"/>
          <w:sz w:val="18"/>
          <w:szCs w:val="18"/>
        </w:rPr>
        <w:t xml:space="preserve">. Science. American Association for the Advancement of Science. </w:t>
      </w:r>
    </w:p>
    <w:p w14:paraId="45F406CD" w14:textId="77777777" w:rsidR="00C65183" w:rsidRPr="00F41E10" w:rsidRDefault="00C65183" w:rsidP="00C65183">
      <w:pPr>
        <w:spacing w:after="60"/>
        <w:jc w:val="both"/>
        <w:rPr>
          <w:rFonts w:asciiTheme="minorHAnsi" w:hAnsiTheme="minorHAnsi" w:cstheme="minorHAnsi"/>
          <w:sz w:val="18"/>
          <w:szCs w:val="18"/>
        </w:rPr>
      </w:pPr>
      <w:r w:rsidRPr="00F41E10">
        <w:rPr>
          <w:rFonts w:asciiTheme="minorHAnsi" w:hAnsiTheme="minorHAnsi" w:cstheme="minorHAnsi"/>
          <w:sz w:val="18"/>
          <w:szCs w:val="18"/>
        </w:rPr>
        <w:t xml:space="preserve">34.  Lindsay, R. (2020). </w:t>
      </w:r>
      <w:r w:rsidRPr="00F41E10">
        <w:rPr>
          <w:rFonts w:asciiTheme="minorHAnsi" w:hAnsiTheme="minorHAnsi" w:cstheme="minorHAnsi"/>
          <w:sz w:val="18"/>
          <w:szCs w:val="18"/>
          <w:u w:val="single"/>
        </w:rPr>
        <w:t>Climate Change: Atmospheric Carbon Dioxide</w:t>
      </w:r>
      <w:r w:rsidRPr="00F41E10">
        <w:rPr>
          <w:rFonts w:asciiTheme="minorHAnsi" w:hAnsiTheme="minorHAnsi" w:cstheme="minorHAnsi"/>
          <w:sz w:val="18"/>
          <w:szCs w:val="18"/>
        </w:rPr>
        <w:t xml:space="preserve">. Climate.Gov  </w:t>
      </w:r>
    </w:p>
    <w:p w14:paraId="3DB5B586" w14:textId="77777777" w:rsidR="00C65183" w:rsidRPr="00F41E10" w:rsidRDefault="00C65183" w:rsidP="00C65183">
      <w:pPr>
        <w:spacing w:after="60"/>
        <w:jc w:val="both"/>
        <w:rPr>
          <w:rFonts w:asciiTheme="minorHAnsi" w:hAnsiTheme="minorHAnsi" w:cstheme="minorHAnsi"/>
          <w:sz w:val="18"/>
          <w:szCs w:val="18"/>
        </w:rPr>
      </w:pPr>
      <w:r w:rsidRPr="00F41E10">
        <w:rPr>
          <w:rFonts w:asciiTheme="minorHAnsi" w:hAnsiTheme="minorHAnsi" w:cstheme="minorHAnsi"/>
          <w:sz w:val="18"/>
          <w:szCs w:val="18"/>
        </w:rPr>
        <w:t xml:space="preserve">35. Harris, N., Brown, S., Hagen, S., Saatchi, S., Petrova, S., Salas, W., Hansen, M.C., Potapov, P.V. and Lotsch, A. (2012). Baseline Map of Carbon Emissions from Deforestation in Regions. </w:t>
      </w:r>
      <w:r w:rsidRPr="00F41E10">
        <w:rPr>
          <w:rFonts w:asciiTheme="minorHAnsi" w:hAnsiTheme="minorHAnsi" w:cstheme="minorHAnsi"/>
          <w:sz w:val="18"/>
          <w:szCs w:val="18"/>
          <w:u w:val="single"/>
        </w:rPr>
        <w:t>Science</w:t>
      </w:r>
      <w:r w:rsidRPr="00F41E10">
        <w:rPr>
          <w:rFonts w:asciiTheme="minorHAnsi" w:hAnsiTheme="minorHAnsi" w:cstheme="minorHAnsi"/>
          <w:sz w:val="18"/>
          <w:szCs w:val="18"/>
        </w:rPr>
        <w:t>, Vol. 336, Issue 6088, pp. 1573-1576</w:t>
      </w:r>
    </w:p>
    <w:p w14:paraId="7F01A15B" w14:textId="77777777" w:rsidR="00C65183" w:rsidRPr="00F41E10" w:rsidRDefault="00C65183" w:rsidP="00C65183">
      <w:pPr>
        <w:spacing w:after="60"/>
        <w:jc w:val="both"/>
        <w:rPr>
          <w:rFonts w:asciiTheme="minorHAnsi" w:hAnsiTheme="minorHAnsi" w:cstheme="minorHAnsi"/>
          <w:sz w:val="18"/>
          <w:szCs w:val="18"/>
        </w:rPr>
      </w:pPr>
      <w:r w:rsidRPr="00F41E10">
        <w:rPr>
          <w:rFonts w:asciiTheme="minorHAnsi" w:hAnsiTheme="minorHAnsi" w:cstheme="minorHAnsi"/>
          <w:sz w:val="18"/>
          <w:szCs w:val="18"/>
        </w:rPr>
        <w:t xml:space="preserve">36. Baccini, A., Goetz, S. J., Walker, W. S., Laporte, N. T., Sun, M., Sulla-Menashe, D., Hackler, J., Beck, P. S. A., Dubayah, R., Friedl, M. A., Samanta, S. and Houghton, R. A. (2012). Estimated Carbon Dioxide Emissions from Tropical Deforestation Improved by Carbon-density Maps. </w:t>
      </w:r>
      <w:r w:rsidRPr="00F41E10">
        <w:rPr>
          <w:rFonts w:asciiTheme="minorHAnsi" w:hAnsiTheme="minorHAnsi" w:cstheme="minorHAnsi"/>
          <w:sz w:val="18"/>
          <w:szCs w:val="18"/>
          <w:u w:val="single"/>
        </w:rPr>
        <w:t>Nature Clim Change</w:t>
      </w:r>
      <w:r w:rsidRPr="00F41E10">
        <w:rPr>
          <w:rFonts w:asciiTheme="minorHAnsi" w:hAnsiTheme="minorHAnsi" w:cstheme="minorHAnsi"/>
          <w:sz w:val="18"/>
          <w:szCs w:val="18"/>
        </w:rPr>
        <w:t xml:space="preserve">. Vol. 2, pp. 182–185 </w:t>
      </w:r>
    </w:p>
    <w:p w14:paraId="7C980B6D" w14:textId="77777777" w:rsidR="00C65183" w:rsidRPr="00F41E10" w:rsidRDefault="00C65183" w:rsidP="00C65183">
      <w:pPr>
        <w:spacing w:after="60"/>
        <w:jc w:val="both"/>
        <w:rPr>
          <w:rFonts w:asciiTheme="minorHAnsi" w:hAnsiTheme="minorHAnsi" w:cstheme="minorHAnsi"/>
          <w:sz w:val="18"/>
          <w:szCs w:val="18"/>
        </w:rPr>
      </w:pPr>
      <w:r w:rsidRPr="00F41E10">
        <w:rPr>
          <w:rFonts w:asciiTheme="minorHAnsi" w:hAnsiTheme="minorHAnsi" w:cstheme="minorHAnsi"/>
          <w:sz w:val="18"/>
          <w:szCs w:val="18"/>
        </w:rPr>
        <w:t xml:space="preserve">38. Dean, A. (2019). </w:t>
      </w:r>
      <w:r w:rsidRPr="00F41E10">
        <w:rPr>
          <w:rFonts w:asciiTheme="minorHAnsi" w:hAnsiTheme="minorHAnsi" w:cstheme="minorHAnsi"/>
          <w:sz w:val="18"/>
          <w:szCs w:val="18"/>
          <w:u w:val="single"/>
        </w:rPr>
        <w:t>Deforestation and Climate Chang</w:t>
      </w:r>
      <w:r w:rsidRPr="00F41E10">
        <w:rPr>
          <w:rFonts w:asciiTheme="minorHAnsi" w:hAnsiTheme="minorHAnsi" w:cstheme="minorHAnsi"/>
          <w:sz w:val="18"/>
          <w:szCs w:val="18"/>
        </w:rPr>
        <w:t xml:space="preserve">e. Climate Council. </w:t>
      </w:r>
    </w:p>
    <w:p w14:paraId="6FFB6009" w14:textId="77777777" w:rsidR="00C65183" w:rsidRPr="00F41E10" w:rsidRDefault="00C65183" w:rsidP="00C65183">
      <w:pPr>
        <w:spacing w:after="60"/>
        <w:jc w:val="both"/>
        <w:rPr>
          <w:rFonts w:asciiTheme="minorHAnsi" w:hAnsiTheme="minorHAnsi" w:cstheme="minorHAnsi"/>
          <w:sz w:val="18"/>
          <w:szCs w:val="18"/>
        </w:rPr>
      </w:pPr>
      <w:r w:rsidRPr="00F41E10">
        <w:rPr>
          <w:rFonts w:asciiTheme="minorHAnsi" w:hAnsiTheme="minorHAnsi" w:cstheme="minorHAnsi"/>
          <w:sz w:val="18"/>
          <w:szCs w:val="18"/>
        </w:rPr>
        <w:t xml:space="preserve">40. Khoday, K. and Ali, W. (2018). </w:t>
      </w:r>
      <w:r w:rsidRPr="00F41E10">
        <w:rPr>
          <w:rFonts w:asciiTheme="minorHAnsi" w:hAnsiTheme="minorHAnsi" w:cstheme="minorHAnsi"/>
          <w:sz w:val="18"/>
          <w:szCs w:val="18"/>
          <w:u w:val="single"/>
        </w:rPr>
        <w:t>Climate Change and the Rise of Poverty</w:t>
      </w:r>
      <w:r w:rsidRPr="00F41E10">
        <w:rPr>
          <w:rFonts w:asciiTheme="minorHAnsi" w:hAnsiTheme="minorHAnsi" w:cstheme="minorHAnsi"/>
          <w:sz w:val="18"/>
          <w:szCs w:val="18"/>
        </w:rPr>
        <w:t>. UNDP.</w:t>
      </w:r>
    </w:p>
    <w:p w14:paraId="19A03AD3" w14:textId="77777777" w:rsidR="00C65183" w:rsidRPr="00F41E10" w:rsidRDefault="00C65183" w:rsidP="00C65183">
      <w:pPr>
        <w:spacing w:after="60"/>
        <w:jc w:val="both"/>
        <w:rPr>
          <w:rFonts w:asciiTheme="minorHAnsi" w:hAnsiTheme="minorHAnsi" w:cstheme="minorHAnsi"/>
          <w:sz w:val="18"/>
          <w:szCs w:val="18"/>
        </w:rPr>
      </w:pPr>
      <w:r w:rsidRPr="00F41E10">
        <w:rPr>
          <w:rFonts w:asciiTheme="minorHAnsi" w:hAnsiTheme="minorHAnsi" w:cstheme="minorHAnsi"/>
          <w:sz w:val="18"/>
          <w:szCs w:val="18"/>
        </w:rPr>
        <w:t xml:space="preserve">41. Australian Academy of Science (2021). </w:t>
      </w:r>
      <w:r w:rsidRPr="00F41E10">
        <w:rPr>
          <w:rFonts w:asciiTheme="minorHAnsi" w:hAnsiTheme="minorHAnsi" w:cstheme="minorHAnsi"/>
          <w:sz w:val="18"/>
          <w:szCs w:val="18"/>
          <w:u w:val="single"/>
        </w:rPr>
        <w:t>The Risks to Australia of a 3-degree warmer world</w:t>
      </w:r>
      <w:r w:rsidRPr="00F41E10">
        <w:rPr>
          <w:rFonts w:asciiTheme="minorHAnsi" w:hAnsiTheme="minorHAnsi" w:cstheme="minorHAnsi"/>
          <w:sz w:val="18"/>
          <w:szCs w:val="18"/>
        </w:rPr>
        <w:t>.</w:t>
      </w:r>
    </w:p>
    <w:p w14:paraId="32FD6661" w14:textId="77777777" w:rsidR="00C65183" w:rsidRPr="00F41E10" w:rsidRDefault="00C65183" w:rsidP="00C65183">
      <w:pPr>
        <w:spacing w:after="60"/>
        <w:jc w:val="both"/>
        <w:rPr>
          <w:rFonts w:asciiTheme="minorHAnsi" w:hAnsiTheme="minorHAnsi" w:cstheme="minorHAnsi"/>
          <w:sz w:val="18"/>
          <w:szCs w:val="18"/>
        </w:rPr>
      </w:pPr>
      <w:r w:rsidRPr="00F41E10">
        <w:rPr>
          <w:rFonts w:asciiTheme="minorHAnsi" w:hAnsiTheme="minorHAnsi" w:cstheme="minorHAnsi"/>
          <w:sz w:val="18"/>
          <w:szCs w:val="18"/>
        </w:rPr>
        <w:t xml:space="preserve">48.  Lenton, T.M., Rockström, J., Gaffney, O., Rahmstorf, S., Richardson, K., Steffen, W. and Schellnhuber, H.J. (2019). Climate tipping points — too risky to bet against. </w:t>
      </w:r>
      <w:r w:rsidRPr="00F41E10">
        <w:rPr>
          <w:rFonts w:asciiTheme="minorHAnsi" w:hAnsiTheme="minorHAnsi" w:cstheme="minorHAnsi"/>
          <w:sz w:val="18"/>
          <w:szCs w:val="18"/>
          <w:u w:val="single"/>
        </w:rPr>
        <w:t>Nature</w:t>
      </w:r>
      <w:r w:rsidRPr="00F41E10">
        <w:rPr>
          <w:rFonts w:asciiTheme="minorHAnsi" w:hAnsiTheme="minorHAnsi" w:cstheme="minorHAnsi"/>
          <w:sz w:val="18"/>
          <w:szCs w:val="18"/>
        </w:rPr>
        <w:t>. 27 November 2019.</w:t>
      </w:r>
    </w:p>
    <w:p w14:paraId="3E4D53C8" w14:textId="77777777" w:rsidR="00C65183" w:rsidRPr="00F41E10" w:rsidRDefault="00C65183" w:rsidP="00C65183">
      <w:pPr>
        <w:spacing w:after="60"/>
        <w:jc w:val="both"/>
        <w:rPr>
          <w:rFonts w:asciiTheme="minorHAnsi" w:hAnsiTheme="minorHAnsi" w:cstheme="minorHAnsi"/>
          <w:sz w:val="18"/>
          <w:szCs w:val="18"/>
        </w:rPr>
      </w:pPr>
      <w:r w:rsidRPr="00F41E10">
        <w:rPr>
          <w:rFonts w:asciiTheme="minorHAnsi" w:hAnsiTheme="minorHAnsi" w:cstheme="minorHAnsi"/>
          <w:sz w:val="18"/>
          <w:szCs w:val="18"/>
        </w:rPr>
        <w:t xml:space="preserve">51. IPBES (2019): </w:t>
      </w:r>
      <w:r w:rsidRPr="00F41E10">
        <w:rPr>
          <w:rFonts w:asciiTheme="minorHAnsi" w:hAnsiTheme="minorHAnsi" w:cstheme="minorHAnsi"/>
          <w:sz w:val="18"/>
          <w:szCs w:val="18"/>
          <w:u w:val="single"/>
        </w:rPr>
        <w:t>Global assessment report on biodiversity and ecosystem services of the Intergovernmental Science-Policy Platform on Biodiversity and Ecosystem Services</w:t>
      </w:r>
      <w:r w:rsidRPr="00F41E10">
        <w:rPr>
          <w:rFonts w:asciiTheme="minorHAnsi" w:hAnsiTheme="minorHAnsi" w:cstheme="minorHAnsi"/>
          <w:sz w:val="18"/>
          <w:szCs w:val="18"/>
        </w:rPr>
        <w:t xml:space="preserve">. E. S. Brondizio, J. Settele, S. Díaz, and H. T. Ngo (editors). IPBES secretariat, Bonn, Germany. </w:t>
      </w:r>
    </w:p>
    <w:p w14:paraId="3793F081" w14:textId="77777777" w:rsidR="00C65183" w:rsidRPr="00F41E10" w:rsidRDefault="00C65183" w:rsidP="00C65183">
      <w:pPr>
        <w:spacing w:after="60"/>
        <w:jc w:val="both"/>
        <w:rPr>
          <w:rFonts w:asciiTheme="minorHAnsi" w:hAnsiTheme="minorHAnsi" w:cstheme="minorHAnsi"/>
          <w:sz w:val="18"/>
          <w:szCs w:val="18"/>
        </w:rPr>
      </w:pPr>
      <w:r w:rsidRPr="00F41E10">
        <w:rPr>
          <w:rFonts w:asciiTheme="minorHAnsi" w:hAnsiTheme="minorHAnsi" w:cstheme="minorHAnsi"/>
          <w:sz w:val="18"/>
          <w:szCs w:val="18"/>
        </w:rPr>
        <w:t xml:space="preserve">53. Deloitte Access Economics (2020). </w:t>
      </w:r>
      <w:r w:rsidRPr="00F41E10">
        <w:rPr>
          <w:rFonts w:asciiTheme="minorHAnsi" w:hAnsiTheme="minorHAnsi" w:cstheme="minorHAnsi"/>
          <w:sz w:val="18"/>
          <w:szCs w:val="18"/>
          <w:u w:val="single"/>
        </w:rPr>
        <w:t>At what price? The economic, social and icon value of the Great Barrier Reef</w:t>
      </w:r>
      <w:r w:rsidRPr="00F41E10">
        <w:rPr>
          <w:rFonts w:asciiTheme="minorHAnsi" w:hAnsiTheme="minorHAnsi" w:cstheme="minorHAnsi"/>
          <w:sz w:val="18"/>
          <w:szCs w:val="18"/>
        </w:rPr>
        <w:t>. Great Barrier Reef Foundation.</w:t>
      </w:r>
    </w:p>
    <w:p w14:paraId="417E5E54" w14:textId="77777777" w:rsidR="00C65183" w:rsidRPr="00F41E10" w:rsidRDefault="00C65183" w:rsidP="00C65183">
      <w:pPr>
        <w:spacing w:after="60"/>
        <w:jc w:val="both"/>
        <w:rPr>
          <w:rFonts w:asciiTheme="minorHAnsi" w:hAnsiTheme="minorHAnsi" w:cstheme="minorHAnsi"/>
          <w:sz w:val="18"/>
          <w:szCs w:val="18"/>
        </w:rPr>
      </w:pPr>
      <w:r w:rsidRPr="00F41E10">
        <w:rPr>
          <w:rFonts w:asciiTheme="minorHAnsi" w:hAnsiTheme="minorHAnsi" w:cstheme="minorHAnsi"/>
          <w:sz w:val="18"/>
          <w:szCs w:val="18"/>
        </w:rPr>
        <w:t xml:space="preserve">54. Hughes, L., Stock, P., Brailsford, L. and Alexander, D. (2018). </w:t>
      </w:r>
      <w:r w:rsidRPr="00F41E10">
        <w:rPr>
          <w:rFonts w:asciiTheme="minorHAnsi" w:hAnsiTheme="minorHAnsi" w:cstheme="minorHAnsi"/>
          <w:sz w:val="18"/>
          <w:szCs w:val="18"/>
          <w:u w:val="single"/>
        </w:rPr>
        <w:t>Icons at Risk: Climate Change Threatening Australian Tourism. Climate Council</w:t>
      </w:r>
      <w:r w:rsidRPr="00F41E10">
        <w:rPr>
          <w:rFonts w:asciiTheme="minorHAnsi" w:hAnsiTheme="minorHAnsi" w:cstheme="minorHAnsi"/>
          <w:sz w:val="18"/>
          <w:szCs w:val="18"/>
        </w:rPr>
        <w:t xml:space="preserve">. </w:t>
      </w:r>
    </w:p>
    <w:p w14:paraId="27F591B6" w14:textId="77777777" w:rsidR="00C65183" w:rsidRPr="00F41E10" w:rsidRDefault="00C65183" w:rsidP="00C65183">
      <w:pPr>
        <w:spacing w:after="60"/>
        <w:jc w:val="both"/>
        <w:rPr>
          <w:rFonts w:asciiTheme="minorHAnsi" w:hAnsiTheme="minorHAnsi" w:cstheme="minorHAnsi"/>
          <w:sz w:val="18"/>
          <w:szCs w:val="18"/>
        </w:rPr>
      </w:pPr>
      <w:r w:rsidRPr="00F41E10">
        <w:rPr>
          <w:rFonts w:asciiTheme="minorHAnsi" w:hAnsiTheme="minorHAnsi" w:cstheme="minorHAnsi"/>
          <w:sz w:val="18"/>
          <w:szCs w:val="18"/>
        </w:rPr>
        <w:t xml:space="preserve">55. Guillebaud, J. and Hayes P. (2008). Population growth and climate change </w:t>
      </w:r>
      <w:r w:rsidRPr="00F41E10">
        <w:rPr>
          <w:rFonts w:asciiTheme="minorHAnsi" w:hAnsiTheme="minorHAnsi" w:cstheme="minorHAnsi"/>
          <w:sz w:val="18"/>
          <w:szCs w:val="18"/>
          <w:u w:val="single"/>
        </w:rPr>
        <w:t>British Medical Journal</w:t>
      </w:r>
      <w:r w:rsidRPr="00F41E10">
        <w:rPr>
          <w:rFonts w:asciiTheme="minorHAnsi" w:hAnsiTheme="minorHAnsi" w:cstheme="minorHAnsi"/>
          <w:sz w:val="18"/>
          <w:szCs w:val="18"/>
        </w:rPr>
        <w:t>. 2008;337:a576</w:t>
      </w:r>
    </w:p>
    <w:p w14:paraId="12E3BAC0" w14:textId="77777777" w:rsidR="00C65183" w:rsidRPr="00F41E10" w:rsidRDefault="00C65183" w:rsidP="00C65183">
      <w:pPr>
        <w:spacing w:after="60"/>
        <w:jc w:val="both"/>
        <w:rPr>
          <w:rFonts w:asciiTheme="minorHAnsi" w:hAnsiTheme="minorHAnsi" w:cstheme="minorHAnsi"/>
          <w:sz w:val="18"/>
          <w:szCs w:val="18"/>
        </w:rPr>
      </w:pPr>
      <w:r w:rsidRPr="00F41E10">
        <w:rPr>
          <w:rFonts w:asciiTheme="minorHAnsi" w:hAnsiTheme="minorHAnsi" w:cstheme="minorHAnsi"/>
          <w:sz w:val="18"/>
          <w:szCs w:val="18"/>
        </w:rPr>
        <w:t xml:space="preserve">66. Beaudry, E. and McKay, F. (2020). How are Victorian Local Governments' responding to climate change and food insecurity? </w:t>
      </w:r>
      <w:r w:rsidRPr="00F41E10">
        <w:rPr>
          <w:rFonts w:asciiTheme="minorHAnsi" w:hAnsiTheme="minorHAnsi" w:cstheme="minorHAnsi"/>
          <w:sz w:val="18"/>
          <w:szCs w:val="18"/>
          <w:u w:val="single"/>
        </w:rPr>
        <w:t>Health Promotion Journal of Australia</w:t>
      </w:r>
      <w:r w:rsidRPr="00F41E10">
        <w:rPr>
          <w:rFonts w:asciiTheme="minorHAnsi" w:hAnsiTheme="minorHAnsi" w:cstheme="minorHAnsi"/>
          <w:sz w:val="18"/>
          <w:szCs w:val="18"/>
        </w:rPr>
        <w:t>. Vol. 32, No. 1.</w:t>
      </w:r>
    </w:p>
    <w:p w14:paraId="4580241A" w14:textId="77777777" w:rsidR="00C65183" w:rsidRPr="00F41E10" w:rsidRDefault="00C65183" w:rsidP="00C65183">
      <w:pPr>
        <w:spacing w:after="60"/>
        <w:jc w:val="both"/>
        <w:rPr>
          <w:rFonts w:asciiTheme="minorHAnsi" w:hAnsiTheme="minorHAnsi" w:cstheme="minorHAnsi"/>
          <w:sz w:val="18"/>
          <w:szCs w:val="18"/>
        </w:rPr>
      </w:pPr>
      <w:r w:rsidRPr="00F41E10">
        <w:rPr>
          <w:rFonts w:asciiTheme="minorHAnsi" w:hAnsiTheme="minorHAnsi" w:cstheme="minorHAnsi"/>
          <w:sz w:val="18"/>
          <w:szCs w:val="18"/>
        </w:rPr>
        <w:t xml:space="preserve">67. Dixon, J., Donati, K.J., Pike, L.L. and Hattersley, L. (2009). Functional foods and urban agriculture: two responses to climate change-related food insecurity. </w:t>
      </w:r>
      <w:r w:rsidRPr="00F41E10">
        <w:rPr>
          <w:rFonts w:asciiTheme="minorHAnsi" w:hAnsiTheme="minorHAnsi" w:cstheme="minorHAnsi"/>
          <w:sz w:val="18"/>
          <w:szCs w:val="18"/>
          <w:u w:val="single"/>
        </w:rPr>
        <w:t>NSW Public Health Bulletin.</w:t>
      </w:r>
      <w:r w:rsidRPr="00F41E10">
        <w:rPr>
          <w:rFonts w:asciiTheme="minorHAnsi" w:hAnsiTheme="minorHAnsi" w:cstheme="minorHAnsi"/>
          <w:sz w:val="18"/>
          <w:szCs w:val="18"/>
        </w:rPr>
        <w:t xml:space="preserve"> Vol. 20(2), pp. 14-18.</w:t>
      </w:r>
    </w:p>
    <w:p w14:paraId="5FF5D6CE" w14:textId="77777777" w:rsidR="00C65183" w:rsidRPr="00F41E10" w:rsidRDefault="00C65183" w:rsidP="00C65183">
      <w:pPr>
        <w:spacing w:after="60"/>
        <w:jc w:val="both"/>
        <w:rPr>
          <w:rFonts w:asciiTheme="minorHAnsi" w:hAnsiTheme="minorHAnsi" w:cstheme="minorHAnsi"/>
          <w:sz w:val="18"/>
          <w:szCs w:val="18"/>
        </w:rPr>
      </w:pPr>
      <w:r w:rsidRPr="00F41E10">
        <w:rPr>
          <w:rFonts w:asciiTheme="minorHAnsi" w:hAnsiTheme="minorHAnsi" w:cstheme="minorHAnsi"/>
          <w:sz w:val="18"/>
          <w:szCs w:val="18"/>
        </w:rPr>
        <w:t xml:space="preserve">72. Paz, S. (2015). Climate change impacts on West Nile virus transmission in a global context. </w:t>
      </w:r>
      <w:r w:rsidRPr="00F41E10">
        <w:rPr>
          <w:rFonts w:asciiTheme="minorHAnsi" w:hAnsiTheme="minorHAnsi" w:cstheme="minorHAnsi"/>
          <w:sz w:val="18"/>
          <w:szCs w:val="18"/>
          <w:u w:val="single"/>
        </w:rPr>
        <w:t>Philos Trans R Soc Lond B Biol Sci</w:t>
      </w:r>
      <w:r w:rsidRPr="00F41E10">
        <w:rPr>
          <w:rFonts w:asciiTheme="minorHAnsi" w:hAnsiTheme="minorHAnsi" w:cstheme="minorHAnsi"/>
          <w:sz w:val="18"/>
          <w:szCs w:val="18"/>
        </w:rPr>
        <w:t>. 2015 Apr 5; 370.</w:t>
      </w:r>
    </w:p>
    <w:p w14:paraId="753E831C" w14:textId="77777777" w:rsidR="00C65183" w:rsidRPr="00F41E10" w:rsidRDefault="00C65183" w:rsidP="00C65183">
      <w:pPr>
        <w:spacing w:after="60"/>
        <w:jc w:val="both"/>
        <w:rPr>
          <w:rFonts w:asciiTheme="minorHAnsi" w:hAnsiTheme="minorHAnsi" w:cstheme="minorHAnsi"/>
          <w:sz w:val="18"/>
          <w:szCs w:val="18"/>
        </w:rPr>
      </w:pPr>
      <w:r w:rsidRPr="00F41E10">
        <w:rPr>
          <w:rFonts w:asciiTheme="minorHAnsi" w:hAnsiTheme="minorHAnsi" w:cstheme="minorHAnsi"/>
          <w:sz w:val="18"/>
          <w:szCs w:val="18"/>
        </w:rPr>
        <w:t xml:space="preserve">73. Kulp, S. and Strauss, B.H. (2019). New elevation data triple estimates of global vulnerability to sea-level rise and coastal flooding. </w:t>
      </w:r>
      <w:r w:rsidRPr="00F41E10">
        <w:rPr>
          <w:rFonts w:asciiTheme="minorHAnsi" w:hAnsiTheme="minorHAnsi" w:cstheme="minorHAnsi"/>
          <w:sz w:val="18"/>
          <w:szCs w:val="18"/>
          <w:u w:val="single"/>
        </w:rPr>
        <w:t xml:space="preserve">Nature Communications. </w:t>
      </w:r>
      <w:r w:rsidRPr="00F41E10">
        <w:rPr>
          <w:rFonts w:asciiTheme="minorHAnsi" w:hAnsiTheme="minorHAnsi" w:cstheme="minorHAnsi"/>
          <w:sz w:val="18"/>
          <w:szCs w:val="18"/>
        </w:rPr>
        <w:t>Volume 10.</w:t>
      </w:r>
    </w:p>
    <w:p w14:paraId="7A38C70C" w14:textId="77777777" w:rsidR="00C65183" w:rsidRPr="00F41E10" w:rsidRDefault="00C65183" w:rsidP="00C65183">
      <w:pPr>
        <w:spacing w:after="60"/>
        <w:jc w:val="both"/>
        <w:rPr>
          <w:rFonts w:asciiTheme="minorHAnsi" w:hAnsiTheme="minorHAnsi" w:cstheme="minorHAnsi"/>
          <w:sz w:val="18"/>
          <w:szCs w:val="18"/>
        </w:rPr>
      </w:pPr>
      <w:r w:rsidRPr="00F41E10">
        <w:rPr>
          <w:rFonts w:asciiTheme="minorHAnsi" w:hAnsiTheme="minorHAnsi" w:cstheme="minorHAnsi"/>
          <w:sz w:val="18"/>
          <w:szCs w:val="18"/>
        </w:rPr>
        <w:t xml:space="preserve">75. Mimura, N. (1999). Vulnerability of island countries in the South Pacific to sea level rise. </w:t>
      </w:r>
      <w:r w:rsidRPr="00F41E10">
        <w:rPr>
          <w:rFonts w:asciiTheme="minorHAnsi" w:hAnsiTheme="minorHAnsi" w:cstheme="minorHAnsi"/>
          <w:sz w:val="18"/>
          <w:szCs w:val="18"/>
          <w:u w:val="single"/>
        </w:rPr>
        <w:t>Climate Change</w:t>
      </w:r>
      <w:r w:rsidRPr="00F41E10">
        <w:rPr>
          <w:rFonts w:asciiTheme="minorHAnsi" w:hAnsiTheme="minorHAnsi" w:cstheme="minorHAnsi"/>
          <w:sz w:val="18"/>
          <w:szCs w:val="18"/>
        </w:rPr>
        <w:t>. Vol. 12, pp. 137–143.</w:t>
      </w:r>
    </w:p>
    <w:p w14:paraId="6F391D8E" w14:textId="77777777" w:rsidR="00C65183" w:rsidRPr="00F41E10" w:rsidRDefault="00C65183" w:rsidP="00C65183">
      <w:pPr>
        <w:spacing w:after="60"/>
        <w:jc w:val="both"/>
        <w:rPr>
          <w:rFonts w:asciiTheme="minorHAnsi" w:hAnsiTheme="minorHAnsi" w:cstheme="minorHAnsi"/>
          <w:sz w:val="18"/>
          <w:szCs w:val="18"/>
        </w:rPr>
      </w:pPr>
      <w:r w:rsidRPr="00F41E10">
        <w:rPr>
          <w:rFonts w:asciiTheme="minorHAnsi" w:hAnsiTheme="minorHAnsi" w:cstheme="minorHAnsi"/>
          <w:sz w:val="18"/>
          <w:szCs w:val="18"/>
        </w:rPr>
        <w:t xml:space="preserve">76. Pacific Coastal and Marine Science Center (2020. </w:t>
      </w:r>
      <w:r w:rsidRPr="00F41E10">
        <w:rPr>
          <w:rFonts w:asciiTheme="minorHAnsi" w:hAnsiTheme="minorHAnsi" w:cstheme="minorHAnsi"/>
          <w:sz w:val="18"/>
          <w:szCs w:val="18"/>
          <w:u w:val="single"/>
        </w:rPr>
        <w:t>The Impact of Sea-Level Rise and Climate Change on Pacific Ocean Atolls.</w:t>
      </w:r>
      <w:r w:rsidRPr="00F41E10">
        <w:rPr>
          <w:rFonts w:asciiTheme="minorHAnsi" w:hAnsiTheme="minorHAnsi" w:cstheme="minorHAnsi"/>
          <w:sz w:val="18"/>
          <w:szCs w:val="18"/>
        </w:rPr>
        <w:t xml:space="preserve"> US Geological Survey.</w:t>
      </w:r>
    </w:p>
    <w:p w14:paraId="7D2FB6B6" w14:textId="77777777" w:rsidR="00C65183" w:rsidRPr="00F41E10" w:rsidRDefault="00C65183" w:rsidP="00C65183">
      <w:pPr>
        <w:spacing w:after="60"/>
        <w:jc w:val="both"/>
        <w:rPr>
          <w:rFonts w:asciiTheme="minorHAnsi" w:hAnsiTheme="minorHAnsi" w:cstheme="minorHAnsi"/>
          <w:sz w:val="18"/>
          <w:szCs w:val="18"/>
        </w:rPr>
      </w:pPr>
      <w:r w:rsidRPr="00F41E10">
        <w:rPr>
          <w:rFonts w:asciiTheme="minorHAnsi" w:hAnsiTheme="minorHAnsi" w:cstheme="minorHAnsi"/>
          <w:sz w:val="18"/>
          <w:szCs w:val="18"/>
        </w:rPr>
        <w:t>77. Chaudary, C., Richardson., A.J., Scoeman., D.S. and Costello, M.J (2021). Global warming is causing a more pronounced dip in species richness around the equator</w:t>
      </w:r>
      <w:r w:rsidRPr="00F41E10">
        <w:rPr>
          <w:rFonts w:asciiTheme="minorHAnsi" w:hAnsiTheme="minorHAnsi" w:cstheme="minorHAnsi"/>
          <w:sz w:val="18"/>
          <w:szCs w:val="18"/>
          <w:u w:val="single"/>
        </w:rPr>
        <w:t>. Proceedings of the National Academy of Sciences of the United States of America.</w:t>
      </w:r>
      <w:r w:rsidRPr="00F41E10">
        <w:rPr>
          <w:rFonts w:asciiTheme="minorHAnsi" w:hAnsiTheme="minorHAnsi" w:cstheme="minorHAnsi"/>
          <w:sz w:val="18"/>
          <w:szCs w:val="18"/>
        </w:rPr>
        <w:t xml:space="preserve"> Vol. 118, No. 15.</w:t>
      </w:r>
    </w:p>
    <w:p w14:paraId="2A815423" w14:textId="77777777" w:rsidR="00C65183" w:rsidRPr="00F41E10" w:rsidRDefault="00C65183" w:rsidP="00C65183">
      <w:pPr>
        <w:spacing w:after="60"/>
        <w:jc w:val="both"/>
        <w:rPr>
          <w:rFonts w:asciiTheme="minorHAnsi" w:hAnsiTheme="minorHAnsi" w:cstheme="minorHAnsi"/>
          <w:sz w:val="18"/>
          <w:szCs w:val="18"/>
        </w:rPr>
      </w:pPr>
      <w:r w:rsidRPr="00F41E10">
        <w:rPr>
          <w:rFonts w:asciiTheme="minorHAnsi" w:hAnsiTheme="minorHAnsi" w:cstheme="minorHAnsi"/>
          <w:sz w:val="18"/>
          <w:szCs w:val="18"/>
        </w:rPr>
        <w:t xml:space="preserve">78. Gerard, M., Vanderplanck, M, Wood, T. and Michez, D. (2020). Global warming and plant–pollinator mismatches. </w:t>
      </w:r>
      <w:hyperlink r:id="rId322" w:history="1">
        <w:r w:rsidRPr="00F41E10">
          <w:rPr>
            <w:rFonts w:asciiTheme="minorHAnsi" w:hAnsiTheme="minorHAnsi" w:cstheme="minorHAnsi"/>
            <w:sz w:val="18"/>
            <w:szCs w:val="18"/>
            <w:u w:val="single"/>
          </w:rPr>
          <w:t>Emerg Top Life Sci</w:t>
        </w:r>
        <w:r w:rsidRPr="00F41E10">
          <w:rPr>
            <w:rFonts w:asciiTheme="minorHAnsi" w:hAnsiTheme="minorHAnsi" w:cstheme="minorHAnsi"/>
            <w:sz w:val="18"/>
            <w:szCs w:val="18"/>
          </w:rPr>
          <w:t>.</w:t>
        </w:r>
      </w:hyperlink>
      <w:r w:rsidRPr="00F41E10">
        <w:rPr>
          <w:rFonts w:asciiTheme="minorHAnsi" w:hAnsiTheme="minorHAnsi" w:cstheme="minorHAnsi"/>
          <w:sz w:val="18"/>
          <w:szCs w:val="18"/>
        </w:rPr>
        <w:t xml:space="preserve"> 2020 Jul 2; Vol. 4, No. 1, pp. 77–86.</w:t>
      </w:r>
    </w:p>
    <w:p w14:paraId="3E858B78" w14:textId="77777777" w:rsidR="00C65183" w:rsidRPr="00F41E10" w:rsidRDefault="00C65183" w:rsidP="00C65183">
      <w:pPr>
        <w:spacing w:after="60"/>
        <w:jc w:val="both"/>
        <w:rPr>
          <w:rFonts w:asciiTheme="minorHAnsi" w:hAnsiTheme="minorHAnsi" w:cstheme="minorHAnsi"/>
          <w:sz w:val="18"/>
          <w:szCs w:val="18"/>
        </w:rPr>
      </w:pPr>
      <w:r w:rsidRPr="00F41E10">
        <w:rPr>
          <w:rFonts w:asciiTheme="minorHAnsi" w:hAnsiTheme="minorHAnsi" w:cstheme="minorHAnsi"/>
          <w:sz w:val="18"/>
          <w:szCs w:val="18"/>
        </w:rPr>
        <w:t xml:space="preserve">79. IPCC (2014): Climate Change 2014: </w:t>
      </w:r>
      <w:r w:rsidRPr="00F41E10">
        <w:rPr>
          <w:rFonts w:asciiTheme="minorHAnsi" w:hAnsiTheme="minorHAnsi" w:cstheme="minorHAnsi"/>
          <w:sz w:val="18"/>
          <w:szCs w:val="18"/>
          <w:u w:val="single"/>
        </w:rPr>
        <w:t>Synthesis Report. Contribution of Working Groups I, II and III to the Fifth Assessment Report of the Intergovernmental Panel on Climate Change</w:t>
      </w:r>
      <w:r w:rsidRPr="00F41E10">
        <w:rPr>
          <w:rFonts w:asciiTheme="minorHAnsi" w:hAnsiTheme="minorHAnsi" w:cstheme="minorHAnsi"/>
          <w:sz w:val="18"/>
          <w:szCs w:val="18"/>
        </w:rPr>
        <w:t>. IPCC, Geneva, Switzerland.</w:t>
      </w:r>
    </w:p>
    <w:p w14:paraId="244462BF" w14:textId="77777777" w:rsidR="00C65183" w:rsidRPr="00F41E10" w:rsidRDefault="00C65183" w:rsidP="00C65183">
      <w:pPr>
        <w:spacing w:after="60"/>
        <w:jc w:val="both"/>
        <w:rPr>
          <w:rFonts w:asciiTheme="minorHAnsi" w:hAnsiTheme="minorHAnsi" w:cstheme="minorHAnsi"/>
          <w:sz w:val="18"/>
          <w:szCs w:val="18"/>
        </w:rPr>
      </w:pPr>
      <w:r w:rsidRPr="00F41E10">
        <w:rPr>
          <w:rFonts w:asciiTheme="minorHAnsi" w:hAnsiTheme="minorHAnsi" w:cstheme="minorHAnsi"/>
          <w:sz w:val="18"/>
          <w:szCs w:val="18"/>
        </w:rPr>
        <w:t xml:space="preserve">80. Bebber, D.P., Ramotowski, M. and Gurr, S.J. (2013). Crop pests and pathogens move polewards in a warming world. </w:t>
      </w:r>
      <w:r w:rsidRPr="00F41E10">
        <w:rPr>
          <w:rFonts w:asciiTheme="minorHAnsi" w:hAnsiTheme="minorHAnsi" w:cstheme="minorHAnsi"/>
          <w:sz w:val="18"/>
          <w:szCs w:val="18"/>
          <w:u w:val="single"/>
        </w:rPr>
        <w:t>Nature Climate Change</w:t>
      </w:r>
      <w:r w:rsidRPr="00F41E10">
        <w:rPr>
          <w:rFonts w:asciiTheme="minorHAnsi" w:hAnsiTheme="minorHAnsi" w:cstheme="minorHAnsi"/>
          <w:sz w:val="18"/>
          <w:szCs w:val="18"/>
        </w:rPr>
        <w:t>. Vol. 1 Sept., 2013.</w:t>
      </w:r>
    </w:p>
    <w:p w14:paraId="6E8CFF4B" w14:textId="77777777" w:rsidR="00C65183" w:rsidRPr="00F41E10" w:rsidRDefault="00C65183" w:rsidP="00C65183">
      <w:pPr>
        <w:spacing w:after="60"/>
        <w:jc w:val="both"/>
        <w:rPr>
          <w:rFonts w:asciiTheme="minorHAnsi" w:hAnsiTheme="minorHAnsi" w:cstheme="minorHAnsi"/>
          <w:sz w:val="18"/>
          <w:szCs w:val="18"/>
        </w:rPr>
      </w:pPr>
      <w:r w:rsidRPr="00F41E10">
        <w:rPr>
          <w:rFonts w:asciiTheme="minorHAnsi" w:hAnsiTheme="minorHAnsi" w:cstheme="minorHAnsi"/>
          <w:sz w:val="18"/>
          <w:szCs w:val="18"/>
        </w:rPr>
        <w:t xml:space="preserve">81. Holmes, T. and Gurr, S.J. (2014). The Global Spread of Crop Pests and Pathogens. </w:t>
      </w:r>
      <w:r w:rsidRPr="00F41E10">
        <w:rPr>
          <w:rFonts w:asciiTheme="minorHAnsi" w:hAnsiTheme="minorHAnsi" w:cstheme="minorHAnsi"/>
          <w:sz w:val="18"/>
          <w:szCs w:val="18"/>
          <w:u w:val="single"/>
        </w:rPr>
        <w:t>Global Ecology and Biogeography</w:t>
      </w:r>
      <w:r w:rsidRPr="00F41E10">
        <w:rPr>
          <w:rFonts w:asciiTheme="minorHAnsi" w:hAnsiTheme="minorHAnsi" w:cstheme="minorHAnsi"/>
          <w:sz w:val="18"/>
          <w:szCs w:val="18"/>
        </w:rPr>
        <w:t>. Vol. 23, pp. 1398–1407.</w:t>
      </w:r>
    </w:p>
    <w:p w14:paraId="322ACC25" w14:textId="77777777" w:rsidR="00C65183" w:rsidRPr="00F41E10" w:rsidRDefault="00C65183" w:rsidP="00C65183">
      <w:pPr>
        <w:spacing w:after="60"/>
        <w:jc w:val="both"/>
        <w:rPr>
          <w:rFonts w:asciiTheme="minorHAnsi" w:hAnsiTheme="minorHAnsi" w:cstheme="minorHAnsi"/>
          <w:sz w:val="18"/>
          <w:szCs w:val="18"/>
        </w:rPr>
      </w:pPr>
      <w:r w:rsidRPr="00F41E10">
        <w:rPr>
          <w:rFonts w:asciiTheme="minorHAnsi" w:hAnsiTheme="minorHAnsi" w:cstheme="minorHAnsi"/>
          <w:sz w:val="18"/>
          <w:szCs w:val="18"/>
        </w:rPr>
        <w:t xml:space="preserve">83. Australian Government Bureau of Meteorology (2009). </w:t>
      </w:r>
      <w:r w:rsidRPr="00F41E10">
        <w:rPr>
          <w:rFonts w:asciiTheme="minorHAnsi" w:hAnsiTheme="minorHAnsi" w:cstheme="minorHAnsi"/>
          <w:sz w:val="18"/>
          <w:szCs w:val="18"/>
          <w:u w:val="single"/>
        </w:rPr>
        <w:t>The exceptional January-February 2009 heatwave in south-eastern Australia</w:t>
      </w:r>
      <w:r w:rsidRPr="00F41E10">
        <w:rPr>
          <w:rFonts w:asciiTheme="minorHAnsi" w:hAnsiTheme="minorHAnsi" w:cstheme="minorHAnsi"/>
          <w:sz w:val="18"/>
          <w:szCs w:val="18"/>
        </w:rPr>
        <w:t xml:space="preserve">. </w:t>
      </w:r>
    </w:p>
    <w:p w14:paraId="2EE6707F" w14:textId="77777777" w:rsidR="00C65183" w:rsidRPr="00F41E10" w:rsidRDefault="00C65183" w:rsidP="00C65183">
      <w:pPr>
        <w:spacing w:after="60"/>
        <w:jc w:val="both"/>
        <w:rPr>
          <w:rFonts w:asciiTheme="minorHAnsi" w:hAnsiTheme="minorHAnsi" w:cstheme="minorHAnsi"/>
          <w:sz w:val="18"/>
          <w:szCs w:val="18"/>
        </w:rPr>
      </w:pPr>
      <w:r w:rsidRPr="00F41E10">
        <w:rPr>
          <w:rFonts w:asciiTheme="minorHAnsi" w:hAnsiTheme="minorHAnsi" w:cstheme="minorHAnsi"/>
          <w:sz w:val="18"/>
          <w:szCs w:val="18"/>
        </w:rPr>
        <w:t xml:space="preserve">85. Rafferty, J.P. (undated). </w:t>
      </w:r>
      <w:r w:rsidRPr="00F41E10">
        <w:rPr>
          <w:rFonts w:asciiTheme="minorHAnsi" w:hAnsiTheme="minorHAnsi" w:cstheme="minorHAnsi"/>
          <w:sz w:val="18"/>
          <w:szCs w:val="18"/>
          <w:u w:val="single"/>
        </w:rPr>
        <w:t>Do Fossil Fuels Really Come from Fossils?</w:t>
      </w:r>
      <w:r w:rsidRPr="00F41E10">
        <w:rPr>
          <w:rFonts w:asciiTheme="minorHAnsi" w:hAnsiTheme="minorHAnsi" w:cstheme="minorHAnsi"/>
          <w:sz w:val="18"/>
          <w:szCs w:val="18"/>
        </w:rPr>
        <w:t xml:space="preserve"> Britannica.</w:t>
      </w:r>
    </w:p>
    <w:p w14:paraId="597695CC" w14:textId="77777777" w:rsidR="00C65183" w:rsidRPr="00F41E10" w:rsidRDefault="00C65183" w:rsidP="00C65183">
      <w:pPr>
        <w:spacing w:after="60"/>
        <w:jc w:val="both"/>
        <w:rPr>
          <w:rFonts w:asciiTheme="minorHAnsi" w:hAnsiTheme="minorHAnsi" w:cstheme="minorHAnsi"/>
          <w:sz w:val="18"/>
          <w:szCs w:val="18"/>
        </w:rPr>
      </w:pPr>
      <w:r w:rsidRPr="00F41E10">
        <w:rPr>
          <w:rFonts w:asciiTheme="minorHAnsi" w:hAnsiTheme="minorHAnsi" w:cstheme="minorHAnsi"/>
          <w:sz w:val="18"/>
          <w:szCs w:val="18"/>
        </w:rPr>
        <w:t xml:space="preserve">87. Wrigley, E.A. (2013). </w:t>
      </w:r>
      <w:r w:rsidRPr="00F41E10">
        <w:rPr>
          <w:rFonts w:asciiTheme="minorHAnsi" w:hAnsiTheme="minorHAnsi" w:cstheme="minorHAnsi"/>
          <w:sz w:val="18"/>
          <w:szCs w:val="18"/>
          <w:u w:val="single"/>
        </w:rPr>
        <w:t>Energy and the English Industrial Revolution</w:t>
      </w:r>
      <w:r w:rsidRPr="00F41E10">
        <w:rPr>
          <w:rFonts w:asciiTheme="minorHAnsi" w:hAnsiTheme="minorHAnsi" w:cstheme="minorHAnsi"/>
          <w:sz w:val="18"/>
          <w:szCs w:val="18"/>
        </w:rPr>
        <w:t>. Philosophical Transactions of the Royal Society.</w:t>
      </w:r>
    </w:p>
    <w:p w14:paraId="355D8EE6" w14:textId="77777777" w:rsidR="00C65183" w:rsidRPr="00F41E10" w:rsidRDefault="00C65183" w:rsidP="00C65183">
      <w:pPr>
        <w:spacing w:after="60"/>
        <w:jc w:val="both"/>
        <w:rPr>
          <w:rFonts w:asciiTheme="minorHAnsi" w:hAnsiTheme="minorHAnsi" w:cstheme="minorHAnsi"/>
          <w:sz w:val="18"/>
          <w:szCs w:val="18"/>
        </w:rPr>
      </w:pPr>
      <w:r w:rsidRPr="00F41E10">
        <w:rPr>
          <w:rFonts w:asciiTheme="minorHAnsi" w:hAnsiTheme="minorHAnsi" w:cstheme="minorHAnsi"/>
          <w:sz w:val="18"/>
          <w:szCs w:val="18"/>
        </w:rPr>
        <w:t xml:space="preserve">88. Geoscience Australia (undated). </w:t>
      </w:r>
      <w:r w:rsidRPr="00F41E10">
        <w:rPr>
          <w:rFonts w:asciiTheme="minorHAnsi" w:hAnsiTheme="minorHAnsi" w:cstheme="minorHAnsi"/>
          <w:sz w:val="18"/>
          <w:szCs w:val="18"/>
          <w:u w:val="single"/>
        </w:rPr>
        <w:t>Australia’s Energy Production, Consumption and Exports</w:t>
      </w:r>
      <w:r w:rsidRPr="00F41E10">
        <w:rPr>
          <w:rFonts w:asciiTheme="minorHAnsi" w:hAnsiTheme="minorHAnsi" w:cstheme="minorHAnsi"/>
          <w:sz w:val="18"/>
          <w:szCs w:val="18"/>
        </w:rPr>
        <w:t xml:space="preserve">. </w:t>
      </w:r>
    </w:p>
    <w:p w14:paraId="613FD496" w14:textId="77777777" w:rsidR="00C65183" w:rsidRPr="00F41E10" w:rsidRDefault="00C65183" w:rsidP="00C65183">
      <w:pPr>
        <w:spacing w:after="60"/>
        <w:jc w:val="both"/>
        <w:rPr>
          <w:rFonts w:asciiTheme="minorHAnsi" w:hAnsiTheme="minorHAnsi" w:cstheme="minorHAnsi"/>
          <w:sz w:val="18"/>
          <w:szCs w:val="18"/>
        </w:rPr>
      </w:pPr>
      <w:r w:rsidRPr="00F41E10">
        <w:rPr>
          <w:rFonts w:asciiTheme="minorHAnsi" w:hAnsiTheme="minorHAnsi" w:cstheme="minorHAnsi"/>
          <w:sz w:val="18"/>
          <w:szCs w:val="18"/>
        </w:rPr>
        <w:t xml:space="preserve">89. Andrews, T.G. (undated). </w:t>
      </w:r>
      <w:r w:rsidRPr="00F41E10">
        <w:rPr>
          <w:rFonts w:asciiTheme="minorHAnsi" w:hAnsiTheme="minorHAnsi" w:cstheme="minorHAnsi"/>
          <w:sz w:val="18"/>
          <w:szCs w:val="18"/>
          <w:u w:val="single"/>
        </w:rPr>
        <w:t>Coal and the Industrial Revolution</w:t>
      </w:r>
      <w:r w:rsidRPr="00F41E10">
        <w:rPr>
          <w:rFonts w:asciiTheme="minorHAnsi" w:hAnsiTheme="minorHAnsi" w:cstheme="minorHAnsi"/>
          <w:sz w:val="18"/>
          <w:szCs w:val="18"/>
        </w:rPr>
        <w:t>. National History Education Clearinghouse.</w:t>
      </w:r>
    </w:p>
    <w:p w14:paraId="68CB5FD2" w14:textId="77777777" w:rsidR="00C65183" w:rsidRPr="00F41E10" w:rsidRDefault="00C65183" w:rsidP="00C65183">
      <w:pPr>
        <w:spacing w:after="60"/>
        <w:jc w:val="both"/>
        <w:rPr>
          <w:rFonts w:asciiTheme="minorHAnsi" w:hAnsiTheme="minorHAnsi" w:cstheme="minorHAnsi"/>
          <w:sz w:val="18"/>
          <w:szCs w:val="18"/>
        </w:rPr>
      </w:pPr>
      <w:r w:rsidRPr="00F41E10">
        <w:rPr>
          <w:rFonts w:asciiTheme="minorHAnsi" w:hAnsiTheme="minorHAnsi" w:cstheme="minorHAnsi"/>
          <w:sz w:val="18"/>
          <w:szCs w:val="18"/>
        </w:rPr>
        <w:t xml:space="preserve">90. Kumar, K. (undated). </w:t>
      </w:r>
      <w:r w:rsidRPr="00F41E10">
        <w:rPr>
          <w:rFonts w:asciiTheme="minorHAnsi" w:hAnsiTheme="minorHAnsi" w:cstheme="minorHAnsi"/>
          <w:sz w:val="18"/>
          <w:szCs w:val="18"/>
          <w:u w:val="single"/>
        </w:rPr>
        <w:t>Modernization</w:t>
      </w:r>
      <w:r w:rsidRPr="00F41E10">
        <w:rPr>
          <w:rFonts w:asciiTheme="minorHAnsi" w:hAnsiTheme="minorHAnsi" w:cstheme="minorHAnsi"/>
          <w:sz w:val="18"/>
          <w:szCs w:val="18"/>
        </w:rPr>
        <w:t>. Brittanica.</w:t>
      </w:r>
    </w:p>
    <w:p w14:paraId="5D27F99E" w14:textId="77777777" w:rsidR="00C65183" w:rsidRPr="00F41E10" w:rsidRDefault="00C65183" w:rsidP="00C65183">
      <w:pPr>
        <w:spacing w:after="60"/>
        <w:jc w:val="both"/>
        <w:rPr>
          <w:rFonts w:asciiTheme="minorHAnsi" w:hAnsiTheme="minorHAnsi" w:cstheme="minorHAnsi"/>
          <w:sz w:val="18"/>
          <w:szCs w:val="18"/>
        </w:rPr>
      </w:pPr>
      <w:r w:rsidRPr="00F41E10">
        <w:rPr>
          <w:rFonts w:asciiTheme="minorHAnsi" w:hAnsiTheme="minorHAnsi" w:cstheme="minorHAnsi"/>
          <w:sz w:val="18"/>
          <w:szCs w:val="18"/>
        </w:rPr>
        <w:t xml:space="preserve">92. NASA (2020). </w:t>
      </w:r>
      <w:r w:rsidRPr="00F41E10">
        <w:rPr>
          <w:rFonts w:asciiTheme="minorHAnsi" w:hAnsiTheme="minorHAnsi" w:cstheme="minorHAnsi"/>
          <w:sz w:val="18"/>
          <w:szCs w:val="18"/>
          <w:u w:val="single"/>
        </w:rPr>
        <w:t>Global Climate Change – Vital Signs for the Planet: Graphic: Temperature versus Solar Activity</w:t>
      </w:r>
      <w:r w:rsidRPr="00F41E10">
        <w:rPr>
          <w:rFonts w:asciiTheme="minorHAnsi" w:hAnsiTheme="minorHAnsi" w:cstheme="minorHAnsi"/>
          <w:sz w:val="18"/>
          <w:szCs w:val="18"/>
        </w:rPr>
        <w:t>.</w:t>
      </w:r>
    </w:p>
    <w:p w14:paraId="61A005AD" w14:textId="77777777" w:rsidR="00C65183" w:rsidRPr="00F41E10" w:rsidRDefault="00C65183" w:rsidP="00C65183">
      <w:pPr>
        <w:spacing w:after="60"/>
        <w:jc w:val="both"/>
        <w:rPr>
          <w:rFonts w:asciiTheme="minorHAnsi" w:hAnsiTheme="minorHAnsi" w:cstheme="minorHAnsi"/>
          <w:sz w:val="18"/>
          <w:szCs w:val="18"/>
        </w:rPr>
      </w:pPr>
      <w:r w:rsidRPr="00F41E10">
        <w:rPr>
          <w:rFonts w:asciiTheme="minorHAnsi" w:hAnsiTheme="minorHAnsi" w:cstheme="minorHAnsi"/>
          <w:sz w:val="18"/>
          <w:szCs w:val="18"/>
          <w:u w:val="single"/>
        </w:rPr>
        <w:t>Soc Lond B Biol Sci.</w:t>
      </w:r>
      <w:r w:rsidRPr="00F41E10">
        <w:rPr>
          <w:rFonts w:asciiTheme="minorHAnsi" w:hAnsiTheme="minorHAnsi" w:cstheme="minorHAnsi"/>
          <w:sz w:val="18"/>
          <w:szCs w:val="18"/>
        </w:rPr>
        <w:t xml:space="preserve"> Vol. 354(1379), pp. 33–50.</w:t>
      </w:r>
    </w:p>
    <w:p w14:paraId="5306B189" w14:textId="77777777" w:rsidR="00C65183" w:rsidRPr="00F41E10" w:rsidRDefault="00C65183" w:rsidP="00C65183">
      <w:pPr>
        <w:spacing w:after="60"/>
        <w:jc w:val="both"/>
        <w:rPr>
          <w:rFonts w:asciiTheme="minorHAnsi" w:hAnsiTheme="minorHAnsi" w:cstheme="minorHAnsi"/>
          <w:sz w:val="18"/>
          <w:szCs w:val="18"/>
        </w:rPr>
      </w:pPr>
      <w:r w:rsidRPr="00F41E10">
        <w:rPr>
          <w:rFonts w:asciiTheme="minorHAnsi" w:hAnsiTheme="minorHAnsi" w:cstheme="minorHAnsi"/>
          <w:sz w:val="18"/>
          <w:szCs w:val="18"/>
        </w:rPr>
        <w:t xml:space="preserve">95. United Nations Climate Change (2018). </w:t>
      </w:r>
      <w:r w:rsidRPr="00F41E10">
        <w:rPr>
          <w:rFonts w:asciiTheme="minorHAnsi" w:hAnsiTheme="minorHAnsi" w:cstheme="minorHAnsi"/>
          <w:sz w:val="18"/>
          <w:szCs w:val="18"/>
          <w:u w:val="single"/>
        </w:rPr>
        <w:t>UN Warns of Climate Change is Driving world Hunger</w:t>
      </w:r>
      <w:r w:rsidRPr="00F41E10">
        <w:rPr>
          <w:rFonts w:asciiTheme="minorHAnsi" w:hAnsiTheme="minorHAnsi" w:cstheme="minorHAnsi"/>
          <w:sz w:val="18"/>
          <w:szCs w:val="18"/>
        </w:rPr>
        <w:t>. United Nations.</w:t>
      </w:r>
    </w:p>
    <w:p w14:paraId="42D5BFFE" w14:textId="77777777" w:rsidR="00C65183" w:rsidRPr="00F41E10" w:rsidRDefault="00C65183" w:rsidP="00C65183">
      <w:pPr>
        <w:spacing w:after="60"/>
        <w:jc w:val="both"/>
        <w:rPr>
          <w:rFonts w:asciiTheme="minorHAnsi" w:hAnsiTheme="minorHAnsi" w:cstheme="minorHAnsi"/>
          <w:sz w:val="18"/>
          <w:szCs w:val="18"/>
        </w:rPr>
      </w:pPr>
      <w:r w:rsidRPr="00F41E10">
        <w:rPr>
          <w:rFonts w:asciiTheme="minorHAnsi" w:hAnsiTheme="minorHAnsi" w:cstheme="minorHAnsi"/>
          <w:sz w:val="18"/>
          <w:szCs w:val="18"/>
        </w:rPr>
        <w:t xml:space="preserve">96. CSIRO (2021). </w:t>
      </w:r>
      <w:r w:rsidRPr="00F41E10">
        <w:rPr>
          <w:rFonts w:asciiTheme="minorHAnsi" w:hAnsiTheme="minorHAnsi" w:cstheme="minorHAnsi"/>
          <w:sz w:val="18"/>
          <w:szCs w:val="18"/>
          <w:u w:val="single"/>
        </w:rPr>
        <w:t>The 2019-20 bushfires: a CSIRO explainer.</w:t>
      </w:r>
      <w:r w:rsidRPr="00F41E10">
        <w:rPr>
          <w:rFonts w:asciiTheme="minorHAnsi" w:hAnsiTheme="minorHAnsi" w:cstheme="minorHAnsi"/>
          <w:sz w:val="18"/>
          <w:szCs w:val="18"/>
        </w:rPr>
        <w:t xml:space="preserve"> Commonwealth Government.</w:t>
      </w:r>
    </w:p>
    <w:p w14:paraId="1D334A58" w14:textId="77777777" w:rsidR="00C65183" w:rsidRPr="00F41E10" w:rsidRDefault="00C65183" w:rsidP="00C65183">
      <w:pPr>
        <w:spacing w:after="60"/>
        <w:jc w:val="both"/>
        <w:rPr>
          <w:rFonts w:asciiTheme="minorHAnsi" w:hAnsiTheme="minorHAnsi" w:cstheme="minorHAnsi"/>
          <w:sz w:val="18"/>
          <w:szCs w:val="18"/>
        </w:rPr>
      </w:pPr>
      <w:r w:rsidRPr="00F41E10">
        <w:rPr>
          <w:rFonts w:asciiTheme="minorHAnsi" w:hAnsiTheme="minorHAnsi" w:cstheme="minorHAnsi"/>
          <w:sz w:val="18"/>
          <w:szCs w:val="18"/>
        </w:rPr>
        <w:t xml:space="preserve">97. Our World in Data (2020). </w:t>
      </w:r>
      <w:r w:rsidRPr="00F41E10">
        <w:rPr>
          <w:rFonts w:asciiTheme="minorHAnsi" w:hAnsiTheme="minorHAnsi" w:cstheme="minorHAnsi"/>
          <w:sz w:val="18"/>
          <w:szCs w:val="18"/>
          <w:u w:val="single"/>
        </w:rPr>
        <w:t>Energy Use by Source: Selected World Nations, 2019</w:t>
      </w:r>
      <w:r w:rsidRPr="00F41E10">
        <w:rPr>
          <w:rFonts w:asciiTheme="minorHAnsi" w:hAnsiTheme="minorHAnsi" w:cstheme="minorHAnsi"/>
          <w:sz w:val="18"/>
          <w:szCs w:val="18"/>
        </w:rPr>
        <w:t>. From BP Statistical Review of World Energy</w:t>
      </w:r>
    </w:p>
    <w:p w14:paraId="53B11F82" w14:textId="3981D9D4" w:rsidR="0093253A" w:rsidRPr="00C65183" w:rsidRDefault="0093253A" w:rsidP="00C65183">
      <w:bookmarkStart w:id="37" w:name="_GoBack"/>
      <w:bookmarkEnd w:id="37"/>
    </w:p>
    <w:sectPr w:rsidR="0093253A" w:rsidRPr="00C65183" w:rsidSect="00EA24E1">
      <w:footerReference w:type="default" r:id="rId323"/>
      <w:pgSz w:w="11906" w:h="16838" w:code="9"/>
      <w:pgMar w:top="1134" w:right="1134" w:bottom="1134" w:left="1134" w:header="709" w:footer="709"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0C58AC6" w14:textId="77777777" w:rsidR="008460C2" w:rsidRDefault="008460C2" w:rsidP="00F04EAA">
      <w:r>
        <w:separator/>
      </w:r>
    </w:p>
  </w:endnote>
  <w:endnote w:type="continuationSeparator" w:id="0">
    <w:p w14:paraId="4C009FAB" w14:textId="77777777" w:rsidR="008460C2" w:rsidRDefault="008460C2" w:rsidP="00F04EA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Palatino Linotype">
    <w:panose1 w:val="02040502050505030304"/>
    <w:charset w:val="00"/>
    <w:family w:val="roman"/>
    <w:pitch w:val="variable"/>
    <w:sig w:usb0="E0000287" w:usb1="40000013" w:usb2="00000000" w:usb3="00000000" w:csb0="0000019F" w:csb1="00000000"/>
  </w:font>
  <w:font w:name="Garamond">
    <w:panose1 w:val="02020404030301010803"/>
    <w:charset w:val="00"/>
    <w:family w:val="roman"/>
    <w:pitch w:val="variable"/>
    <w:sig w:usb0="00000287" w:usb1="00000000" w:usb2="00000000" w:usb3="00000000" w:csb0="0000009F" w:csb1="00000000"/>
  </w:font>
  <w:font w:name="Cambria">
    <w:altName w:val="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sz w:val="16"/>
        <w:szCs w:val="16"/>
      </w:rPr>
      <w:id w:val="654958359"/>
      <w:docPartObj>
        <w:docPartGallery w:val="Page Numbers (Bottom of Page)"/>
        <w:docPartUnique/>
      </w:docPartObj>
    </w:sdtPr>
    <w:sdtEndPr>
      <w:rPr>
        <w:color w:val="7F7F7F" w:themeColor="background1" w:themeShade="7F"/>
        <w:spacing w:val="60"/>
      </w:rPr>
    </w:sdtEndPr>
    <w:sdtContent>
      <w:p w14:paraId="4F392035" w14:textId="77777777" w:rsidR="00C65183" w:rsidRPr="009369CB" w:rsidRDefault="00C65183" w:rsidP="009369CB">
        <w:pPr>
          <w:pStyle w:val="Footer"/>
          <w:pBdr>
            <w:top w:val="single" w:sz="4" w:space="1" w:color="D9D9D9" w:themeColor="background1" w:themeShade="D9"/>
          </w:pBdr>
          <w:rPr>
            <w:b/>
            <w:bCs/>
            <w:sz w:val="16"/>
            <w:szCs w:val="16"/>
          </w:rPr>
        </w:pPr>
        <w:r w:rsidRPr="009369CB">
          <w:rPr>
            <w:sz w:val="16"/>
            <w:szCs w:val="16"/>
          </w:rPr>
          <w:fldChar w:fldCharType="begin"/>
        </w:r>
        <w:r w:rsidRPr="009369CB">
          <w:rPr>
            <w:sz w:val="16"/>
            <w:szCs w:val="16"/>
          </w:rPr>
          <w:instrText xml:space="preserve"> PAGE   \* MERGEFORMAT </w:instrText>
        </w:r>
        <w:r w:rsidRPr="009369CB">
          <w:rPr>
            <w:sz w:val="16"/>
            <w:szCs w:val="16"/>
          </w:rPr>
          <w:fldChar w:fldCharType="separate"/>
        </w:r>
        <w:r w:rsidRPr="009369CB">
          <w:rPr>
            <w:b/>
            <w:bCs/>
            <w:noProof/>
            <w:sz w:val="16"/>
            <w:szCs w:val="16"/>
          </w:rPr>
          <w:t>2</w:t>
        </w:r>
        <w:r w:rsidRPr="009369CB">
          <w:rPr>
            <w:b/>
            <w:bCs/>
            <w:noProof/>
            <w:sz w:val="16"/>
            <w:szCs w:val="16"/>
          </w:rPr>
          <w:fldChar w:fldCharType="end"/>
        </w:r>
        <w:r w:rsidRPr="009369CB">
          <w:rPr>
            <w:b/>
            <w:bCs/>
            <w:sz w:val="16"/>
            <w:szCs w:val="16"/>
          </w:rPr>
          <w:t xml:space="preserve"> | </w:t>
        </w:r>
        <w:r w:rsidRPr="009369CB">
          <w:rPr>
            <w:color w:val="7F7F7F" w:themeColor="background1" w:themeShade="7F"/>
            <w:spacing w:val="60"/>
            <w:sz w:val="16"/>
            <w:szCs w:val="16"/>
          </w:rPr>
          <w:t>Page</w:t>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EE75406" w14:textId="77777777" w:rsidR="00322F6D" w:rsidRPr="00EA24E1" w:rsidRDefault="00322F6D" w:rsidP="00EA24E1">
    <w:pPr>
      <w:pStyle w:val="Footer"/>
      <w:jc w:val="center"/>
      <w:rPr>
        <w:sz w:val="16"/>
        <w:szCs w:val="16"/>
      </w:rPr>
    </w:pPr>
    <w:r w:rsidRPr="00EA24E1">
      <w:rPr>
        <w:sz w:val="16"/>
        <w:szCs w:val="16"/>
      </w:rPr>
      <w:fldChar w:fldCharType="begin"/>
    </w:r>
    <w:r w:rsidRPr="00EA24E1">
      <w:rPr>
        <w:sz w:val="16"/>
        <w:szCs w:val="16"/>
      </w:rPr>
      <w:instrText xml:space="preserve"> PAGE   \* MERGEFORMAT </w:instrText>
    </w:r>
    <w:r w:rsidRPr="00EA24E1">
      <w:rPr>
        <w:sz w:val="16"/>
        <w:szCs w:val="16"/>
      </w:rPr>
      <w:fldChar w:fldCharType="separate"/>
    </w:r>
    <w:r w:rsidR="00383298">
      <w:rPr>
        <w:noProof/>
        <w:sz w:val="16"/>
        <w:szCs w:val="16"/>
      </w:rPr>
      <w:t>6</w:t>
    </w:r>
    <w:r w:rsidRPr="00EA24E1">
      <w:rPr>
        <w:sz w:val="16"/>
        <w:szCs w:val="16"/>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754A1A6" w14:textId="77777777" w:rsidR="008460C2" w:rsidRDefault="008460C2" w:rsidP="00F04EAA">
      <w:r>
        <w:separator/>
      </w:r>
    </w:p>
  </w:footnote>
  <w:footnote w:type="continuationSeparator" w:id="0">
    <w:p w14:paraId="2CE335EB" w14:textId="77777777" w:rsidR="008460C2" w:rsidRDefault="008460C2" w:rsidP="00F04EAA">
      <w:r>
        <w:continuationSeparator/>
      </w:r>
    </w:p>
  </w:footnote>
  <w:footnote w:id="1">
    <w:p w14:paraId="004DB2C9" w14:textId="77777777" w:rsidR="00C65183" w:rsidRPr="00C03771" w:rsidRDefault="00C65183" w:rsidP="00C65183">
      <w:pPr>
        <w:jc w:val="both"/>
        <w:rPr>
          <w:rFonts w:asciiTheme="minorHAnsi" w:hAnsiTheme="minorHAnsi" w:cstheme="minorHAnsi"/>
          <w:sz w:val="14"/>
          <w:szCs w:val="14"/>
          <w:lang w:val="en-US"/>
        </w:rPr>
      </w:pPr>
      <w:r w:rsidRPr="00D613FD">
        <w:rPr>
          <w:rStyle w:val="FootnoteReference"/>
          <w:rFonts w:asciiTheme="minorHAnsi" w:hAnsiTheme="minorHAnsi" w:cstheme="minorHAnsi"/>
          <w:sz w:val="14"/>
          <w:szCs w:val="14"/>
        </w:rPr>
        <w:footnoteRef/>
      </w:r>
      <w:r w:rsidRPr="00D613FD">
        <w:rPr>
          <w:rFonts w:asciiTheme="minorHAnsi" w:hAnsiTheme="minorHAnsi" w:cstheme="minorHAnsi"/>
          <w:sz w:val="14"/>
          <w:szCs w:val="14"/>
        </w:rPr>
        <w:t xml:space="preserve"> Jelenic, T. and Keeley, M. (2013A). End Child Marriage Australia: research report on the forced marriage of children in Australia. National Children's and Youth Law Centre; </w:t>
      </w:r>
      <w:r w:rsidRPr="00C03771">
        <w:rPr>
          <w:rFonts w:asciiTheme="minorHAnsi" w:hAnsiTheme="minorHAnsi" w:cstheme="minorHAnsi"/>
          <w:sz w:val="14"/>
          <w:szCs w:val="14"/>
        </w:rPr>
        <w:t>Australian Muslim Council for Women's Rights (undatedB). Early and Forced Marriage in the Australian Muslim Community</w:t>
      </w:r>
    </w:p>
  </w:footnote>
  <w:footnote w:id="2">
    <w:p w14:paraId="3FD0796C" w14:textId="77777777" w:rsidR="00C65183" w:rsidRPr="00C03771" w:rsidRDefault="00C65183" w:rsidP="00C65183">
      <w:pPr>
        <w:jc w:val="both"/>
        <w:rPr>
          <w:rFonts w:asciiTheme="minorHAnsi" w:hAnsiTheme="minorHAnsi" w:cstheme="minorHAnsi"/>
          <w:sz w:val="14"/>
          <w:szCs w:val="14"/>
          <w:lang w:val="en-US"/>
        </w:rPr>
      </w:pPr>
      <w:r w:rsidRPr="00C03771">
        <w:rPr>
          <w:rStyle w:val="FootnoteReference"/>
          <w:rFonts w:asciiTheme="minorHAnsi" w:hAnsiTheme="minorHAnsi" w:cstheme="minorHAnsi"/>
          <w:sz w:val="14"/>
          <w:szCs w:val="14"/>
        </w:rPr>
        <w:footnoteRef/>
      </w:r>
      <w:r w:rsidRPr="00C03771">
        <w:rPr>
          <w:rFonts w:asciiTheme="minorHAnsi" w:hAnsiTheme="minorHAnsi" w:cstheme="minorHAnsi"/>
          <w:sz w:val="14"/>
          <w:szCs w:val="14"/>
        </w:rPr>
        <w:t xml:space="preserve"> Evans, C. (2015). Forced Marriage in Australia: Definitely Not the ‘Usual Suspects’; Jelenic, T. and Keeley, M. (2013B). End Child Marriage Australia: best practice response guidelines. National Children's and Youth Law Centre; Tahirih Justice Centre (undated). What is Forced Marriage?; Lyneham, S. and Bricknell, S. (2018). When saying no is not an option: Forced marriage in Australia and New Zealand. Australian Institute of Criminology, Research Report No. 11</w:t>
      </w:r>
    </w:p>
  </w:footnote>
  <w:footnote w:id="3">
    <w:p w14:paraId="3BCF0B1D" w14:textId="77777777" w:rsidR="00C65183" w:rsidRPr="00C03771" w:rsidRDefault="00C65183" w:rsidP="00C65183">
      <w:pPr>
        <w:jc w:val="both"/>
        <w:rPr>
          <w:rFonts w:asciiTheme="minorHAnsi" w:hAnsiTheme="minorHAnsi" w:cstheme="minorHAnsi"/>
          <w:sz w:val="14"/>
          <w:szCs w:val="14"/>
          <w:lang w:val="en-US"/>
        </w:rPr>
      </w:pPr>
      <w:r w:rsidRPr="00C03771">
        <w:rPr>
          <w:rStyle w:val="FootnoteReference"/>
          <w:rFonts w:asciiTheme="minorHAnsi" w:hAnsiTheme="minorHAnsi" w:cstheme="minorHAnsi"/>
          <w:sz w:val="14"/>
          <w:szCs w:val="14"/>
        </w:rPr>
        <w:footnoteRef/>
      </w:r>
      <w:r w:rsidRPr="00C03771">
        <w:rPr>
          <w:rFonts w:asciiTheme="minorHAnsi" w:hAnsiTheme="minorHAnsi" w:cstheme="minorHAnsi"/>
          <w:sz w:val="14"/>
          <w:szCs w:val="14"/>
        </w:rPr>
        <w:t xml:space="preserve"> Heselev, R. (2019). Forced Marriage in Australia: a literature review. Federation of Ethnic Communities’ Councils of Australia; Jelenic, T. and Keeley, M. (2013B). End Child Marriage Australia: best practice response guidelines. National Children's and Youth Law Centre; McGuire, M. (2014). Forced Marriage in Australia. Good Shepherd Youth and Family Service</w:t>
      </w:r>
    </w:p>
  </w:footnote>
  <w:footnote w:id="4">
    <w:p w14:paraId="10EA2876" w14:textId="77777777" w:rsidR="00C65183" w:rsidRPr="00C03771" w:rsidRDefault="00C65183" w:rsidP="00C65183">
      <w:pPr>
        <w:jc w:val="both"/>
        <w:rPr>
          <w:rFonts w:asciiTheme="minorHAnsi" w:hAnsiTheme="minorHAnsi" w:cstheme="minorHAnsi"/>
          <w:sz w:val="14"/>
          <w:szCs w:val="14"/>
          <w:lang w:val="en-US"/>
        </w:rPr>
      </w:pPr>
      <w:r w:rsidRPr="00C03771">
        <w:rPr>
          <w:rStyle w:val="FootnoteReference"/>
          <w:rFonts w:asciiTheme="minorHAnsi" w:hAnsiTheme="minorHAnsi" w:cstheme="minorHAnsi"/>
          <w:sz w:val="14"/>
          <w:szCs w:val="14"/>
        </w:rPr>
        <w:footnoteRef/>
      </w:r>
      <w:r w:rsidRPr="00C03771">
        <w:rPr>
          <w:rFonts w:asciiTheme="minorHAnsi" w:hAnsiTheme="minorHAnsi" w:cstheme="minorHAnsi"/>
          <w:sz w:val="14"/>
          <w:szCs w:val="14"/>
        </w:rPr>
        <w:t xml:space="preserve"> Lyneham, S. and Bricknell, S. (2018). When saying no is not an option: Forced marriage in Australia and New Zealand. Australian Institute of Criminology</w:t>
      </w:r>
    </w:p>
  </w:footnote>
  <w:footnote w:id="5">
    <w:p w14:paraId="021EF0F1" w14:textId="77777777" w:rsidR="00C65183" w:rsidRPr="00C03771" w:rsidRDefault="00C65183" w:rsidP="00C65183">
      <w:pPr>
        <w:jc w:val="both"/>
        <w:rPr>
          <w:rFonts w:asciiTheme="minorHAnsi" w:hAnsiTheme="minorHAnsi" w:cstheme="minorHAnsi"/>
          <w:sz w:val="14"/>
          <w:szCs w:val="14"/>
        </w:rPr>
      </w:pPr>
      <w:r w:rsidRPr="00C03771">
        <w:rPr>
          <w:rStyle w:val="FootnoteReference"/>
          <w:rFonts w:asciiTheme="minorHAnsi" w:hAnsiTheme="minorHAnsi" w:cstheme="minorHAnsi"/>
          <w:sz w:val="14"/>
          <w:szCs w:val="14"/>
        </w:rPr>
        <w:footnoteRef/>
      </w:r>
      <w:r w:rsidRPr="00C03771">
        <w:rPr>
          <w:rFonts w:asciiTheme="minorHAnsi" w:hAnsiTheme="minorHAnsi" w:cstheme="minorHAnsi"/>
          <w:sz w:val="14"/>
          <w:szCs w:val="14"/>
        </w:rPr>
        <w:t xml:space="preserve"> Australian Bureau of Statistics (2017A). Census 2016: Customized findings – Registered Marital Status among Women aged 18 to 20 years, by Birthplace: Victoria; Butcher, R. (2018). Turkey’s Highest Religious Body Suggests Children as Yong as Nine could Marry Under Islamic Law. The Independent. 4 January 2018; United Nations Population Fund (undated). Child Marriage in Turkey. </w:t>
      </w:r>
    </w:p>
    <w:p w14:paraId="780DF842" w14:textId="77777777" w:rsidR="00C65183" w:rsidRPr="00C03771" w:rsidRDefault="00C65183" w:rsidP="00C65183">
      <w:pPr>
        <w:jc w:val="both"/>
        <w:rPr>
          <w:rFonts w:asciiTheme="minorHAnsi" w:hAnsiTheme="minorHAnsi" w:cstheme="minorHAnsi"/>
          <w:sz w:val="14"/>
          <w:szCs w:val="14"/>
          <w:lang w:val="en-US"/>
        </w:rPr>
      </w:pPr>
      <w:r w:rsidRPr="00C03771">
        <w:rPr>
          <w:rFonts w:asciiTheme="minorHAnsi" w:hAnsiTheme="minorHAnsi" w:cstheme="minorHAnsi"/>
          <w:sz w:val="14"/>
          <w:szCs w:val="14"/>
        </w:rPr>
        <w:t xml:space="preserve">Girls Not Brides (undatedB). What’s the Child Marriage Rate? ; Tahirh Justice Centre, (undatedB). Forced Marriage Overseas: Iraq. </w:t>
      </w:r>
    </w:p>
  </w:footnote>
  <w:footnote w:id="6">
    <w:p w14:paraId="4AF9EA59" w14:textId="77777777" w:rsidR="00C65183" w:rsidRPr="00C03771" w:rsidRDefault="00C65183" w:rsidP="00C65183">
      <w:pPr>
        <w:jc w:val="both"/>
        <w:rPr>
          <w:rFonts w:asciiTheme="minorHAnsi" w:hAnsiTheme="minorHAnsi" w:cstheme="minorHAnsi"/>
          <w:sz w:val="14"/>
          <w:szCs w:val="14"/>
          <w:lang w:val="en-US"/>
        </w:rPr>
      </w:pPr>
      <w:r w:rsidRPr="00C03771">
        <w:rPr>
          <w:rStyle w:val="FootnoteReference"/>
          <w:rFonts w:asciiTheme="minorHAnsi" w:hAnsiTheme="minorHAnsi" w:cstheme="minorHAnsi"/>
          <w:sz w:val="14"/>
          <w:szCs w:val="14"/>
        </w:rPr>
        <w:footnoteRef/>
      </w:r>
      <w:r w:rsidRPr="00C03771">
        <w:rPr>
          <w:rFonts w:asciiTheme="minorHAnsi" w:hAnsiTheme="minorHAnsi" w:cstheme="minorHAnsi"/>
          <w:sz w:val="14"/>
          <w:szCs w:val="14"/>
        </w:rPr>
        <w:t xml:space="preserve"> Heselev, R. (2019). Forced Marriage in Australia: a literature review. Federation of Ethnic Communities’ Councils of Australia; Jelenic, T. and Keeley, M. (2013B). End Child Marriage Australia: best practice response guidelines. National Children's and Youth Law Centre; United Nations Population Fund (undated). Child Marriage in Turkey. </w:t>
      </w:r>
    </w:p>
  </w:footnote>
  <w:footnote w:id="7">
    <w:p w14:paraId="70A0382A" w14:textId="77777777" w:rsidR="00C65183" w:rsidRPr="00C03771" w:rsidRDefault="00C65183" w:rsidP="00C65183">
      <w:pPr>
        <w:jc w:val="both"/>
        <w:rPr>
          <w:rFonts w:asciiTheme="minorHAnsi" w:hAnsiTheme="minorHAnsi" w:cstheme="minorHAnsi"/>
          <w:sz w:val="14"/>
          <w:szCs w:val="14"/>
        </w:rPr>
      </w:pPr>
      <w:r w:rsidRPr="00C03771">
        <w:rPr>
          <w:rStyle w:val="FootnoteReference"/>
          <w:rFonts w:asciiTheme="minorHAnsi" w:hAnsiTheme="minorHAnsi" w:cstheme="minorHAnsi"/>
          <w:sz w:val="14"/>
          <w:szCs w:val="14"/>
        </w:rPr>
        <w:footnoteRef/>
      </w:r>
      <w:r w:rsidRPr="00C03771">
        <w:rPr>
          <w:rFonts w:asciiTheme="minorHAnsi" w:hAnsiTheme="minorHAnsi" w:cstheme="minorHAnsi"/>
          <w:sz w:val="14"/>
          <w:szCs w:val="14"/>
        </w:rPr>
        <w:t xml:space="preserve"> Lyneham, S. and Bricknell, S. (2018). </w:t>
      </w:r>
      <w:r w:rsidRPr="00C03771">
        <w:rPr>
          <w:rFonts w:asciiTheme="minorHAnsi" w:hAnsiTheme="minorHAnsi" w:cstheme="minorHAnsi"/>
          <w:sz w:val="14"/>
          <w:szCs w:val="14"/>
          <w:u w:val="single"/>
        </w:rPr>
        <w:t>When saying no is not an option: Forced marriage in Australia and New Zealand</w:t>
      </w:r>
      <w:r w:rsidRPr="00C03771">
        <w:rPr>
          <w:rFonts w:asciiTheme="minorHAnsi" w:hAnsiTheme="minorHAnsi" w:cstheme="minorHAnsi"/>
          <w:sz w:val="14"/>
          <w:szCs w:val="14"/>
        </w:rPr>
        <w:t xml:space="preserve">. Australian Institute of Criminology, </w:t>
      </w:r>
    </w:p>
  </w:footnote>
  <w:footnote w:id="8">
    <w:p w14:paraId="4D97894F" w14:textId="77777777" w:rsidR="00C65183" w:rsidRPr="00C03771" w:rsidRDefault="00C65183" w:rsidP="00C65183">
      <w:pPr>
        <w:pStyle w:val="FootnoteText"/>
        <w:spacing w:after="0" w:line="240" w:lineRule="auto"/>
        <w:rPr>
          <w:lang w:val="en-AU"/>
        </w:rPr>
      </w:pPr>
      <w:r w:rsidRPr="00C03771">
        <w:rPr>
          <w:rStyle w:val="FootnoteReference"/>
          <w:rFonts w:asciiTheme="minorHAnsi" w:hAnsiTheme="minorHAnsi" w:cstheme="minorHAnsi"/>
          <w:sz w:val="14"/>
          <w:szCs w:val="14"/>
        </w:rPr>
        <w:footnoteRef/>
      </w:r>
      <w:r w:rsidRPr="00C03771">
        <w:rPr>
          <w:rFonts w:asciiTheme="minorHAnsi" w:hAnsiTheme="minorHAnsi" w:cstheme="minorHAnsi"/>
          <w:sz w:val="14"/>
          <w:szCs w:val="14"/>
        </w:rPr>
        <w:t xml:space="preserve"> United Nations Population Fund (undated). </w:t>
      </w:r>
      <w:r w:rsidRPr="00C03771">
        <w:rPr>
          <w:rFonts w:asciiTheme="minorHAnsi" w:hAnsiTheme="minorHAnsi" w:cstheme="minorHAnsi"/>
          <w:sz w:val="14"/>
          <w:szCs w:val="14"/>
          <w:u w:val="single"/>
        </w:rPr>
        <w:t>Child Marriage in Turkey</w:t>
      </w:r>
    </w:p>
  </w:footnote>
  <w:footnote w:id="9">
    <w:p w14:paraId="497B84D3" w14:textId="77777777" w:rsidR="00C65183" w:rsidRPr="00D613FD" w:rsidRDefault="00C65183" w:rsidP="00C65183">
      <w:pPr>
        <w:jc w:val="both"/>
        <w:rPr>
          <w:rFonts w:asciiTheme="minorHAnsi" w:hAnsiTheme="minorHAnsi" w:cstheme="minorHAnsi"/>
          <w:sz w:val="14"/>
          <w:szCs w:val="14"/>
          <w:lang w:val="en-US"/>
        </w:rPr>
      </w:pPr>
      <w:r w:rsidRPr="00D613FD">
        <w:rPr>
          <w:rStyle w:val="FootnoteReference"/>
          <w:rFonts w:asciiTheme="minorHAnsi" w:hAnsiTheme="minorHAnsi" w:cstheme="minorHAnsi"/>
          <w:sz w:val="14"/>
          <w:szCs w:val="14"/>
        </w:rPr>
        <w:footnoteRef/>
      </w:r>
      <w:r w:rsidRPr="00D613FD">
        <w:rPr>
          <w:rFonts w:asciiTheme="minorHAnsi" w:hAnsiTheme="minorHAnsi" w:cstheme="minorHAnsi"/>
          <w:sz w:val="14"/>
          <w:szCs w:val="14"/>
        </w:rPr>
        <w:t xml:space="preserve"> UNICEF (United Nations Children’s Fund) (2020). Child Marriage. </w:t>
      </w:r>
    </w:p>
  </w:footnote>
  <w:footnote w:id="10">
    <w:p w14:paraId="22A3666D" w14:textId="77777777" w:rsidR="00C65183" w:rsidRPr="00D613FD" w:rsidRDefault="00C65183" w:rsidP="00C65183">
      <w:pPr>
        <w:pStyle w:val="FootnoteText"/>
        <w:spacing w:after="0" w:line="240" w:lineRule="auto"/>
        <w:rPr>
          <w:rFonts w:asciiTheme="minorHAnsi" w:hAnsiTheme="minorHAnsi" w:cstheme="minorHAnsi"/>
          <w:sz w:val="14"/>
          <w:szCs w:val="14"/>
          <w:lang w:val="en-AU"/>
        </w:rPr>
      </w:pPr>
      <w:r w:rsidRPr="00D613FD">
        <w:rPr>
          <w:rStyle w:val="FootnoteReference"/>
          <w:rFonts w:asciiTheme="minorHAnsi" w:hAnsiTheme="minorHAnsi" w:cstheme="minorHAnsi"/>
          <w:sz w:val="14"/>
          <w:szCs w:val="14"/>
        </w:rPr>
        <w:footnoteRef/>
      </w:r>
      <w:r w:rsidRPr="00D613FD">
        <w:rPr>
          <w:rFonts w:asciiTheme="minorHAnsi" w:hAnsiTheme="minorHAnsi" w:cstheme="minorHAnsi"/>
          <w:sz w:val="14"/>
          <w:szCs w:val="14"/>
        </w:rPr>
        <w:t xml:space="preserve"> Evans, C. (2015). Forced Marriage in Australia: Definitely Not the ‘Usual Suspects’</w:t>
      </w:r>
    </w:p>
  </w:footnote>
  <w:footnote w:id="11">
    <w:p w14:paraId="719D19EB" w14:textId="77777777" w:rsidR="00C65183" w:rsidRPr="00D613FD" w:rsidRDefault="00C65183" w:rsidP="00C65183">
      <w:pPr>
        <w:jc w:val="both"/>
        <w:rPr>
          <w:rFonts w:asciiTheme="minorHAnsi" w:hAnsiTheme="minorHAnsi" w:cstheme="minorHAnsi"/>
          <w:sz w:val="16"/>
          <w:szCs w:val="16"/>
          <w:lang w:val="en-US"/>
        </w:rPr>
      </w:pPr>
      <w:r w:rsidRPr="00D613FD">
        <w:rPr>
          <w:rStyle w:val="FootnoteReference"/>
          <w:rFonts w:asciiTheme="minorHAnsi" w:hAnsiTheme="minorHAnsi" w:cstheme="minorHAnsi"/>
          <w:sz w:val="14"/>
          <w:szCs w:val="14"/>
        </w:rPr>
        <w:footnoteRef/>
      </w:r>
      <w:r w:rsidRPr="00D613FD">
        <w:rPr>
          <w:rFonts w:asciiTheme="minorHAnsi" w:hAnsiTheme="minorHAnsi" w:cstheme="minorHAnsi"/>
          <w:sz w:val="14"/>
          <w:szCs w:val="14"/>
        </w:rPr>
        <w:t xml:space="preserve"> Girls Not Brides (undatedA). About Child Marriage.</w:t>
      </w:r>
      <w:r w:rsidRPr="00D613FD">
        <w:rPr>
          <w:rFonts w:asciiTheme="minorHAnsi" w:hAnsiTheme="minorHAnsi" w:cstheme="minorHAnsi"/>
          <w:sz w:val="16"/>
          <w:szCs w:val="16"/>
        </w:rPr>
        <w:t xml:space="preserve"> </w:t>
      </w:r>
    </w:p>
  </w:footnote>
  <w:footnote w:id="12">
    <w:p w14:paraId="32F840A9" w14:textId="77777777" w:rsidR="00C65183" w:rsidRPr="00D613FD" w:rsidRDefault="00C65183" w:rsidP="00C65183">
      <w:pPr>
        <w:jc w:val="both"/>
        <w:rPr>
          <w:rFonts w:asciiTheme="minorHAnsi" w:hAnsiTheme="minorHAnsi" w:cstheme="minorHAnsi"/>
          <w:sz w:val="14"/>
          <w:szCs w:val="14"/>
          <w:lang w:val="en-US"/>
        </w:rPr>
      </w:pPr>
      <w:r w:rsidRPr="00D613FD">
        <w:rPr>
          <w:rStyle w:val="FootnoteReference"/>
          <w:rFonts w:asciiTheme="minorHAnsi" w:hAnsiTheme="minorHAnsi" w:cstheme="minorHAnsi"/>
          <w:sz w:val="14"/>
          <w:szCs w:val="14"/>
        </w:rPr>
        <w:footnoteRef/>
      </w:r>
      <w:r w:rsidRPr="00D613FD">
        <w:rPr>
          <w:rFonts w:asciiTheme="minorHAnsi" w:hAnsiTheme="minorHAnsi" w:cstheme="minorHAnsi"/>
          <w:sz w:val="14"/>
          <w:szCs w:val="14"/>
        </w:rPr>
        <w:t xml:space="preserve"> Jelenic, T. and Keeley, M. (2013A). End Child Marriage Australia: research report on the forced marriage of children in Australia. National Children's and Youth Law Centre</w:t>
      </w:r>
    </w:p>
  </w:footnote>
  <w:footnote w:id="13">
    <w:p w14:paraId="78D569A2" w14:textId="77777777" w:rsidR="00C65183" w:rsidRPr="00D613FD" w:rsidRDefault="00C65183" w:rsidP="00C65183">
      <w:pPr>
        <w:jc w:val="both"/>
        <w:rPr>
          <w:rFonts w:asciiTheme="minorHAnsi" w:hAnsiTheme="minorHAnsi" w:cstheme="minorHAnsi"/>
          <w:sz w:val="14"/>
          <w:szCs w:val="14"/>
          <w:lang w:val="en-US"/>
        </w:rPr>
      </w:pPr>
      <w:r w:rsidRPr="00D613FD">
        <w:rPr>
          <w:rStyle w:val="FootnoteReference"/>
          <w:rFonts w:asciiTheme="minorHAnsi" w:hAnsiTheme="minorHAnsi" w:cstheme="minorHAnsi"/>
          <w:sz w:val="14"/>
          <w:szCs w:val="14"/>
        </w:rPr>
        <w:footnoteRef/>
      </w:r>
      <w:r w:rsidRPr="00D613FD">
        <w:rPr>
          <w:rFonts w:asciiTheme="minorHAnsi" w:hAnsiTheme="minorHAnsi" w:cstheme="minorHAnsi"/>
          <w:sz w:val="14"/>
          <w:szCs w:val="14"/>
        </w:rPr>
        <w:t xml:space="preserve"> Lyneham, S. and Bricknell, S. (2018). When saying no is not an option: Forced marriage in Australia and New Zealand. </w:t>
      </w:r>
    </w:p>
  </w:footnote>
  <w:footnote w:id="14">
    <w:p w14:paraId="2E426EAE" w14:textId="77777777" w:rsidR="00C65183" w:rsidRPr="00D613FD" w:rsidRDefault="00C65183" w:rsidP="00C65183">
      <w:pPr>
        <w:pStyle w:val="FootnoteText"/>
        <w:spacing w:after="0" w:line="240" w:lineRule="auto"/>
        <w:rPr>
          <w:rFonts w:asciiTheme="minorHAnsi" w:hAnsiTheme="minorHAnsi" w:cstheme="minorHAnsi"/>
          <w:sz w:val="14"/>
          <w:szCs w:val="14"/>
          <w:lang w:val="en-AU"/>
        </w:rPr>
      </w:pPr>
      <w:r w:rsidRPr="00D613FD">
        <w:rPr>
          <w:rStyle w:val="FootnoteReference"/>
          <w:rFonts w:asciiTheme="minorHAnsi" w:hAnsiTheme="minorHAnsi" w:cstheme="minorHAnsi"/>
          <w:sz w:val="14"/>
          <w:szCs w:val="14"/>
        </w:rPr>
        <w:footnoteRef/>
      </w:r>
      <w:r w:rsidRPr="00D613FD">
        <w:rPr>
          <w:rFonts w:asciiTheme="minorHAnsi" w:hAnsiTheme="minorHAnsi" w:cstheme="minorHAnsi"/>
          <w:sz w:val="14"/>
          <w:szCs w:val="14"/>
        </w:rPr>
        <w:t xml:space="preserve"> Heselev, R. (2019). Forced Marriage in Australia: a literature review. Federation of Ethnic Communities’ Councils of Australia</w:t>
      </w:r>
    </w:p>
  </w:footnote>
  <w:footnote w:id="15">
    <w:p w14:paraId="459CC262" w14:textId="77777777" w:rsidR="00C65183" w:rsidRPr="004E3745" w:rsidRDefault="00C65183" w:rsidP="00C65183">
      <w:pPr>
        <w:jc w:val="both"/>
        <w:rPr>
          <w:rFonts w:asciiTheme="minorHAnsi" w:hAnsiTheme="minorHAnsi" w:cstheme="minorHAnsi"/>
          <w:sz w:val="14"/>
          <w:szCs w:val="14"/>
        </w:rPr>
      </w:pPr>
      <w:r w:rsidRPr="004E3745">
        <w:rPr>
          <w:rStyle w:val="FootnoteReference"/>
          <w:rFonts w:asciiTheme="minorHAnsi" w:hAnsiTheme="minorHAnsi" w:cstheme="minorHAnsi"/>
          <w:sz w:val="14"/>
          <w:szCs w:val="14"/>
        </w:rPr>
        <w:footnoteRef/>
      </w:r>
      <w:r w:rsidRPr="004E3745">
        <w:rPr>
          <w:rFonts w:asciiTheme="minorHAnsi" w:hAnsiTheme="minorHAnsi" w:cstheme="minorHAnsi"/>
          <w:sz w:val="14"/>
          <w:szCs w:val="14"/>
        </w:rPr>
        <w:t xml:space="preserve"> Roy Morgan Research (2015). Is Australia Getting Gayer – and How Gay will we Get? Roy Morgan Research Accessed at: </w:t>
      </w:r>
      <w:hyperlink r:id="rId1" w:history="1">
        <w:r w:rsidRPr="004E3745">
          <w:rPr>
            <w:rFonts w:asciiTheme="minorHAnsi" w:hAnsiTheme="minorHAnsi" w:cstheme="minorHAnsi"/>
            <w:sz w:val="14"/>
            <w:szCs w:val="14"/>
          </w:rPr>
          <w:t>http://www.roymorgan.com/findings/6263-exactly-how-many-australians-are-gay-december-2014-201506020136</w:t>
        </w:r>
      </w:hyperlink>
    </w:p>
  </w:footnote>
  <w:footnote w:id="16">
    <w:p w14:paraId="29D9F3C8" w14:textId="77777777" w:rsidR="00C65183" w:rsidRPr="004E3745" w:rsidRDefault="00C65183" w:rsidP="00C65183">
      <w:pPr>
        <w:pStyle w:val="FootnoteText"/>
        <w:spacing w:after="0" w:line="240" w:lineRule="auto"/>
        <w:jc w:val="both"/>
        <w:rPr>
          <w:rFonts w:asciiTheme="minorHAnsi" w:hAnsiTheme="minorHAnsi" w:cstheme="minorHAnsi"/>
          <w:sz w:val="14"/>
          <w:szCs w:val="14"/>
        </w:rPr>
      </w:pPr>
      <w:r w:rsidRPr="004E3745">
        <w:rPr>
          <w:rStyle w:val="FootnoteReference"/>
          <w:rFonts w:asciiTheme="minorHAnsi" w:hAnsiTheme="minorHAnsi" w:cstheme="minorHAnsi"/>
          <w:sz w:val="14"/>
          <w:szCs w:val="14"/>
        </w:rPr>
        <w:footnoteRef/>
      </w:r>
      <w:r w:rsidRPr="004E3745">
        <w:rPr>
          <w:rFonts w:asciiTheme="minorHAnsi" w:hAnsiTheme="minorHAnsi" w:cstheme="minorHAnsi"/>
          <w:sz w:val="14"/>
          <w:szCs w:val="14"/>
        </w:rPr>
        <w:t xml:space="preserve"> Australian Research Centre in Sex, Health and Society (2005). Australian Longitudinal Study of Health and Relationships Wave 1. La Trobe University, Melbourne</w:t>
      </w:r>
    </w:p>
  </w:footnote>
  <w:footnote w:id="17">
    <w:p w14:paraId="296A12C1" w14:textId="77777777" w:rsidR="00C65183" w:rsidRPr="004E3745" w:rsidRDefault="00C65183" w:rsidP="00C65183">
      <w:pPr>
        <w:pStyle w:val="FootnoteText"/>
        <w:spacing w:after="0" w:line="240" w:lineRule="auto"/>
        <w:jc w:val="both"/>
        <w:rPr>
          <w:rFonts w:asciiTheme="minorHAnsi" w:hAnsiTheme="minorHAnsi" w:cstheme="minorHAnsi"/>
          <w:sz w:val="14"/>
          <w:szCs w:val="14"/>
        </w:rPr>
      </w:pPr>
      <w:r w:rsidRPr="004E3745">
        <w:rPr>
          <w:rStyle w:val="FootnoteReference"/>
          <w:rFonts w:asciiTheme="minorHAnsi" w:hAnsiTheme="minorHAnsi" w:cstheme="minorHAnsi"/>
          <w:sz w:val="14"/>
          <w:szCs w:val="14"/>
        </w:rPr>
        <w:footnoteRef/>
      </w:r>
      <w:r w:rsidRPr="004E3745">
        <w:rPr>
          <w:rFonts w:asciiTheme="minorHAnsi" w:hAnsiTheme="minorHAnsi" w:cstheme="minorHAnsi"/>
          <w:sz w:val="14"/>
          <w:szCs w:val="14"/>
        </w:rPr>
        <w:t xml:space="preserve"> Conway (2015). How Many of Us are There? Accessed at: </w:t>
      </w:r>
      <w:hyperlink r:id="rId2" w:history="1">
        <w:r w:rsidRPr="004E3745">
          <w:rPr>
            <w:rFonts w:asciiTheme="minorHAnsi" w:hAnsiTheme="minorHAnsi" w:cstheme="minorHAnsi"/>
            <w:sz w:val="14"/>
            <w:szCs w:val="14"/>
          </w:rPr>
          <w:t>http://www.gendercentre.org.au/resources/polare-archive/archived-articles/how-many-of-us-are-there.htm</w:t>
        </w:r>
      </w:hyperlink>
    </w:p>
  </w:footnote>
  <w:footnote w:id="18">
    <w:p w14:paraId="655E3A72" w14:textId="77777777" w:rsidR="00C65183" w:rsidRPr="004E3745" w:rsidRDefault="00C65183" w:rsidP="00C65183">
      <w:pPr>
        <w:pStyle w:val="FootnoteText"/>
        <w:spacing w:after="0" w:line="240" w:lineRule="auto"/>
        <w:jc w:val="both"/>
        <w:rPr>
          <w:rFonts w:asciiTheme="minorHAnsi" w:hAnsiTheme="minorHAnsi" w:cstheme="minorHAnsi"/>
          <w:sz w:val="14"/>
          <w:szCs w:val="14"/>
        </w:rPr>
      </w:pPr>
      <w:r w:rsidRPr="004E3745">
        <w:rPr>
          <w:rStyle w:val="FootnoteReference"/>
          <w:rFonts w:asciiTheme="minorHAnsi" w:hAnsiTheme="minorHAnsi" w:cstheme="minorHAnsi"/>
          <w:sz w:val="14"/>
          <w:szCs w:val="14"/>
        </w:rPr>
        <w:footnoteRef/>
      </w:r>
      <w:r w:rsidRPr="004E3745">
        <w:rPr>
          <w:rFonts w:asciiTheme="minorHAnsi" w:hAnsiTheme="minorHAnsi" w:cstheme="minorHAnsi"/>
          <w:sz w:val="14"/>
          <w:szCs w:val="14"/>
        </w:rPr>
        <w:t xml:space="preserve"> Sax (2002). How Common is Intersex? A Response to Anne Fausto-Sterling. Journal of Sex research, 2002 August Vol. 4(4), pp. 293-298</w:t>
      </w:r>
    </w:p>
  </w:footnote>
  <w:footnote w:id="19">
    <w:p w14:paraId="6AF51A6D" w14:textId="77777777" w:rsidR="00C65183" w:rsidRPr="004E3745" w:rsidRDefault="00C65183" w:rsidP="00C65183">
      <w:pPr>
        <w:pStyle w:val="FootnoteText"/>
        <w:spacing w:after="0" w:line="240" w:lineRule="auto"/>
        <w:jc w:val="both"/>
        <w:rPr>
          <w:rFonts w:asciiTheme="minorHAnsi" w:hAnsiTheme="minorHAnsi" w:cstheme="minorHAnsi"/>
          <w:sz w:val="14"/>
          <w:szCs w:val="14"/>
        </w:rPr>
      </w:pPr>
      <w:r w:rsidRPr="004E3745">
        <w:rPr>
          <w:rStyle w:val="FootnoteReference"/>
          <w:rFonts w:asciiTheme="minorHAnsi" w:hAnsiTheme="minorHAnsi" w:cstheme="minorHAnsi"/>
          <w:sz w:val="14"/>
          <w:szCs w:val="14"/>
        </w:rPr>
        <w:footnoteRef/>
      </w:r>
      <w:r w:rsidRPr="004E3745">
        <w:rPr>
          <w:rFonts w:asciiTheme="minorHAnsi" w:hAnsiTheme="minorHAnsi" w:cstheme="minorHAnsi"/>
          <w:sz w:val="14"/>
          <w:szCs w:val="14"/>
        </w:rPr>
        <w:t xml:space="preserve"> Victorian Agency for Health Information (2020). The health and wellbeing of the lesbian, gay, bisexual, transgender, intersex and queer population in Victoria: Findings from the Victorian Population Health Survey 2017. Melbourne</w:t>
      </w:r>
    </w:p>
  </w:footnote>
  <w:footnote w:id="20">
    <w:p w14:paraId="5803C0D5" w14:textId="77777777" w:rsidR="00C65183" w:rsidRPr="004E3745" w:rsidRDefault="00C65183" w:rsidP="00C65183">
      <w:pPr>
        <w:jc w:val="both"/>
        <w:rPr>
          <w:rFonts w:asciiTheme="minorHAnsi" w:hAnsiTheme="minorHAnsi" w:cstheme="minorHAnsi"/>
          <w:color w:val="000000" w:themeColor="text1"/>
          <w:sz w:val="14"/>
          <w:szCs w:val="14"/>
          <w:lang w:val="en-GB"/>
        </w:rPr>
      </w:pPr>
      <w:r w:rsidRPr="004E3745">
        <w:rPr>
          <w:rStyle w:val="FootnoteReference"/>
          <w:rFonts w:asciiTheme="minorHAnsi" w:hAnsiTheme="minorHAnsi" w:cstheme="minorHAnsi"/>
          <w:sz w:val="14"/>
          <w:szCs w:val="14"/>
        </w:rPr>
        <w:footnoteRef/>
      </w:r>
      <w:r w:rsidRPr="004E3745">
        <w:rPr>
          <w:rFonts w:asciiTheme="minorHAnsi" w:hAnsiTheme="minorHAnsi" w:cstheme="minorHAnsi"/>
          <w:sz w:val="14"/>
          <w:szCs w:val="14"/>
        </w:rPr>
        <w:t xml:space="preserve"> </w:t>
      </w:r>
      <w:r w:rsidRPr="004E3745">
        <w:rPr>
          <w:rFonts w:asciiTheme="minorHAnsi" w:hAnsiTheme="minorHAnsi" w:cstheme="minorHAnsi"/>
          <w:color w:val="000000" w:themeColor="text1"/>
          <w:sz w:val="14"/>
          <w:szCs w:val="14"/>
          <w:lang w:val="en-GB"/>
        </w:rPr>
        <w:t>Fairchild, J. (2020). PiP Webinar: LGBTIQ Inclusive Prevention in Conversation with Rainbow Health Victoria. May 27, 2020</w:t>
      </w:r>
    </w:p>
    <w:p w14:paraId="23098153" w14:textId="77777777" w:rsidR="00C65183" w:rsidRPr="004E3745" w:rsidRDefault="00C65183" w:rsidP="00C65183">
      <w:pPr>
        <w:jc w:val="both"/>
        <w:rPr>
          <w:rFonts w:asciiTheme="minorHAnsi" w:hAnsiTheme="minorHAnsi" w:cstheme="minorHAnsi"/>
          <w:color w:val="000000" w:themeColor="text1"/>
          <w:sz w:val="14"/>
          <w:szCs w:val="14"/>
        </w:rPr>
      </w:pPr>
      <w:r w:rsidRPr="004E3745">
        <w:rPr>
          <w:rFonts w:asciiTheme="minorHAnsi" w:hAnsiTheme="minorHAnsi" w:cstheme="minorHAnsi"/>
          <w:color w:val="000000" w:themeColor="text1"/>
          <w:sz w:val="14"/>
          <w:szCs w:val="14"/>
        </w:rPr>
        <w:t>Family and Community Services (undated). I’m LGBTIQ and Experiencing Domestic Violence.</w:t>
      </w:r>
    </w:p>
  </w:footnote>
  <w:footnote w:id="21">
    <w:p w14:paraId="3EB30DBE" w14:textId="77777777" w:rsidR="00C65183" w:rsidRPr="004E3745" w:rsidRDefault="00C65183" w:rsidP="00C65183">
      <w:pPr>
        <w:pStyle w:val="FootnoteText"/>
        <w:spacing w:after="0" w:line="240" w:lineRule="auto"/>
        <w:jc w:val="both"/>
        <w:rPr>
          <w:rFonts w:asciiTheme="minorHAnsi" w:hAnsiTheme="minorHAnsi" w:cstheme="minorHAnsi"/>
          <w:sz w:val="14"/>
          <w:szCs w:val="14"/>
        </w:rPr>
      </w:pPr>
      <w:r w:rsidRPr="004E3745">
        <w:rPr>
          <w:rStyle w:val="FootnoteReference"/>
          <w:rFonts w:asciiTheme="minorHAnsi" w:hAnsiTheme="minorHAnsi" w:cstheme="minorHAnsi"/>
          <w:sz w:val="14"/>
          <w:szCs w:val="14"/>
        </w:rPr>
        <w:footnoteRef/>
      </w:r>
      <w:r w:rsidRPr="004E3745">
        <w:rPr>
          <w:rFonts w:asciiTheme="minorHAnsi" w:hAnsiTheme="minorHAnsi" w:cstheme="minorHAnsi"/>
          <w:sz w:val="14"/>
          <w:szCs w:val="14"/>
        </w:rPr>
        <w:t xml:space="preserve"> </w:t>
      </w:r>
      <w:r w:rsidRPr="004E3745">
        <w:rPr>
          <w:rFonts w:asciiTheme="minorHAnsi" w:hAnsiTheme="minorHAnsi" w:cstheme="minorHAnsi"/>
          <w:color w:val="000000" w:themeColor="text1"/>
          <w:sz w:val="14"/>
          <w:szCs w:val="14"/>
        </w:rPr>
        <w:t>National LGBT Health Alliance (2009). Submission to the Inquiry into the Impact of Violence on Young Australians</w:t>
      </w:r>
    </w:p>
  </w:footnote>
  <w:footnote w:id="22">
    <w:p w14:paraId="7622FB86" w14:textId="77777777" w:rsidR="00C65183" w:rsidRPr="00D613FD" w:rsidRDefault="00C65183" w:rsidP="00C65183">
      <w:pPr>
        <w:pStyle w:val="FootnoteText"/>
        <w:spacing w:after="0" w:line="240" w:lineRule="auto"/>
        <w:rPr>
          <w:rFonts w:asciiTheme="minorHAnsi" w:hAnsiTheme="minorHAnsi" w:cstheme="minorHAnsi"/>
          <w:sz w:val="14"/>
          <w:szCs w:val="14"/>
        </w:rPr>
      </w:pPr>
      <w:r w:rsidRPr="004E3745">
        <w:rPr>
          <w:rStyle w:val="FootnoteReference"/>
          <w:rFonts w:asciiTheme="minorHAnsi" w:hAnsiTheme="minorHAnsi" w:cstheme="minorHAnsi"/>
          <w:sz w:val="14"/>
          <w:szCs w:val="14"/>
        </w:rPr>
        <w:footnoteRef/>
      </w:r>
      <w:r w:rsidRPr="004E3745">
        <w:rPr>
          <w:rFonts w:asciiTheme="minorHAnsi" w:hAnsiTheme="minorHAnsi" w:cstheme="minorHAnsi"/>
          <w:sz w:val="14"/>
          <w:szCs w:val="14"/>
        </w:rPr>
        <w:t xml:space="preserve"> </w:t>
      </w:r>
      <w:r w:rsidRPr="004E3745">
        <w:rPr>
          <w:rFonts w:asciiTheme="minorHAnsi" w:hAnsiTheme="minorHAnsi" w:cstheme="minorHAnsi"/>
          <w:color w:val="000000" w:themeColor="text1"/>
          <w:sz w:val="14"/>
          <w:szCs w:val="14"/>
        </w:rPr>
        <w:t>National LGBT Health Alliance (2009). Submission to the Inquiry into the Impact of Violence on Young Australians</w:t>
      </w:r>
    </w:p>
  </w:footnote>
  <w:footnote w:id="23">
    <w:p w14:paraId="37184B27" w14:textId="77777777" w:rsidR="00C65183" w:rsidRPr="002D75C7" w:rsidRDefault="00C65183" w:rsidP="00C65183">
      <w:pPr>
        <w:pStyle w:val="FootnoteText"/>
        <w:spacing w:after="0" w:line="240" w:lineRule="auto"/>
        <w:jc w:val="both"/>
        <w:rPr>
          <w:rFonts w:asciiTheme="minorHAnsi" w:hAnsiTheme="minorHAnsi" w:cstheme="minorHAnsi"/>
          <w:sz w:val="14"/>
          <w:szCs w:val="14"/>
        </w:rPr>
      </w:pPr>
      <w:r w:rsidRPr="00D613FD">
        <w:rPr>
          <w:rStyle w:val="FootnoteReference"/>
          <w:rFonts w:asciiTheme="minorHAnsi" w:hAnsiTheme="minorHAnsi" w:cstheme="minorHAnsi"/>
          <w:sz w:val="14"/>
          <w:szCs w:val="14"/>
        </w:rPr>
        <w:footnoteRef/>
      </w:r>
      <w:r w:rsidRPr="00D613FD">
        <w:rPr>
          <w:rFonts w:asciiTheme="minorHAnsi" w:hAnsiTheme="minorHAnsi" w:cstheme="minorHAnsi"/>
          <w:sz w:val="14"/>
          <w:szCs w:val="14"/>
        </w:rPr>
        <w:t xml:space="preserve"> </w:t>
      </w:r>
      <w:r w:rsidRPr="00D613FD">
        <w:rPr>
          <w:rFonts w:asciiTheme="minorHAnsi" w:hAnsiTheme="minorHAnsi" w:cstheme="minorHAnsi"/>
          <w:color w:val="000000" w:themeColor="text1"/>
          <w:sz w:val="14"/>
          <w:szCs w:val="14"/>
        </w:rPr>
        <w:t xml:space="preserve">National LGBT Health Alliance (2009). </w:t>
      </w:r>
      <w:r w:rsidRPr="00D613FD">
        <w:rPr>
          <w:rFonts w:asciiTheme="minorHAnsi" w:hAnsiTheme="minorHAnsi" w:cstheme="minorHAnsi"/>
          <w:color w:val="000000" w:themeColor="text1"/>
          <w:sz w:val="14"/>
          <w:szCs w:val="14"/>
          <w:u w:val="single"/>
        </w:rPr>
        <w:t>Submission to the Inquiry into the Impact of Violence on Young Australians</w:t>
      </w:r>
    </w:p>
  </w:footnote>
  <w:footnote w:id="24">
    <w:p w14:paraId="3A07DA3B" w14:textId="77777777" w:rsidR="00C65183" w:rsidRPr="00D613FD" w:rsidRDefault="00C65183" w:rsidP="00C65183">
      <w:pPr>
        <w:jc w:val="both"/>
        <w:rPr>
          <w:rFonts w:asciiTheme="minorHAnsi" w:hAnsiTheme="minorHAnsi" w:cstheme="minorHAnsi"/>
          <w:color w:val="000000" w:themeColor="text1"/>
          <w:sz w:val="14"/>
          <w:szCs w:val="14"/>
        </w:rPr>
      </w:pPr>
      <w:r w:rsidRPr="00D613FD">
        <w:rPr>
          <w:rStyle w:val="FootnoteReference"/>
          <w:rFonts w:asciiTheme="minorHAnsi" w:hAnsiTheme="minorHAnsi" w:cstheme="minorHAnsi"/>
          <w:sz w:val="14"/>
          <w:szCs w:val="14"/>
        </w:rPr>
        <w:footnoteRef/>
      </w:r>
      <w:r w:rsidRPr="00D613FD">
        <w:rPr>
          <w:rFonts w:asciiTheme="minorHAnsi" w:hAnsiTheme="minorHAnsi" w:cstheme="minorHAnsi"/>
          <w:sz w:val="14"/>
          <w:szCs w:val="14"/>
        </w:rPr>
        <w:t xml:space="preserve"> </w:t>
      </w:r>
      <w:r w:rsidRPr="00D613FD">
        <w:rPr>
          <w:rFonts w:asciiTheme="minorHAnsi" w:hAnsiTheme="minorHAnsi" w:cstheme="minorHAnsi"/>
          <w:color w:val="000000" w:themeColor="text1"/>
          <w:sz w:val="14"/>
          <w:szCs w:val="14"/>
        </w:rPr>
        <w:t>McNair, R., Kavanagh, A., Agues, P and Tong, B. (2004). The Mental Health Status of Young Adult and Mid-life Non-heterosexual Australian Women. Australian and New Zealand Journal of Public Health, Vol. 29 No. 3 pp. 265-271</w:t>
      </w:r>
    </w:p>
  </w:footnote>
  <w:footnote w:id="25">
    <w:p w14:paraId="5A4BD2B6" w14:textId="77777777" w:rsidR="00C65183" w:rsidRPr="00D613FD" w:rsidRDefault="00C65183" w:rsidP="00C65183">
      <w:pPr>
        <w:pStyle w:val="FootnoteText"/>
        <w:spacing w:after="0" w:line="240" w:lineRule="auto"/>
        <w:jc w:val="both"/>
        <w:rPr>
          <w:rFonts w:asciiTheme="minorHAnsi" w:hAnsiTheme="minorHAnsi" w:cstheme="minorHAnsi"/>
          <w:sz w:val="14"/>
          <w:szCs w:val="14"/>
        </w:rPr>
      </w:pPr>
      <w:r w:rsidRPr="00D613FD">
        <w:rPr>
          <w:rStyle w:val="FootnoteReference"/>
          <w:rFonts w:asciiTheme="minorHAnsi" w:hAnsiTheme="minorHAnsi" w:cstheme="minorHAnsi"/>
          <w:sz w:val="14"/>
          <w:szCs w:val="14"/>
        </w:rPr>
        <w:footnoteRef/>
      </w:r>
      <w:r w:rsidRPr="00D613FD">
        <w:rPr>
          <w:rFonts w:asciiTheme="minorHAnsi" w:hAnsiTheme="minorHAnsi" w:cstheme="minorHAnsi"/>
          <w:sz w:val="14"/>
          <w:szCs w:val="14"/>
        </w:rPr>
        <w:t xml:space="preserve"> </w:t>
      </w:r>
      <w:r w:rsidRPr="00D613FD">
        <w:rPr>
          <w:rFonts w:asciiTheme="minorHAnsi" w:hAnsiTheme="minorHAnsi" w:cstheme="minorHAnsi"/>
          <w:color w:val="000000" w:themeColor="text1"/>
          <w:sz w:val="14"/>
          <w:szCs w:val="14"/>
          <w:lang w:val="en-GB"/>
        </w:rPr>
        <w:t>Strauss, P., Cook, A., Winter, S., Watson, V., Wright Toussaint, D., Lin, A. (2017). Trans Pathways: the mental health experiences and care pathways of trans young people: summary of results. Telethon Kids Institute, Perth.</w:t>
      </w:r>
    </w:p>
  </w:footnote>
  <w:footnote w:id="26">
    <w:p w14:paraId="29DF82AF" w14:textId="77777777" w:rsidR="00C65183" w:rsidRPr="00D613FD" w:rsidRDefault="00C65183" w:rsidP="00C65183">
      <w:pPr>
        <w:jc w:val="both"/>
        <w:rPr>
          <w:rFonts w:asciiTheme="minorHAnsi" w:hAnsiTheme="minorHAnsi" w:cstheme="minorHAnsi"/>
          <w:color w:val="000000" w:themeColor="text1"/>
          <w:sz w:val="14"/>
          <w:szCs w:val="14"/>
        </w:rPr>
      </w:pPr>
      <w:r w:rsidRPr="00D613FD">
        <w:rPr>
          <w:rStyle w:val="FootnoteReference"/>
          <w:rFonts w:asciiTheme="minorHAnsi" w:hAnsiTheme="minorHAnsi" w:cstheme="minorHAnsi"/>
          <w:sz w:val="14"/>
          <w:szCs w:val="14"/>
        </w:rPr>
        <w:footnoteRef/>
      </w:r>
      <w:r w:rsidRPr="00D613FD">
        <w:rPr>
          <w:rFonts w:asciiTheme="minorHAnsi" w:hAnsiTheme="minorHAnsi" w:cstheme="minorHAnsi"/>
          <w:sz w:val="14"/>
          <w:szCs w:val="14"/>
        </w:rPr>
        <w:t xml:space="preserve"> Hill, A. O., Bourne, A., McNair, R., Carman, M. &amp; Lyons, A. (2020). Private Lives 3: The health and wellbeing of LGBTIQ people in Australia. Australian Research Centre in Sex, Health and Society</w:t>
      </w:r>
      <w:r w:rsidRPr="00D613FD">
        <w:rPr>
          <w:rFonts w:asciiTheme="minorHAnsi" w:hAnsiTheme="minorHAnsi" w:cstheme="minorHAnsi"/>
          <w:color w:val="000000" w:themeColor="text1"/>
          <w:sz w:val="14"/>
          <w:szCs w:val="14"/>
        </w:rPr>
        <w:t xml:space="preserve"> </w:t>
      </w:r>
    </w:p>
  </w:footnote>
  <w:footnote w:id="27">
    <w:p w14:paraId="7EA542FF" w14:textId="77777777" w:rsidR="00C65183" w:rsidRDefault="00C65183" w:rsidP="00C65183">
      <w:pPr>
        <w:pStyle w:val="FootnoteText"/>
        <w:spacing w:after="0" w:line="240" w:lineRule="auto"/>
        <w:jc w:val="both"/>
      </w:pPr>
      <w:r w:rsidRPr="00D613FD">
        <w:rPr>
          <w:rStyle w:val="FootnoteReference"/>
          <w:rFonts w:asciiTheme="minorHAnsi" w:hAnsiTheme="minorHAnsi" w:cstheme="minorHAnsi"/>
          <w:sz w:val="14"/>
          <w:szCs w:val="14"/>
        </w:rPr>
        <w:footnoteRef/>
      </w:r>
      <w:r w:rsidRPr="00D613FD">
        <w:rPr>
          <w:rFonts w:asciiTheme="minorHAnsi" w:hAnsiTheme="minorHAnsi" w:cstheme="minorHAnsi"/>
          <w:sz w:val="14"/>
          <w:szCs w:val="14"/>
        </w:rPr>
        <w:t xml:space="preserve"> Based on findings of the 2007 National Survey of Mental Health and Wellbeing</w:t>
      </w:r>
    </w:p>
  </w:footnote>
  <w:footnote w:id="28">
    <w:p w14:paraId="25081F28" w14:textId="77777777" w:rsidR="00C65183" w:rsidRPr="00D613FD" w:rsidRDefault="00C65183" w:rsidP="00C65183">
      <w:pPr>
        <w:jc w:val="both"/>
        <w:rPr>
          <w:rFonts w:asciiTheme="minorHAnsi" w:hAnsiTheme="minorHAnsi" w:cstheme="minorHAnsi"/>
          <w:color w:val="FF0000"/>
          <w:sz w:val="14"/>
          <w:szCs w:val="14"/>
          <w:lang w:val="en-GB"/>
        </w:rPr>
      </w:pPr>
      <w:r w:rsidRPr="00D613FD">
        <w:rPr>
          <w:rStyle w:val="FootnoteReference"/>
          <w:rFonts w:asciiTheme="minorHAnsi" w:hAnsiTheme="minorHAnsi" w:cstheme="minorHAnsi"/>
          <w:sz w:val="14"/>
          <w:szCs w:val="14"/>
        </w:rPr>
        <w:footnoteRef/>
      </w:r>
      <w:r w:rsidRPr="00D613FD">
        <w:rPr>
          <w:rFonts w:asciiTheme="minorHAnsi" w:hAnsiTheme="minorHAnsi" w:cstheme="minorHAnsi"/>
          <w:sz w:val="14"/>
          <w:szCs w:val="14"/>
        </w:rPr>
        <w:t xml:space="preserve"> </w:t>
      </w:r>
      <w:r w:rsidRPr="00D613FD">
        <w:rPr>
          <w:rFonts w:asciiTheme="minorHAnsi" w:hAnsiTheme="minorHAnsi" w:cstheme="minorHAnsi"/>
          <w:color w:val="000000" w:themeColor="text1"/>
          <w:sz w:val="14"/>
          <w:szCs w:val="14"/>
          <w:lang w:val="en-GB"/>
        </w:rPr>
        <w:t>Fairchild, J. (2020). PiP Webinar: LGBTIQ Inclusive Prevention in Conversation with Rainbow Health Victoria. May 27, 2020</w:t>
      </w:r>
    </w:p>
    <w:p w14:paraId="43A01860" w14:textId="77777777" w:rsidR="00C65183" w:rsidRPr="00D613FD" w:rsidRDefault="00C65183" w:rsidP="00C65183">
      <w:pPr>
        <w:jc w:val="both"/>
        <w:rPr>
          <w:rFonts w:asciiTheme="minorHAnsi" w:hAnsiTheme="minorHAnsi" w:cstheme="minorHAnsi"/>
          <w:color w:val="000000" w:themeColor="text1"/>
          <w:sz w:val="14"/>
          <w:szCs w:val="14"/>
          <w:lang w:val="en-US"/>
        </w:rPr>
      </w:pPr>
      <w:r w:rsidRPr="00D613FD">
        <w:rPr>
          <w:rFonts w:asciiTheme="minorHAnsi" w:hAnsiTheme="minorHAnsi" w:cstheme="minorHAnsi"/>
          <w:color w:val="000000" w:themeColor="text1"/>
          <w:sz w:val="14"/>
          <w:szCs w:val="14"/>
        </w:rPr>
        <w:t>National Coalition Against Domestic Violence (undated). Domestic Violence and Lesbian, Gay, Bisexual and Transgender Relationships. National Coalition Against Domestic Violence</w:t>
      </w:r>
    </w:p>
    <w:p w14:paraId="6FD3E25B" w14:textId="77777777" w:rsidR="00C65183" w:rsidRPr="00D613FD" w:rsidRDefault="00C65183" w:rsidP="00C65183">
      <w:pPr>
        <w:jc w:val="both"/>
        <w:rPr>
          <w:rFonts w:asciiTheme="minorHAnsi" w:hAnsiTheme="minorHAnsi" w:cstheme="minorHAnsi"/>
          <w:color w:val="000000" w:themeColor="text1"/>
          <w:sz w:val="14"/>
          <w:szCs w:val="14"/>
        </w:rPr>
      </w:pPr>
      <w:r w:rsidRPr="00D613FD">
        <w:rPr>
          <w:rFonts w:asciiTheme="minorHAnsi" w:hAnsiTheme="minorHAnsi" w:cstheme="minorHAnsi"/>
          <w:color w:val="000000" w:themeColor="text1"/>
          <w:sz w:val="14"/>
          <w:szCs w:val="14"/>
        </w:rPr>
        <w:t>O’Halloran, K. (undated). Family Violence in an LGBTIQ Context. Domestic Violence Resource Centre of Victoria.</w:t>
      </w:r>
    </w:p>
    <w:p w14:paraId="2E9FA1D7" w14:textId="77777777" w:rsidR="00C65183" w:rsidRPr="00D613FD" w:rsidRDefault="00C65183" w:rsidP="00C65183">
      <w:pPr>
        <w:jc w:val="both"/>
        <w:rPr>
          <w:rFonts w:asciiTheme="minorHAnsi" w:hAnsiTheme="minorHAnsi" w:cstheme="minorHAnsi"/>
          <w:color w:val="000000" w:themeColor="text1"/>
          <w:sz w:val="14"/>
          <w:szCs w:val="14"/>
        </w:rPr>
      </w:pPr>
      <w:r w:rsidRPr="00D613FD">
        <w:rPr>
          <w:rFonts w:asciiTheme="minorHAnsi" w:hAnsiTheme="minorHAnsi" w:cstheme="minorHAnsi"/>
          <w:color w:val="000000" w:themeColor="text1"/>
          <w:sz w:val="14"/>
          <w:szCs w:val="14"/>
        </w:rPr>
        <w:t>Rolle, L. Giardina, G., Caldarera, A.M., Gerino, E. and Brustia, P. (2018). When Intimate Partner Violence Meets Same Sex Couples: a review of same sex intimate partner violence. Frontiers of Psychology. Vol. 9, pp. 1506</w:t>
      </w:r>
    </w:p>
    <w:p w14:paraId="3D10746C" w14:textId="77777777" w:rsidR="00C65183" w:rsidRPr="00D613FD" w:rsidRDefault="00C65183" w:rsidP="00C65183">
      <w:pPr>
        <w:jc w:val="both"/>
        <w:rPr>
          <w:rFonts w:asciiTheme="minorHAnsi" w:hAnsiTheme="minorHAnsi" w:cstheme="minorHAnsi"/>
          <w:color w:val="000000" w:themeColor="text1"/>
          <w:sz w:val="14"/>
          <w:szCs w:val="14"/>
        </w:rPr>
      </w:pPr>
      <w:r w:rsidRPr="00D613FD">
        <w:rPr>
          <w:rFonts w:asciiTheme="minorHAnsi" w:hAnsiTheme="minorHAnsi" w:cstheme="minorHAnsi"/>
          <w:color w:val="000000" w:themeColor="text1"/>
          <w:sz w:val="14"/>
          <w:szCs w:val="14"/>
        </w:rPr>
        <w:t>Toesland, F. (2020). Coronavirus Restrictions Highlight LGBTQ Domestic Abuse. Out Health and Wellness.</w:t>
      </w:r>
    </w:p>
    <w:p w14:paraId="3B4F195E" w14:textId="77777777" w:rsidR="00C65183" w:rsidRPr="00D613FD" w:rsidRDefault="00C65183" w:rsidP="00C65183">
      <w:pPr>
        <w:jc w:val="both"/>
        <w:rPr>
          <w:rFonts w:asciiTheme="minorHAnsi" w:hAnsiTheme="minorHAnsi" w:cstheme="minorHAnsi"/>
          <w:color w:val="000000" w:themeColor="text1"/>
          <w:sz w:val="14"/>
          <w:szCs w:val="14"/>
        </w:rPr>
      </w:pPr>
      <w:r w:rsidRPr="00D613FD">
        <w:rPr>
          <w:rFonts w:asciiTheme="minorHAnsi" w:hAnsiTheme="minorHAnsi" w:cstheme="minorHAnsi"/>
          <w:color w:val="000000" w:themeColor="text1"/>
          <w:sz w:val="14"/>
          <w:szCs w:val="14"/>
        </w:rPr>
        <w:t>Witoslawski, A. (2020). LGBTI Domestic Abuse ‘Unseen’. Canberra Times. April 9, 2020</w:t>
      </w:r>
    </w:p>
  </w:footnote>
  <w:footnote w:id="29">
    <w:p w14:paraId="648D0596" w14:textId="77777777" w:rsidR="00C65183" w:rsidRPr="00D613FD" w:rsidRDefault="00C65183" w:rsidP="00C65183">
      <w:pPr>
        <w:jc w:val="both"/>
        <w:rPr>
          <w:rFonts w:asciiTheme="minorHAnsi" w:hAnsiTheme="minorHAnsi" w:cstheme="minorHAnsi"/>
          <w:color w:val="000000" w:themeColor="text1"/>
          <w:sz w:val="14"/>
          <w:szCs w:val="14"/>
          <w:lang w:val="en-US"/>
        </w:rPr>
      </w:pPr>
      <w:r w:rsidRPr="00D613FD">
        <w:rPr>
          <w:rStyle w:val="FootnoteReference"/>
          <w:rFonts w:asciiTheme="minorHAnsi" w:hAnsiTheme="minorHAnsi" w:cstheme="minorHAnsi"/>
          <w:sz w:val="14"/>
          <w:szCs w:val="14"/>
        </w:rPr>
        <w:footnoteRef/>
      </w:r>
      <w:r w:rsidRPr="00D613FD">
        <w:rPr>
          <w:rFonts w:asciiTheme="minorHAnsi" w:hAnsiTheme="minorHAnsi" w:cstheme="minorHAnsi"/>
          <w:sz w:val="14"/>
          <w:szCs w:val="14"/>
        </w:rPr>
        <w:t xml:space="preserve"> </w:t>
      </w:r>
      <w:r w:rsidRPr="00D613FD">
        <w:rPr>
          <w:rFonts w:asciiTheme="minorHAnsi" w:hAnsiTheme="minorHAnsi" w:cstheme="minorHAnsi"/>
          <w:color w:val="000000" w:themeColor="text1"/>
          <w:sz w:val="14"/>
          <w:szCs w:val="14"/>
        </w:rPr>
        <w:t>Campo, M. and Tayton, S. (2015). Intimate Partner Violence in Lesbian, Gay, Bisexual, Trans, Intersex and Queer Communities. Australian Institute of Family Studies.</w:t>
      </w:r>
    </w:p>
  </w:footnote>
  <w:footnote w:id="30">
    <w:p w14:paraId="111C2E8D" w14:textId="77777777" w:rsidR="00C65183" w:rsidRPr="00D613FD" w:rsidRDefault="00C65183" w:rsidP="00C65183">
      <w:pPr>
        <w:jc w:val="both"/>
        <w:rPr>
          <w:rFonts w:asciiTheme="minorHAnsi" w:hAnsiTheme="minorHAnsi"/>
          <w:color w:val="000000" w:themeColor="text1"/>
          <w:sz w:val="20"/>
          <w:szCs w:val="20"/>
          <w:lang w:val="en-US"/>
        </w:rPr>
      </w:pPr>
      <w:r w:rsidRPr="00D613FD">
        <w:rPr>
          <w:rStyle w:val="FootnoteReference"/>
          <w:rFonts w:asciiTheme="minorHAnsi" w:hAnsiTheme="minorHAnsi" w:cstheme="minorHAnsi"/>
          <w:sz w:val="14"/>
          <w:szCs w:val="14"/>
        </w:rPr>
        <w:footnoteRef/>
      </w:r>
      <w:r w:rsidRPr="00D613FD">
        <w:rPr>
          <w:rFonts w:asciiTheme="minorHAnsi" w:hAnsiTheme="minorHAnsi" w:cstheme="minorHAnsi"/>
          <w:sz w:val="14"/>
          <w:szCs w:val="14"/>
        </w:rPr>
        <w:t xml:space="preserve"> Hill, A. O., Bourne, A., McNair, R., Carman, M. &amp; Lyons, A. (2020). Private Lives 3: The health and wellbeing of LGBTIQ people in Australia. Australian Research Centre in Sex, Health and Society</w:t>
      </w:r>
      <w:r>
        <w:rPr>
          <w:color w:val="000000" w:themeColor="text1"/>
          <w:sz w:val="20"/>
          <w:szCs w:val="20"/>
        </w:rPr>
        <w:t xml:space="preserve"> </w:t>
      </w:r>
    </w:p>
  </w:footnote>
  <w:footnote w:id="31">
    <w:p w14:paraId="01328FA6" w14:textId="77777777" w:rsidR="00C65183" w:rsidRPr="00D613FD" w:rsidRDefault="00C65183" w:rsidP="00C65183">
      <w:pPr>
        <w:pStyle w:val="FootnoteText"/>
        <w:spacing w:after="0" w:line="240" w:lineRule="auto"/>
        <w:rPr>
          <w:sz w:val="14"/>
          <w:szCs w:val="14"/>
          <w:lang w:val="en-AU"/>
        </w:rPr>
      </w:pPr>
      <w:r w:rsidRPr="00D613FD">
        <w:rPr>
          <w:rStyle w:val="FootnoteReference"/>
          <w:sz w:val="14"/>
          <w:szCs w:val="14"/>
        </w:rPr>
        <w:footnoteRef/>
      </w:r>
      <w:r w:rsidRPr="00D613FD">
        <w:rPr>
          <w:sz w:val="14"/>
          <w:szCs w:val="14"/>
        </w:rPr>
        <w:t xml:space="preserve"> </w:t>
      </w:r>
      <w:r w:rsidRPr="00D613FD">
        <w:rPr>
          <w:sz w:val="14"/>
          <w:szCs w:val="14"/>
          <w:lang w:val="en-AU"/>
        </w:rPr>
        <w:t>The municipality of Greater Dandenong and the adjoining municipalities of Casey, Frankston, Kingston, Knox and Monash.</w:t>
      </w:r>
    </w:p>
  </w:footnote>
  <w:footnote w:id="32">
    <w:p w14:paraId="0BBD7E2B" w14:textId="77777777" w:rsidR="00C65183" w:rsidRPr="00D613FD" w:rsidRDefault="00C65183" w:rsidP="00C65183">
      <w:pPr>
        <w:pStyle w:val="FootnoteText"/>
        <w:spacing w:after="0" w:line="240" w:lineRule="auto"/>
        <w:rPr>
          <w:sz w:val="14"/>
          <w:szCs w:val="14"/>
          <w:lang w:val="en-AU"/>
        </w:rPr>
      </w:pPr>
      <w:r w:rsidRPr="00D613FD">
        <w:rPr>
          <w:rStyle w:val="FootnoteReference"/>
          <w:sz w:val="14"/>
          <w:szCs w:val="14"/>
        </w:rPr>
        <w:footnoteRef/>
      </w:r>
      <w:r w:rsidRPr="00D613FD">
        <w:rPr>
          <w:sz w:val="14"/>
          <w:szCs w:val="14"/>
        </w:rPr>
        <w:t xml:space="preserve"> </w:t>
      </w:r>
      <w:r w:rsidRPr="00D613FD">
        <w:rPr>
          <w:sz w:val="14"/>
          <w:szCs w:val="14"/>
          <w:lang w:val="en-AU"/>
        </w:rPr>
        <w:t>These were physical, emotional, social, language and communication.</w:t>
      </w:r>
    </w:p>
  </w:footnote>
  <w:footnote w:id="33">
    <w:p w14:paraId="7F9DE733" w14:textId="77777777" w:rsidR="00C65183" w:rsidRPr="00D613FD" w:rsidRDefault="00C65183" w:rsidP="00C65183">
      <w:pPr>
        <w:pStyle w:val="FootnoteText"/>
        <w:spacing w:after="0" w:line="240" w:lineRule="auto"/>
        <w:jc w:val="both"/>
        <w:rPr>
          <w:rFonts w:asciiTheme="minorHAnsi" w:hAnsiTheme="minorHAnsi" w:cstheme="minorHAnsi"/>
          <w:sz w:val="14"/>
          <w:szCs w:val="14"/>
          <w:lang w:val="en-AU"/>
        </w:rPr>
      </w:pPr>
      <w:r w:rsidRPr="00D613FD">
        <w:rPr>
          <w:rStyle w:val="FootnoteReference"/>
          <w:rFonts w:asciiTheme="minorHAnsi" w:hAnsiTheme="minorHAnsi" w:cstheme="minorHAnsi"/>
          <w:sz w:val="14"/>
          <w:szCs w:val="14"/>
        </w:rPr>
        <w:footnoteRef/>
      </w:r>
      <w:r w:rsidRPr="00D613FD">
        <w:rPr>
          <w:rFonts w:asciiTheme="minorHAnsi" w:hAnsiTheme="minorHAnsi" w:cstheme="minorHAnsi"/>
          <w:sz w:val="14"/>
          <w:szCs w:val="14"/>
        </w:rPr>
        <w:t xml:space="preserve"> </w:t>
      </w:r>
      <w:r w:rsidRPr="00D613FD">
        <w:rPr>
          <w:rFonts w:asciiTheme="minorHAnsi" w:hAnsiTheme="minorHAnsi" w:cstheme="minorHAnsi"/>
          <w:color w:val="000000" w:themeColor="text1"/>
          <w:sz w:val="14"/>
          <w:szCs w:val="14"/>
        </w:rPr>
        <w:t>Dudgeon, P. (2017). Aboriginal and Torres Strait Islander Women and Mental Health. Australian Psychology Society. Accessed at psychology.org.au on 29 August 2017</w:t>
      </w:r>
    </w:p>
  </w:footnote>
  <w:footnote w:id="34">
    <w:p w14:paraId="67BB81FA" w14:textId="77777777" w:rsidR="00C65183" w:rsidRPr="00D613FD" w:rsidRDefault="00C65183" w:rsidP="00C65183">
      <w:pPr>
        <w:jc w:val="both"/>
        <w:rPr>
          <w:rFonts w:asciiTheme="minorHAnsi" w:hAnsiTheme="minorHAnsi" w:cstheme="minorHAnsi"/>
          <w:color w:val="000000" w:themeColor="text1"/>
          <w:sz w:val="14"/>
          <w:szCs w:val="14"/>
        </w:rPr>
      </w:pPr>
      <w:r w:rsidRPr="00D613FD">
        <w:rPr>
          <w:rStyle w:val="FootnoteReference"/>
          <w:rFonts w:asciiTheme="minorHAnsi" w:hAnsiTheme="minorHAnsi" w:cstheme="minorHAnsi"/>
          <w:sz w:val="14"/>
          <w:szCs w:val="14"/>
        </w:rPr>
        <w:footnoteRef/>
      </w:r>
      <w:r w:rsidRPr="00D613FD">
        <w:rPr>
          <w:rFonts w:asciiTheme="minorHAnsi" w:hAnsiTheme="minorHAnsi" w:cstheme="minorHAnsi"/>
          <w:sz w:val="14"/>
          <w:szCs w:val="14"/>
        </w:rPr>
        <w:t xml:space="preserve"> </w:t>
      </w:r>
      <w:r w:rsidRPr="00D613FD">
        <w:rPr>
          <w:rFonts w:asciiTheme="minorHAnsi" w:hAnsiTheme="minorHAnsi" w:cstheme="minorHAnsi"/>
          <w:color w:val="000000" w:themeColor="text1"/>
          <w:sz w:val="14"/>
          <w:szCs w:val="14"/>
        </w:rPr>
        <w:t>Australian Institute of Health and Welfare (2012). Australia's Health 2012 - Summary of Findings. Australian Institute of Health and Welfare, Canberra</w:t>
      </w:r>
    </w:p>
  </w:footnote>
  <w:footnote w:id="35">
    <w:p w14:paraId="1F765260" w14:textId="77777777" w:rsidR="00C65183" w:rsidRPr="00D613FD" w:rsidRDefault="00C65183" w:rsidP="00C65183">
      <w:pPr>
        <w:pStyle w:val="FootnoteText"/>
        <w:spacing w:after="0" w:line="240" w:lineRule="auto"/>
        <w:jc w:val="both"/>
        <w:rPr>
          <w:rFonts w:asciiTheme="minorHAnsi" w:hAnsiTheme="minorHAnsi" w:cstheme="minorHAnsi"/>
          <w:sz w:val="14"/>
          <w:szCs w:val="14"/>
          <w:lang w:val="en-GB"/>
        </w:rPr>
      </w:pPr>
      <w:r w:rsidRPr="00D613FD">
        <w:rPr>
          <w:rStyle w:val="FootnoteReference"/>
          <w:rFonts w:asciiTheme="minorHAnsi" w:hAnsiTheme="minorHAnsi" w:cstheme="minorHAnsi"/>
          <w:sz w:val="14"/>
          <w:szCs w:val="14"/>
        </w:rPr>
        <w:footnoteRef/>
      </w:r>
      <w:r w:rsidRPr="00D613FD">
        <w:rPr>
          <w:rFonts w:asciiTheme="minorHAnsi" w:hAnsiTheme="minorHAnsi" w:cstheme="minorHAnsi"/>
          <w:sz w:val="14"/>
          <w:szCs w:val="14"/>
        </w:rPr>
        <w:t xml:space="preserve"> </w:t>
      </w:r>
      <w:r w:rsidRPr="00D613FD">
        <w:rPr>
          <w:rFonts w:asciiTheme="minorHAnsi" w:hAnsiTheme="minorHAnsi" w:cstheme="minorHAnsi"/>
          <w:color w:val="000000" w:themeColor="text1"/>
          <w:sz w:val="14"/>
          <w:szCs w:val="14"/>
        </w:rPr>
        <w:t>Edith Cowan University (2012). Overview of Australian Indigenous Health Status, 2011. Dept. Health and Ageing, Canberra</w:t>
      </w:r>
    </w:p>
  </w:footnote>
  <w:footnote w:id="36">
    <w:p w14:paraId="1942FEB3" w14:textId="77777777" w:rsidR="00C65183" w:rsidRPr="00D613FD" w:rsidRDefault="00C65183" w:rsidP="00C65183">
      <w:pPr>
        <w:pStyle w:val="FootnoteText"/>
        <w:spacing w:after="0" w:line="240" w:lineRule="auto"/>
        <w:jc w:val="both"/>
        <w:rPr>
          <w:rFonts w:asciiTheme="minorHAnsi" w:hAnsiTheme="minorHAnsi" w:cstheme="minorHAnsi"/>
          <w:sz w:val="14"/>
          <w:szCs w:val="14"/>
          <w:lang w:val="en-GB"/>
        </w:rPr>
      </w:pPr>
      <w:r w:rsidRPr="00D613FD">
        <w:rPr>
          <w:rStyle w:val="FootnoteReference"/>
          <w:rFonts w:asciiTheme="minorHAnsi" w:hAnsiTheme="minorHAnsi" w:cstheme="minorHAnsi"/>
          <w:sz w:val="14"/>
          <w:szCs w:val="14"/>
        </w:rPr>
        <w:footnoteRef/>
      </w:r>
      <w:r w:rsidRPr="00D613FD">
        <w:rPr>
          <w:rFonts w:asciiTheme="minorHAnsi" w:hAnsiTheme="minorHAnsi" w:cstheme="minorHAnsi"/>
          <w:sz w:val="14"/>
          <w:szCs w:val="14"/>
        </w:rPr>
        <w:t xml:space="preserve"> Australian Bureau of Statistics (2019). Causes of Death Australia, 2018</w:t>
      </w:r>
    </w:p>
  </w:footnote>
  <w:footnote w:id="37">
    <w:p w14:paraId="3A31D9FE" w14:textId="77777777" w:rsidR="00C65183" w:rsidRPr="00D613FD" w:rsidRDefault="00C65183" w:rsidP="00C65183">
      <w:pPr>
        <w:pStyle w:val="FootnoteText"/>
        <w:spacing w:after="0" w:line="240" w:lineRule="auto"/>
        <w:rPr>
          <w:rFonts w:asciiTheme="minorHAnsi" w:hAnsiTheme="minorHAnsi" w:cstheme="minorHAnsi"/>
          <w:sz w:val="14"/>
          <w:szCs w:val="14"/>
          <w:lang w:val="en-GB"/>
        </w:rPr>
      </w:pPr>
      <w:r w:rsidRPr="00D613FD">
        <w:rPr>
          <w:rStyle w:val="FootnoteReference"/>
          <w:rFonts w:asciiTheme="minorHAnsi" w:hAnsiTheme="minorHAnsi" w:cstheme="minorHAnsi"/>
          <w:sz w:val="14"/>
          <w:szCs w:val="14"/>
        </w:rPr>
        <w:footnoteRef/>
      </w:r>
      <w:r w:rsidRPr="00D613FD">
        <w:rPr>
          <w:rFonts w:asciiTheme="minorHAnsi" w:hAnsiTheme="minorHAnsi" w:cstheme="minorHAnsi"/>
          <w:sz w:val="14"/>
          <w:szCs w:val="14"/>
        </w:rPr>
        <w:t xml:space="preserve"> </w:t>
      </w:r>
      <w:r w:rsidRPr="00D613FD">
        <w:rPr>
          <w:rFonts w:asciiTheme="minorHAnsi" w:hAnsiTheme="minorHAnsi" w:cstheme="minorHAnsi"/>
          <w:color w:val="000000" w:themeColor="text1"/>
          <w:sz w:val="14"/>
          <w:szCs w:val="14"/>
        </w:rPr>
        <w:t>Dudgeon, P. (2017). Aboriginal and Torres Strait Islander Women and Mental Health. Australian Psychology Society. Accessed at psychology.org.au on 29 August 2017</w:t>
      </w:r>
    </w:p>
  </w:footnote>
  <w:footnote w:id="38">
    <w:p w14:paraId="2584AB42" w14:textId="77777777" w:rsidR="00C65183" w:rsidRPr="00D613FD" w:rsidRDefault="00C65183" w:rsidP="00C65183">
      <w:pPr>
        <w:pStyle w:val="FootnoteText"/>
        <w:spacing w:after="0"/>
        <w:jc w:val="both"/>
        <w:rPr>
          <w:sz w:val="14"/>
          <w:szCs w:val="14"/>
          <w:lang w:val="en-AU"/>
        </w:rPr>
      </w:pPr>
      <w:r w:rsidRPr="00D613FD">
        <w:rPr>
          <w:rStyle w:val="FootnoteReference"/>
          <w:sz w:val="14"/>
          <w:szCs w:val="14"/>
        </w:rPr>
        <w:footnoteRef/>
      </w:r>
      <w:r w:rsidRPr="00D613FD">
        <w:rPr>
          <w:sz w:val="14"/>
          <w:szCs w:val="14"/>
        </w:rPr>
        <w:t xml:space="preserve"> </w:t>
      </w:r>
      <w:r w:rsidRPr="00D613FD">
        <w:rPr>
          <w:sz w:val="14"/>
          <w:szCs w:val="14"/>
          <w:lang w:val="en-AU"/>
        </w:rPr>
        <w:t>Diversity of birthplaces among the residents of each municipality is measured as the probability that two people from a community, chosen at random, would come from different birthplaces. This measure provides an index of birthplace diversity which gives a balanced measure of the range of birthplaces and number of persons from each, and permits localities of widely varying population to be compared.</w:t>
      </w:r>
    </w:p>
  </w:footnote>
  <w:footnote w:id="39">
    <w:p w14:paraId="6DAACF7A" w14:textId="77777777" w:rsidR="00C65183" w:rsidRPr="00D613FD" w:rsidRDefault="00C65183" w:rsidP="00C65183">
      <w:pPr>
        <w:pStyle w:val="FootnoteText"/>
        <w:spacing w:after="0" w:line="240" w:lineRule="auto"/>
        <w:jc w:val="both"/>
        <w:rPr>
          <w:sz w:val="14"/>
          <w:szCs w:val="14"/>
        </w:rPr>
      </w:pPr>
      <w:r w:rsidRPr="00D613FD">
        <w:rPr>
          <w:rStyle w:val="FootnoteReference"/>
          <w:sz w:val="14"/>
          <w:szCs w:val="14"/>
        </w:rPr>
        <w:footnoteRef/>
      </w:r>
      <w:r w:rsidRPr="00D613FD">
        <w:rPr>
          <w:sz w:val="14"/>
          <w:szCs w:val="14"/>
        </w:rPr>
        <w:t xml:space="preserve"> For 388 asylum-seekers, their municipality of residence could not be determined, due to the manner in which information concerning their suburb of residence is tabulated by the Department of Immigration and Border Protection. As a result, the total number of asylum-seekers used to calculate the percentages presented is less than the actual total.</w:t>
      </w:r>
    </w:p>
  </w:footnote>
  <w:footnote w:id="40">
    <w:p w14:paraId="4CE6669E" w14:textId="77777777" w:rsidR="00C65183" w:rsidRPr="00D613FD" w:rsidRDefault="00C65183" w:rsidP="00C65183">
      <w:pPr>
        <w:pStyle w:val="FootnoteText"/>
        <w:spacing w:after="0" w:line="240" w:lineRule="auto"/>
        <w:rPr>
          <w:sz w:val="14"/>
          <w:szCs w:val="14"/>
        </w:rPr>
      </w:pPr>
      <w:r w:rsidRPr="00D613FD">
        <w:rPr>
          <w:rStyle w:val="FootnoteReference"/>
          <w:sz w:val="14"/>
          <w:szCs w:val="14"/>
        </w:rPr>
        <w:footnoteRef/>
      </w:r>
      <w:r w:rsidRPr="00D613FD">
        <w:rPr>
          <w:sz w:val="14"/>
          <w:szCs w:val="14"/>
        </w:rPr>
        <w:t xml:space="preserve"> Some of those people among the totals for September 2014 and September 2020 could not be reliably assigned to municipalities of residence to assemble the chart above.</w:t>
      </w:r>
    </w:p>
  </w:footnote>
  <w:footnote w:id="41">
    <w:p w14:paraId="3DFB996F" w14:textId="77777777" w:rsidR="00C65183" w:rsidRPr="00955FA5" w:rsidRDefault="00C65183" w:rsidP="00C65183">
      <w:pPr>
        <w:pStyle w:val="FootnoteText"/>
        <w:spacing w:after="0" w:line="240" w:lineRule="auto"/>
        <w:jc w:val="both"/>
        <w:rPr>
          <w:lang w:val="en-GB"/>
        </w:rPr>
      </w:pPr>
      <w:r>
        <w:rPr>
          <w:rStyle w:val="FootnoteReference"/>
        </w:rPr>
        <w:footnoteRef/>
      </w:r>
      <w:r>
        <w:t xml:space="preserve"> </w:t>
      </w:r>
      <w:r w:rsidRPr="00955FA5">
        <w:rPr>
          <w:sz w:val="14"/>
          <w:szCs w:val="14"/>
        </w:rPr>
        <w:t>To generate sound estimates of the overall proportion of people aged 15-74 with limited literacy in specific localities, the prevalence of limited literacy among various combinations of age, educational and birthplace were determined from an earlier national survey of literacy – the 2006 Adult Literacy and Life Skills Survey - then coupled with information about the population of these segments of the community, based on the findings of the 2006 Census.</w:t>
      </w:r>
    </w:p>
  </w:footnote>
  <w:footnote w:id="42">
    <w:p w14:paraId="783A0F96" w14:textId="77777777" w:rsidR="00C65183" w:rsidRPr="00D613FD" w:rsidRDefault="00C65183" w:rsidP="00C65183">
      <w:pPr>
        <w:pStyle w:val="FootnoteText"/>
        <w:spacing w:after="0" w:line="240" w:lineRule="auto"/>
        <w:rPr>
          <w:sz w:val="14"/>
          <w:szCs w:val="14"/>
          <w:lang w:val="en-GB"/>
        </w:rPr>
      </w:pPr>
      <w:r w:rsidRPr="00D613FD">
        <w:rPr>
          <w:rStyle w:val="FootnoteReference"/>
          <w:sz w:val="14"/>
          <w:szCs w:val="14"/>
        </w:rPr>
        <w:footnoteRef/>
      </w:r>
      <w:r w:rsidRPr="00D613FD">
        <w:rPr>
          <w:sz w:val="14"/>
          <w:szCs w:val="14"/>
        </w:rPr>
        <w:t xml:space="preserve"> </w:t>
      </w:r>
      <w:r w:rsidRPr="00D613FD">
        <w:rPr>
          <w:rFonts w:asciiTheme="minorHAnsi" w:hAnsiTheme="minorHAnsi" w:cstheme="minorHAnsi"/>
          <w:sz w:val="14"/>
          <w:szCs w:val="14"/>
        </w:rPr>
        <w:t>45% of all legal gambling losses in 2015/16</w:t>
      </w:r>
      <w:r w:rsidRPr="00D613FD">
        <w:rPr>
          <w:sz w:val="14"/>
          <w:szCs w:val="14"/>
        </w:rPr>
        <w:t xml:space="preserve"> </w:t>
      </w:r>
    </w:p>
  </w:footnote>
  <w:footnote w:id="43">
    <w:p w14:paraId="6674ECA5" w14:textId="77777777" w:rsidR="00C65183" w:rsidRPr="00D613FD" w:rsidRDefault="00C65183" w:rsidP="00C65183">
      <w:pPr>
        <w:pStyle w:val="FootnoteText"/>
        <w:spacing w:after="0" w:line="240" w:lineRule="auto"/>
        <w:jc w:val="both"/>
        <w:rPr>
          <w:sz w:val="14"/>
          <w:szCs w:val="14"/>
        </w:rPr>
      </w:pPr>
      <w:r w:rsidRPr="00D613FD">
        <w:rPr>
          <w:rStyle w:val="FootnoteReference"/>
          <w:sz w:val="14"/>
          <w:szCs w:val="14"/>
        </w:rPr>
        <w:footnoteRef/>
      </w:r>
      <w:r w:rsidRPr="00D613FD">
        <w:rPr>
          <w:sz w:val="14"/>
          <w:szCs w:val="14"/>
        </w:rPr>
        <w:t xml:space="preserve"> </w:t>
      </w:r>
      <w:r w:rsidRPr="00D613FD">
        <w:rPr>
          <w:rFonts w:asciiTheme="minorHAnsi" w:hAnsiTheme="minorHAnsi"/>
          <w:sz w:val="14"/>
          <w:szCs w:val="14"/>
        </w:rPr>
        <w:t>Calculated on the basis of the cost of the Healthy food basket of 2014, of $126 per fortnight, adjusted for inflation to $137 in 2019, representing $68 per week, multiplied by 0.7 – the cost of living for one child, relative to that of an adult, according to the OECD poverty scales - to give an approximation of the cost of feeding a child for a week. The resulting figure, of $47, is multiplied by 52 to give $2,444 – the estimated cost of feeding a nutritious diet to a child for one year. Finally, the EGM gambling losses of $119 million for 2018/19 are divided by this figure to give 48,700: the number of children which these losses could feed in one year.</w:t>
      </w:r>
    </w:p>
  </w:footnote>
  <w:footnote w:id="44">
    <w:p w14:paraId="2EA75939" w14:textId="77777777" w:rsidR="00C65183" w:rsidRPr="00BF4436" w:rsidRDefault="00C65183" w:rsidP="00C65183">
      <w:pPr>
        <w:pStyle w:val="FootnoteText"/>
        <w:spacing w:after="0" w:line="240" w:lineRule="auto"/>
        <w:jc w:val="both"/>
        <w:rPr>
          <w:sz w:val="14"/>
          <w:szCs w:val="14"/>
          <w:lang w:val="en-GB"/>
        </w:rPr>
      </w:pPr>
      <w:r w:rsidRPr="00BF4436">
        <w:rPr>
          <w:rStyle w:val="FootnoteReference"/>
          <w:sz w:val="14"/>
          <w:szCs w:val="14"/>
        </w:rPr>
        <w:footnoteRef/>
      </w:r>
      <w:r w:rsidRPr="00BF4436">
        <w:rPr>
          <w:sz w:val="14"/>
          <w:szCs w:val="14"/>
        </w:rPr>
        <w:t xml:space="preserve"> </w:t>
      </w:r>
      <w:r w:rsidRPr="00BF4436">
        <w:rPr>
          <w:sz w:val="14"/>
          <w:szCs w:val="14"/>
          <w:lang w:val="en-GB"/>
        </w:rPr>
        <w:t>Based on EGM losses recorded in 2018/19, which more closely approximate typical levels of gambling losses than figures recorded in 2019/20, during the Covid shutdown.</w:t>
      </w:r>
    </w:p>
  </w:footnote>
  <w:footnote w:id="45">
    <w:p w14:paraId="6516AD08" w14:textId="77777777" w:rsidR="00C65183" w:rsidRPr="00BF4436" w:rsidRDefault="00C65183" w:rsidP="00C65183">
      <w:pPr>
        <w:jc w:val="both"/>
        <w:rPr>
          <w:sz w:val="14"/>
          <w:szCs w:val="14"/>
        </w:rPr>
      </w:pPr>
      <w:r w:rsidRPr="00BF4436">
        <w:rPr>
          <w:rStyle w:val="FootnoteReference"/>
          <w:sz w:val="14"/>
          <w:szCs w:val="14"/>
        </w:rPr>
        <w:footnoteRef/>
      </w:r>
      <w:r w:rsidRPr="00BF4436">
        <w:rPr>
          <w:sz w:val="14"/>
          <w:szCs w:val="14"/>
        </w:rPr>
        <w:t xml:space="preserve"> </w:t>
      </w:r>
      <w:r w:rsidRPr="00BF4436">
        <w:rPr>
          <w:rFonts w:asciiTheme="minorHAnsi" w:hAnsiTheme="minorHAnsi" w:cstheme="minorHAnsi"/>
          <w:sz w:val="14"/>
          <w:szCs w:val="14"/>
        </w:rPr>
        <w:t>Hare, S. (2015). Study of Gambling and Health in Victoria, Australia. Victorian Responsible Gambling Foundation and Victorian Department of Justice and Regulation.</w:t>
      </w:r>
    </w:p>
  </w:footnote>
  <w:footnote w:id="46">
    <w:p w14:paraId="31F8F721" w14:textId="77777777" w:rsidR="00C65183" w:rsidRPr="00D613FD" w:rsidRDefault="00C65183" w:rsidP="00C65183">
      <w:pPr>
        <w:autoSpaceDE w:val="0"/>
        <w:autoSpaceDN w:val="0"/>
        <w:adjustRightInd w:val="0"/>
        <w:jc w:val="both"/>
        <w:rPr>
          <w:rFonts w:asciiTheme="minorHAnsi" w:hAnsiTheme="minorHAnsi" w:cstheme="minorHAnsi"/>
          <w:color w:val="000000"/>
          <w:sz w:val="14"/>
          <w:szCs w:val="14"/>
        </w:rPr>
      </w:pPr>
      <w:r w:rsidRPr="00D613FD">
        <w:rPr>
          <w:rStyle w:val="FootnoteReference"/>
          <w:rFonts w:asciiTheme="minorHAnsi" w:hAnsiTheme="minorHAnsi" w:cstheme="minorHAnsi"/>
          <w:sz w:val="14"/>
          <w:szCs w:val="14"/>
        </w:rPr>
        <w:footnoteRef/>
      </w:r>
      <w:r w:rsidRPr="00D613FD">
        <w:rPr>
          <w:rFonts w:asciiTheme="minorHAnsi" w:hAnsiTheme="minorHAnsi" w:cstheme="minorHAnsi"/>
          <w:sz w:val="14"/>
          <w:szCs w:val="14"/>
        </w:rPr>
        <w:t xml:space="preserve"> </w:t>
      </w:r>
      <w:r w:rsidRPr="00D613FD">
        <w:rPr>
          <w:rFonts w:asciiTheme="minorHAnsi" w:hAnsiTheme="minorHAnsi" w:cstheme="minorHAnsi"/>
          <w:color w:val="000000"/>
          <w:sz w:val="14"/>
          <w:szCs w:val="14"/>
        </w:rPr>
        <w:t>Australian Gambling Research Centre (2014). The impact of gambling problems on families - AGRC Discussion Paper No. 1 – November 2014</w:t>
      </w:r>
    </w:p>
    <w:p w14:paraId="372D840E" w14:textId="77777777" w:rsidR="00C65183" w:rsidRPr="00D613FD" w:rsidRDefault="00C65183" w:rsidP="00C65183">
      <w:pPr>
        <w:autoSpaceDE w:val="0"/>
        <w:autoSpaceDN w:val="0"/>
        <w:adjustRightInd w:val="0"/>
        <w:jc w:val="both"/>
        <w:rPr>
          <w:rFonts w:asciiTheme="minorHAnsi" w:hAnsiTheme="minorHAnsi" w:cstheme="minorHAnsi"/>
          <w:color w:val="000000"/>
          <w:sz w:val="14"/>
          <w:szCs w:val="14"/>
        </w:rPr>
      </w:pPr>
      <w:r w:rsidRPr="00D613FD">
        <w:rPr>
          <w:rFonts w:asciiTheme="minorHAnsi" w:hAnsiTheme="minorHAnsi" w:cstheme="minorHAnsi"/>
          <w:color w:val="000000"/>
          <w:sz w:val="14"/>
          <w:szCs w:val="14"/>
        </w:rPr>
        <w:t xml:space="preserve">Costello, T. (2008). Rudd’s Crack at State Pokie Habit. Herald Sun, 1 April 1998. </w:t>
      </w:r>
    </w:p>
    <w:p w14:paraId="682FE978" w14:textId="77777777" w:rsidR="00C65183" w:rsidRPr="00D613FD" w:rsidRDefault="00C65183" w:rsidP="00C65183">
      <w:pPr>
        <w:autoSpaceDE w:val="0"/>
        <w:autoSpaceDN w:val="0"/>
        <w:adjustRightInd w:val="0"/>
        <w:jc w:val="both"/>
        <w:rPr>
          <w:rFonts w:asciiTheme="minorHAnsi" w:hAnsiTheme="minorHAnsi" w:cstheme="minorHAnsi"/>
          <w:color w:val="000000"/>
          <w:sz w:val="14"/>
          <w:szCs w:val="14"/>
        </w:rPr>
      </w:pPr>
      <w:r w:rsidRPr="00D613FD">
        <w:rPr>
          <w:rFonts w:asciiTheme="minorHAnsi" w:hAnsiTheme="minorHAnsi" w:cstheme="minorHAnsi"/>
          <w:color w:val="000000"/>
          <w:sz w:val="14"/>
          <w:szCs w:val="14"/>
        </w:rPr>
        <w:t xml:space="preserve">Commonwealth of Australia (2008). Submissions to the Senate Standing Committee on Community Affairs Inquiry into the Poker Machine Harm Reduction Tax (Administration) Bill 2008, the Poker Machine Harm Minimization Bill 2008 and the ATMS and Cash Facilities in Licensed Venues Bill November 2008. </w:t>
      </w:r>
    </w:p>
    <w:p w14:paraId="111C9F60" w14:textId="77777777" w:rsidR="00C65183" w:rsidRPr="00D613FD" w:rsidRDefault="00C65183" w:rsidP="00C65183">
      <w:pPr>
        <w:autoSpaceDE w:val="0"/>
        <w:autoSpaceDN w:val="0"/>
        <w:adjustRightInd w:val="0"/>
        <w:jc w:val="both"/>
        <w:rPr>
          <w:rFonts w:asciiTheme="minorHAnsi" w:hAnsiTheme="minorHAnsi" w:cstheme="minorHAnsi"/>
          <w:color w:val="000000"/>
          <w:sz w:val="14"/>
          <w:szCs w:val="14"/>
        </w:rPr>
      </w:pPr>
      <w:r w:rsidRPr="00D613FD">
        <w:rPr>
          <w:rFonts w:asciiTheme="minorHAnsi" w:hAnsiTheme="minorHAnsi" w:cstheme="minorHAnsi"/>
          <w:color w:val="000000"/>
          <w:sz w:val="14"/>
          <w:szCs w:val="14"/>
        </w:rPr>
        <w:t xml:space="preserve">Ferland, F., Fournier, P., Laouceur, R., Brochu, P., Bouchard, M. and Paquet, L. (2008). Consequences of Pathological Gambling on the Gambler and His Spouse. Journal of Gambling Issues, Vol. 22, Dec. 2008 </w:t>
      </w:r>
    </w:p>
    <w:p w14:paraId="121AE63E" w14:textId="77777777" w:rsidR="00C65183" w:rsidRPr="00D613FD" w:rsidRDefault="00C65183" w:rsidP="00C65183">
      <w:pPr>
        <w:autoSpaceDE w:val="0"/>
        <w:autoSpaceDN w:val="0"/>
        <w:adjustRightInd w:val="0"/>
        <w:jc w:val="both"/>
        <w:rPr>
          <w:rFonts w:asciiTheme="minorHAnsi" w:hAnsiTheme="minorHAnsi" w:cstheme="minorHAnsi"/>
          <w:color w:val="000000"/>
          <w:sz w:val="14"/>
          <w:szCs w:val="14"/>
        </w:rPr>
      </w:pPr>
      <w:r w:rsidRPr="00D613FD">
        <w:rPr>
          <w:rFonts w:asciiTheme="minorHAnsi" w:hAnsiTheme="minorHAnsi" w:cstheme="minorHAnsi"/>
          <w:color w:val="000000"/>
          <w:sz w:val="14"/>
          <w:szCs w:val="14"/>
        </w:rPr>
        <w:t>Healthy Wealthy and Wise Women (Undated). Who Picks up the Tab? Issues and Dilemmas for services providing mainstream support to women affected by gambling in Melbourne: Western Metropolitan Region. Women’s Health in the South-east, Melbourne.</w:t>
      </w:r>
    </w:p>
    <w:p w14:paraId="2CFF8D20" w14:textId="77777777" w:rsidR="00C65183" w:rsidRPr="00D613FD" w:rsidRDefault="00C65183" w:rsidP="00C65183">
      <w:pPr>
        <w:autoSpaceDE w:val="0"/>
        <w:autoSpaceDN w:val="0"/>
        <w:adjustRightInd w:val="0"/>
        <w:jc w:val="both"/>
        <w:rPr>
          <w:rFonts w:asciiTheme="minorHAnsi" w:hAnsiTheme="minorHAnsi" w:cstheme="minorHAnsi"/>
          <w:color w:val="000000"/>
          <w:sz w:val="14"/>
          <w:szCs w:val="14"/>
        </w:rPr>
      </w:pPr>
      <w:r w:rsidRPr="00D613FD">
        <w:rPr>
          <w:rFonts w:asciiTheme="minorHAnsi" w:hAnsiTheme="minorHAnsi" w:cstheme="minorHAnsi"/>
          <w:color w:val="000000"/>
          <w:sz w:val="14"/>
          <w:szCs w:val="14"/>
        </w:rPr>
        <w:t>Lin, E., Casswell, S. and You, R.Q. (2008). Assessment of the Social Impacts of Gambling in New Zealand. Centre for Social and Health Outcomes Research and Evaluation, Auckland.</w:t>
      </w:r>
    </w:p>
    <w:p w14:paraId="62D5CBBB" w14:textId="77777777" w:rsidR="00C65183" w:rsidRPr="00D613FD" w:rsidRDefault="00C65183" w:rsidP="00C65183">
      <w:pPr>
        <w:autoSpaceDE w:val="0"/>
        <w:autoSpaceDN w:val="0"/>
        <w:adjustRightInd w:val="0"/>
        <w:jc w:val="both"/>
        <w:rPr>
          <w:rFonts w:asciiTheme="minorHAnsi" w:hAnsiTheme="minorHAnsi" w:cstheme="minorHAnsi"/>
          <w:color w:val="000000"/>
          <w:sz w:val="14"/>
          <w:szCs w:val="14"/>
        </w:rPr>
      </w:pPr>
      <w:r w:rsidRPr="00D613FD">
        <w:rPr>
          <w:rFonts w:asciiTheme="minorHAnsi" w:hAnsiTheme="minorHAnsi" w:cstheme="minorHAnsi"/>
          <w:color w:val="000000"/>
          <w:sz w:val="14"/>
          <w:szCs w:val="14"/>
        </w:rPr>
        <w:t>Livingston, C. (2008). Testimony before the Senate Standing Committee on Community Affairs. Reference: Poker Machine Harm Reduction Tax [Administration] Bill, Poker Machine Harm Minimization Bill and ATMs and Cash Facilities in Licensed Venues Bill. Hansard. 11 September 2008: Commonwealth Government, Canberra.</w:t>
      </w:r>
    </w:p>
    <w:p w14:paraId="3EF5AD3C" w14:textId="77777777" w:rsidR="00C65183" w:rsidRPr="00D613FD" w:rsidRDefault="00C65183" w:rsidP="00C65183">
      <w:pPr>
        <w:autoSpaceDE w:val="0"/>
        <w:autoSpaceDN w:val="0"/>
        <w:adjustRightInd w:val="0"/>
        <w:jc w:val="both"/>
        <w:rPr>
          <w:rFonts w:asciiTheme="minorHAnsi" w:hAnsiTheme="minorHAnsi" w:cstheme="minorHAnsi"/>
          <w:color w:val="000000"/>
          <w:sz w:val="14"/>
          <w:szCs w:val="14"/>
        </w:rPr>
      </w:pPr>
      <w:r w:rsidRPr="00D613FD">
        <w:rPr>
          <w:rFonts w:asciiTheme="minorHAnsi" w:hAnsiTheme="minorHAnsi" w:cstheme="minorHAnsi"/>
          <w:color w:val="000000"/>
          <w:sz w:val="14"/>
          <w:szCs w:val="14"/>
        </w:rPr>
        <w:t xml:space="preserve">Markham, F. Doran, B. and Young, M. (2016). The Relationship between electronic gaming machine accessibility and police-recorded domestic violence: a spatio-temporal analysis of 654 postcodes in Victoria.  Australia, 2005-2014. </w:t>
      </w:r>
      <w:hyperlink r:id="rId3" w:tooltip="Social science &amp; medicine (1982)." w:history="1">
        <w:r w:rsidRPr="00D613FD">
          <w:rPr>
            <w:rFonts w:asciiTheme="minorHAnsi" w:hAnsiTheme="minorHAnsi" w:cstheme="minorHAnsi"/>
            <w:color w:val="000000"/>
            <w:sz w:val="14"/>
            <w:szCs w:val="14"/>
          </w:rPr>
          <w:t>Soc Sci Med.</w:t>
        </w:r>
      </w:hyperlink>
      <w:r w:rsidRPr="00D613FD">
        <w:rPr>
          <w:rFonts w:asciiTheme="minorHAnsi" w:hAnsiTheme="minorHAnsi" w:cstheme="minorHAnsi"/>
          <w:color w:val="000000"/>
          <w:sz w:val="14"/>
          <w:szCs w:val="14"/>
        </w:rPr>
        <w:t xml:space="preserve"> Aug 162:106-14. </w:t>
      </w:r>
    </w:p>
    <w:p w14:paraId="7203AAA4" w14:textId="77777777" w:rsidR="00C65183" w:rsidRPr="00D613FD" w:rsidRDefault="00C65183" w:rsidP="00C65183">
      <w:pPr>
        <w:autoSpaceDE w:val="0"/>
        <w:autoSpaceDN w:val="0"/>
        <w:adjustRightInd w:val="0"/>
        <w:jc w:val="both"/>
        <w:rPr>
          <w:rFonts w:asciiTheme="minorHAnsi" w:hAnsiTheme="minorHAnsi" w:cstheme="minorHAnsi"/>
          <w:color w:val="000000"/>
          <w:sz w:val="14"/>
          <w:szCs w:val="14"/>
        </w:rPr>
      </w:pPr>
      <w:r w:rsidRPr="00D613FD">
        <w:rPr>
          <w:rFonts w:asciiTheme="minorHAnsi" w:hAnsiTheme="minorHAnsi" w:cstheme="minorHAnsi"/>
          <w:color w:val="000000"/>
          <w:sz w:val="14"/>
          <w:szCs w:val="14"/>
        </w:rPr>
        <w:t>Markham, F., Young,. And Doran, B. (2014). Gambling Expenditure Predicts Harm: evidence from a venue-level study. Addiction, Vol. 199, pp. 1509-1516</w:t>
      </w:r>
    </w:p>
    <w:p w14:paraId="11B6393C" w14:textId="77777777" w:rsidR="00C65183" w:rsidRPr="00D613FD" w:rsidRDefault="00C65183" w:rsidP="00C65183">
      <w:pPr>
        <w:autoSpaceDE w:val="0"/>
        <w:autoSpaceDN w:val="0"/>
        <w:adjustRightInd w:val="0"/>
        <w:jc w:val="both"/>
        <w:rPr>
          <w:rFonts w:asciiTheme="minorHAnsi" w:hAnsiTheme="minorHAnsi" w:cstheme="minorHAnsi"/>
          <w:color w:val="000000"/>
          <w:sz w:val="14"/>
          <w:szCs w:val="14"/>
        </w:rPr>
      </w:pPr>
      <w:r w:rsidRPr="00D613FD">
        <w:rPr>
          <w:rFonts w:asciiTheme="minorHAnsi" w:hAnsiTheme="minorHAnsi" w:cstheme="minorHAnsi"/>
          <w:color w:val="000000"/>
          <w:sz w:val="14"/>
          <w:szCs w:val="14"/>
        </w:rPr>
        <w:t xml:space="preserve">McCready, J., Mann, R., Zhao, J. and Eves, R. (2008). Correlates of Gambling-related problems among older adults in Ontario. Journal of Gambling Issues, Vol. 22, Dec. 2008 </w:t>
      </w:r>
    </w:p>
    <w:p w14:paraId="16BE7CC1" w14:textId="77777777" w:rsidR="00C65183" w:rsidRPr="00D613FD" w:rsidRDefault="00C65183" w:rsidP="00C65183">
      <w:pPr>
        <w:tabs>
          <w:tab w:val="left" w:pos="360"/>
        </w:tabs>
        <w:jc w:val="both"/>
        <w:rPr>
          <w:rFonts w:asciiTheme="minorHAnsi" w:hAnsiTheme="minorHAnsi" w:cstheme="minorHAnsi"/>
          <w:color w:val="000000"/>
          <w:sz w:val="14"/>
          <w:szCs w:val="14"/>
        </w:rPr>
      </w:pPr>
      <w:r w:rsidRPr="00D613FD">
        <w:rPr>
          <w:rFonts w:asciiTheme="minorHAnsi" w:hAnsiTheme="minorHAnsi" w:cstheme="minorHAnsi"/>
          <w:color w:val="000000"/>
          <w:sz w:val="14"/>
          <w:szCs w:val="14"/>
        </w:rPr>
        <w:t>Moody, G. (1995). The Roots, Significance, Value and Legislation of Gambling. Journal of Gambling Studies, Vol. 11 (1), Spring, pp. 35-59, 1995.</w:t>
      </w:r>
    </w:p>
    <w:p w14:paraId="24C4B64E" w14:textId="77777777" w:rsidR="00C65183" w:rsidRPr="00D613FD" w:rsidRDefault="00C65183" w:rsidP="00C65183">
      <w:pPr>
        <w:autoSpaceDE w:val="0"/>
        <w:autoSpaceDN w:val="0"/>
        <w:adjustRightInd w:val="0"/>
        <w:jc w:val="both"/>
        <w:rPr>
          <w:rFonts w:asciiTheme="minorHAnsi" w:hAnsiTheme="minorHAnsi" w:cstheme="minorHAnsi"/>
          <w:color w:val="000000"/>
          <w:sz w:val="14"/>
          <w:szCs w:val="14"/>
        </w:rPr>
      </w:pPr>
      <w:r w:rsidRPr="00D613FD">
        <w:rPr>
          <w:rFonts w:asciiTheme="minorHAnsi" w:hAnsiTheme="minorHAnsi" w:cstheme="minorHAnsi"/>
          <w:color w:val="000000"/>
          <w:sz w:val="14"/>
          <w:szCs w:val="14"/>
        </w:rPr>
        <w:t>Science Alert (2008). Depressed gamblers Risk Addictions. Science Alert. Published June 2, 2008. Featured in Canadian Responsible Gambling.</w:t>
      </w:r>
    </w:p>
    <w:p w14:paraId="29929F09" w14:textId="77777777" w:rsidR="00C65183" w:rsidRPr="00D613FD" w:rsidRDefault="00C65183" w:rsidP="00C65183">
      <w:pPr>
        <w:autoSpaceDE w:val="0"/>
        <w:autoSpaceDN w:val="0"/>
        <w:adjustRightInd w:val="0"/>
        <w:jc w:val="both"/>
        <w:rPr>
          <w:rFonts w:asciiTheme="minorHAnsi" w:hAnsiTheme="minorHAnsi" w:cstheme="minorHAnsi"/>
          <w:color w:val="000000"/>
          <w:sz w:val="14"/>
          <w:szCs w:val="14"/>
        </w:rPr>
      </w:pPr>
      <w:r w:rsidRPr="00D613FD">
        <w:rPr>
          <w:rFonts w:asciiTheme="minorHAnsi" w:hAnsiTheme="minorHAnsi" w:cstheme="minorHAnsi"/>
          <w:color w:val="000000"/>
          <w:sz w:val="14"/>
          <w:szCs w:val="14"/>
        </w:rPr>
        <w:t>South Australian Centre for Economic Studies. (2005). Community Impacts of Electronic Gaming Machine Gambling. Adelaide.</w:t>
      </w:r>
    </w:p>
    <w:p w14:paraId="78EBE7CB" w14:textId="77777777" w:rsidR="00C65183" w:rsidRPr="00D613FD" w:rsidRDefault="00C65183" w:rsidP="00C65183">
      <w:pPr>
        <w:jc w:val="both"/>
        <w:outlineLvl w:val="1"/>
        <w:rPr>
          <w:rFonts w:asciiTheme="minorHAnsi" w:hAnsiTheme="minorHAnsi" w:cstheme="minorHAnsi"/>
          <w:color w:val="000000"/>
          <w:sz w:val="14"/>
          <w:szCs w:val="14"/>
        </w:rPr>
      </w:pPr>
      <w:r w:rsidRPr="00D613FD">
        <w:rPr>
          <w:rFonts w:asciiTheme="minorHAnsi" w:hAnsiTheme="minorHAnsi" w:cstheme="minorHAnsi"/>
          <w:color w:val="000000"/>
          <w:sz w:val="14"/>
          <w:szCs w:val="14"/>
        </w:rPr>
        <w:t xml:space="preserve">Suomi, A., Jackson, A. Dowling, N.A., Patford, J., Thomas, S.A., Harvey, P., Abbott, M., Bellringer, M.E., Kozoil-McLain, J. and Cockman, S. (2013). Problem Gambling and Family Violence: family member reports of prevalence, family impact and family coping. Asian Journal of Gambling Issues and Public Health. Vol. 3, No. 13, pp. 1-15. </w:t>
      </w:r>
    </w:p>
    <w:p w14:paraId="0D285A8C" w14:textId="77777777" w:rsidR="00C65183" w:rsidRPr="00D613FD" w:rsidRDefault="00C65183" w:rsidP="00C65183">
      <w:pPr>
        <w:jc w:val="both"/>
        <w:textAlignment w:val="baseline"/>
        <w:outlineLvl w:val="0"/>
        <w:rPr>
          <w:rFonts w:asciiTheme="minorHAnsi" w:hAnsiTheme="minorHAnsi" w:cstheme="minorHAnsi"/>
          <w:bCs/>
          <w:color w:val="000000"/>
          <w:kern w:val="36"/>
          <w:sz w:val="14"/>
          <w:szCs w:val="14"/>
        </w:rPr>
      </w:pPr>
      <w:r w:rsidRPr="00D613FD">
        <w:rPr>
          <w:rFonts w:asciiTheme="minorHAnsi" w:hAnsiTheme="minorHAnsi" w:cstheme="minorHAnsi"/>
          <w:bCs/>
          <w:color w:val="000000"/>
          <w:kern w:val="36"/>
          <w:sz w:val="14"/>
          <w:szCs w:val="14"/>
        </w:rPr>
        <w:t xml:space="preserve">Suomi, A., Jackson, A., Dowling, N.A., Lavis, T., Patford, J., Thomas, S.A., Harvey, P., Abbott, M., Bellringer, M.E., Koziol-McLain, J., Battersby, J. and Harvey, M. (2014a). Problem gambling and family violence: Prevalence and patterns in treatment-seekers. </w:t>
      </w:r>
      <w:hyperlink r:id="rId4" w:tooltip="Go to Addictive Behaviors on ScienceDirect" w:history="1">
        <w:r w:rsidRPr="00D613FD">
          <w:rPr>
            <w:rFonts w:asciiTheme="minorHAnsi" w:hAnsiTheme="minorHAnsi" w:cstheme="minorHAnsi"/>
            <w:bCs/>
            <w:color w:val="000000"/>
            <w:kern w:val="36"/>
            <w:sz w:val="14"/>
            <w:szCs w:val="14"/>
          </w:rPr>
          <w:t>Addictive Behaviors</w:t>
        </w:r>
      </w:hyperlink>
      <w:r w:rsidRPr="00D613FD">
        <w:rPr>
          <w:rFonts w:asciiTheme="minorHAnsi" w:hAnsiTheme="minorHAnsi" w:cstheme="minorHAnsi"/>
          <w:bCs/>
          <w:color w:val="000000"/>
          <w:kern w:val="36"/>
          <w:sz w:val="14"/>
          <w:szCs w:val="14"/>
        </w:rPr>
        <w:t xml:space="preserve">, </w:t>
      </w:r>
      <w:hyperlink r:id="rId5" w:tooltip="Go to table of contents for this volume/issue" w:history="1">
        <w:r w:rsidRPr="00D613FD">
          <w:rPr>
            <w:rFonts w:asciiTheme="minorHAnsi" w:hAnsiTheme="minorHAnsi" w:cstheme="minorHAnsi"/>
            <w:bCs/>
            <w:color w:val="000000"/>
            <w:kern w:val="36"/>
            <w:sz w:val="14"/>
            <w:szCs w:val="14"/>
          </w:rPr>
          <w:t>Volume 39, Issue 12</w:t>
        </w:r>
      </w:hyperlink>
      <w:r w:rsidRPr="00D613FD">
        <w:rPr>
          <w:rFonts w:asciiTheme="minorHAnsi" w:hAnsiTheme="minorHAnsi" w:cstheme="minorHAnsi"/>
          <w:bCs/>
          <w:color w:val="000000"/>
          <w:kern w:val="36"/>
          <w:sz w:val="14"/>
          <w:szCs w:val="14"/>
        </w:rPr>
        <w:t>, December 2014, pp. 1713-1717</w:t>
      </w:r>
    </w:p>
    <w:p w14:paraId="602673D1" w14:textId="77777777" w:rsidR="00C65183" w:rsidRPr="00D613FD" w:rsidRDefault="00C65183" w:rsidP="00C65183">
      <w:pPr>
        <w:jc w:val="both"/>
        <w:textAlignment w:val="baseline"/>
        <w:outlineLvl w:val="0"/>
        <w:rPr>
          <w:rFonts w:asciiTheme="minorHAnsi" w:hAnsiTheme="minorHAnsi" w:cstheme="minorHAnsi"/>
          <w:bCs/>
          <w:color w:val="000000"/>
          <w:kern w:val="36"/>
          <w:sz w:val="14"/>
          <w:szCs w:val="14"/>
        </w:rPr>
      </w:pPr>
      <w:r w:rsidRPr="00D613FD">
        <w:rPr>
          <w:rFonts w:asciiTheme="minorHAnsi" w:hAnsiTheme="minorHAnsi" w:cstheme="minorHAnsi"/>
          <w:bCs/>
          <w:color w:val="000000"/>
          <w:kern w:val="36"/>
          <w:sz w:val="14"/>
          <w:szCs w:val="14"/>
        </w:rPr>
        <w:t>Suomi, A., Jackson, A., Dowling, N.A., Lavis, T., Patford, J., Cockman, S., Thomas, S.A., Harvey, P., Abbott, M., Bellringer, M.E., Koziol-McLain, J., and Battersby, J. (2014b). Problem Gambling and Intimate Partner Violence: a systematic review and meta-analysis. Trauma, Violence and Abuse. Vol. 17, No. 1 pp. 1-19</w:t>
      </w:r>
    </w:p>
    <w:p w14:paraId="3E35F34A" w14:textId="77777777" w:rsidR="00C65183" w:rsidRPr="00D613FD" w:rsidRDefault="00C65183" w:rsidP="00C65183">
      <w:pPr>
        <w:autoSpaceDE w:val="0"/>
        <w:autoSpaceDN w:val="0"/>
        <w:adjustRightInd w:val="0"/>
        <w:jc w:val="both"/>
        <w:rPr>
          <w:rFonts w:asciiTheme="minorHAnsi" w:hAnsiTheme="minorHAnsi" w:cstheme="minorHAnsi"/>
          <w:color w:val="000000"/>
          <w:sz w:val="14"/>
          <w:szCs w:val="14"/>
        </w:rPr>
      </w:pPr>
      <w:r w:rsidRPr="00D613FD">
        <w:rPr>
          <w:rFonts w:asciiTheme="minorHAnsi" w:hAnsiTheme="minorHAnsi" w:cstheme="minorHAnsi"/>
          <w:color w:val="000000"/>
          <w:sz w:val="14"/>
          <w:szCs w:val="14"/>
        </w:rPr>
        <w:t>Walker, D. (2008). Challenges that Confront Researchers on Estimating the Social Costs of Gambling. American Gaming Association 10th Anniversary Research Series.</w:t>
      </w:r>
    </w:p>
  </w:footnote>
  <w:footnote w:id="47">
    <w:p w14:paraId="36C339F8" w14:textId="77777777" w:rsidR="00C65183" w:rsidRPr="00AA0158" w:rsidRDefault="00C65183" w:rsidP="00C65183">
      <w:pPr>
        <w:pStyle w:val="FootnoteText"/>
        <w:spacing w:after="0" w:line="240" w:lineRule="auto"/>
        <w:rPr>
          <w:sz w:val="14"/>
          <w:szCs w:val="14"/>
        </w:rPr>
      </w:pPr>
      <w:r w:rsidRPr="00AA0158">
        <w:rPr>
          <w:rStyle w:val="FootnoteReference"/>
          <w:sz w:val="14"/>
          <w:szCs w:val="14"/>
        </w:rPr>
        <w:footnoteRef/>
      </w:r>
      <w:r w:rsidRPr="00AA0158">
        <w:rPr>
          <w:sz w:val="14"/>
          <w:szCs w:val="14"/>
        </w:rPr>
        <w:t xml:space="preserve"> Many workers use more than one mode of transport, with the consequence that the sum of the percentages featured in the diagram exceeds 100</w:t>
      </w:r>
    </w:p>
  </w:footnote>
  <w:footnote w:id="48">
    <w:p w14:paraId="7A93C1FF" w14:textId="77777777" w:rsidR="00C65183" w:rsidRDefault="00C65183" w:rsidP="00C65183">
      <w:pPr>
        <w:pStyle w:val="FootnoteText"/>
      </w:pPr>
      <w:r>
        <w:rPr>
          <w:rStyle w:val="FootnoteReference"/>
        </w:rPr>
        <w:footnoteRef/>
      </w:r>
      <w:r>
        <w:t xml:space="preserve"> </w:t>
      </w:r>
      <w:r w:rsidRPr="000815C3">
        <w:t xml:space="preserve"> </w:t>
      </w:r>
      <w:r w:rsidRPr="000815C3">
        <w:rPr>
          <w:rFonts w:asciiTheme="minorHAnsi" w:hAnsiTheme="minorHAnsi"/>
          <w:sz w:val="16"/>
          <w:szCs w:val="16"/>
        </w:rPr>
        <w:t>Volunteering was estimated as worth $25.4 billion to the Australian economy in 2010: O’Dwyer, L, The Real Value of Volunteering, The University of Adelaide, 2013, p.2 . This figure has been adjusted for inflation to 20</w:t>
      </w:r>
      <w:r>
        <w:rPr>
          <w:rFonts w:asciiTheme="minorHAnsi" w:hAnsiTheme="minorHAnsi"/>
          <w:sz w:val="16"/>
          <w:szCs w:val="16"/>
        </w:rPr>
        <w:t>21</w:t>
      </w:r>
      <w:r w:rsidRPr="000815C3">
        <w:rPr>
          <w:rFonts w:asciiTheme="minorHAnsi" w:hAnsiTheme="minorHAnsi"/>
          <w:sz w:val="16"/>
          <w:szCs w:val="16"/>
        </w:rPr>
        <w:t>.</w:t>
      </w:r>
    </w:p>
  </w:footnote>
  <w:footnote w:id="49">
    <w:p w14:paraId="11864ADA" w14:textId="77777777" w:rsidR="00C65183" w:rsidRPr="00605517" w:rsidRDefault="00C65183" w:rsidP="00C65183">
      <w:pPr>
        <w:spacing w:after="60"/>
        <w:jc w:val="both"/>
        <w:rPr>
          <w:rFonts w:ascii="Calibri" w:hAnsi="Calibri" w:cs="Calibri"/>
          <w:i/>
          <w:lang w:val="en-US"/>
        </w:rPr>
      </w:pPr>
      <w:r>
        <w:rPr>
          <w:rStyle w:val="FootnoteReference"/>
        </w:rPr>
        <w:footnoteRef/>
      </w:r>
      <w:r>
        <w:t xml:space="preserve"> </w:t>
      </w:r>
      <w:r w:rsidRPr="00605517">
        <w:rPr>
          <w:rFonts w:ascii="Calibri" w:hAnsi="Calibri" w:cs="Calibri"/>
          <w:sz w:val="16"/>
          <w:szCs w:val="16"/>
        </w:rPr>
        <w:t>Markus, A. (2019). Mapping Social Cohesion Survey. Scanlon Foundation.</w:t>
      </w:r>
    </w:p>
  </w:footnote>
  <w:footnote w:id="50">
    <w:p w14:paraId="67F2405F" w14:textId="77777777" w:rsidR="00C65183" w:rsidRPr="00DB1F3F" w:rsidRDefault="00C65183" w:rsidP="00C65183">
      <w:pPr>
        <w:jc w:val="both"/>
        <w:rPr>
          <w:rFonts w:asciiTheme="minorHAnsi" w:hAnsiTheme="minorHAnsi" w:cstheme="minorHAnsi"/>
          <w:sz w:val="14"/>
          <w:szCs w:val="14"/>
        </w:rPr>
      </w:pPr>
      <w:r w:rsidRPr="00DB1F3F">
        <w:rPr>
          <w:rStyle w:val="FootnoteReference"/>
          <w:rFonts w:asciiTheme="minorHAnsi" w:hAnsiTheme="minorHAnsi" w:cstheme="minorHAnsi"/>
          <w:sz w:val="14"/>
          <w:szCs w:val="14"/>
        </w:rPr>
        <w:footnoteRef/>
      </w:r>
      <w:r w:rsidRPr="00DB1F3F">
        <w:rPr>
          <w:rFonts w:asciiTheme="minorHAnsi" w:hAnsiTheme="minorHAnsi" w:cstheme="minorHAnsi"/>
          <w:sz w:val="14"/>
          <w:szCs w:val="14"/>
        </w:rPr>
        <w:t xml:space="preserve"> JWS Research (2015). Local Government Community Satisfaction Survey: Greater Dandenong City Council. Department of Transport, Planning and Local Infrastructure</w:t>
      </w:r>
    </w:p>
  </w:footnote>
  <w:footnote w:id="51">
    <w:p w14:paraId="539C58AC" w14:textId="77777777" w:rsidR="00C65183" w:rsidRPr="000E6C91" w:rsidRDefault="00C65183" w:rsidP="00C65183">
      <w:pPr>
        <w:jc w:val="both"/>
        <w:rPr>
          <w:rFonts w:asciiTheme="minorHAnsi" w:hAnsiTheme="minorHAnsi" w:cstheme="minorHAnsi"/>
          <w:color w:val="000000" w:themeColor="text1"/>
          <w:sz w:val="14"/>
          <w:szCs w:val="14"/>
          <w:lang w:val="en-GB"/>
        </w:rPr>
      </w:pPr>
      <w:r w:rsidRPr="000E6C91">
        <w:rPr>
          <w:rStyle w:val="FootnoteReference"/>
          <w:rFonts w:asciiTheme="minorHAnsi" w:hAnsiTheme="minorHAnsi" w:cstheme="minorHAnsi"/>
          <w:sz w:val="14"/>
          <w:szCs w:val="14"/>
        </w:rPr>
        <w:footnoteRef/>
      </w:r>
      <w:r w:rsidRPr="000E6C91">
        <w:rPr>
          <w:rFonts w:asciiTheme="minorHAnsi" w:hAnsiTheme="minorHAnsi" w:cstheme="minorHAnsi"/>
          <w:sz w:val="14"/>
          <w:szCs w:val="14"/>
        </w:rPr>
        <w:t xml:space="preserve"> </w:t>
      </w:r>
      <w:r w:rsidRPr="000E6C91">
        <w:rPr>
          <w:rFonts w:asciiTheme="minorHAnsi" w:hAnsiTheme="minorHAnsi" w:cstheme="minorHAnsi"/>
          <w:color w:val="000000" w:themeColor="text1"/>
          <w:sz w:val="14"/>
          <w:szCs w:val="14"/>
          <w:lang w:val="en-GB"/>
        </w:rPr>
        <w:t xml:space="preserve">Victorian </w:t>
      </w:r>
      <w:r>
        <w:rPr>
          <w:rFonts w:asciiTheme="minorHAnsi" w:hAnsiTheme="minorHAnsi" w:cstheme="minorHAnsi"/>
          <w:color w:val="000000" w:themeColor="text1"/>
          <w:sz w:val="14"/>
          <w:szCs w:val="14"/>
          <w:lang w:val="en-GB"/>
        </w:rPr>
        <w:t>Dept.</w:t>
      </w:r>
      <w:r w:rsidRPr="000E6C91">
        <w:rPr>
          <w:rFonts w:asciiTheme="minorHAnsi" w:hAnsiTheme="minorHAnsi" w:cstheme="minorHAnsi"/>
          <w:color w:val="000000" w:themeColor="text1"/>
          <w:sz w:val="14"/>
          <w:szCs w:val="14"/>
          <w:lang w:val="en-GB"/>
        </w:rPr>
        <w:t xml:space="preserve"> of Health and Human Services (2018). Victorian Annual Surveillance Factsheet, 2017 Sexually transmissible infections: Chlamydia, gonorrhoea and syphilis. </w:t>
      </w:r>
    </w:p>
  </w:footnote>
  <w:footnote w:id="52">
    <w:p w14:paraId="3002A85C" w14:textId="77777777" w:rsidR="00C65183" w:rsidRPr="000E6C91" w:rsidRDefault="00C65183" w:rsidP="00C65183">
      <w:pPr>
        <w:pStyle w:val="FootnoteText"/>
        <w:spacing w:after="0" w:line="240" w:lineRule="auto"/>
        <w:rPr>
          <w:sz w:val="14"/>
          <w:szCs w:val="14"/>
          <w:lang w:val="en-GB"/>
        </w:rPr>
      </w:pPr>
      <w:r w:rsidRPr="000E6C91">
        <w:rPr>
          <w:rStyle w:val="FootnoteReference"/>
          <w:sz w:val="14"/>
          <w:szCs w:val="14"/>
        </w:rPr>
        <w:footnoteRef/>
      </w:r>
      <w:r w:rsidRPr="000E6C91">
        <w:rPr>
          <w:sz w:val="14"/>
          <w:szCs w:val="14"/>
        </w:rPr>
        <w:t xml:space="preserve"> </w:t>
      </w:r>
      <w:r w:rsidRPr="000E6C91">
        <w:rPr>
          <w:rFonts w:asciiTheme="minorHAnsi" w:hAnsiTheme="minorHAnsi" w:cstheme="minorHAnsi"/>
          <w:color w:val="000000" w:themeColor="text1"/>
          <w:sz w:val="14"/>
          <w:szCs w:val="14"/>
          <w:lang w:val="en-GB"/>
        </w:rPr>
        <w:t xml:space="preserve">Victorian </w:t>
      </w:r>
      <w:r>
        <w:rPr>
          <w:rFonts w:asciiTheme="minorHAnsi" w:hAnsiTheme="minorHAnsi" w:cstheme="minorHAnsi"/>
          <w:color w:val="000000" w:themeColor="text1"/>
          <w:sz w:val="14"/>
          <w:szCs w:val="14"/>
          <w:lang w:val="en-GB"/>
        </w:rPr>
        <w:t>Dept.</w:t>
      </w:r>
      <w:r w:rsidRPr="000E6C91">
        <w:rPr>
          <w:rFonts w:asciiTheme="minorHAnsi" w:hAnsiTheme="minorHAnsi" w:cstheme="minorHAnsi"/>
          <w:color w:val="000000" w:themeColor="text1"/>
          <w:sz w:val="14"/>
          <w:szCs w:val="14"/>
          <w:lang w:val="en-GB"/>
        </w:rPr>
        <w:t xml:space="preserve"> Health and Human Services (2018). Victorian Annual Surveillance Factsheet, 2017 Sexually transmissible infections: Chlamydia, gonorrhoea and syphilis.</w:t>
      </w:r>
    </w:p>
  </w:footnote>
  <w:footnote w:id="53">
    <w:p w14:paraId="71019E25" w14:textId="77777777" w:rsidR="00C65183" w:rsidRPr="000E6C91" w:rsidRDefault="00C65183" w:rsidP="00C65183">
      <w:pPr>
        <w:jc w:val="both"/>
        <w:rPr>
          <w:rFonts w:cstheme="minorHAnsi"/>
          <w:color w:val="000000" w:themeColor="text1"/>
        </w:rPr>
      </w:pPr>
      <w:r w:rsidRPr="000E6C91">
        <w:rPr>
          <w:rStyle w:val="FootnoteReference"/>
          <w:rFonts w:asciiTheme="minorHAnsi" w:hAnsiTheme="minorHAnsi" w:cstheme="minorHAnsi"/>
          <w:sz w:val="14"/>
          <w:szCs w:val="14"/>
        </w:rPr>
        <w:footnoteRef/>
      </w:r>
      <w:r w:rsidRPr="000E6C91">
        <w:rPr>
          <w:rFonts w:asciiTheme="minorHAnsi" w:hAnsiTheme="minorHAnsi" w:cstheme="minorHAnsi"/>
          <w:sz w:val="14"/>
          <w:szCs w:val="14"/>
        </w:rPr>
        <w:t xml:space="preserve"> </w:t>
      </w:r>
      <w:r w:rsidRPr="000E6C91">
        <w:rPr>
          <w:rFonts w:asciiTheme="minorHAnsi" w:hAnsiTheme="minorHAnsi" w:cstheme="minorHAnsi"/>
          <w:color w:val="000000" w:themeColor="text1"/>
          <w:sz w:val="14"/>
          <w:szCs w:val="14"/>
        </w:rPr>
        <w:t xml:space="preserve">Department of Health, Australia (2018). Australian Sexually Transmissible Infections Strategy 2018-2022. </w:t>
      </w:r>
    </w:p>
  </w:footnote>
  <w:footnote w:id="54">
    <w:p w14:paraId="661CF1A4" w14:textId="77777777" w:rsidR="00C65183" w:rsidRPr="004455D6" w:rsidRDefault="00C65183" w:rsidP="00C65183">
      <w:pPr>
        <w:jc w:val="both"/>
        <w:rPr>
          <w:rFonts w:asciiTheme="minorHAnsi" w:hAnsiTheme="minorHAnsi" w:cstheme="minorHAnsi"/>
          <w:color w:val="000000" w:themeColor="text1"/>
          <w:sz w:val="14"/>
          <w:szCs w:val="14"/>
        </w:rPr>
      </w:pPr>
      <w:r w:rsidRPr="000E6C91">
        <w:rPr>
          <w:rStyle w:val="FootnoteReference"/>
          <w:rFonts w:asciiTheme="minorHAnsi" w:hAnsiTheme="minorHAnsi" w:cstheme="minorHAnsi"/>
          <w:sz w:val="14"/>
          <w:szCs w:val="14"/>
        </w:rPr>
        <w:footnoteRef/>
      </w:r>
      <w:r w:rsidRPr="000E6C91">
        <w:rPr>
          <w:rFonts w:asciiTheme="minorHAnsi" w:hAnsiTheme="minorHAnsi" w:cstheme="minorHAnsi"/>
          <w:sz w:val="14"/>
          <w:szCs w:val="14"/>
        </w:rPr>
        <w:t xml:space="preserve"> </w:t>
      </w:r>
      <w:r w:rsidRPr="000E6C91">
        <w:rPr>
          <w:rFonts w:asciiTheme="minorHAnsi" w:hAnsiTheme="minorHAnsi" w:cstheme="minorHAnsi"/>
          <w:color w:val="000000" w:themeColor="text1"/>
          <w:sz w:val="14"/>
          <w:szCs w:val="14"/>
        </w:rPr>
        <w:t>Fisher, C. M., Waling, A., Kerr, L., Bellamy, R., Ezer, P., Mikolajczak, G., Brown, G., Carman, M. and Lucke, J. (2019). 6th National Survey of Australian Secondary Students and Sexual Health 2018, (ARCSHS Monograph Series No. 113), Bundoora: Australian Research Centre in Sex, Health &amp; Society, La Trobe University.</w:t>
      </w:r>
    </w:p>
  </w:footnote>
  <w:footnote w:id="55">
    <w:p w14:paraId="7F6F18AF" w14:textId="77777777" w:rsidR="00C65183" w:rsidRPr="00223146" w:rsidRDefault="00C65183" w:rsidP="00C65183">
      <w:pPr>
        <w:jc w:val="both"/>
        <w:rPr>
          <w:rFonts w:asciiTheme="minorHAnsi" w:hAnsiTheme="minorHAnsi" w:cstheme="minorHAnsi"/>
          <w:color w:val="000000" w:themeColor="text1"/>
          <w:sz w:val="14"/>
          <w:szCs w:val="14"/>
        </w:rPr>
      </w:pPr>
      <w:r w:rsidRPr="00223146">
        <w:rPr>
          <w:rStyle w:val="FootnoteReference"/>
          <w:rFonts w:asciiTheme="minorHAnsi" w:hAnsiTheme="minorHAnsi" w:cstheme="minorHAnsi"/>
          <w:sz w:val="14"/>
          <w:szCs w:val="14"/>
        </w:rPr>
        <w:footnoteRef/>
      </w:r>
      <w:r w:rsidRPr="00223146">
        <w:rPr>
          <w:rFonts w:asciiTheme="minorHAnsi" w:hAnsiTheme="minorHAnsi" w:cstheme="minorHAnsi"/>
          <w:sz w:val="14"/>
          <w:szCs w:val="14"/>
        </w:rPr>
        <w:t xml:space="preserve"> </w:t>
      </w:r>
      <w:r w:rsidRPr="00223146">
        <w:rPr>
          <w:rFonts w:asciiTheme="minorHAnsi" w:hAnsiTheme="minorHAnsi" w:cstheme="minorHAnsi"/>
          <w:color w:val="000000" w:themeColor="text1"/>
          <w:sz w:val="14"/>
          <w:szCs w:val="14"/>
        </w:rPr>
        <w:t>Katikiro, E. and Njau B. (2012). Motivating Factors and Psychosocial Barriers to Condom Use among out-of-School Youths in Dar es Salaam, Tanzania: A Cross Sectional Survey Using the Health Belief Model. Hindaw International Scholarly Research Notices</w:t>
      </w:r>
    </w:p>
    <w:p w14:paraId="6412F84B" w14:textId="77777777" w:rsidR="00C65183" w:rsidRPr="00223146" w:rsidRDefault="00C65183" w:rsidP="00C65183">
      <w:pPr>
        <w:jc w:val="both"/>
        <w:rPr>
          <w:rFonts w:asciiTheme="minorHAnsi" w:hAnsiTheme="minorHAnsi" w:cstheme="minorHAnsi"/>
          <w:color w:val="000000" w:themeColor="text1"/>
          <w:sz w:val="14"/>
          <w:szCs w:val="14"/>
        </w:rPr>
      </w:pPr>
      <w:r w:rsidRPr="00223146">
        <w:rPr>
          <w:rFonts w:asciiTheme="minorHAnsi" w:hAnsiTheme="minorHAnsi" w:cstheme="minorHAnsi"/>
          <w:color w:val="000000" w:themeColor="text1"/>
          <w:sz w:val="14"/>
          <w:szCs w:val="14"/>
        </w:rPr>
        <w:t>Musinguzi G, Bastiaens H, Matovu JKB, Nuwaha F, Mujisha G, Kiguli J, et al. (2015) Barriers to Condom Use among High Risk Men Who Have Sex with Men in Uganda: A Qualitative Study. PLoS ONE 10(7)</w:t>
      </w:r>
    </w:p>
  </w:footnote>
  <w:footnote w:id="56">
    <w:p w14:paraId="46CC45DD" w14:textId="77777777" w:rsidR="00C65183" w:rsidRPr="00223146" w:rsidRDefault="00C65183" w:rsidP="00C65183">
      <w:pPr>
        <w:jc w:val="both"/>
        <w:rPr>
          <w:rFonts w:asciiTheme="minorHAnsi" w:hAnsiTheme="minorHAnsi" w:cstheme="minorHAnsi"/>
          <w:color w:val="000000" w:themeColor="text1"/>
          <w:sz w:val="14"/>
          <w:szCs w:val="14"/>
        </w:rPr>
      </w:pPr>
      <w:r w:rsidRPr="00223146">
        <w:rPr>
          <w:rStyle w:val="FootnoteReference"/>
          <w:rFonts w:asciiTheme="minorHAnsi" w:hAnsiTheme="minorHAnsi" w:cstheme="minorHAnsi"/>
          <w:sz w:val="14"/>
          <w:szCs w:val="14"/>
        </w:rPr>
        <w:footnoteRef/>
      </w:r>
      <w:r w:rsidRPr="00223146">
        <w:rPr>
          <w:rFonts w:asciiTheme="minorHAnsi" w:hAnsiTheme="minorHAnsi" w:cstheme="minorHAnsi"/>
          <w:sz w:val="14"/>
          <w:szCs w:val="14"/>
        </w:rPr>
        <w:t xml:space="preserve"> </w:t>
      </w:r>
      <w:r w:rsidRPr="00223146">
        <w:rPr>
          <w:rFonts w:asciiTheme="minorHAnsi" w:hAnsiTheme="minorHAnsi" w:cstheme="minorHAnsi"/>
          <w:color w:val="000000" w:themeColor="text1"/>
          <w:sz w:val="14"/>
          <w:szCs w:val="14"/>
        </w:rPr>
        <w:t>Adam, P. C. G., de Wit, J. B. F., Ketsuwan, I., Treloar, C. (2019). Sexual health-related knowledge, attitudes and practices of young people in Australia. Results from the 2018 Debrief Survey among heterosexual and non-heterosexual respondents. Sydney: Centre for Social Research in Health, UNSW Sydney.</w:t>
      </w:r>
    </w:p>
  </w:footnote>
  <w:footnote w:id="57">
    <w:p w14:paraId="25A1095A" w14:textId="77777777" w:rsidR="00C65183" w:rsidRPr="00223146" w:rsidRDefault="00C65183" w:rsidP="00C65183">
      <w:pPr>
        <w:jc w:val="both"/>
        <w:rPr>
          <w:rFonts w:asciiTheme="minorHAnsi" w:hAnsiTheme="minorHAnsi" w:cstheme="minorHAnsi"/>
          <w:color w:val="000000" w:themeColor="text1"/>
          <w:sz w:val="14"/>
          <w:szCs w:val="14"/>
        </w:rPr>
      </w:pPr>
      <w:r w:rsidRPr="00223146">
        <w:rPr>
          <w:rStyle w:val="FootnoteReference"/>
          <w:rFonts w:asciiTheme="minorHAnsi" w:hAnsiTheme="minorHAnsi" w:cstheme="minorHAnsi"/>
          <w:sz w:val="14"/>
          <w:szCs w:val="14"/>
        </w:rPr>
        <w:footnoteRef/>
      </w:r>
      <w:r w:rsidRPr="00223146">
        <w:rPr>
          <w:rFonts w:asciiTheme="minorHAnsi" w:hAnsiTheme="minorHAnsi" w:cstheme="minorHAnsi"/>
          <w:sz w:val="14"/>
          <w:szCs w:val="14"/>
        </w:rPr>
        <w:t xml:space="preserve"> </w:t>
      </w:r>
      <w:r w:rsidRPr="00223146">
        <w:rPr>
          <w:rFonts w:asciiTheme="minorHAnsi" w:hAnsiTheme="minorHAnsi" w:cstheme="minorHAnsi"/>
          <w:color w:val="000000" w:themeColor="text1"/>
          <w:sz w:val="14"/>
          <w:szCs w:val="14"/>
        </w:rPr>
        <w:t>Clark, L.R. (2001). Will the Pill Make Me Sterile? Addressing Reproductive Health Concerns and Strategies to Improve Adherence to Hormonal Contraceptive Regimens in Adolescent Girls. Journal of Pediatric and Adolescent Gynecology. Vol. 14, Issue 4, pp. 153-162</w:t>
      </w:r>
    </w:p>
  </w:footnote>
  <w:footnote w:id="58">
    <w:p w14:paraId="2DF081E9" w14:textId="77777777" w:rsidR="00C65183" w:rsidRPr="00223146" w:rsidRDefault="00C65183" w:rsidP="00C65183">
      <w:pPr>
        <w:pStyle w:val="Heading1"/>
        <w:shd w:val="clear" w:color="auto" w:fill="FFFFFF"/>
        <w:spacing w:before="0" w:beforeAutospacing="0" w:after="0" w:afterAutospacing="0"/>
        <w:jc w:val="both"/>
        <w:rPr>
          <w:rFonts w:asciiTheme="minorHAnsi" w:eastAsiaTheme="minorHAnsi" w:hAnsiTheme="minorHAnsi" w:cstheme="minorHAnsi"/>
          <w:b w:val="0"/>
          <w:bCs w:val="0"/>
          <w:color w:val="000000" w:themeColor="text1"/>
          <w:kern w:val="0"/>
          <w:sz w:val="14"/>
          <w:szCs w:val="14"/>
        </w:rPr>
      </w:pPr>
      <w:r w:rsidRPr="00223146">
        <w:rPr>
          <w:rStyle w:val="FootnoteReference"/>
          <w:rFonts w:asciiTheme="minorHAnsi" w:hAnsiTheme="minorHAnsi" w:cstheme="minorHAnsi"/>
          <w:sz w:val="14"/>
          <w:szCs w:val="14"/>
        </w:rPr>
        <w:footnoteRef/>
      </w:r>
      <w:r w:rsidRPr="00223146">
        <w:rPr>
          <w:rFonts w:asciiTheme="minorHAnsi" w:hAnsiTheme="minorHAnsi" w:cstheme="minorHAnsi"/>
          <w:sz w:val="14"/>
          <w:szCs w:val="14"/>
        </w:rPr>
        <w:t xml:space="preserve"> </w:t>
      </w:r>
      <w:r w:rsidRPr="00223146">
        <w:rPr>
          <w:rFonts w:asciiTheme="minorHAnsi" w:eastAsiaTheme="minorHAnsi" w:hAnsiTheme="minorHAnsi" w:cstheme="minorHAnsi"/>
          <w:b w:val="0"/>
          <w:bCs w:val="0"/>
          <w:color w:val="000000" w:themeColor="text1"/>
          <w:kern w:val="0"/>
          <w:sz w:val="14"/>
          <w:szCs w:val="14"/>
        </w:rPr>
        <w:t xml:space="preserve">Charnek, L.S., Shnall, R., Higgins, T., Stockwell, M., Castano, P., Santelli, J. and Dayan, P.S. (2014). Barriers to and Enablers of Contraceptive Use among Adolescent Females and their Interest in an Emergency Department-based Intervention.  </w:t>
      </w:r>
    </w:p>
  </w:footnote>
  <w:footnote w:id="59">
    <w:p w14:paraId="7EB494AB" w14:textId="77777777" w:rsidR="00C65183" w:rsidRPr="00223146" w:rsidRDefault="00C65183" w:rsidP="00C65183">
      <w:pPr>
        <w:jc w:val="both"/>
        <w:rPr>
          <w:rFonts w:asciiTheme="minorHAnsi" w:hAnsiTheme="minorHAnsi" w:cstheme="minorHAnsi"/>
          <w:color w:val="000000" w:themeColor="text1"/>
          <w:sz w:val="14"/>
          <w:szCs w:val="14"/>
        </w:rPr>
      </w:pPr>
      <w:r w:rsidRPr="00223146">
        <w:rPr>
          <w:rStyle w:val="FootnoteReference"/>
          <w:rFonts w:asciiTheme="minorHAnsi" w:hAnsiTheme="minorHAnsi" w:cstheme="minorHAnsi"/>
          <w:sz w:val="14"/>
          <w:szCs w:val="14"/>
        </w:rPr>
        <w:footnoteRef/>
      </w:r>
      <w:r w:rsidRPr="00223146">
        <w:rPr>
          <w:rFonts w:asciiTheme="minorHAnsi" w:hAnsiTheme="minorHAnsi" w:cstheme="minorHAnsi"/>
          <w:sz w:val="14"/>
          <w:szCs w:val="14"/>
        </w:rPr>
        <w:t xml:space="preserve"> </w:t>
      </w:r>
      <w:r w:rsidRPr="00223146">
        <w:rPr>
          <w:rFonts w:asciiTheme="minorHAnsi" w:hAnsiTheme="minorHAnsi" w:cstheme="minorHAnsi"/>
          <w:color w:val="000000" w:themeColor="text1"/>
          <w:sz w:val="14"/>
          <w:szCs w:val="14"/>
        </w:rPr>
        <w:t xml:space="preserve">Miller, E. and Silverman, J.G. (2010). Reproductive Coercion and Partner Violence: implications for clinical assessment of unintended pregnancy. Exert Reviews in Obstetrics and Gynaecology, Vol 5, No. 5, pp. 511-515  </w:t>
      </w:r>
    </w:p>
    <w:p w14:paraId="70B859D5" w14:textId="77777777" w:rsidR="00C65183" w:rsidRPr="00223146" w:rsidRDefault="00C65183" w:rsidP="00C65183">
      <w:pPr>
        <w:jc w:val="both"/>
        <w:rPr>
          <w:rFonts w:asciiTheme="minorHAnsi" w:hAnsiTheme="minorHAnsi" w:cstheme="minorHAnsi"/>
          <w:color w:val="000000" w:themeColor="text1"/>
          <w:sz w:val="14"/>
          <w:szCs w:val="14"/>
        </w:rPr>
      </w:pPr>
      <w:r w:rsidRPr="00223146">
        <w:rPr>
          <w:rFonts w:asciiTheme="minorHAnsi" w:hAnsiTheme="minorHAnsi" w:cstheme="minorHAnsi"/>
          <w:color w:val="000000" w:themeColor="text1"/>
          <w:sz w:val="14"/>
          <w:szCs w:val="14"/>
        </w:rPr>
        <w:t>Miller, E., Decker, M.R., McCauley, H., Waldman, J., Schoenwald, P. and Silverman., J.G. (2010B). Pregnancy Coercion, Intimate Partner Violence and Unintended Pregnancy. Social Science and Medicine. Volume 70, Issue 11, June 2010, Pages 1737-1744</w:t>
      </w:r>
    </w:p>
    <w:p w14:paraId="6B5B2801" w14:textId="77777777" w:rsidR="00C65183" w:rsidRPr="00223146" w:rsidRDefault="00C65183" w:rsidP="00C65183">
      <w:pPr>
        <w:jc w:val="both"/>
        <w:rPr>
          <w:color w:val="000000" w:themeColor="text1"/>
          <w:sz w:val="14"/>
          <w:szCs w:val="14"/>
        </w:rPr>
      </w:pPr>
      <w:r w:rsidRPr="00223146">
        <w:rPr>
          <w:rFonts w:asciiTheme="minorHAnsi" w:hAnsiTheme="minorHAnsi" w:cstheme="minorHAnsi"/>
          <w:color w:val="000000" w:themeColor="text1"/>
          <w:sz w:val="14"/>
          <w:szCs w:val="14"/>
        </w:rPr>
        <w:t>Barber, J., Kusunoki, Y., Gatny, H., and Budnick, J. (2018). The Dynamics of Intimate Partner Violence and the Risk of Pregnancy during the Transition to Adulthood. American Sociological Review. Sept., 2018</w:t>
      </w:r>
    </w:p>
  </w:footnote>
  <w:footnote w:id="60">
    <w:p w14:paraId="231A904C" w14:textId="77777777" w:rsidR="00C65183" w:rsidRPr="00223146" w:rsidRDefault="00C65183" w:rsidP="00C65183">
      <w:pPr>
        <w:jc w:val="both"/>
        <w:rPr>
          <w:rFonts w:asciiTheme="minorHAnsi" w:hAnsiTheme="minorHAnsi" w:cstheme="minorHAnsi"/>
          <w:color w:val="000000" w:themeColor="text1"/>
          <w:sz w:val="14"/>
          <w:szCs w:val="14"/>
        </w:rPr>
      </w:pPr>
      <w:r w:rsidRPr="00223146">
        <w:rPr>
          <w:rStyle w:val="FootnoteReference"/>
          <w:rFonts w:asciiTheme="minorHAnsi" w:hAnsiTheme="minorHAnsi" w:cstheme="minorHAnsi"/>
          <w:sz w:val="14"/>
          <w:szCs w:val="14"/>
        </w:rPr>
        <w:footnoteRef/>
      </w:r>
      <w:r w:rsidRPr="00223146">
        <w:rPr>
          <w:rFonts w:asciiTheme="minorHAnsi" w:hAnsiTheme="minorHAnsi" w:cstheme="minorHAnsi"/>
          <w:sz w:val="14"/>
          <w:szCs w:val="14"/>
        </w:rPr>
        <w:t xml:space="preserve"> </w:t>
      </w:r>
      <w:r w:rsidRPr="00223146">
        <w:rPr>
          <w:rFonts w:asciiTheme="minorHAnsi" w:hAnsiTheme="minorHAnsi" w:cstheme="minorHAnsi"/>
          <w:color w:val="000000" w:themeColor="text1"/>
          <w:sz w:val="14"/>
          <w:szCs w:val="14"/>
        </w:rPr>
        <w:t xml:space="preserve">Children by Choice (2020). Reproductive Coercion. </w:t>
      </w:r>
    </w:p>
    <w:p w14:paraId="4D1E76AB" w14:textId="77777777" w:rsidR="00C65183" w:rsidRPr="00223146" w:rsidRDefault="00C65183" w:rsidP="00C65183">
      <w:pPr>
        <w:jc w:val="both"/>
        <w:rPr>
          <w:rFonts w:asciiTheme="minorHAnsi" w:hAnsiTheme="minorHAnsi" w:cstheme="minorHAnsi"/>
          <w:color w:val="000000" w:themeColor="text1"/>
          <w:sz w:val="14"/>
          <w:szCs w:val="14"/>
        </w:rPr>
      </w:pPr>
      <w:r w:rsidRPr="00223146">
        <w:rPr>
          <w:rFonts w:asciiTheme="minorHAnsi" w:hAnsiTheme="minorHAnsi" w:cstheme="minorHAnsi"/>
          <w:color w:val="000000" w:themeColor="text1"/>
          <w:sz w:val="14"/>
          <w:szCs w:val="14"/>
        </w:rPr>
        <w:t xml:space="preserve">Miller, E. and Silverman, J.G. (2010). Reproductive Coercion and Partner Violence: implications for clinical assessment of unintended pregnancy. Exert Reviews in Obstetrics and Gynaecology, Vol 5, No. 5, pp. 511-515  </w:t>
      </w:r>
    </w:p>
    <w:p w14:paraId="24BB6DC4" w14:textId="77777777" w:rsidR="00C65183" w:rsidRPr="00223146" w:rsidRDefault="00C65183" w:rsidP="00C65183">
      <w:pPr>
        <w:jc w:val="both"/>
        <w:rPr>
          <w:rFonts w:asciiTheme="minorHAnsi" w:hAnsiTheme="minorHAnsi" w:cstheme="minorHAnsi"/>
          <w:color w:val="000000" w:themeColor="text1"/>
          <w:sz w:val="14"/>
          <w:szCs w:val="14"/>
        </w:rPr>
      </w:pPr>
      <w:r w:rsidRPr="00223146">
        <w:rPr>
          <w:rFonts w:asciiTheme="minorHAnsi" w:hAnsiTheme="minorHAnsi" w:cstheme="minorHAnsi"/>
          <w:color w:val="000000" w:themeColor="text1"/>
          <w:sz w:val="14"/>
          <w:szCs w:val="14"/>
        </w:rPr>
        <w:t xml:space="preserve">American College for Obstetricians and Gynaecologists (2013). Reproductive and Sexual Coercion. Committee Opinion No. 554, Feb. 2013. </w:t>
      </w:r>
    </w:p>
  </w:footnote>
  <w:footnote w:id="61">
    <w:p w14:paraId="456EC468" w14:textId="77777777" w:rsidR="00C65183" w:rsidRPr="004455D6" w:rsidRDefault="00C65183" w:rsidP="00C65183">
      <w:pPr>
        <w:jc w:val="both"/>
        <w:rPr>
          <w:rFonts w:asciiTheme="minorHAnsi" w:hAnsiTheme="minorHAnsi" w:cstheme="minorHAnsi"/>
          <w:color w:val="000000" w:themeColor="text1"/>
          <w:sz w:val="14"/>
          <w:szCs w:val="14"/>
        </w:rPr>
      </w:pPr>
      <w:r w:rsidRPr="00223146">
        <w:rPr>
          <w:rStyle w:val="FootnoteReference"/>
          <w:rFonts w:asciiTheme="minorHAnsi" w:hAnsiTheme="minorHAnsi" w:cstheme="minorHAnsi"/>
          <w:sz w:val="14"/>
          <w:szCs w:val="14"/>
        </w:rPr>
        <w:footnoteRef/>
      </w:r>
      <w:r w:rsidRPr="00223146">
        <w:rPr>
          <w:rFonts w:asciiTheme="minorHAnsi" w:hAnsiTheme="minorHAnsi" w:cstheme="minorHAnsi"/>
          <w:sz w:val="14"/>
          <w:szCs w:val="14"/>
        </w:rPr>
        <w:t xml:space="preserve"> </w:t>
      </w:r>
      <w:r w:rsidRPr="00223146">
        <w:rPr>
          <w:rFonts w:asciiTheme="minorHAnsi" w:hAnsiTheme="minorHAnsi" w:cstheme="minorHAnsi"/>
          <w:color w:val="000000" w:themeColor="text1"/>
          <w:sz w:val="14"/>
          <w:szCs w:val="14"/>
        </w:rPr>
        <w:t>Marie Stopes International (2008). Real Choices: Women, Contraception and Unplanned Pregnancy. Marie Stopes International.</w:t>
      </w:r>
    </w:p>
  </w:footnote>
  <w:footnote w:id="62">
    <w:p w14:paraId="45719935" w14:textId="77777777" w:rsidR="00C65183" w:rsidRPr="000E6C91" w:rsidRDefault="00C65183" w:rsidP="00C65183">
      <w:pPr>
        <w:jc w:val="both"/>
        <w:rPr>
          <w:rFonts w:asciiTheme="minorHAnsi" w:hAnsiTheme="minorHAnsi" w:cstheme="minorHAnsi"/>
          <w:color w:val="000000" w:themeColor="text1"/>
          <w:sz w:val="14"/>
          <w:szCs w:val="14"/>
        </w:rPr>
      </w:pPr>
      <w:r w:rsidRPr="000E6C91">
        <w:rPr>
          <w:rStyle w:val="FootnoteReference"/>
          <w:rFonts w:asciiTheme="minorHAnsi" w:hAnsiTheme="minorHAnsi" w:cstheme="minorHAnsi"/>
          <w:sz w:val="14"/>
          <w:szCs w:val="14"/>
        </w:rPr>
        <w:footnoteRef/>
      </w:r>
      <w:r w:rsidRPr="000E6C91">
        <w:rPr>
          <w:rFonts w:asciiTheme="minorHAnsi" w:hAnsiTheme="minorHAnsi" w:cstheme="minorHAnsi"/>
          <w:sz w:val="14"/>
          <w:szCs w:val="14"/>
        </w:rPr>
        <w:t xml:space="preserve"> </w:t>
      </w:r>
      <w:r w:rsidRPr="000E6C91">
        <w:rPr>
          <w:rFonts w:asciiTheme="minorHAnsi" w:hAnsiTheme="minorHAnsi" w:cstheme="minorHAnsi"/>
          <w:color w:val="000000" w:themeColor="text1"/>
          <w:sz w:val="14"/>
          <w:szCs w:val="14"/>
        </w:rPr>
        <w:t xml:space="preserve">Taft, A.J., Shankar, M., Black, K.I., Mazza, D., Hussainy, S. and Lucke, J.C. (2018). Unintended and unwanted pregnancy in Australia: a cross-sectional, national random telephone survey of prevalence and outcomes. Medical Journal of Australia 2018; Vol. 209 (9), pp. 407-408. </w:t>
      </w:r>
    </w:p>
  </w:footnote>
  <w:footnote w:id="63">
    <w:p w14:paraId="320F4E69" w14:textId="77777777" w:rsidR="00C65183" w:rsidRPr="000E6C91" w:rsidRDefault="00C65183" w:rsidP="00C65183">
      <w:pPr>
        <w:jc w:val="both"/>
        <w:rPr>
          <w:rFonts w:asciiTheme="minorHAnsi" w:hAnsiTheme="minorHAnsi" w:cstheme="minorHAnsi"/>
          <w:color w:val="000000" w:themeColor="text1"/>
          <w:sz w:val="14"/>
          <w:szCs w:val="14"/>
        </w:rPr>
      </w:pPr>
      <w:r w:rsidRPr="000E6C91">
        <w:rPr>
          <w:rStyle w:val="FootnoteReference"/>
          <w:rFonts w:asciiTheme="minorHAnsi" w:hAnsiTheme="minorHAnsi" w:cstheme="minorHAnsi"/>
          <w:sz w:val="14"/>
          <w:szCs w:val="14"/>
        </w:rPr>
        <w:footnoteRef/>
      </w:r>
      <w:r w:rsidRPr="000E6C91">
        <w:rPr>
          <w:rFonts w:asciiTheme="minorHAnsi" w:hAnsiTheme="minorHAnsi" w:cstheme="minorHAnsi"/>
          <w:sz w:val="14"/>
          <w:szCs w:val="14"/>
        </w:rPr>
        <w:t xml:space="preserve"> </w:t>
      </w:r>
      <w:r w:rsidRPr="000E6C91">
        <w:rPr>
          <w:rFonts w:asciiTheme="minorHAnsi" w:hAnsiTheme="minorHAnsi" w:cstheme="minorHAnsi"/>
          <w:color w:val="000000" w:themeColor="text1"/>
          <w:sz w:val="14"/>
          <w:szCs w:val="14"/>
        </w:rPr>
        <w:t xml:space="preserve">Momoh, C. (2013). A Report on the National Female Genital Mutilation Summit. Dr Comfort MOMOH MBE - FGM/Public Health Specialist 2013 </w:t>
      </w:r>
    </w:p>
  </w:footnote>
  <w:footnote w:id="64">
    <w:p w14:paraId="103FE8EA" w14:textId="77777777" w:rsidR="00C65183" w:rsidRPr="000E6C91" w:rsidRDefault="00C65183" w:rsidP="00C65183">
      <w:pPr>
        <w:jc w:val="both"/>
        <w:rPr>
          <w:rFonts w:asciiTheme="minorHAnsi" w:hAnsiTheme="minorHAnsi" w:cstheme="minorHAnsi"/>
          <w:color w:val="000000" w:themeColor="text1"/>
          <w:sz w:val="14"/>
          <w:szCs w:val="14"/>
        </w:rPr>
      </w:pPr>
      <w:r w:rsidRPr="000E6C91">
        <w:rPr>
          <w:rStyle w:val="FootnoteReference"/>
          <w:rFonts w:asciiTheme="minorHAnsi" w:hAnsiTheme="minorHAnsi" w:cstheme="minorHAnsi"/>
          <w:sz w:val="14"/>
          <w:szCs w:val="14"/>
        </w:rPr>
        <w:footnoteRef/>
      </w:r>
      <w:r w:rsidRPr="000E6C91">
        <w:rPr>
          <w:rFonts w:asciiTheme="minorHAnsi" w:hAnsiTheme="minorHAnsi" w:cstheme="minorHAnsi"/>
          <w:sz w:val="14"/>
          <w:szCs w:val="14"/>
        </w:rPr>
        <w:t xml:space="preserve"> </w:t>
      </w:r>
      <w:r w:rsidRPr="000E6C91">
        <w:rPr>
          <w:rFonts w:asciiTheme="minorHAnsi" w:hAnsiTheme="minorHAnsi" w:cstheme="minorHAnsi"/>
          <w:color w:val="000000" w:themeColor="text1"/>
          <w:sz w:val="14"/>
          <w:szCs w:val="14"/>
        </w:rPr>
        <w:t>World Health Organization (2018). Female Genital Mutilation. WHO, Sexual and Reproductive Health</w:t>
      </w:r>
    </w:p>
  </w:footnote>
  <w:footnote w:id="65">
    <w:p w14:paraId="7ED71984" w14:textId="77777777" w:rsidR="00C65183" w:rsidRPr="000E6C91" w:rsidRDefault="00C65183" w:rsidP="00C65183">
      <w:pPr>
        <w:jc w:val="both"/>
        <w:rPr>
          <w:rFonts w:asciiTheme="minorHAnsi" w:hAnsiTheme="minorHAnsi" w:cstheme="minorHAnsi"/>
          <w:color w:val="000000" w:themeColor="text1"/>
          <w:sz w:val="14"/>
          <w:szCs w:val="14"/>
        </w:rPr>
      </w:pPr>
      <w:r w:rsidRPr="000E6C91">
        <w:rPr>
          <w:rStyle w:val="FootnoteReference"/>
          <w:rFonts w:asciiTheme="minorHAnsi" w:hAnsiTheme="minorHAnsi" w:cstheme="minorHAnsi"/>
          <w:sz w:val="14"/>
          <w:szCs w:val="14"/>
        </w:rPr>
        <w:footnoteRef/>
      </w:r>
      <w:r w:rsidRPr="000E6C91">
        <w:rPr>
          <w:rFonts w:asciiTheme="minorHAnsi" w:hAnsiTheme="minorHAnsi" w:cstheme="minorHAnsi"/>
          <w:sz w:val="14"/>
          <w:szCs w:val="14"/>
        </w:rPr>
        <w:t xml:space="preserve"> </w:t>
      </w:r>
      <w:r w:rsidRPr="000E6C91">
        <w:rPr>
          <w:rFonts w:asciiTheme="minorHAnsi" w:hAnsiTheme="minorHAnsi" w:cstheme="minorHAnsi"/>
          <w:color w:val="000000" w:themeColor="text1"/>
          <w:sz w:val="14"/>
          <w:szCs w:val="14"/>
        </w:rPr>
        <w:t xml:space="preserve">Kashiwase, H. (2019) Female Genital Mutilation is still Practiced Around the World. The World Bank. </w:t>
      </w:r>
    </w:p>
  </w:footnote>
  <w:footnote w:id="66">
    <w:p w14:paraId="1CFAEC38" w14:textId="77777777" w:rsidR="00C65183" w:rsidRPr="000E6C91" w:rsidRDefault="00C65183" w:rsidP="00C65183">
      <w:pPr>
        <w:jc w:val="both"/>
        <w:rPr>
          <w:rFonts w:asciiTheme="minorHAnsi" w:hAnsiTheme="minorHAnsi" w:cstheme="minorHAnsi"/>
          <w:color w:val="000000" w:themeColor="text1"/>
          <w:sz w:val="14"/>
          <w:szCs w:val="14"/>
        </w:rPr>
      </w:pPr>
      <w:r w:rsidRPr="000E6C91">
        <w:rPr>
          <w:rStyle w:val="FootnoteReference"/>
          <w:rFonts w:asciiTheme="minorHAnsi" w:hAnsiTheme="minorHAnsi" w:cstheme="minorHAnsi"/>
          <w:sz w:val="14"/>
          <w:szCs w:val="14"/>
        </w:rPr>
        <w:footnoteRef/>
      </w:r>
      <w:r w:rsidRPr="000E6C91">
        <w:rPr>
          <w:rFonts w:asciiTheme="minorHAnsi" w:hAnsiTheme="minorHAnsi" w:cstheme="minorHAnsi"/>
          <w:sz w:val="14"/>
          <w:szCs w:val="14"/>
        </w:rPr>
        <w:t xml:space="preserve"> </w:t>
      </w:r>
      <w:r w:rsidRPr="000E6C91">
        <w:rPr>
          <w:rFonts w:asciiTheme="minorHAnsi" w:hAnsiTheme="minorHAnsi" w:cstheme="minorHAnsi"/>
          <w:color w:val="000000" w:themeColor="text1"/>
          <w:sz w:val="14"/>
          <w:szCs w:val="14"/>
        </w:rPr>
        <w:t>World Health Organization (2018). Female Genital Mutilation. WHO, Sexual and Reproductive Health</w:t>
      </w:r>
    </w:p>
  </w:footnote>
  <w:footnote w:id="67">
    <w:p w14:paraId="6144DF35" w14:textId="77777777" w:rsidR="00C65183" w:rsidRPr="000E6C91" w:rsidRDefault="00C65183" w:rsidP="00C65183">
      <w:pPr>
        <w:jc w:val="both"/>
        <w:rPr>
          <w:rFonts w:asciiTheme="minorHAnsi" w:hAnsiTheme="minorHAnsi" w:cstheme="minorHAnsi"/>
          <w:sz w:val="14"/>
          <w:szCs w:val="14"/>
        </w:rPr>
      </w:pPr>
      <w:r w:rsidRPr="000E6C91">
        <w:rPr>
          <w:rStyle w:val="FootnoteReference"/>
          <w:rFonts w:asciiTheme="minorHAnsi" w:hAnsiTheme="minorHAnsi" w:cstheme="minorHAnsi"/>
          <w:sz w:val="14"/>
          <w:szCs w:val="14"/>
        </w:rPr>
        <w:footnoteRef/>
      </w:r>
      <w:r w:rsidRPr="000E6C91">
        <w:rPr>
          <w:rFonts w:asciiTheme="minorHAnsi" w:hAnsiTheme="minorHAnsi" w:cstheme="minorHAnsi"/>
          <w:sz w:val="14"/>
          <w:szCs w:val="14"/>
        </w:rPr>
        <w:t xml:space="preserve"> Patton, G.C., Selzer, R., Coffey, C., Carlin, J.B. and Wolfe, R. (1999). Onset of adolescent eating disorders: population based cohort study over 3 years. British Medical Journal. March 20. Vol. 318, pp. 765-768</w:t>
      </w:r>
    </w:p>
  </w:footnote>
  <w:footnote w:id="68">
    <w:p w14:paraId="2A33DD4E" w14:textId="77777777" w:rsidR="00C65183" w:rsidRPr="00566DF2" w:rsidRDefault="00C65183" w:rsidP="00C65183">
      <w:pPr>
        <w:jc w:val="both"/>
        <w:rPr>
          <w:rFonts w:cstheme="minorHAnsi"/>
          <w:color w:val="000000" w:themeColor="text1"/>
        </w:rPr>
      </w:pPr>
      <w:r w:rsidRPr="000E6C91">
        <w:rPr>
          <w:rStyle w:val="FootnoteReference"/>
          <w:rFonts w:asciiTheme="minorHAnsi" w:hAnsiTheme="minorHAnsi" w:cstheme="minorHAnsi"/>
          <w:sz w:val="14"/>
          <w:szCs w:val="14"/>
        </w:rPr>
        <w:footnoteRef/>
      </w:r>
      <w:r w:rsidRPr="000E6C91">
        <w:rPr>
          <w:rFonts w:asciiTheme="minorHAnsi" w:hAnsiTheme="minorHAnsi" w:cstheme="minorHAnsi"/>
          <w:sz w:val="14"/>
          <w:szCs w:val="14"/>
        </w:rPr>
        <w:t xml:space="preserve"> </w:t>
      </w:r>
      <w:r w:rsidRPr="000E6C91">
        <w:rPr>
          <w:rFonts w:asciiTheme="minorHAnsi" w:hAnsiTheme="minorHAnsi" w:cstheme="minorHAnsi"/>
          <w:color w:val="000000" w:themeColor="text1"/>
          <w:sz w:val="14"/>
          <w:szCs w:val="14"/>
        </w:rPr>
        <w:t>Carlat, D.J. and Cmargo. (1997). Review of Bulimia Nervosa in Males. American Journal of Psychiatry, Vol. 154</w:t>
      </w:r>
    </w:p>
  </w:footnote>
  <w:footnote w:id="69">
    <w:p w14:paraId="22BDC624" w14:textId="77777777" w:rsidR="00C65183" w:rsidRPr="000E6C91" w:rsidRDefault="00C65183" w:rsidP="00C65183">
      <w:pPr>
        <w:pStyle w:val="FootnoteText"/>
        <w:spacing w:after="0" w:line="240" w:lineRule="auto"/>
        <w:jc w:val="both"/>
        <w:rPr>
          <w:rFonts w:asciiTheme="minorHAnsi" w:hAnsiTheme="minorHAnsi" w:cstheme="minorHAnsi"/>
          <w:sz w:val="14"/>
          <w:szCs w:val="14"/>
        </w:rPr>
      </w:pPr>
      <w:r w:rsidRPr="000E6C91">
        <w:rPr>
          <w:rStyle w:val="FootnoteReference"/>
          <w:rFonts w:asciiTheme="minorHAnsi" w:hAnsiTheme="minorHAnsi" w:cstheme="minorHAnsi"/>
          <w:sz w:val="14"/>
          <w:szCs w:val="14"/>
        </w:rPr>
        <w:footnoteRef/>
      </w:r>
      <w:r w:rsidRPr="000E6C91">
        <w:rPr>
          <w:rFonts w:asciiTheme="minorHAnsi" w:hAnsiTheme="minorHAnsi" w:cstheme="minorHAnsi"/>
          <w:sz w:val="14"/>
          <w:szCs w:val="14"/>
        </w:rPr>
        <w:t xml:space="preserve"> The findings of population surveys featuring this inquiry include 5.2% in 1995 (Australian Institute of Family Studies, 2018), 6.1% in the 2001 Child Health Survey, 5.2% in the Victorian VicLanes survey (Burns, 2009), and 4% in the 2011/12 National Health Survey.</w:t>
      </w:r>
    </w:p>
  </w:footnote>
  <w:footnote w:id="70">
    <w:p w14:paraId="65670D85" w14:textId="77777777" w:rsidR="00C65183" w:rsidRPr="000E6C91" w:rsidRDefault="00C65183" w:rsidP="00C65183">
      <w:pPr>
        <w:jc w:val="both"/>
        <w:rPr>
          <w:rFonts w:asciiTheme="minorHAnsi" w:hAnsiTheme="minorHAnsi" w:cstheme="minorHAnsi"/>
          <w:color w:val="000000" w:themeColor="text1"/>
          <w:sz w:val="14"/>
          <w:szCs w:val="14"/>
        </w:rPr>
      </w:pPr>
      <w:r w:rsidRPr="000E6C91">
        <w:rPr>
          <w:rStyle w:val="FootnoteReference"/>
          <w:rFonts w:asciiTheme="minorHAnsi" w:hAnsiTheme="minorHAnsi" w:cstheme="minorHAnsi"/>
          <w:sz w:val="14"/>
          <w:szCs w:val="14"/>
        </w:rPr>
        <w:footnoteRef/>
      </w:r>
      <w:r w:rsidRPr="000E6C91">
        <w:rPr>
          <w:rFonts w:asciiTheme="minorHAnsi" w:hAnsiTheme="minorHAnsi" w:cstheme="minorHAnsi"/>
          <w:sz w:val="14"/>
          <w:szCs w:val="14"/>
        </w:rPr>
        <w:t xml:space="preserve"> </w:t>
      </w:r>
      <w:r w:rsidRPr="000E6C91">
        <w:rPr>
          <w:rFonts w:asciiTheme="minorHAnsi" w:hAnsiTheme="minorHAnsi" w:cstheme="minorHAnsi"/>
          <w:color w:val="000000" w:themeColor="text1"/>
          <w:sz w:val="14"/>
          <w:szCs w:val="14"/>
        </w:rPr>
        <w:t>Australian Institute of Family Studies (2018). Fairfield Refugee Nutrition project. Australian Institute of Family Studies, Canberra</w:t>
      </w:r>
    </w:p>
  </w:footnote>
  <w:footnote w:id="71">
    <w:p w14:paraId="3D7E9B3B" w14:textId="77777777" w:rsidR="00C65183" w:rsidRPr="000E6C91" w:rsidRDefault="00C65183" w:rsidP="00C65183">
      <w:pPr>
        <w:pStyle w:val="FootnoteText"/>
        <w:spacing w:after="0" w:line="240" w:lineRule="auto"/>
        <w:jc w:val="both"/>
        <w:rPr>
          <w:rFonts w:asciiTheme="minorHAnsi" w:hAnsiTheme="minorHAnsi" w:cstheme="minorHAnsi"/>
          <w:sz w:val="14"/>
          <w:szCs w:val="14"/>
        </w:rPr>
      </w:pPr>
      <w:r w:rsidRPr="000E6C91">
        <w:rPr>
          <w:rStyle w:val="FootnoteReference"/>
          <w:rFonts w:asciiTheme="minorHAnsi" w:hAnsiTheme="minorHAnsi" w:cstheme="minorHAnsi"/>
          <w:sz w:val="14"/>
          <w:szCs w:val="14"/>
        </w:rPr>
        <w:footnoteRef/>
      </w:r>
      <w:r w:rsidRPr="000E6C91">
        <w:rPr>
          <w:rFonts w:asciiTheme="minorHAnsi" w:hAnsiTheme="minorHAnsi" w:cstheme="minorHAnsi"/>
          <w:sz w:val="14"/>
          <w:szCs w:val="14"/>
        </w:rPr>
        <w:t xml:space="preserve"> </w:t>
      </w:r>
      <w:r w:rsidRPr="000E6C91">
        <w:rPr>
          <w:rFonts w:asciiTheme="minorHAnsi" w:hAnsiTheme="minorHAnsi" w:cstheme="minorHAnsi"/>
          <w:color w:val="000000" w:themeColor="text1"/>
          <w:sz w:val="14"/>
          <w:szCs w:val="14"/>
        </w:rPr>
        <w:t>Burns, C. (2009). Food Insecurity: what do we know? Deakin University and WHO Collaborating Centre for Obesity Prevention, Melbourne</w:t>
      </w:r>
    </w:p>
  </w:footnote>
  <w:footnote w:id="72">
    <w:p w14:paraId="3D160033" w14:textId="77777777" w:rsidR="00C65183" w:rsidRPr="001552BF" w:rsidRDefault="00C65183" w:rsidP="00C65183">
      <w:pPr>
        <w:jc w:val="both"/>
        <w:rPr>
          <w:rFonts w:asciiTheme="minorHAnsi" w:hAnsiTheme="minorHAnsi"/>
          <w:color w:val="000000" w:themeColor="text1"/>
          <w:sz w:val="20"/>
          <w:szCs w:val="20"/>
        </w:rPr>
      </w:pPr>
      <w:r w:rsidRPr="000E6C91">
        <w:rPr>
          <w:rStyle w:val="FootnoteReference"/>
          <w:rFonts w:asciiTheme="minorHAnsi" w:hAnsiTheme="minorHAnsi" w:cstheme="minorHAnsi"/>
          <w:sz w:val="14"/>
          <w:szCs w:val="14"/>
        </w:rPr>
        <w:footnoteRef/>
      </w:r>
      <w:r w:rsidRPr="000E6C91">
        <w:rPr>
          <w:rFonts w:asciiTheme="minorHAnsi" w:hAnsiTheme="minorHAnsi" w:cstheme="minorHAnsi"/>
          <w:sz w:val="14"/>
          <w:szCs w:val="14"/>
        </w:rPr>
        <w:t xml:space="preserve"> </w:t>
      </w:r>
      <w:r w:rsidRPr="000E6C91">
        <w:rPr>
          <w:rFonts w:asciiTheme="minorHAnsi" w:hAnsiTheme="minorHAnsi" w:cstheme="minorHAnsi"/>
          <w:color w:val="000000" w:themeColor="text1"/>
          <w:sz w:val="14"/>
          <w:szCs w:val="14"/>
        </w:rPr>
        <w:t xml:space="preserve">Department of Health and Human Services (2014A). Food Insecurity with Hunger, by Age and </w:t>
      </w:r>
      <w:r>
        <w:rPr>
          <w:rFonts w:asciiTheme="minorHAnsi" w:hAnsiTheme="minorHAnsi" w:cstheme="minorHAnsi"/>
          <w:color w:val="000000" w:themeColor="text1"/>
          <w:sz w:val="14"/>
          <w:szCs w:val="14"/>
        </w:rPr>
        <w:t>Sex</w:t>
      </w:r>
      <w:r w:rsidRPr="000E6C91">
        <w:rPr>
          <w:rFonts w:asciiTheme="minorHAnsi" w:hAnsiTheme="minorHAnsi" w:cstheme="minorHAnsi"/>
          <w:color w:val="000000" w:themeColor="text1"/>
          <w:sz w:val="14"/>
          <w:szCs w:val="14"/>
        </w:rPr>
        <w:t>. Tabulation from data presented in ‘Challenges to healthy eating: findings from the Victorian Population Health Survey 2014’. Victorian Government, Melbourne</w:t>
      </w:r>
    </w:p>
  </w:footnote>
  <w:footnote w:id="73">
    <w:p w14:paraId="10126F3C" w14:textId="77777777" w:rsidR="00C65183" w:rsidRPr="000E6C91" w:rsidRDefault="00C65183" w:rsidP="00C65183">
      <w:pPr>
        <w:jc w:val="both"/>
        <w:rPr>
          <w:rFonts w:asciiTheme="minorHAnsi" w:hAnsiTheme="minorHAnsi" w:cstheme="minorHAnsi"/>
          <w:color w:val="000000" w:themeColor="text1"/>
          <w:sz w:val="14"/>
          <w:szCs w:val="14"/>
        </w:rPr>
      </w:pPr>
      <w:r w:rsidRPr="000E6C91">
        <w:rPr>
          <w:rStyle w:val="FootnoteReference"/>
          <w:rFonts w:asciiTheme="minorHAnsi" w:hAnsiTheme="minorHAnsi" w:cstheme="minorHAnsi"/>
          <w:sz w:val="14"/>
          <w:szCs w:val="14"/>
        </w:rPr>
        <w:footnoteRef/>
      </w:r>
      <w:r w:rsidRPr="000E6C91">
        <w:rPr>
          <w:rFonts w:asciiTheme="minorHAnsi" w:hAnsiTheme="minorHAnsi" w:cstheme="minorHAnsi"/>
          <w:sz w:val="14"/>
          <w:szCs w:val="14"/>
        </w:rPr>
        <w:t xml:space="preserve"> </w:t>
      </w:r>
      <w:r w:rsidRPr="000E6C91">
        <w:rPr>
          <w:rFonts w:asciiTheme="minorHAnsi" w:hAnsiTheme="minorHAnsi" w:cstheme="minorHAnsi"/>
          <w:color w:val="000000" w:themeColor="text1"/>
          <w:sz w:val="14"/>
          <w:szCs w:val="14"/>
        </w:rPr>
        <w:t>Australian Institute of Family Studies (2018). Fairfield Refugee Nutrition project. Australian Institute of Family Studies, Canberra</w:t>
      </w:r>
    </w:p>
    <w:p w14:paraId="2E4207F2" w14:textId="77777777" w:rsidR="00C65183" w:rsidRPr="000E6C91" w:rsidRDefault="00C65183" w:rsidP="00C65183">
      <w:pPr>
        <w:jc w:val="both"/>
        <w:rPr>
          <w:rFonts w:asciiTheme="minorHAnsi" w:hAnsiTheme="minorHAnsi" w:cstheme="minorHAnsi"/>
          <w:color w:val="000000" w:themeColor="text1"/>
          <w:sz w:val="14"/>
          <w:szCs w:val="14"/>
        </w:rPr>
      </w:pPr>
      <w:r w:rsidRPr="000E6C91">
        <w:rPr>
          <w:rFonts w:asciiTheme="minorHAnsi" w:hAnsiTheme="minorHAnsi" w:cstheme="minorHAnsi"/>
          <w:color w:val="000000" w:themeColor="text1"/>
          <w:sz w:val="14"/>
          <w:szCs w:val="14"/>
        </w:rPr>
        <w:t>Burns, C. (2004). A Review of the Literature Describing the Link between Poverty, Food Insecurity and Obesity with Specific Reference to Australia. VicHealth, Melbourne</w:t>
      </w:r>
    </w:p>
    <w:p w14:paraId="36379CC4" w14:textId="77777777" w:rsidR="00C65183" w:rsidRPr="000E6C91" w:rsidRDefault="00C65183" w:rsidP="00C65183">
      <w:pPr>
        <w:jc w:val="both"/>
        <w:rPr>
          <w:rFonts w:asciiTheme="minorHAnsi" w:hAnsiTheme="minorHAnsi"/>
          <w:color w:val="000000" w:themeColor="text1"/>
          <w:sz w:val="14"/>
          <w:szCs w:val="14"/>
        </w:rPr>
      </w:pPr>
      <w:r w:rsidRPr="000E6C91">
        <w:rPr>
          <w:rFonts w:asciiTheme="minorHAnsi" w:hAnsiTheme="minorHAnsi"/>
          <w:color w:val="000000" w:themeColor="text1"/>
          <w:sz w:val="14"/>
          <w:szCs w:val="14"/>
        </w:rPr>
        <w:t>Ramsey, R., Giskes, K., Turrell, G. and Gallegos, D. (2012). Food insecurity among Adults Residing in Disadvantaged Urban Areas: potential health and dietary consequences. Public Health Nutr 2012; Vol 15, pp. 227-237</w:t>
      </w:r>
    </w:p>
    <w:p w14:paraId="0E85DA7B" w14:textId="77777777" w:rsidR="00C65183" w:rsidRPr="000E6C91" w:rsidRDefault="00C65183" w:rsidP="00C65183">
      <w:pPr>
        <w:jc w:val="both"/>
        <w:rPr>
          <w:rFonts w:asciiTheme="minorHAnsi" w:hAnsiTheme="minorHAnsi"/>
          <w:color w:val="000000" w:themeColor="text1"/>
          <w:sz w:val="14"/>
          <w:szCs w:val="14"/>
        </w:rPr>
      </w:pPr>
      <w:r w:rsidRPr="000E6C91">
        <w:rPr>
          <w:rFonts w:asciiTheme="minorHAnsi" w:hAnsiTheme="minorHAnsi"/>
          <w:color w:val="000000" w:themeColor="text1"/>
          <w:sz w:val="14"/>
          <w:szCs w:val="14"/>
        </w:rPr>
        <w:t>VicHealth (2015). VicHealth Indicators Survey 2015. VicHealth, Melbourne</w:t>
      </w:r>
    </w:p>
    <w:p w14:paraId="401B5AE7" w14:textId="77777777" w:rsidR="00C65183" w:rsidRPr="00B62F7B" w:rsidRDefault="00C65183" w:rsidP="00C65183">
      <w:pPr>
        <w:jc w:val="both"/>
        <w:rPr>
          <w:rFonts w:asciiTheme="minorHAnsi" w:hAnsiTheme="minorHAnsi"/>
          <w:color w:val="000000" w:themeColor="text1"/>
          <w:sz w:val="16"/>
          <w:szCs w:val="16"/>
        </w:rPr>
      </w:pPr>
      <w:r w:rsidRPr="000E6C91">
        <w:rPr>
          <w:rFonts w:asciiTheme="minorHAnsi" w:hAnsiTheme="minorHAnsi"/>
          <w:color w:val="000000" w:themeColor="text1"/>
          <w:sz w:val="14"/>
          <w:szCs w:val="14"/>
        </w:rPr>
        <w:t>McCrindle Consulting (2018A). Food Bank Hunger Report 2018. Food Bank.</w:t>
      </w:r>
    </w:p>
  </w:footnote>
  <w:footnote w:id="74">
    <w:p w14:paraId="747B2EED" w14:textId="77777777" w:rsidR="00C65183" w:rsidRPr="000E6C91" w:rsidRDefault="00C65183" w:rsidP="00C65183">
      <w:pPr>
        <w:jc w:val="both"/>
        <w:rPr>
          <w:rFonts w:asciiTheme="minorHAnsi" w:hAnsiTheme="minorHAnsi" w:cstheme="minorHAnsi"/>
          <w:color w:val="000000" w:themeColor="text1"/>
          <w:sz w:val="14"/>
          <w:szCs w:val="14"/>
        </w:rPr>
      </w:pPr>
      <w:r w:rsidRPr="000E6C91">
        <w:rPr>
          <w:rStyle w:val="FootnoteReference"/>
          <w:rFonts w:asciiTheme="minorHAnsi" w:hAnsiTheme="minorHAnsi" w:cstheme="minorHAnsi"/>
          <w:sz w:val="14"/>
          <w:szCs w:val="14"/>
        </w:rPr>
        <w:footnoteRef/>
      </w:r>
      <w:r w:rsidRPr="000E6C91">
        <w:rPr>
          <w:rFonts w:asciiTheme="minorHAnsi" w:hAnsiTheme="minorHAnsi" w:cstheme="minorHAnsi"/>
          <w:sz w:val="14"/>
          <w:szCs w:val="14"/>
        </w:rPr>
        <w:t xml:space="preserve"> </w:t>
      </w:r>
      <w:r w:rsidRPr="000E6C91">
        <w:rPr>
          <w:rFonts w:asciiTheme="minorHAnsi" w:hAnsiTheme="minorHAnsi" w:cstheme="minorHAnsi"/>
          <w:color w:val="000000" w:themeColor="text1"/>
          <w:sz w:val="14"/>
          <w:szCs w:val="14"/>
        </w:rPr>
        <w:t>Australian Institute of Health and Welfare (2012). Information About Overweight and Obesity. Australian Institute of Health and Welfare, Canberra</w:t>
      </w:r>
    </w:p>
  </w:footnote>
  <w:footnote w:id="75">
    <w:p w14:paraId="34C4203A" w14:textId="77777777" w:rsidR="00C65183" w:rsidRPr="00D613FD" w:rsidRDefault="00C65183" w:rsidP="00C65183">
      <w:pPr>
        <w:pStyle w:val="FootnoteText"/>
        <w:spacing w:after="0" w:line="240" w:lineRule="auto"/>
        <w:rPr>
          <w:rFonts w:asciiTheme="minorHAnsi" w:hAnsiTheme="minorHAnsi" w:cstheme="minorHAnsi"/>
          <w:sz w:val="14"/>
          <w:szCs w:val="14"/>
        </w:rPr>
      </w:pPr>
      <w:r w:rsidRPr="00DE1E82">
        <w:rPr>
          <w:rStyle w:val="FootnoteReference"/>
          <w:rFonts w:asciiTheme="minorHAnsi" w:hAnsiTheme="minorHAnsi" w:cstheme="minorHAnsi"/>
          <w:sz w:val="14"/>
          <w:szCs w:val="14"/>
        </w:rPr>
        <w:footnoteRef/>
      </w:r>
      <w:r w:rsidRPr="00DE1E82">
        <w:rPr>
          <w:rFonts w:asciiTheme="minorHAnsi" w:hAnsiTheme="minorHAnsi" w:cstheme="minorHAnsi"/>
          <w:sz w:val="14"/>
          <w:szCs w:val="14"/>
        </w:rPr>
        <w:t xml:space="preserve"> </w:t>
      </w:r>
      <w:r w:rsidRPr="00D613FD">
        <w:rPr>
          <w:rFonts w:asciiTheme="minorHAnsi" w:hAnsiTheme="minorHAnsi" w:cstheme="minorHAnsi"/>
          <w:color w:val="000000" w:themeColor="text1"/>
          <w:sz w:val="14"/>
          <w:szCs w:val="14"/>
        </w:rPr>
        <w:t>Gao, C., Ogeil, R., and Lloyd, B. (2014). Alcohol’s Burden of Disease, Australia. VicHealth, Turning Point, Foundation for Alcohol Research and Education</w:t>
      </w:r>
    </w:p>
  </w:footnote>
  <w:footnote w:id="76">
    <w:p w14:paraId="63151AB9" w14:textId="77777777" w:rsidR="00C65183" w:rsidRPr="00D613FD" w:rsidRDefault="00C65183" w:rsidP="00C65183">
      <w:pPr>
        <w:pStyle w:val="FootnoteText"/>
        <w:spacing w:after="0" w:line="240" w:lineRule="auto"/>
        <w:jc w:val="both"/>
        <w:rPr>
          <w:rFonts w:asciiTheme="minorHAnsi" w:hAnsiTheme="minorHAnsi" w:cstheme="minorHAnsi"/>
          <w:sz w:val="14"/>
          <w:szCs w:val="14"/>
        </w:rPr>
      </w:pPr>
      <w:r w:rsidRPr="00D613FD">
        <w:rPr>
          <w:rStyle w:val="FootnoteReference"/>
          <w:rFonts w:asciiTheme="minorHAnsi" w:hAnsiTheme="minorHAnsi" w:cstheme="minorHAnsi"/>
          <w:sz w:val="14"/>
          <w:szCs w:val="14"/>
        </w:rPr>
        <w:footnoteRef/>
      </w:r>
      <w:r w:rsidRPr="00D613FD">
        <w:rPr>
          <w:rFonts w:asciiTheme="minorHAnsi" w:hAnsiTheme="minorHAnsi" w:cstheme="minorHAnsi"/>
          <w:sz w:val="14"/>
          <w:szCs w:val="14"/>
        </w:rPr>
        <w:t xml:space="preserve"> Pyettfor, 2017; Australian Institute of Family Studies, 2014; Rockville, 2014; Beck, 2013; National Drug Research Institute, 2013a, 2013b, 2013c, 2013d; Freisthler, 2012; Hooper et al, 2012; Sims and Iphofen, 2003</w:t>
      </w:r>
    </w:p>
  </w:footnote>
  <w:footnote w:id="77">
    <w:p w14:paraId="3BAF1A40" w14:textId="77777777" w:rsidR="00C65183" w:rsidRPr="00D613FD" w:rsidRDefault="00C65183" w:rsidP="00C65183">
      <w:pPr>
        <w:pStyle w:val="FootnoteText"/>
        <w:spacing w:after="0" w:line="240" w:lineRule="auto"/>
        <w:jc w:val="both"/>
        <w:rPr>
          <w:rFonts w:asciiTheme="minorHAnsi" w:hAnsiTheme="minorHAnsi" w:cstheme="minorHAnsi"/>
          <w:sz w:val="14"/>
          <w:szCs w:val="14"/>
        </w:rPr>
      </w:pPr>
      <w:r w:rsidRPr="00D613FD">
        <w:rPr>
          <w:rStyle w:val="FootnoteReference"/>
          <w:rFonts w:asciiTheme="minorHAnsi" w:hAnsiTheme="minorHAnsi" w:cstheme="minorHAnsi"/>
          <w:sz w:val="14"/>
          <w:szCs w:val="14"/>
        </w:rPr>
        <w:footnoteRef/>
      </w:r>
      <w:r w:rsidRPr="00D613FD">
        <w:rPr>
          <w:rFonts w:asciiTheme="minorHAnsi" w:hAnsiTheme="minorHAnsi" w:cstheme="minorHAnsi"/>
          <w:sz w:val="14"/>
          <w:szCs w:val="14"/>
        </w:rPr>
        <w:t xml:space="preserve"> Australian Medical Association, 2017; May and Gossage, 2017; Burns et al, 2013; National Drug Research Institute, 2013a, 2013b, 2013c, 2013d; O’Leary et al, 2012; Hulubowycz, 1994</w:t>
      </w:r>
    </w:p>
  </w:footnote>
  <w:footnote w:id="78">
    <w:p w14:paraId="478EEA6F" w14:textId="77777777" w:rsidR="00C65183" w:rsidRPr="00D613FD" w:rsidRDefault="00C65183" w:rsidP="00C65183">
      <w:pPr>
        <w:pStyle w:val="FootnoteText"/>
        <w:spacing w:after="0" w:line="240" w:lineRule="auto"/>
        <w:jc w:val="both"/>
        <w:rPr>
          <w:rFonts w:asciiTheme="minorHAnsi" w:hAnsiTheme="minorHAnsi" w:cstheme="minorHAnsi"/>
          <w:sz w:val="14"/>
          <w:szCs w:val="14"/>
        </w:rPr>
      </w:pPr>
      <w:r w:rsidRPr="00D613FD">
        <w:rPr>
          <w:rStyle w:val="FootnoteReference"/>
          <w:rFonts w:asciiTheme="minorHAnsi" w:hAnsiTheme="minorHAnsi" w:cstheme="minorHAnsi"/>
          <w:sz w:val="14"/>
          <w:szCs w:val="14"/>
        </w:rPr>
        <w:footnoteRef/>
      </w:r>
      <w:r w:rsidRPr="00D613FD">
        <w:rPr>
          <w:rFonts w:asciiTheme="minorHAnsi" w:hAnsiTheme="minorHAnsi" w:cstheme="minorHAnsi"/>
          <w:sz w:val="14"/>
          <w:szCs w:val="14"/>
        </w:rPr>
        <w:t xml:space="preserve"> </w:t>
      </w:r>
      <w:r w:rsidRPr="00D613FD">
        <w:rPr>
          <w:rFonts w:asciiTheme="minorHAnsi" w:hAnsiTheme="minorHAnsi" w:cstheme="minorHAnsi"/>
          <w:color w:val="000000" w:themeColor="text1"/>
          <w:sz w:val="14"/>
          <w:szCs w:val="14"/>
        </w:rPr>
        <w:t xml:space="preserve">Australian Bureau of Statistics (2017c). Personal Safety Survey, 2016. </w:t>
      </w:r>
    </w:p>
  </w:footnote>
  <w:footnote w:id="79">
    <w:p w14:paraId="50C46E5A" w14:textId="77777777" w:rsidR="00C65183" w:rsidRPr="00D613FD" w:rsidRDefault="00C65183" w:rsidP="00C65183">
      <w:pPr>
        <w:jc w:val="both"/>
        <w:rPr>
          <w:rFonts w:eastAsia="Times New Roman"/>
          <w:color w:val="000000"/>
          <w:lang w:eastAsia="en-AU"/>
        </w:rPr>
      </w:pPr>
      <w:r w:rsidRPr="00D613FD">
        <w:rPr>
          <w:rStyle w:val="FootnoteReference"/>
          <w:rFonts w:asciiTheme="minorHAnsi" w:hAnsiTheme="minorHAnsi" w:cstheme="minorHAnsi"/>
          <w:sz w:val="14"/>
          <w:szCs w:val="14"/>
        </w:rPr>
        <w:footnoteRef/>
      </w:r>
      <w:r w:rsidRPr="00D613FD">
        <w:rPr>
          <w:rFonts w:asciiTheme="minorHAnsi" w:hAnsiTheme="minorHAnsi" w:cstheme="minorHAnsi"/>
          <w:sz w:val="14"/>
          <w:szCs w:val="14"/>
        </w:rPr>
        <w:t xml:space="preserve"> </w:t>
      </w:r>
      <w:r w:rsidRPr="00D613FD">
        <w:rPr>
          <w:rFonts w:asciiTheme="minorHAnsi" w:eastAsia="Times New Roman" w:hAnsiTheme="minorHAnsi" w:cstheme="minorHAnsi"/>
          <w:color w:val="000000"/>
          <w:sz w:val="14"/>
          <w:szCs w:val="14"/>
          <w:lang w:eastAsia="en-AU"/>
        </w:rPr>
        <w:t xml:space="preserve">Prevalence and predictors of alcohol use during pregnancy: findings from international multicentre cohort studies, O'Keeffe, L., Kearney, P, McCarthy, F, Khashan, A, Greene, R., North, R., Poston, L., McCowan, L., Baker, P., Dekker, G., Walker, J., Taylor, R., Kenny, L., . BMJ Open, Vol. 5, Issue 7. </w:t>
      </w:r>
    </w:p>
  </w:footnote>
  <w:footnote w:id="80">
    <w:p w14:paraId="1ACA5E38" w14:textId="77777777" w:rsidR="00C65183" w:rsidRPr="000E6C91" w:rsidRDefault="00C65183" w:rsidP="00C65183">
      <w:pPr>
        <w:jc w:val="both"/>
        <w:rPr>
          <w:rFonts w:asciiTheme="minorHAnsi" w:hAnsiTheme="minorHAnsi" w:cstheme="minorHAnsi"/>
          <w:color w:val="000000" w:themeColor="text1"/>
          <w:sz w:val="14"/>
          <w:szCs w:val="14"/>
        </w:rPr>
      </w:pPr>
      <w:r w:rsidRPr="000E6C91">
        <w:rPr>
          <w:rStyle w:val="FootnoteReference"/>
          <w:rFonts w:asciiTheme="minorHAnsi" w:hAnsiTheme="minorHAnsi" w:cstheme="minorHAnsi"/>
          <w:sz w:val="14"/>
          <w:szCs w:val="14"/>
        </w:rPr>
        <w:footnoteRef/>
      </w:r>
      <w:r w:rsidRPr="000E6C91">
        <w:rPr>
          <w:rFonts w:asciiTheme="minorHAnsi" w:hAnsiTheme="minorHAnsi" w:cstheme="minorHAnsi"/>
          <w:sz w:val="14"/>
          <w:szCs w:val="14"/>
        </w:rPr>
        <w:t xml:space="preserve"> </w:t>
      </w:r>
      <w:r w:rsidRPr="000E6C91">
        <w:rPr>
          <w:rFonts w:asciiTheme="minorHAnsi" w:hAnsiTheme="minorHAnsi" w:cstheme="minorHAnsi"/>
          <w:color w:val="000000" w:themeColor="text1"/>
          <w:sz w:val="14"/>
          <w:szCs w:val="14"/>
        </w:rPr>
        <w:t>Laslett, A., Catalano, P., Chikritzhs, Y., Dalte, C., Ferris, J., Jainullabudeen, T., Livingston, M., Matthews, S., Mugavin, J., Room, R., Schlotterlein, M. and Wilkinson, C. 2010. The Range and Magnitude of Alcohol Harm to Others. Melbourne, the AER Centre for Alcohol Policy Research</w:t>
      </w:r>
    </w:p>
  </w:footnote>
  <w:footnote w:id="81">
    <w:p w14:paraId="608D56EB" w14:textId="77777777" w:rsidR="00C65183" w:rsidRPr="00D613FD" w:rsidRDefault="00C65183" w:rsidP="00C65183">
      <w:pPr>
        <w:jc w:val="both"/>
        <w:rPr>
          <w:rFonts w:asciiTheme="minorHAnsi" w:hAnsiTheme="minorHAnsi"/>
          <w:color w:val="000000" w:themeColor="text1"/>
          <w:sz w:val="14"/>
          <w:szCs w:val="14"/>
        </w:rPr>
      </w:pPr>
      <w:r w:rsidRPr="00D613FD">
        <w:rPr>
          <w:rStyle w:val="FootnoteReference"/>
          <w:sz w:val="14"/>
          <w:szCs w:val="14"/>
        </w:rPr>
        <w:footnoteRef/>
      </w:r>
      <w:r w:rsidRPr="00D613FD">
        <w:rPr>
          <w:sz w:val="14"/>
          <w:szCs w:val="14"/>
        </w:rPr>
        <w:t xml:space="preserve"> </w:t>
      </w:r>
      <w:r w:rsidRPr="00D613FD">
        <w:rPr>
          <w:rFonts w:asciiTheme="minorHAnsi" w:hAnsiTheme="minorHAnsi" w:cstheme="minorHAnsi"/>
          <w:color w:val="000000" w:themeColor="text1"/>
          <w:sz w:val="14"/>
          <w:szCs w:val="14"/>
        </w:rPr>
        <w:t xml:space="preserve">Banks, E., Joshy, G., Weber, M., Liu, B., Egger, S., Paige, E., Lopez, A., Sitas, F. and Beral, V. (2015). Tobacco smoking and all-cause mortality in a large Australian cohort study: findings from a mature epidemic with current low smoking prevalence. BMC Medicine Feb. 2015. </w:t>
      </w:r>
    </w:p>
  </w:footnote>
  <w:footnote w:id="82">
    <w:p w14:paraId="294C67A3" w14:textId="77777777" w:rsidR="00C65183" w:rsidRPr="00D613FD" w:rsidRDefault="00C65183" w:rsidP="00C65183">
      <w:pPr>
        <w:pStyle w:val="FootnoteText"/>
        <w:spacing w:after="0" w:line="240" w:lineRule="auto"/>
        <w:jc w:val="both"/>
        <w:rPr>
          <w:sz w:val="14"/>
          <w:szCs w:val="14"/>
          <w:lang w:val="en-AU"/>
        </w:rPr>
      </w:pPr>
      <w:r w:rsidRPr="00D613FD">
        <w:rPr>
          <w:rStyle w:val="FootnoteReference"/>
          <w:sz w:val="14"/>
          <w:szCs w:val="14"/>
        </w:rPr>
        <w:footnoteRef/>
      </w:r>
      <w:r w:rsidRPr="00D613FD">
        <w:rPr>
          <w:sz w:val="14"/>
          <w:szCs w:val="14"/>
        </w:rPr>
        <w:t xml:space="preserve"> </w:t>
      </w:r>
      <w:r w:rsidRPr="00D613FD">
        <w:rPr>
          <w:rFonts w:asciiTheme="minorHAnsi" w:hAnsiTheme="minorHAnsi"/>
          <w:color w:val="000000" w:themeColor="text1"/>
          <w:sz w:val="14"/>
          <w:szCs w:val="14"/>
        </w:rPr>
        <w:t xml:space="preserve">Australian Bureau of Statistics (2011b). Facts at Your Fingertips: Health, 2011: Tobacco smoking in Australia. </w:t>
      </w:r>
    </w:p>
  </w:footnote>
  <w:footnote w:id="83">
    <w:p w14:paraId="7330B220" w14:textId="77777777" w:rsidR="00C65183" w:rsidRPr="00D613FD" w:rsidRDefault="00C65183" w:rsidP="00C65183">
      <w:pPr>
        <w:pStyle w:val="FootnoteText"/>
        <w:spacing w:after="0" w:line="240" w:lineRule="auto"/>
        <w:jc w:val="both"/>
        <w:rPr>
          <w:sz w:val="14"/>
          <w:szCs w:val="14"/>
          <w:lang w:val="en-AU"/>
        </w:rPr>
      </w:pPr>
      <w:r w:rsidRPr="00D613FD">
        <w:rPr>
          <w:rStyle w:val="FootnoteReference"/>
          <w:sz w:val="14"/>
          <w:szCs w:val="14"/>
        </w:rPr>
        <w:footnoteRef/>
      </w:r>
      <w:r w:rsidRPr="00D613FD">
        <w:rPr>
          <w:sz w:val="14"/>
          <w:szCs w:val="14"/>
        </w:rPr>
        <w:t xml:space="preserve"> </w:t>
      </w:r>
      <w:r w:rsidRPr="00D613FD">
        <w:rPr>
          <w:rFonts w:asciiTheme="minorHAnsi" w:hAnsiTheme="minorHAnsi"/>
          <w:color w:val="000000" w:themeColor="text1"/>
          <w:sz w:val="14"/>
          <w:szCs w:val="14"/>
        </w:rPr>
        <w:t>Institute for Health Metrics and Evaluation (2014). Data Visualization. Seattle</w:t>
      </w:r>
    </w:p>
  </w:footnote>
  <w:footnote w:id="84">
    <w:p w14:paraId="2E2E74A1" w14:textId="77777777" w:rsidR="00C65183" w:rsidRPr="00D613FD" w:rsidRDefault="00C65183" w:rsidP="00C65183">
      <w:pPr>
        <w:pStyle w:val="FootnoteText"/>
        <w:spacing w:after="0" w:line="240" w:lineRule="auto"/>
        <w:jc w:val="both"/>
        <w:rPr>
          <w:sz w:val="14"/>
          <w:szCs w:val="14"/>
          <w:lang w:val="en-AU"/>
        </w:rPr>
      </w:pPr>
      <w:r w:rsidRPr="00D613FD">
        <w:rPr>
          <w:rStyle w:val="FootnoteReference"/>
          <w:sz w:val="14"/>
          <w:szCs w:val="14"/>
        </w:rPr>
        <w:footnoteRef/>
      </w:r>
      <w:r w:rsidRPr="00D613FD">
        <w:rPr>
          <w:sz w:val="14"/>
          <w:szCs w:val="14"/>
        </w:rPr>
        <w:t xml:space="preserve"> </w:t>
      </w:r>
      <w:r w:rsidRPr="00D613FD">
        <w:rPr>
          <w:rFonts w:asciiTheme="minorHAnsi" w:hAnsiTheme="minorHAnsi"/>
          <w:color w:val="000000" w:themeColor="text1"/>
          <w:sz w:val="14"/>
          <w:szCs w:val="14"/>
        </w:rPr>
        <w:t xml:space="preserve">Australian Institute of Health and Welfare (2013b). National Drug Strategy Household Survey: detailed report. </w:t>
      </w:r>
    </w:p>
  </w:footnote>
  <w:footnote w:id="85">
    <w:p w14:paraId="473D19D5" w14:textId="77777777" w:rsidR="00C65183" w:rsidRDefault="00C65183" w:rsidP="00C65183">
      <w:pPr>
        <w:pStyle w:val="FootnoteText"/>
        <w:spacing w:after="0" w:line="240" w:lineRule="auto"/>
        <w:jc w:val="both"/>
      </w:pPr>
      <w:r w:rsidRPr="007016D4">
        <w:rPr>
          <w:rStyle w:val="FootnoteReference"/>
          <w:sz w:val="14"/>
          <w:szCs w:val="14"/>
        </w:rPr>
        <w:footnoteRef/>
      </w:r>
      <w:r w:rsidRPr="007016D4">
        <w:rPr>
          <w:sz w:val="14"/>
          <w:szCs w:val="14"/>
        </w:rPr>
        <w:t xml:space="preserve"> Hammond, D., Reid, J., Rynard, V. (2019). Prevalence of vaping and smoking among adolescents in Canada, England, and the United States: repeat national cross</w:t>
      </w:r>
      <w:r>
        <w:rPr>
          <w:sz w:val="14"/>
          <w:szCs w:val="14"/>
        </w:rPr>
        <w:t>-</w:t>
      </w:r>
      <w:r w:rsidRPr="007016D4">
        <w:rPr>
          <w:sz w:val="14"/>
          <w:szCs w:val="14"/>
        </w:rPr>
        <w:t>sectional surveys. British Medical Journal, 2019</w:t>
      </w:r>
    </w:p>
  </w:footnote>
  <w:footnote w:id="86">
    <w:p w14:paraId="0E14D5F3" w14:textId="77777777" w:rsidR="00C65183" w:rsidRPr="000E6C91" w:rsidRDefault="00C65183" w:rsidP="00C65183">
      <w:pPr>
        <w:pStyle w:val="FootnoteText"/>
        <w:spacing w:after="0" w:line="240" w:lineRule="auto"/>
        <w:rPr>
          <w:sz w:val="14"/>
          <w:szCs w:val="14"/>
          <w:lang w:val="en-AU"/>
        </w:rPr>
      </w:pPr>
      <w:r w:rsidRPr="000E6C91">
        <w:rPr>
          <w:rStyle w:val="FootnoteReference"/>
          <w:sz w:val="14"/>
          <w:szCs w:val="14"/>
        </w:rPr>
        <w:footnoteRef/>
      </w:r>
      <w:r w:rsidRPr="000E6C91">
        <w:rPr>
          <w:sz w:val="14"/>
          <w:szCs w:val="14"/>
        </w:rPr>
        <w:t xml:space="preserve"> </w:t>
      </w:r>
      <w:r w:rsidRPr="000E6C91">
        <w:rPr>
          <w:rFonts w:asciiTheme="minorHAnsi" w:hAnsiTheme="minorHAnsi"/>
          <w:color w:val="000000" w:themeColor="text1"/>
          <w:sz w:val="14"/>
          <w:szCs w:val="14"/>
        </w:rPr>
        <w:t>Downey, M. (2016). Resurgence in Ecstasy Market, with a shift to the Crystal form of the Drug. National Drug and Alcohol Research Centre, University of New South Wales</w:t>
      </w:r>
    </w:p>
  </w:footnote>
  <w:footnote w:id="87">
    <w:p w14:paraId="50608F63" w14:textId="77777777" w:rsidR="00C65183" w:rsidRPr="00D613FD" w:rsidRDefault="00C65183" w:rsidP="00C65183">
      <w:pPr>
        <w:pStyle w:val="FootnoteText"/>
        <w:spacing w:after="0" w:line="240" w:lineRule="auto"/>
        <w:rPr>
          <w:sz w:val="14"/>
          <w:szCs w:val="14"/>
          <w:lang w:val="en-AU"/>
        </w:rPr>
      </w:pPr>
      <w:r w:rsidRPr="00D613FD">
        <w:rPr>
          <w:rStyle w:val="FootnoteReference"/>
          <w:sz w:val="14"/>
          <w:szCs w:val="14"/>
        </w:rPr>
        <w:footnoteRef/>
      </w:r>
      <w:r w:rsidRPr="00D613FD">
        <w:rPr>
          <w:sz w:val="14"/>
          <w:szCs w:val="14"/>
        </w:rPr>
        <w:t xml:space="preserve"> </w:t>
      </w:r>
      <w:r w:rsidRPr="00D613FD">
        <w:rPr>
          <w:rFonts w:asciiTheme="minorHAnsi" w:hAnsiTheme="minorHAnsi"/>
          <w:color w:val="000000" w:themeColor="text1"/>
          <w:sz w:val="14"/>
          <w:szCs w:val="14"/>
        </w:rPr>
        <w:t>Goldsmind, S., Johnston, I., Kapira, M., Clayden, C., Petriecevie, M., and Webber, K. (2017). Australian Methamphetamine User outcomes. Statistics Bulletin 03. Australian Institute of Criminology.</w:t>
      </w:r>
    </w:p>
  </w:footnote>
  <w:footnote w:id="88">
    <w:p w14:paraId="2369A714" w14:textId="77777777" w:rsidR="00C65183" w:rsidRPr="00D613FD" w:rsidRDefault="00C65183" w:rsidP="00C65183">
      <w:pPr>
        <w:pStyle w:val="FootnoteText"/>
        <w:spacing w:after="0" w:line="240" w:lineRule="auto"/>
        <w:rPr>
          <w:sz w:val="14"/>
          <w:szCs w:val="14"/>
          <w:lang w:val="en-AU"/>
        </w:rPr>
      </w:pPr>
      <w:r w:rsidRPr="00D613FD">
        <w:rPr>
          <w:rStyle w:val="FootnoteReference"/>
          <w:sz w:val="14"/>
          <w:szCs w:val="14"/>
        </w:rPr>
        <w:footnoteRef/>
      </w:r>
      <w:r w:rsidRPr="00D613FD">
        <w:rPr>
          <w:sz w:val="14"/>
          <w:szCs w:val="14"/>
        </w:rPr>
        <w:t xml:space="preserve"> </w:t>
      </w:r>
      <w:bookmarkStart w:id="33" w:name="_Hlk23248466"/>
      <w:r w:rsidRPr="00D613FD">
        <w:rPr>
          <w:rFonts w:asciiTheme="minorHAnsi" w:hAnsiTheme="minorHAnsi"/>
          <w:color w:val="000000" w:themeColor="text1"/>
          <w:sz w:val="14"/>
          <w:szCs w:val="14"/>
        </w:rPr>
        <w:t xml:space="preserve">Australian Institute of Health and Welfare (2013b). National Drug Strategy Household Survey: detailed report. </w:t>
      </w:r>
      <w:bookmarkEnd w:id="33"/>
    </w:p>
  </w:footnote>
  <w:footnote w:id="89">
    <w:p w14:paraId="273B6323" w14:textId="77777777" w:rsidR="00C65183" w:rsidRPr="00D613FD" w:rsidRDefault="00C65183" w:rsidP="00C65183">
      <w:pPr>
        <w:pStyle w:val="FootnoteText"/>
        <w:spacing w:after="0" w:line="240" w:lineRule="auto"/>
        <w:rPr>
          <w:sz w:val="14"/>
          <w:szCs w:val="14"/>
          <w:lang w:val="en-AU"/>
        </w:rPr>
      </w:pPr>
      <w:r w:rsidRPr="00D613FD">
        <w:rPr>
          <w:rStyle w:val="FootnoteReference"/>
          <w:sz w:val="14"/>
          <w:szCs w:val="14"/>
        </w:rPr>
        <w:footnoteRef/>
      </w:r>
      <w:r w:rsidRPr="00D613FD">
        <w:rPr>
          <w:sz w:val="14"/>
          <w:szCs w:val="14"/>
        </w:rPr>
        <w:t xml:space="preserve"> </w:t>
      </w:r>
      <w:r w:rsidRPr="00D613FD">
        <w:rPr>
          <w:rFonts w:asciiTheme="minorHAnsi" w:hAnsiTheme="minorHAnsi"/>
          <w:color w:val="000000" w:themeColor="text1"/>
          <w:sz w:val="14"/>
          <w:szCs w:val="14"/>
        </w:rPr>
        <w:t>Cook, S., Johnson, P., Martinow, K. and Elder, J. (2014). ‘Inquiry into the supply and use of methamphetamines particularly ice in Victoria’, Final Report Vol. 1. Law Reform, Drugs and Crime Prevention Committee , Victorian Government. Melbourne</w:t>
      </w:r>
    </w:p>
  </w:footnote>
  <w:footnote w:id="90">
    <w:p w14:paraId="2C570A63" w14:textId="77777777" w:rsidR="00C65183" w:rsidRPr="00D613FD" w:rsidRDefault="00C65183" w:rsidP="00C65183">
      <w:pPr>
        <w:pStyle w:val="FootnoteText"/>
        <w:spacing w:after="0" w:line="240" w:lineRule="auto"/>
        <w:rPr>
          <w:sz w:val="14"/>
          <w:szCs w:val="14"/>
          <w:lang w:val="en-AU"/>
        </w:rPr>
      </w:pPr>
      <w:r w:rsidRPr="00D613FD">
        <w:rPr>
          <w:rStyle w:val="FootnoteReference"/>
          <w:sz w:val="14"/>
          <w:szCs w:val="14"/>
        </w:rPr>
        <w:footnoteRef/>
      </w:r>
      <w:r w:rsidRPr="00D613FD">
        <w:rPr>
          <w:sz w:val="14"/>
          <w:szCs w:val="14"/>
        </w:rPr>
        <w:t xml:space="preserve"> </w:t>
      </w:r>
      <w:r w:rsidRPr="00D613FD">
        <w:rPr>
          <w:rFonts w:asciiTheme="minorHAnsi" w:hAnsiTheme="minorHAnsi" w:cstheme="minorHAnsi"/>
          <w:color w:val="000000" w:themeColor="text1"/>
          <w:sz w:val="14"/>
          <w:szCs w:val="14"/>
        </w:rPr>
        <w:t xml:space="preserve">Turning Point (2018). AOD Stats. </w:t>
      </w:r>
    </w:p>
  </w:footnote>
  <w:footnote w:id="91">
    <w:p w14:paraId="2236352F" w14:textId="77777777" w:rsidR="00C65183" w:rsidRPr="009176C9" w:rsidRDefault="00C65183" w:rsidP="00C65183">
      <w:pPr>
        <w:jc w:val="both"/>
        <w:rPr>
          <w:rFonts w:asciiTheme="minorHAnsi" w:hAnsiTheme="minorHAnsi" w:cstheme="minorHAnsi"/>
          <w:color w:val="000000" w:themeColor="text1"/>
          <w:sz w:val="14"/>
          <w:szCs w:val="14"/>
          <w:lang w:val="en-GB"/>
        </w:rPr>
      </w:pPr>
      <w:r w:rsidRPr="009176C9">
        <w:rPr>
          <w:rStyle w:val="FootnoteReference"/>
          <w:rFonts w:asciiTheme="minorHAnsi" w:hAnsiTheme="minorHAnsi" w:cstheme="minorHAnsi"/>
          <w:sz w:val="14"/>
          <w:szCs w:val="14"/>
        </w:rPr>
        <w:footnoteRef/>
      </w:r>
      <w:r w:rsidRPr="009176C9">
        <w:rPr>
          <w:rFonts w:asciiTheme="minorHAnsi" w:hAnsiTheme="minorHAnsi" w:cstheme="minorHAnsi"/>
          <w:sz w:val="14"/>
          <w:szCs w:val="14"/>
        </w:rPr>
        <w:t xml:space="preserve"> </w:t>
      </w:r>
      <w:r w:rsidRPr="009176C9">
        <w:rPr>
          <w:rFonts w:asciiTheme="minorHAnsi" w:hAnsiTheme="minorHAnsi" w:cstheme="minorHAnsi"/>
          <w:color w:val="000000" w:themeColor="text1"/>
          <w:sz w:val="14"/>
          <w:szCs w:val="14"/>
          <w:lang w:val="en-GB"/>
        </w:rPr>
        <w:t>Victorian Agency for Health Information (2020). The health and wellbeing of the lesbian, gay, bisexual, transgender, intersex and queer population in Victoria: Findings from the Victorian Population Health Survey 2017. Melbourne.</w:t>
      </w:r>
    </w:p>
    <w:p w14:paraId="14A30EEA" w14:textId="77777777" w:rsidR="00C65183" w:rsidRPr="009176C9" w:rsidRDefault="00C65183" w:rsidP="00C65183">
      <w:pPr>
        <w:pStyle w:val="FootnoteText"/>
        <w:rPr>
          <w:lang w:val="en-GB"/>
        </w:rPr>
      </w:pPr>
    </w:p>
  </w:footnote>
  <w:footnote w:id="92">
    <w:p w14:paraId="4E7FDB62" w14:textId="77777777" w:rsidR="00C65183" w:rsidRPr="00B519DC" w:rsidRDefault="00C65183" w:rsidP="00C65183">
      <w:pPr>
        <w:pStyle w:val="FootnoteText"/>
        <w:spacing w:after="0" w:line="240" w:lineRule="auto"/>
        <w:rPr>
          <w:lang w:val="en-GB"/>
        </w:rPr>
      </w:pPr>
      <w:r>
        <w:rPr>
          <w:rStyle w:val="FootnoteReference"/>
        </w:rPr>
        <w:footnoteRef/>
      </w:r>
      <w:r>
        <w:t xml:space="preserve"> </w:t>
      </w:r>
      <w:r w:rsidRPr="00B519DC">
        <w:rPr>
          <w:sz w:val="14"/>
          <w:szCs w:val="14"/>
          <w:lang w:val="en-GB"/>
        </w:rPr>
        <w:t>Australian Institute of Health and Welfare (2020). Deaths in Australia.</w:t>
      </w:r>
      <w:r>
        <w:rPr>
          <w:lang w:val="en-GB"/>
        </w:rPr>
        <w:t xml:space="preserve"> </w:t>
      </w:r>
    </w:p>
  </w:footnote>
  <w:footnote w:id="93">
    <w:p w14:paraId="1A10172B" w14:textId="77777777" w:rsidR="00C65183" w:rsidRPr="00B519DC" w:rsidRDefault="00C65183" w:rsidP="00C65183">
      <w:pPr>
        <w:pStyle w:val="FootnoteText"/>
        <w:spacing w:after="0" w:line="240" w:lineRule="auto"/>
        <w:rPr>
          <w:lang w:val="en-GB"/>
        </w:rPr>
      </w:pPr>
      <w:r>
        <w:rPr>
          <w:rStyle w:val="FootnoteReference"/>
        </w:rPr>
        <w:footnoteRef/>
      </w:r>
      <w:r>
        <w:t xml:space="preserve"> </w:t>
      </w:r>
      <w:r w:rsidRPr="00B519DC">
        <w:rPr>
          <w:sz w:val="14"/>
          <w:szCs w:val="14"/>
        </w:rPr>
        <w:t>Australian Bureau of Statistics, Life Tables, States, Territories and Australia, 2016-20</w:t>
      </w:r>
    </w:p>
  </w:footnote>
  <w:footnote w:id="94">
    <w:p w14:paraId="76559AEB" w14:textId="77777777" w:rsidR="00C65183" w:rsidRPr="000E6C91" w:rsidRDefault="00C65183" w:rsidP="00C65183">
      <w:pPr>
        <w:pStyle w:val="FootnoteText"/>
        <w:spacing w:after="0" w:line="240" w:lineRule="auto"/>
        <w:rPr>
          <w:rFonts w:asciiTheme="minorHAnsi" w:hAnsiTheme="minorHAnsi" w:cstheme="minorHAnsi"/>
          <w:sz w:val="14"/>
          <w:szCs w:val="14"/>
          <w:lang w:val="en-GB"/>
        </w:rPr>
      </w:pPr>
      <w:r w:rsidRPr="000E6C91">
        <w:rPr>
          <w:rStyle w:val="FootnoteReference"/>
          <w:rFonts w:asciiTheme="minorHAnsi" w:hAnsiTheme="minorHAnsi" w:cstheme="minorHAnsi"/>
          <w:sz w:val="14"/>
          <w:szCs w:val="14"/>
        </w:rPr>
        <w:footnoteRef/>
      </w:r>
      <w:r w:rsidRPr="000E6C91">
        <w:rPr>
          <w:rFonts w:asciiTheme="minorHAnsi" w:hAnsiTheme="minorHAnsi" w:cstheme="minorHAnsi"/>
          <w:sz w:val="14"/>
          <w:szCs w:val="14"/>
        </w:rPr>
        <w:t xml:space="preserve"> </w:t>
      </w:r>
      <w:r w:rsidRPr="000E6C91">
        <w:rPr>
          <w:rFonts w:asciiTheme="minorHAnsi" w:hAnsiTheme="minorHAnsi" w:cstheme="minorHAnsi"/>
          <w:sz w:val="14"/>
          <w:szCs w:val="14"/>
          <w:lang w:val="en-GB"/>
        </w:rPr>
        <w:t>Deaths Australia, 2018, Australian Bureau of Statistics</w:t>
      </w:r>
    </w:p>
  </w:footnote>
  <w:footnote w:id="95">
    <w:p w14:paraId="4D252274" w14:textId="77777777" w:rsidR="00C65183" w:rsidRPr="000E6C91" w:rsidRDefault="00C65183" w:rsidP="00C65183">
      <w:pPr>
        <w:pStyle w:val="FootnoteText"/>
        <w:spacing w:after="0" w:line="240" w:lineRule="auto"/>
        <w:rPr>
          <w:rFonts w:asciiTheme="minorHAnsi" w:hAnsiTheme="minorHAnsi" w:cstheme="minorHAnsi"/>
          <w:sz w:val="14"/>
          <w:szCs w:val="14"/>
          <w:lang w:val="en-GB"/>
        </w:rPr>
      </w:pPr>
      <w:r w:rsidRPr="000E6C91">
        <w:rPr>
          <w:rStyle w:val="FootnoteReference"/>
          <w:rFonts w:asciiTheme="minorHAnsi" w:hAnsiTheme="minorHAnsi" w:cstheme="minorHAnsi"/>
          <w:sz w:val="14"/>
          <w:szCs w:val="14"/>
        </w:rPr>
        <w:footnoteRef/>
      </w:r>
      <w:r w:rsidRPr="000E6C91">
        <w:rPr>
          <w:rFonts w:asciiTheme="minorHAnsi" w:hAnsiTheme="minorHAnsi" w:cstheme="minorHAnsi"/>
          <w:sz w:val="14"/>
          <w:szCs w:val="14"/>
        </w:rPr>
        <w:t xml:space="preserve"> </w:t>
      </w:r>
      <w:r w:rsidRPr="000E6C91">
        <w:rPr>
          <w:rFonts w:asciiTheme="minorHAnsi" w:hAnsiTheme="minorHAnsi" w:cstheme="minorHAnsi"/>
          <w:sz w:val="14"/>
          <w:szCs w:val="14"/>
          <w:lang w:val="en-GB"/>
        </w:rPr>
        <w:t>Deaths Australia, 2018. Australian Bureau of Statistics</w:t>
      </w:r>
    </w:p>
  </w:footnote>
  <w:footnote w:id="96">
    <w:p w14:paraId="24A7AA5D" w14:textId="77777777" w:rsidR="00C65183" w:rsidRPr="00F07C2B" w:rsidRDefault="00C65183" w:rsidP="00C65183">
      <w:pPr>
        <w:jc w:val="both"/>
        <w:rPr>
          <w:rFonts w:ascii="Calibri" w:hAnsi="Calibri"/>
          <w:color w:val="000000"/>
          <w:sz w:val="14"/>
          <w:szCs w:val="14"/>
        </w:rPr>
      </w:pPr>
      <w:r w:rsidRPr="000E6C91">
        <w:rPr>
          <w:rStyle w:val="FootnoteReference"/>
          <w:rFonts w:asciiTheme="minorHAnsi" w:hAnsiTheme="minorHAnsi" w:cstheme="minorHAnsi"/>
          <w:sz w:val="14"/>
          <w:szCs w:val="14"/>
        </w:rPr>
        <w:footnoteRef/>
      </w:r>
      <w:r w:rsidRPr="000E6C91">
        <w:rPr>
          <w:rFonts w:asciiTheme="minorHAnsi" w:hAnsiTheme="minorHAnsi" w:cstheme="minorHAnsi"/>
          <w:sz w:val="14"/>
          <w:szCs w:val="14"/>
        </w:rPr>
        <w:t xml:space="preserve"> </w:t>
      </w:r>
      <w:r w:rsidRPr="000E6C91">
        <w:rPr>
          <w:rFonts w:asciiTheme="minorHAnsi" w:hAnsiTheme="minorHAnsi" w:cstheme="minorHAnsi"/>
          <w:color w:val="000000"/>
          <w:sz w:val="14"/>
          <w:szCs w:val="14"/>
        </w:rPr>
        <w:t>Australia's Health Tracker: http://www.atlasesaustralia.com.au/ahpc/data.html</w:t>
      </w:r>
    </w:p>
  </w:footnote>
  <w:footnote w:id="97">
    <w:p w14:paraId="4F3F6CAE" w14:textId="77777777" w:rsidR="00C65183" w:rsidRPr="00B522F6" w:rsidRDefault="00C65183" w:rsidP="00C65183">
      <w:pPr>
        <w:pStyle w:val="FootnoteText"/>
        <w:rPr>
          <w:lang w:val="en-AU"/>
        </w:rPr>
      </w:pPr>
      <w:r>
        <w:rPr>
          <w:rStyle w:val="FootnoteReference"/>
        </w:rPr>
        <w:footnoteRef/>
      </w:r>
      <w:r>
        <w:t xml:space="preserve"> </w:t>
      </w:r>
      <w:r>
        <w:rPr>
          <w:sz w:val="14"/>
          <w:szCs w:val="14"/>
        </w:rPr>
        <w:t>As</w:t>
      </w:r>
      <w:r w:rsidRPr="00B522F6">
        <w:rPr>
          <w:sz w:val="14"/>
          <w:szCs w:val="14"/>
        </w:rPr>
        <w:t xml:space="preserve"> the organisms from which they originated grew by photosynthesis, which </w:t>
      </w:r>
      <w:r>
        <w:rPr>
          <w:sz w:val="14"/>
          <w:szCs w:val="14"/>
        </w:rPr>
        <w:t>uses the energy of the sun’s light</w:t>
      </w:r>
      <w:r w:rsidRPr="00B522F6">
        <w:rPr>
          <w:sz w:val="14"/>
          <w:szCs w:val="14"/>
        </w:rPr>
        <w:t xml:space="preserve"> to combine carbon dioxide and water</w:t>
      </w:r>
      <w:r>
        <w:rPr>
          <w:sz w:val="14"/>
          <w:szCs w:val="14"/>
        </w:rPr>
        <w:t xml:space="preserve"> into the molecules required for their growth and survival</w:t>
      </w:r>
      <w:r w:rsidRPr="00B522F6">
        <w:rPr>
          <w:sz w:val="14"/>
          <w:szCs w:val="14"/>
        </w:rPr>
        <w:t>.</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F37DD8"/>
    <w:multiLevelType w:val="hybridMultilevel"/>
    <w:tmpl w:val="5642A504"/>
    <w:lvl w:ilvl="0" w:tplc="06402F06">
      <w:start w:val="981"/>
      <w:numFmt w:val="bullet"/>
      <w:lvlText w:val="-"/>
      <w:lvlJc w:val="left"/>
      <w:pPr>
        <w:ind w:left="786" w:hanging="360"/>
      </w:pPr>
      <w:rPr>
        <w:rFonts w:ascii="Calibri" w:eastAsia="Calibri" w:hAnsi="Calibri" w:cs="Times New Roman" w:hint="default"/>
      </w:rPr>
    </w:lvl>
    <w:lvl w:ilvl="1" w:tplc="0C090003" w:tentative="1">
      <w:start w:val="1"/>
      <w:numFmt w:val="bullet"/>
      <w:lvlText w:val="o"/>
      <w:lvlJc w:val="left"/>
      <w:pPr>
        <w:ind w:left="1506" w:hanging="360"/>
      </w:pPr>
      <w:rPr>
        <w:rFonts w:ascii="Courier New" w:hAnsi="Courier New" w:cs="Courier New" w:hint="default"/>
      </w:rPr>
    </w:lvl>
    <w:lvl w:ilvl="2" w:tplc="0C090005" w:tentative="1">
      <w:start w:val="1"/>
      <w:numFmt w:val="bullet"/>
      <w:lvlText w:val=""/>
      <w:lvlJc w:val="left"/>
      <w:pPr>
        <w:ind w:left="2226" w:hanging="360"/>
      </w:pPr>
      <w:rPr>
        <w:rFonts w:ascii="Wingdings" w:hAnsi="Wingdings" w:hint="default"/>
      </w:rPr>
    </w:lvl>
    <w:lvl w:ilvl="3" w:tplc="0C090001" w:tentative="1">
      <w:start w:val="1"/>
      <w:numFmt w:val="bullet"/>
      <w:lvlText w:val=""/>
      <w:lvlJc w:val="left"/>
      <w:pPr>
        <w:ind w:left="2946" w:hanging="360"/>
      </w:pPr>
      <w:rPr>
        <w:rFonts w:ascii="Symbol" w:hAnsi="Symbol" w:hint="default"/>
      </w:rPr>
    </w:lvl>
    <w:lvl w:ilvl="4" w:tplc="0C090003" w:tentative="1">
      <w:start w:val="1"/>
      <w:numFmt w:val="bullet"/>
      <w:lvlText w:val="o"/>
      <w:lvlJc w:val="left"/>
      <w:pPr>
        <w:ind w:left="3666" w:hanging="360"/>
      </w:pPr>
      <w:rPr>
        <w:rFonts w:ascii="Courier New" w:hAnsi="Courier New" w:cs="Courier New" w:hint="default"/>
      </w:rPr>
    </w:lvl>
    <w:lvl w:ilvl="5" w:tplc="0C090005" w:tentative="1">
      <w:start w:val="1"/>
      <w:numFmt w:val="bullet"/>
      <w:lvlText w:val=""/>
      <w:lvlJc w:val="left"/>
      <w:pPr>
        <w:ind w:left="4386" w:hanging="360"/>
      </w:pPr>
      <w:rPr>
        <w:rFonts w:ascii="Wingdings" w:hAnsi="Wingdings" w:hint="default"/>
      </w:rPr>
    </w:lvl>
    <w:lvl w:ilvl="6" w:tplc="0C090001" w:tentative="1">
      <w:start w:val="1"/>
      <w:numFmt w:val="bullet"/>
      <w:lvlText w:val=""/>
      <w:lvlJc w:val="left"/>
      <w:pPr>
        <w:ind w:left="5106" w:hanging="360"/>
      </w:pPr>
      <w:rPr>
        <w:rFonts w:ascii="Symbol" w:hAnsi="Symbol" w:hint="default"/>
      </w:rPr>
    </w:lvl>
    <w:lvl w:ilvl="7" w:tplc="0C090003" w:tentative="1">
      <w:start w:val="1"/>
      <w:numFmt w:val="bullet"/>
      <w:lvlText w:val="o"/>
      <w:lvlJc w:val="left"/>
      <w:pPr>
        <w:ind w:left="5826" w:hanging="360"/>
      </w:pPr>
      <w:rPr>
        <w:rFonts w:ascii="Courier New" w:hAnsi="Courier New" w:cs="Courier New" w:hint="default"/>
      </w:rPr>
    </w:lvl>
    <w:lvl w:ilvl="8" w:tplc="0C090005" w:tentative="1">
      <w:start w:val="1"/>
      <w:numFmt w:val="bullet"/>
      <w:lvlText w:val=""/>
      <w:lvlJc w:val="left"/>
      <w:pPr>
        <w:ind w:left="6546" w:hanging="360"/>
      </w:pPr>
      <w:rPr>
        <w:rFonts w:ascii="Wingdings" w:hAnsi="Wingdings" w:hint="default"/>
      </w:rPr>
    </w:lvl>
  </w:abstractNum>
  <w:abstractNum w:abstractNumId="1" w15:restartNumberingAfterBreak="0">
    <w:nsid w:val="04AC6A93"/>
    <w:multiLevelType w:val="hybridMultilevel"/>
    <w:tmpl w:val="AE34A058"/>
    <w:lvl w:ilvl="0" w:tplc="B83427F8">
      <w:start w:val="22"/>
      <w:numFmt w:val="bullet"/>
      <w:lvlText w:val=""/>
      <w:lvlJc w:val="left"/>
      <w:pPr>
        <w:ind w:left="720" w:hanging="360"/>
      </w:pPr>
      <w:rPr>
        <w:rFonts w:ascii="Symbol" w:eastAsia="Calibri" w:hAnsi="Symbol"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05D744EC"/>
    <w:multiLevelType w:val="hybridMultilevel"/>
    <w:tmpl w:val="98AA419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06EA6E35"/>
    <w:multiLevelType w:val="hybridMultilevel"/>
    <w:tmpl w:val="0F90592C"/>
    <w:lvl w:ilvl="0" w:tplc="DC22BC58">
      <w:numFmt w:val="bullet"/>
      <w:lvlText w:val=""/>
      <w:lvlJc w:val="left"/>
      <w:pPr>
        <w:ind w:left="720" w:hanging="360"/>
      </w:pPr>
      <w:rPr>
        <w:rFonts w:ascii="Symbol" w:eastAsia="Calibri" w:hAnsi="Symbol" w:cs="Times New Roman"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4" w15:restartNumberingAfterBreak="0">
    <w:nsid w:val="10D2704B"/>
    <w:multiLevelType w:val="hybridMultilevel"/>
    <w:tmpl w:val="81065DA2"/>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17071FA2"/>
    <w:multiLevelType w:val="hybridMultilevel"/>
    <w:tmpl w:val="7ADCC016"/>
    <w:lvl w:ilvl="0" w:tplc="04090001">
      <w:start w:val="1"/>
      <w:numFmt w:val="bullet"/>
      <w:lvlText w:val=""/>
      <w:lvlJc w:val="left"/>
      <w:pPr>
        <w:tabs>
          <w:tab w:val="num" w:pos="720"/>
        </w:tabs>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1EAE212D"/>
    <w:multiLevelType w:val="hybridMultilevel"/>
    <w:tmpl w:val="CE6CBEF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21D351B7"/>
    <w:multiLevelType w:val="hybridMultilevel"/>
    <w:tmpl w:val="2BEA3A9A"/>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23BA3F62"/>
    <w:multiLevelType w:val="hybridMultilevel"/>
    <w:tmpl w:val="BA62C136"/>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 w15:restartNumberingAfterBreak="0">
    <w:nsid w:val="29E27CA4"/>
    <w:multiLevelType w:val="hybridMultilevel"/>
    <w:tmpl w:val="74FC5076"/>
    <w:lvl w:ilvl="0" w:tplc="0C090001">
      <w:numFmt w:val="bullet"/>
      <w:lvlText w:val=""/>
      <w:lvlJc w:val="left"/>
      <w:pPr>
        <w:ind w:left="720" w:hanging="360"/>
      </w:pPr>
      <w:rPr>
        <w:rFonts w:ascii="Symbol" w:eastAsia="Times New Roman" w:hAnsi="Symbol"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2E815581"/>
    <w:multiLevelType w:val="hybridMultilevel"/>
    <w:tmpl w:val="D576B78C"/>
    <w:lvl w:ilvl="0" w:tplc="0C090001">
      <w:numFmt w:val="bullet"/>
      <w:lvlText w:val=""/>
      <w:lvlJc w:val="left"/>
      <w:pPr>
        <w:ind w:left="720" w:hanging="360"/>
      </w:pPr>
      <w:rPr>
        <w:rFonts w:ascii="Symbol" w:eastAsia="Times New Roman" w:hAnsi="Symbol"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2FB85DC7"/>
    <w:multiLevelType w:val="hybridMultilevel"/>
    <w:tmpl w:val="D530157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39203383"/>
    <w:multiLevelType w:val="hybridMultilevel"/>
    <w:tmpl w:val="9078DD14"/>
    <w:lvl w:ilvl="0" w:tplc="8328193C">
      <w:numFmt w:val="bullet"/>
      <w:lvlText w:val=""/>
      <w:lvlJc w:val="left"/>
      <w:pPr>
        <w:ind w:left="720" w:hanging="360"/>
      </w:pPr>
      <w:rPr>
        <w:rFonts w:ascii="Symbol" w:eastAsia="Calibri"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41AD53EE"/>
    <w:multiLevelType w:val="hybridMultilevel"/>
    <w:tmpl w:val="5252723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4B0B28F9"/>
    <w:multiLevelType w:val="hybridMultilevel"/>
    <w:tmpl w:val="4FA00220"/>
    <w:lvl w:ilvl="0" w:tplc="0B6CA436">
      <w:start w:val="3"/>
      <w:numFmt w:val="bullet"/>
      <w:lvlText w:val=""/>
      <w:lvlJc w:val="left"/>
      <w:pPr>
        <w:ind w:left="720" w:hanging="360"/>
      </w:pPr>
      <w:rPr>
        <w:rFonts w:ascii="Symbol" w:eastAsia="Calibri" w:hAnsi="Symbol"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51305E29"/>
    <w:multiLevelType w:val="hybridMultilevel"/>
    <w:tmpl w:val="084A4706"/>
    <w:lvl w:ilvl="0" w:tplc="0C090001">
      <w:start w:val="1"/>
      <w:numFmt w:val="bullet"/>
      <w:lvlText w:val=""/>
      <w:lvlJc w:val="left"/>
      <w:pPr>
        <w:ind w:left="1287" w:hanging="360"/>
      </w:pPr>
      <w:rPr>
        <w:rFonts w:ascii="Symbol" w:hAnsi="Symbol" w:hint="default"/>
      </w:rPr>
    </w:lvl>
    <w:lvl w:ilvl="1" w:tplc="0C090003" w:tentative="1">
      <w:start w:val="1"/>
      <w:numFmt w:val="bullet"/>
      <w:lvlText w:val="o"/>
      <w:lvlJc w:val="left"/>
      <w:pPr>
        <w:ind w:left="2007" w:hanging="360"/>
      </w:pPr>
      <w:rPr>
        <w:rFonts w:ascii="Courier New" w:hAnsi="Courier New" w:cs="Courier New" w:hint="default"/>
      </w:rPr>
    </w:lvl>
    <w:lvl w:ilvl="2" w:tplc="0C090005" w:tentative="1">
      <w:start w:val="1"/>
      <w:numFmt w:val="bullet"/>
      <w:lvlText w:val=""/>
      <w:lvlJc w:val="left"/>
      <w:pPr>
        <w:ind w:left="2727" w:hanging="360"/>
      </w:pPr>
      <w:rPr>
        <w:rFonts w:ascii="Wingdings" w:hAnsi="Wingdings" w:hint="default"/>
      </w:rPr>
    </w:lvl>
    <w:lvl w:ilvl="3" w:tplc="0C090001" w:tentative="1">
      <w:start w:val="1"/>
      <w:numFmt w:val="bullet"/>
      <w:lvlText w:val=""/>
      <w:lvlJc w:val="left"/>
      <w:pPr>
        <w:ind w:left="3447" w:hanging="360"/>
      </w:pPr>
      <w:rPr>
        <w:rFonts w:ascii="Symbol" w:hAnsi="Symbol" w:hint="default"/>
      </w:rPr>
    </w:lvl>
    <w:lvl w:ilvl="4" w:tplc="0C090003" w:tentative="1">
      <w:start w:val="1"/>
      <w:numFmt w:val="bullet"/>
      <w:lvlText w:val="o"/>
      <w:lvlJc w:val="left"/>
      <w:pPr>
        <w:ind w:left="4167" w:hanging="360"/>
      </w:pPr>
      <w:rPr>
        <w:rFonts w:ascii="Courier New" w:hAnsi="Courier New" w:cs="Courier New" w:hint="default"/>
      </w:rPr>
    </w:lvl>
    <w:lvl w:ilvl="5" w:tplc="0C090005" w:tentative="1">
      <w:start w:val="1"/>
      <w:numFmt w:val="bullet"/>
      <w:lvlText w:val=""/>
      <w:lvlJc w:val="left"/>
      <w:pPr>
        <w:ind w:left="4887" w:hanging="360"/>
      </w:pPr>
      <w:rPr>
        <w:rFonts w:ascii="Wingdings" w:hAnsi="Wingdings" w:hint="default"/>
      </w:rPr>
    </w:lvl>
    <w:lvl w:ilvl="6" w:tplc="0C090001" w:tentative="1">
      <w:start w:val="1"/>
      <w:numFmt w:val="bullet"/>
      <w:lvlText w:val=""/>
      <w:lvlJc w:val="left"/>
      <w:pPr>
        <w:ind w:left="5607" w:hanging="360"/>
      </w:pPr>
      <w:rPr>
        <w:rFonts w:ascii="Symbol" w:hAnsi="Symbol" w:hint="default"/>
      </w:rPr>
    </w:lvl>
    <w:lvl w:ilvl="7" w:tplc="0C090003" w:tentative="1">
      <w:start w:val="1"/>
      <w:numFmt w:val="bullet"/>
      <w:lvlText w:val="o"/>
      <w:lvlJc w:val="left"/>
      <w:pPr>
        <w:ind w:left="6327" w:hanging="360"/>
      </w:pPr>
      <w:rPr>
        <w:rFonts w:ascii="Courier New" w:hAnsi="Courier New" w:cs="Courier New" w:hint="default"/>
      </w:rPr>
    </w:lvl>
    <w:lvl w:ilvl="8" w:tplc="0C090005" w:tentative="1">
      <w:start w:val="1"/>
      <w:numFmt w:val="bullet"/>
      <w:lvlText w:val=""/>
      <w:lvlJc w:val="left"/>
      <w:pPr>
        <w:ind w:left="7047" w:hanging="360"/>
      </w:pPr>
      <w:rPr>
        <w:rFonts w:ascii="Wingdings" w:hAnsi="Wingdings" w:hint="default"/>
      </w:rPr>
    </w:lvl>
  </w:abstractNum>
  <w:abstractNum w:abstractNumId="16" w15:restartNumberingAfterBreak="0">
    <w:nsid w:val="766D77AB"/>
    <w:multiLevelType w:val="hybridMultilevel"/>
    <w:tmpl w:val="6832CAE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11"/>
  </w:num>
  <w:num w:numId="2">
    <w:abstractNumId w:val="4"/>
  </w:num>
  <w:num w:numId="3">
    <w:abstractNumId w:val="1"/>
  </w:num>
  <w:num w:numId="4">
    <w:abstractNumId w:val="14"/>
  </w:num>
  <w:num w:numId="5">
    <w:abstractNumId w:val="8"/>
  </w:num>
  <w:num w:numId="6">
    <w:abstractNumId w:val="12"/>
  </w:num>
  <w:num w:numId="7">
    <w:abstractNumId w:val="13"/>
  </w:num>
  <w:num w:numId="8">
    <w:abstractNumId w:val="0"/>
  </w:num>
  <w:num w:numId="9">
    <w:abstractNumId w:val="5"/>
  </w:num>
  <w:num w:numId="10">
    <w:abstractNumId w:val="16"/>
  </w:num>
  <w:num w:numId="11">
    <w:abstractNumId w:val="6"/>
  </w:num>
  <w:num w:numId="12">
    <w:abstractNumId w:val="2"/>
  </w:num>
  <w:num w:numId="13">
    <w:abstractNumId w:val="10"/>
  </w:num>
  <w:num w:numId="14">
    <w:abstractNumId w:val="7"/>
  </w:num>
  <w:num w:numId="15">
    <w:abstractNumId w:val="9"/>
  </w:num>
  <w:num w:numId="16">
    <w:abstractNumId w:val="3"/>
  </w:num>
  <w:num w:numId="17">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75"/>
  <w:defaultTabStop w:val="720"/>
  <w:drawingGridHorizontalSpacing w:val="11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04EAA"/>
    <w:rsid w:val="00000492"/>
    <w:rsid w:val="000015D3"/>
    <w:rsid w:val="00005AA7"/>
    <w:rsid w:val="00010FB8"/>
    <w:rsid w:val="00016335"/>
    <w:rsid w:val="00024D26"/>
    <w:rsid w:val="00036738"/>
    <w:rsid w:val="00037B07"/>
    <w:rsid w:val="00043678"/>
    <w:rsid w:val="00046509"/>
    <w:rsid w:val="0004686A"/>
    <w:rsid w:val="000526CD"/>
    <w:rsid w:val="00052BE9"/>
    <w:rsid w:val="000630A6"/>
    <w:rsid w:val="00064E5A"/>
    <w:rsid w:val="0007072B"/>
    <w:rsid w:val="00071BA2"/>
    <w:rsid w:val="0008237D"/>
    <w:rsid w:val="00085D99"/>
    <w:rsid w:val="000A0743"/>
    <w:rsid w:val="000A59A2"/>
    <w:rsid w:val="000B7A71"/>
    <w:rsid w:val="000C2A15"/>
    <w:rsid w:val="000C613C"/>
    <w:rsid w:val="000C73B6"/>
    <w:rsid w:val="000D1BEA"/>
    <w:rsid w:val="000D5AA1"/>
    <w:rsid w:val="000F1E2D"/>
    <w:rsid w:val="000F32BC"/>
    <w:rsid w:val="000F63D4"/>
    <w:rsid w:val="00100727"/>
    <w:rsid w:val="0010391A"/>
    <w:rsid w:val="00103F43"/>
    <w:rsid w:val="00104D88"/>
    <w:rsid w:val="001131E9"/>
    <w:rsid w:val="001272E8"/>
    <w:rsid w:val="001363D1"/>
    <w:rsid w:val="00152F46"/>
    <w:rsid w:val="001537CE"/>
    <w:rsid w:val="00153A02"/>
    <w:rsid w:val="00154EAD"/>
    <w:rsid w:val="00160B2E"/>
    <w:rsid w:val="00160C95"/>
    <w:rsid w:val="00166DC7"/>
    <w:rsid w:val="001677C5"/>
    <w:rsid w:val="00173CFC"/>
    <w:rsid w:val="00173FB6"/>
    <w:rsid w:val="001744AA"/>
    <w:rsid w:val="001745A2"/>
    <w:rsid w:val="00174CAF"/>
    <w:rsid w:val="001762D7"/>
    <w:rsid w:val="00176856"/>
    <w:rsid w:val="00182A7A"/>
    <w:rsid w:val="001868BC"/>
    <w:rsid w:val="00187BB8"/>
    <w:rsid w:val="00187DCF"/>
    <w:rsid w:val="00194064"/>
    <w:rsid w:val="001948DF"/>
    <w:rsid w:val="0019559C"/>
    <w:rsid w:val="001975A1"/>
    <w:rsid w:val="001B21A5"/>
    <w:rsid w:val="001C7EF4"/>
    <w:rsid w:val="001E0526"/>
    <w:rsid w:val="001E2771"/>
    <w:rsid w:val="001F6500"/>
    <w:rsid w:val="001F6D90"/>
    <w:rsid w:val="00201062"/>
    <w:rsid w:val="00203583"/>
    <w:rsid w:val="00207DE6"/>
    <w:rsid w:val="00212394"/>
    <w:rsid w:val="002242CE"/>
    <w:rsid w:val="002266E6"/>
    <w:rsid w:val="002300B0"/>
    <w:rsid w:val="002402C8"/>
    <w:rsid w:val="0024267C"/>
    <w:rsid w:val="00250511"/>
    <w:rsid w:val="00275326"/>
    <w:rsid w:val="002936A4"/>
    <w:rsid w:val="002978C1"/>
    <w:rsid w:val="002A1E8F"/>
    <w:rsid w:val="002A61C5"/>
    <w:rsid w:val="002A6CAC"/>
    <w:rsid w:val="002A7DE1"/>
    <w:rsid w:val="002B3169"/>
    <w:rsid w:val="002B4D35"/>
    <w:rsid w:val="002B75FC"/>
    <w:rsid w:val="002C177F"/>
    <w:rsid w:val="002C516C"/>
    <w:rsid w:val="002C5314"/>
    <w:rsid w:val="002C6A5E"/>
    <w:rsid w:val="002D0E9B"/>
    <w:rsid w:val="002D3A17"/>
    <w:rsid w:val="002D3B6B"/>
    <w:rsid w:val="002E5568"/>
    <w:rsid w:val="002F3CBA"/>
    <w:rsid w:val="002F723B"/>
    <w:rsid w:val="002F743B"/>
    <w:rsid w:val="00314781"/>
    <w:rsid w:val="00315E77"/>
    <w:rsid w:val="00322477"/>
    <w:rsid w:val="00322F6D"/>
    <w:rsid w:val="00325C4A"/>
    <w:rsid w:val="00331221"/>
    <w:rsid w:val="0033348E"/>
    <w:rsid w:val="00336831"/>
    <w:rsid w:val="0034065A"/>
    <w:rsid w:val="00340D34"/>
    <w:rsid w:val="00354626"/>
    <w:rsid w:val="003562F6"/>
    <w:rsid w:val="003563B4"/>
    <w:rsid w:val="003628F6"/>
    <w:rsid w:val="00364232"/>
    <w:rsid w:val="003642FA"/>
    <w:rsid w:val="00370CEF"/>
    <w:rsid w:val="0037689C"/>
    <w:rsid w:val="00383298"/>
    <w:rsid w:val="003877D4"/>
    <w:rsid w:val="00390CE2"/>
    <w:rsid w:val="0039351F"/>
    <w:rsid w:val="0039427C"/>
    <w:rsid w:val="003A4192"/>
    <w:rsid w:val="003A450C"/>
    <w:rsid w:val="003A5E81"/>
    <w:rsid w:val="003A782E"/>
    <w:rsid w:val="003B1764"/>
    <w:rsid w:val="003C01BB"/>
    <w:rsid w:val="003C03BA"/>
    <w:rsid w:val="003D2B0A"/>
    <w:rsid w:val="003D484B"/>
    <w:rsid w:val="003D4F98"/>
    <w:rsid w:val="003D6B0D"/>
    <w:rsid w:val="003E5EC3"/>
    <w:rsid w:val="003E659D"/>
    <w:rsid w:val="003F3ED2"/>
    <w:rsid w:val="003F3F65"/>
    <w:rsid w:val="003F48A2"/>
    <w:rsid w:val="0040124F"/>
    <w:rsid w:val="00405F34"/>
    <w:rsid w:val="00421537"/>
    <w:rsid w:val="00426BBB"/>
    <w:rsid w:val="00431BAB"/>
    <w:rsid w:val="0044257C"/>
    <w:rsid w:val="00442939"/>
    <w:rsid w:val="00447D84"/>
    <w:rsid w:val="00450249"/>
    <w:rsid w:val="00464A34"/>
    <w:rsid w:val="00470AFD"/>
    <w:rsid w:val="00470C37"/>
    <w:rsid w:val="00475925"/>
    <w:rsid w:val="00480490"/>
    <w:rsid w:val="004817BC"/>
    <w:rsid w:val="00482E5F"/>
    <w:rsid w:val="00483458"/>
    <w:rsid w:val="00493991"/>
    <w:rsid w:val="004A7290"/>
    <w:rsid w:val="004A750F"/>
    <w:rsid w:val="004B1E92"/>
    <w:rsid w:val="004B25EE"/>
    <w:rsid w:val="004B460F"/>
    <w:rsid w:val="004B4B49"/>
    <w:rsid w:val="004C0680"/>
    <w:rsid w:val="004C409C"/>
    <w:rsid w:val="004C6C33"/>
    <w:rsid w:val="004D4306"/>
    <w:rsid w:val="004E254E"/>
    <w:rsid w:val="004F2841"/>
    <w:rsid w:val="0050654D"/>
    <w:rsid w:val="0051496F"/>
    <w:rsid w:val="005254BE"/>
    <w:rsid w:val="005260E5"/>
    <w:rsid w:val="005315A5"/>
    <w:rsid w:val="0054232A"/>
    <w:rsid w:val="00557BC2"/>
    <w:rsid w:val="00560F34"/>
    <w:rsid w:val="00561D28"/>
    <w:rsid w:val="00562282"/>
    <w:rsid w:val="00564732"/>
    <w:rsid w:val="00572C57"/>
    <w:rsid w:val="005733C2"/>
    <w:rsid w:val="005737C8"/>
    <w:rsid w:val="00576BE2"/>
    <w:rsid w:val="00582C47"/>
    <w:rsid w:val="005839E4"/>
    <w:rsid w:val="005841EA"/>
    <w:rsid w:val="00592CB2"/>
    <w:rsid w:val="005939BA"/>
    <w:rsid w:val="005957A6"/>
    <w:rsid w:val="00597204"/>
    <w:rsid w:val="005A34AB"/>
    <w:rsid w:val="005A7478"/>
    <w:rsid w:val="005A7859"/>
    <w:rsid w:val="005B328E"/>
    <w:rsid w:val="005B35EB"/>
    <w:rsid w:val="005B4EF1"/>
    <w:rsid w:val="005B6582"/>
    <w:rsid w:val="005D52D7"/>
    <w:rsid w:val="005D5381"/>
    <w:rsid w:val="005D5BB7"/>
    <w:rsid w:val="005E300D"/>
    <w:rsid w:val="005E339E"/>
    <w:rsid w:val="005E795E"/>
    <w:rsid w:val="005F21CC"/>
    <w:rsid w:val="005F79E1"/>
    <w:rsid w:val="00605A15"/>
    <w:rsid w:val="00613ACD"/>
    <w:rsid w:val="00617237"/>
    <w:rsid w:val="00621ADE"/>
    <w:rsid w:val="00622606"/>
    <w:rsid w:val="00643E3B"/>
    <w:rsid w:val="00646E79"/>
    <w:rsid w:val="006520C3"/>
    <w:rsid w:val="00663F77"/>
    <w:rsid w:val="00667774"/>
    <w:rsid w:val="00667D9D"/>
    <w:rsid w:val="00674247"/>
    <w:rsid w:val="006775C5"/>
    <w:rsid w:val="00683C3D"/>
    <w:rsid w:val="00693D22"/>
    <w:rsid w:val="006A4E80"/>
    <w:rsid w:val="006A4F48"/>
    <w:rsid w:val="006B0460"/>
    <w:rsid w:val="006B462F"/>
    <w:rsid w:val="006B7D8D"/>
    <w:rsid w:val="006C36B8"/>
    <w:rsid w:val="006D1477"/>
    <w:rsid w:val="006D4E87"/>
    <w:rsid w:val="006E4AF9"/>
    <w:rsid w:val="006E7D49"/>
    <w:rsid w:val="006F164A"/>
    <w:rsid w:val="00704632"/>
    <w:rsid w:val="00704E1C"/>
    <w:rsid w:val="007124C5"/>
    <w:rsid w:val="0072014C"/>
    <w:rsid w:val="007519DA"/>
    <w:rsid w:val="00753C3B"/>
    <w:rsid w:val="00754CBE"/>
    <w:rsid w:val="00771BA9"/>
    <w:rsid w:val="00772F12"/>
    <w:rsid w:val="00777FEB"/>
    <w:rsid w:val="0078336F"/>
    <w:rsid w:val="00784139"/>
    <w:rsid w:val="007921CC"/>
    <w:rsid w:val="00793142"/>
    <w:rsid w:val="007B1449"/>
    <w:rsid w:val="007B1D84"/>
    <w:rsid w:val="007D5820"/>
    <w:rsid w:val="007D76EB"/>
    <w:rsid w:val="007E58CB"/>
    <w:rsid w:val="007E60F2"/>
    <w:rsid w:val="007E7AF2"/>
    <w:rsid w:val="007F2EA4"/>
    <w:rsid w:val="007F3808"/>
    <w:rsid w:val="007F3D20"/>
    <w:rsid w:val="00806510"/>
    <w:rsid w:val="00831284"/>
    <w:rsid w:val="0083333A"/>
    <w:rsid w:val="008338A4"/>
    <w:rsid w:val="0083415D"/>
    <w:rsid w:val="00835DF7"/>
    <w:rsid w:val="00841BCE"/>
    <w:rsid w:val="00841FA9"/>
    <w:rsid w:val="008427B1"/>
    <w:rsid w:val="00843EBF"/>
    <w:rsid w:val="008460C2"/>
    <w:rsid w:val="0085482E"/>
    <w:rsid w:val="00856D10"/>
    <w:rsid w:val="00856EDA"/>
    <w:rsid w:val="00873867"/>
    <w:rsid w:val="0088365C"/>
    <w:rsid w:val="00884B4A"/>
    <w:rsid w:val="008947D8"/>
    <w:rsid w:val="008A2497"/>
    <w:rsid w:val="008A6F08"/>
    <w:rsid w:val="008B3203"/>
    <w:rsid w:val="008C0904"/>
    <w:rsid w:val="008C2D17"/>
    <w:rsid w:val="008C3FCA"/>
    <w:rsid w:val="008C5C4F"/>
    <w:rsid w:val="008D0894"/>
    <w:rsid w:val="008D3F8E"/>
    <w:rsid w:val="008F08F9"/>
    <w:rsid w:val="008F1C36"/>
    <w:rsid w:val="008F7B95"/>
    <w:rsid w:val="009012AE"/>
    <w:rsid w:val="009033BE"/>
    <w:rsid w:val="009056B1"/>
    <w:rsid w:val="00905E25"/>
    <w:rsid w:val="00910C68"/>
    <w:rsid w:val="00926A6F"/>
    <w:rsid w:val="00932113"/>
    <w:rsid w:val="0093253A"/>
    <w:rsid w:val="00935692"/>
    <w:rsid w:val="009360F4"/>
    <w:rsid w:val="00943001"/>
    <w:rsid w:val="0095046B"/>
    <w:rsid w:val="0095067F"/>
    <w:rsid w:val="00955BDF"/>
    <w:rsid w:val="00956CA2"/>
    <w:rsid w:val="0096436F"/>
    <w:rsid w:val="00965153"/>
    <w:rsid w:val="00965BCB"/>
    <w:rsid w:val="0097035E"/>
    <w:rsid w:val="009778DF"/>
    <w:rsid w:val="009820F4"/>
    <w:rsid w:val="00983816"/>
    <w:rsid w:val="00985697"/>
    <w:rsid w:val="00987566"/>
    <w:rsid w:val="00996FED"/>
    <w:rsid w:val="009A1706"/>
    <w:rsid w:val="009A1E36"/>
    <w:rsid w:val="009A6525"/>
    <w:rsid w:val="009B683D"/>
    <w:rsid w:val="009C1750"/>
    <w:rsid w:val="009D2478"/>
    <w:rsid w:val="009D5F8F"/>
    <w:rsid w:val="009E0DC1"/>
    <w:rsid w:val="009F7D42"/>
    <w:rsid w:val="00A01C52"/>
    <w:rsid w:val="00A04471"/>
    <w:rsid w:val="00A051F9"/>
    <w:rsid w:val="00A07EB8"/>
    <w:rsid w:val="00A10054"/>
    <w:rsid w:val="00A12252"/>
    <w:rsid w:val="00A13E33"/>
    <w:rsid w:val="00A22767"/>
    <w:rsid w:val="00A22E20"/>
    <w:rsid w:val="00A2371E"/>
    <w:rsid w:val="00A24116"/>
    <w:rsid w:val="00A47A2D"/>
    <w:rsid w:val="00A54391"/>
    <w:rsid w:val="00A54A90"/>
    <w:rsid w:val="00A56628"/>
    <w:rsid w:val="00A63C23"/>
    <w:rsid w:val="00A64382"/>
    <w:rsid w:val="00A66ED0"/>
    <w:rsid w:val="00A70B6D"/>
    <w:rsid w:val="00A73990"/>
    <w:rsid w:val="00A76D7B"/>
    <w:rsid w:val="00A820C0"/>
    <w:rsid w:val="00A85F1D"/>
    <w:rsid w:val="00A9236F"/>
    <w:rsid w:val="00AA126D"/>
    <w:rsid w:val="00AA2034"/>
    <w:rsid w:val="00AA2CA9"/>
    <w:rsid w:val="00AC32E1"/>
    <w:rsid w:val="00AD4448"/>
    <w:rsid w:val="00AD4EFA"/>
    <w:rsid w:val="00AD7EB8"/>
    <w:rsid w:val="00AE3D8D"/>
    <w:rsid w:val="00AE7DAB"/>
    <w:rsid w:val="00B02F6B"/>
    <w:rsid w:val="00B071D8"/>
    <w:rsid w:val="00B10553"/>
    <w:rsid w:val="00B110AE"/>
    <w:rsid w:val="00B146DD"/>
    <w:rsid w:val="00B15C4D"/>
    <w:rsid w:val="00B22367"/>
    <w:rsid w:val="00B256F2"/>
    <w:rsid w:val="00B379B9"/>
    <w:rsid w:val="00B415DC"/>
    <w:rsid w:val="00B53F59"/>
    <w:rsid w:val="00B54591"/>
    <w:rsid w:val="00B54F2C"/>
    <w:rsid w:val="00B55D13"/>
    <w:rsid w:val="00B60199"/>
    <w:rsid w:val="00B6078B"/>
    <w:rsid w:val="00B62F7B"/>
    <w:rsid w:val="00B7315C"/>
    <w:rsid w:val="00B73698"/>
    <w:rsid w:val="00B74AB5"/>
    <w:rsid w:val="00B84E63"/>
    <w:rsid w:val="00B87FF5"/>
    <w:rsid w:val="00B94B16"/>
    <w:rsid w:val="00BA3DD4"/>
    <w:rsid w:val="00BB5174"/>
    <w:rsid w:val="00BD0953"/>
    <w:rsid w:val="00BD4789"/>
    <w:rsid w:val="00BE2B4D"/>
    <w:rsid w:val="00BE6121"/>
    <w:rsid w:val="00BF0E40"/>
    <w:rsid w:val="00C01A8A"/>
    <w:rsid w:val="00C03901"/>
    <w:rsid w:val="00C03CAC"/>
    <w:rsid w:val="00C11075"/>
    <w:rsid w:val="00C13C5B"/>
    <w:rsid w:val="00C16511"/>
    <w:rsid w:val="00C17421"/>
    <w:rsid w:val="00C20487"/>
    <w:rsid w:val="00C367C9"/>
    <w:rsid w:val="00C37D1E"/>
    <w:rsid w:val="00C412FD"/>
    <w:rsid w:val="00C453C9"/>
    <w:rsid w:val="00C47F53"/>
    <w:rsid w:val="00C64D15"/>
    <w:rsid w:val="00C65183"/>
    <w:rsid w:val="00C72B9D"/>
    <w:rsid w:val="00C73F09"/>
    <w:rsid w:val="00C760D8"/>
    <w:rsid w:val="00C7640D"/>
    <w:rsid w:val="00C81BBE"/>
    <w:rsid w:val="00C85758"/>
    <w:rsid w:val="00C85EFB"/>
    <w:rsid w:val="00CA7175"/>
    <w:rsid w:val="00CA74F4"/>
    <w:rsid w:val="00CB791C"/>
    <w:rsid w:val="00CC352B"/>
    <w:rsid w:val="00CC3ECE"/>
    <w:rsid w:val="00CD0019"/>
    <w:rsid w:val="00CD3674"/>
    <w:rsid w:val="00CD4621"/>
    <w:rsid w:val="00CD5366"/>
    <w:rsid w:val="00CD68A5"/>
    <w:rsid w:val="00CF32F4"/>
    <w:rsid w:val="00D00206"/>
    <w:rsid w:val="00D0258D"/>
    <w:rsid w:val="00D04A7B"/>
    <w:rsid w:val="00D059A3"/>
    <w:rsid w:val="00D21F6D"/>
    <w:rsid w:val="00D241A3"/>
    <w:rsid w:val="00D337AA"/>
    <w:rsid w:val="00D4386E"/>
    <w:rsid w:val="00D5688F"/>
    <w:rsid w:val="00D6222C"/>
    <w:rsid w:val="00D63542"/>
    <w:rsid w:val="00D64A19"/>
    <w:rsid w:val="00D77679"/>
    <w:rsid w:val="00D81C86"/>
    <w:rsid w:val="00D84ADD"/>
    <w:rsid w:val="00D85145"/>
    <w:rsid w:val="00D9137F"/>
    <w:rsid w:val="00D92364"/>
    <w:rsid w:val="00DA4631"/>
    <w:rsid w:val="00DB1384"/>
    <w:rsid w:val="00DB6F88"/>
    <w:rsid w:val="00DC0834"/>
    <w:rsid w:val="00DC4384"/>
    <w:rsid w:val="00DC4AB5"/>
    <w:rsid w:val="00DD5CFF"/>
    <w:rsid w:val="00DE0DA8"/>
    <w:rsid w:val="00DE4EE3"/>
    <w:rsid w:val="00DE52EA"/>
    <w:rsid w:val="00DE5B11"/>
    <w:rsid w:val="00DE6A5C"/>
    <w:rsid w:val="00DF339F"/>
    <w:rsid w:val="00E103AB"/>
    <w:rsid w:val="00E10CE2"/>
    <w:rsid w:val="00E17E6A"/>
    <w:rsid w:val="00E3503F"/>
    <w:rsid w:val="00E526E9"/>
    <w:rsid w:val="00E53D1E"/>
    <w:rsid w:val="00E56735"/>
    <w:rsid w:val="00E57470"/>
    <w:rsid w:val="00E650A3"/>
    <w:rsid w:val="00E65B16"/>
    <w:rsid w:val="00E679D9"/>
    <w:rsid w:val="00E710B2"/>
    <w:rsid w:val="00E774B6"/>
    <w:rsid w:val="00E83D48"/>
    <w:rsid w:val="00E871C7"/>
    <w:rsid w:val="00E90557"/>
    <w:rsid w:val="00EA24E1"/>
    <w:rsid w:val="00EA7516"/>
    <w:rsid w:val="00EB41AD"/>
    <w:rsid w:val="00EB6718"/>
    <w:rsid w:val="00EB6BDB"/>
    <w:rsid w:val="00EC58D1"/>
    <w:rsid w:val="00EC7972"/>
    <w:rsid w:val="00ED4C03"/>
    <w:rsid w:val="00ED6D93"/>
    <w:rsid w:val="00ED75DB"/>
    <w:rsid w:val="00EE0EFC"/>
    <w:rsid w:val="00EE4100"/>
    <w:rsid w:val="00EE462B"/>
    <w:rsid w:val="00F0430C"/>
    <w:rsid w:val="00F04EAA"/>
    <w:rsid w:val="00F150BA"/>
    <w:rsid w:val="00F27E0E"/>
    <w:rsid w:val="00F27E62"/>
    <w:rsid w:val="00F30C5E"/>
    <w:rsid w:val="00F37BDA"/>
    <w:rsid w:val="00F4276D"/>
    <w:rsid w:val="00F4591B"/>
    <w:rsid w:val="00F6072A"/>
    <w:rsid w:val="00F655CD"/>
    <w:rsid w:val="00F71F04"/>
    <w:rsid w:val="00F810C8"/>
    <w:rsid w:val="00F814F5"/>
    <w:rsid w:val="00F81779"/>
    <w:rsid w:val="00F90E06"/>
    <w:rsid w:val="00F932F8"/>
    <w:rsid w:val="00FA5FF9"/>
    <w:rsid w:val="00FB08D2"/>
    <w:rsid w:val="00FB1B9F"/>
    <w:rsid w:val="00FB62EE"/>
    <w:rsid w:val="00FC4859"/>
    <w:rsid w:val="00FC7BF5"/>
    <w:rsid w:val="00FD13BF"/>
    <w:rsid w:val="00FD215E"/>
    <w:rsid w:val="00FE0FDB"/>
    <w:rsid w:val="00FE196E"/>
    <w:rsid w:val="00FE4552"/>
    <w:rsid w:val="00FF105E"/>
    <w:rsid w:val="00FF71A4"/>
    <w:rsid w:val="00FF7503"/>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A9F0493"/>
  <w15:docId w15:val="{493B9560-7F50-448A-9615-231FC6A7DB9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Arial" w:eastAsiaTheme="minorHAnsi" w:hAnsi="Arial" w:cstheme="minorBidi"/>
        <w:sz w:val="22"/>
        <w:szCs w:val="22"/>
        <w:lang w:val="en-AU" w:eastAsia="en-US" w:bidi="ar-SA"/>
      </w:rPr>
    </w:rPrDefault>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5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rsid w:val="00FA5FF9"/>
  </w:style>
  <w:style w:type="paragraph" w:styleId="Heading1">
    <w:name w:val="heading 1"/>
    <w:basedOn w:val="Normal"/>
    <w:link w:val="Heading1Char"/>
    <w:uiPriority w:val="9"/>
    <w:qFormat/>
    <w:rsid w:val="00C65183"/>
    <w:pPr>
      <w:spacing w:before="100" w:beforeAutospacing="1" w:after="100" w:afterAutospacing="1"/>
      <w:outlineLvl w:val="0"/>
    </w:pPr>
    <w:rPr>
      <w:rFonts w:ascii="Times New Roman" w:eastAsia="Times New Roman" w:hAnsi="Times New Roman" w:cs="Times New Roman"/>
      <w:b/>
      <w:bCs/>
      <w:kern w:val="36"/>
      <w:sz w:val="48"/>
      <w:szCs w:val="48"/>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F04EAA"/>
    <w:rPr>
      <w:rFonts w:ascii="Tahoma" w:hAnsi="Tahoma" w:cs="Tahoma"/>
      <w:sz w:val="16"/>
      <w:szCs w:val="16"/>
    </w:rPr>
  </w:style>
  <w:style w:type="character" w:customStyle="1" w:styleId="BalloonTextChar">
    <w:name w:val="Balloon Text Char"/>
    <w:basedOn w:val="DefaultParagraphFont"/>
    <w:link w:val="BalloonText"/>
    <w:uiPriority w:val="99"/>
    <w:semiHidden/>
    <w:rsid w:val="00F04EAA"/>
    <w:rPr>
      <w:rFonts w:ascii="Tahoma" w:hAnsi="Tahoma" w:cs="Tahoma"/>
      <w:sz w:val="16"/>
      <w:szCs w:val="16"/>
    </w:rPr>
  </w:style>
  <w:style w:type="paragraph" w:customStyle="1" w:styleId="Default">
    <w:name w:val="Default"/>
    <w:rsid w:val="00F04EAA"/>
    <w:pPr>
      <w:autoSpaceDE w:val="0"/>
      <w:autoSpaceDN w:val="0"/>
      <w:adjustRightInd w:val="0"/>
    </w:pPr>
    <w:rPr>
      <w:rFonts w:ascii="Calibri" w:hAnsi="Calibri" w:cs="Calibri"/>
      <w:color w:val="000000"/>
      <w:sz w:val="24"/>
      <w:szCs w:val="24"/>
      <w:lang w:val="en-US"/>
    </w:rPr>
  </w:style>
  <w:style w:type="character" w:styleId="Hyperlink">
    <w:name w:val="Hyperlink"/>
    <w:basedOn w:val="DefaultParagraphFont"/>
    <w:uiPriority w:val="99"/>
    <w:unhideWhenUsed/>
    <w:rsid w:val="00F04EAA"/>
    <w:rPr>
      <w:color w:val="0000FF" w:themeColor="hyperlink"/>
      <w:u w:val="single"/>
    </w:rPr>
  </w:style>
  <w:style w:type="character" w:styleId="FootnoteReference">
    <w:name w:val="footnote reference"/>
    <w:basedOn w:val="DefaultParagraphFont"/>
    <w:uiPriority w:val="99"/>
    <w:semiHidden/>
    <w:rsid w:val="00F04EAA"/>
    <w:rPr>
      <w:vertAlign w:val="superscript"/>
    </w:rPr>
  </w:style>
  <w:style w:type="paragraph" w:styleId="FootnoteText">
    <w:name w:val="footnote text"/>
    <w:basedOn w:val="Normal"/>
    <w:link w:val="FootnoteTextChar"/>
    <w:uiPriority w:val="99"/>
    <w:semiHidden/>
    <w:unhideWhenUsed/>
    <w:rsid w:val="00F04EAA"/>
    <w:pPr>
      <w:spacing w:after="200" w:line="276" w:lineRule="auto"/>
    </w:pPr>
    <w:rPr>
      <w:rFonts w:ascii="Calibri" w:eastAsia="Calibri" w:hAnsi="Calibri" w:cs="Times New Roman"/>
      <w:sz w:val="20"/>
      <w:szCs w:val="20"/>
      <w:lang w:val="en-US"/>
    </w:rPr>
  </w:style>
  <w:style w:type="character" w:customStyle="1" w:styleId="FootnoteTextChar">
    <w:name w:val="Footnote Text Char"/>
    <w:basedOn w:val="DefaultParagraphFont"/>
    <w:link w:val="FootnoteText"/>
    <w:uiPriority w:val="99"/>
    <w:semiHidden/>
    <w:rsid w:val="00F04EAA"/>
    <w:rPr>
      <w:rFonts w:ascii="Calibri" w:eastAsia="Calibri" w:hAnsi="Calibri" w:cs="Times New Roman"/>
      <w:sz w:val="20"/>
      <w:szCs w:val="20"/>
      <w:lang w:val="en-US"/>
    </w:rPr>
  </w:style>
  <w:style w:type="paragraph" w:customStyle="1" w:styleId="IntroParagraphtoeachChapter">
    <w:name w:val="Intro Paragraph to each Chapter"/>
    <w:link w:val="IntroParagraphtoeachChapterChar"/>
    <w:qFormat/>
    <w:rsid w:val="00F04EAA"/>
    <w:pPr>
      <w:pBdr>
        <w:bottom w:val="single" w:sz="4" w:space="1" w:color="auto"/>
      </w:pBdr>
      <w:spacing w:before="60"/>
      <w:jc w:val="both"/>
    </w:pPr>
    <w:rPr>
      <w:rFonts w:ascii="Palatino Linotype" w:eastAsia="Times New Roman" w:hAnsi="Palatino Linotype" w:cs="Times New Roman"/>
      <w:lang w:val="en-US"/>
    </w:rPr>
  </w:style>
  <w:style w:type="character" w:customStyle="1" w:styleId="IntroParagraphtoeachChapterChar">
    <w:name w:val="Intro Paragraph to each Chapter Char"/>
    <w:basedOn w:val="DefaultParagraphFont"/>
    <w:link w:val="IntroParagraphtoeachChapter"/>
    <w:rsid w:val="00F04EAA"/>
    <w:rPr>
      <w:rFonts w:ascii="Palatino Linotype" w:eastAsia="Times New Roman" w:hAnsi="Palatino Linotype" w:cs="Times New Roman"/>
      <w:lang w:val="en-US"/>
    </w:rPr>
  </w:style>
  <w:style w:type="paragraph" w:styleId="Header">
    <w:name w:val="header"/>
    <w:basedOn w:val="Normal"/>
    <w:link w:val="HeaderChar"/>
    <w:uiPriority w:val="99"/>
    <w:unhideWhenUsed/>
    <w:rsid w:val="00F04EAA"/>
    <w:pPr>
      <w:tabs>
        <w:tab w:val="center" w:pos="4680"/>
        <w:tab w:val="right" w:pos="9360"/>
      </w:tabs>
    </w:pPr>
    <w:rPr>
      <w:rFonts w:ascii="Times New Roman" w:eastAsia="Times New Roman" w:hAnsi="Times New Roman" w:cs="Times New Roman"/>
      <w:sz w:val="24"/>
      <w:szCs w:val="24"/>
      <w:lang w:val="en-US"/>
    </w:rPr>
  </w:style>
  <w:style w:type="character" w:customStyle="1" w:styleId="HeaderChar">
    <w:name w:val="Header Char"/>
    <w:basedOn w:val="DefaultParagraphFont"/>
    <w:link w:val="Header"/>
    <w:uiPriority w:val="99"/>
    <w:rsid w:val="00F04EAA"/>
    <w:rPr>
      <w:rFonts w:ascii="Times New Roman" w:eastAsia="Times New Roman" w:hAnsi="Times New Roman" w:cs="Times New Roman"/>
      <w:sz w:val="24"/>
      <w:szCs w:val="24"/>
      <w:lang w:val="en-US"/>
    </w:rPr>
  </w:style>
  <w:style w:type="paragraph" w:styleId="Footer">
    <w:name w:val="footer"/>
    <w:basedOn w:val="Normal"/>
    <w:link w:val="FooterChar"/>
    <w:uiPriority w:val="99"/>
    <w:unhideWhenUsed/>
    <w:rsid w:val="00F04EAA"/>
    <w:pPr>
      <w:tabs>
        <w:tab w:val="center" w:pos="4680"/>
        <w:tab w:val="right" w:pos="9360"/>
      </w:tabs>
    </w:pPr>
    <w:rPr>
      <w:rFonts w:ascii="Times New Roman" w:eastAsia="Times New Roman" w:hAnsi="Times New Roman" w:cs="Times New Roman"/>
      <w:sz w:val="24"/>
      <w:szCs w:val="24"/>
      <w:lang w:val="en-US"/>
    </w:rPr>
  </w:style>
  <w:style w:type="character" w:customStyle="1" w:styleId="FooterChar">
    <w:name w:val="Footer Char"/>
    <w:basedOn w:val="DefaultParagraphFont"/>
    <w:link w:val="Footer"/>
    <w:uiPriority w:val="99"/>
    <w:rsid w:val="00F04EAA"/>
    <w:rPr>
      <w:rFonts w:ascii="Times New Roman" w:eastAsia="Times New Roman" w:hAnsi="Times New Roman" w:cs="Times New Roman"/>
      <w:sz w:val="24"/>
      <w:szCs w:val="24"/>
      <w:lang w:val="en-US"/>
    </w:rPr>
  </w:style>
  <w:style w:type="paragraph" w:styleId="ListParagraph">
    <w:name w:val="List Paragraph"/>
    <w:basedOn w:val="Normal"/>
    <w:uiPriority w:val="34"/>
    <w:qFormat/>
    <w:rsid w:val="00F04EAA"/>
    <w:pPr>
      <w:ind w:left="720"/>
      <w:contextualSpacing/>
    </w:pPr>
    <w:rPr>
      <w:rFonts w:eastAsia="Calibri" w:cs="Times New Roman"/>
    </w:rPr>
  </w:style>
  <w:style w:type="character" w:styleId="UnresolvedMention">
    <w:name w:val="Unresolved Mention"/>
    <w:basedOn w:val="DefaultParagraphFont"/>
    <w:uiPriority w:val="99"/>
    <w:semiHidden/>
    <w:unhideWhenUsed/>
    <w:rsid w:val="00CD0019"/>
    <w:rPr>
      <w:color w:val="605E5C"/>
      <w:shd w:val="clear" w:color="auto" w:fill="E1DFDD"/>
    </w:rPr>
  </w:style>
  <w:style w:type="character" w:customStyle="1" w:styleId="Heading1Char">
    <w:name w:val="Heading 1 Char"/>
    <w:basedOn w:val="DefaultParagraphFont"/>
    <w:link w:val="Heading1"/>
    <w:uiPriority w:val="9"/>
    <w:rsid w:val="00C65183"/>
    <w:rPr>
      <w:rFonts w:ascii="Times New Roman" w:eastAsia="Times New Roman" w:hAnsi="Times New Roman" w:cs="Times New Roman"/>
      <w:b/>
      <w:bCs/>
      <w:kern w:val="36"/>
      <w:sz w:val="48"/>
      <w:szCs w:val="48"/>
      <w:lang w:val="en-US"/>
    </w:rPr>
  </w:style>
  <w:style w:type="character" w:styleId="Emphasis">
    <w:name w:val="Emphasis"/>
    <w:basedOn w:val="DefaultParagraphFont"/>
    <w:uiPriority w:val="20"/>
    <w:qFormat/>
    <w:rsid w:val="00C65183"/>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5135548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&#65279;<?xml version="1.0" encoding="utf-8"?><Relationships xmlns="http://schemas.openxmlformats.org/package/2006/relationships"><Relationship Type="http://schemas.openxmlformats.org/officeDocument/2006/relationships/image" Target="media/image107.jpeg" Id="rId117" /><Relationship Type="http://schemas.openxmlformats.org/officeDocument/2006/relationships/image" Target="media/image286.jpeg" Id="rId299" /><Relationship Type="http://schemas.openxmlformats.org/officeDocument/2006/relationships/image" Target="media/image290.jpeg" Id="rId303" /><Relationship Type="http://schemas.openxmlformats.org/officeDocument/2006/relationships/image" Target="media/image12.jpeg" Id="rId21" /><Relationship Type="http://schemas.openxmlformats.org/officeDocument/2006/relationships/image" Target="media/image32.jpeg" Id="rId42" /><Relationship Type="http://schemas.openxmlformats.org/officeDocument/2006/relationships/image" Target="media/image53.jpeg" Id="rId63" /><Relationship Type="http://schemas.openxmlformats.org/officeDocument/2006/relationships/image" Target="media/image74.jpeg" Id="rId84" /><Relationship Type="http://schemas.openxmlformats.org/officeDocument/2006/relationships/image" Target="media/image128.jpeg" Id="rId138" /><Relationship Type="http://schemas.openxmlformats.org/officeDocument/2006/relationships/image" Target="media/image148.emf" Id="rId159" /><Relationship Type="http://schemas.openxmlformats.org/officeDocument/2006/relationships/fontTable" Target="fontTable.xml" Id="rId324" /><Relationship Type="http://schemas.openxmlformats.org/officeDocument/2006/relationships/image" Target="media/image159.jpeg" Id="rId170" /><Relationship Type="http://schemas.openxmlformats.org/officeDocument/2006/relationships/image" Target="media/image178.jpeg" Id="rId191" /><Relationship Type="http://schemas.openxmlformats.org/officeDocument/2006/relationships/image" Target="media/image192.jpeg" Id="rId205" /><Relationship Type="http://schemas.openxmlformats.org/officeDocument/2006/relationships/image" Target="media/image213.jpeg" Id="rId226" /><Relationship Type="http://schemas.openxmlformats.org/officeDocument/2006/relationships/image" Target="media/image234.jpeg" Id="rId247" /><Relationship Type="http://schemas.openxmlformats.org/officeDocument/2006/relationships/image" Target="media/image97.jpeg" Id="rId107" /><Relationship Type="http://schemas.openxmlformats.org/officeDocument/2006/relationships/image" Target="media/image255.jpeg" Id="rId268" /><Relationship Type="http://schemas.openxmlformats.org/officeDocument/2006/relationships/image" Target="media/image276.jpeg" Id="rId289" /><Relationship Type="http://schemas.openxmlformats.org/officeDocument/2006/relationships/image" Target="media/image2.jpeg" Id="rId11" /><Relationship Type="http://schemas.openxmlformats.org/officeDocument/2006/relationships/image" Target="media/image23.jpeg" Id="rId32" /><Relationship Type="http://schemas.openxmlformats.org/officeDocument/2006/relationships/image" Target="media/image43.jpeg" Id="rId53" /><Relationship Type="http://schemas.openxmlformats.org/officeDocument/2006/relationships/image" Target="media/image64.jpeg" Id="rId74" /><Relationship Type="http://schemas.openxmlformats.org/officeDocument/2006/relationships/image" Target="media/image118.jpeg" Id="rId128" /><Relationship Type="http://schemas.openxmlformats.org/officeDocument/2006/relationships/image" Target="media/image139.jpeg" Id="rId149" /><Relationship Type="http://schemas.openxmlformats.org/officeDocument/2006/relationships/image" Target="media/image301.jpeg" Id="rId314" /><Relationship Type="http://schemas.openxmlformats.org/officeDocument/2006/relationships/settings" Target="settings.xml" Id="rId5" /><Relationship Type="http://schemas.openxmlformats.org/officeDocument/2006/relationships/image" Target="media/image85.jpg" Id="rId95" /><Relationship Type="http://schemas.openxmlformats.org/officeDocument/2006/relationships/image" Target="media/image149.jpeg" Id="rId160" /><Relationship Type="http://schemas.openxmlformats.org/officeDocument/2006/relationships/image" Target="media/image168.jpeg" Id="rId181" /><Relationship Type="http://schemas.openxmlformats.org/officeDocument/2006/relationships/image" Target="media/image203.jpeg" Id="rId216" /><Relationship Type="http://schemas.openxmlformats.org/officeDocument/2006/relationships/image" Target="media/image224.jpeg" Id="rId237" /><Relationship Type="http://schemas.openxmlformats.org/officeDocument/2006/relationships/image" Target="media/image245.jpeg" Id="rId258" /><Relationship Type="http://schemas.openxmlformats.org/officeDocument/2006/relationships/image" Target="media/image266.jpeg" Id="rId279" /><Relationship Type="http://schemas.openxmlformats.org/officeDocument/2006/relationships/image" Target="media/image13.jpeg" Id="rId22" /><Relationship Type="http://schemas.openxmlformats.org/officeDocument/2006/relationships/image" Target="media/image33.jpeg" Id="rId43" /><Relationship Type="http://schemas.openxmlformats.org/officeDocument/2006/relationships/image" Target="media/image54.jpeg" Id="rId64" /><Relationship Type="http://schemas.openxmlformats.org/officeDocument/2006/relationships/image" Target="media/image108.jpeg" Id="rId118" /><Relationship Type="http://schemas.openxmlformats.org/officeDocument/2006/relationships/image" Target="media/image129.jpeg" Id="rId139" /><Relationship Type="http://schemas.openxmlformats.org/officeDocument/2006/relationships/image" Target="media/image277.jpeg" Id="rId290" /><Relationship Type="http://schemas.openxmlformats.org/officeDocument/2006/relationships/image" Target="media/image291.jpeg" Id="rId304" /><Relationship Type="http://schemas.openxmlformats.org/officeDocument/2006/relationships/theme" Target="theme/theme1.xml" Id="rId325" /><Relationship Type="http://schemas.openxmlformats.org/officeDocument/2006/relationships/image" Target="media/image75.jpeg" Id="rId85" /><Relationship Type="http://schemas.microsoft.com/office/2007/relationships/hdphoto" Target="media/hdphoto2.wdp" Id="rId150" /><Relationship Type="http://schemas.openxmlformats.org/officeDocument/2006/relationships/image" Target="media/image160.jpeg" Id="rId171" /><Relationship Type="http://schemas.openxmlformats.org/officeDocument/2006/relationships/image" Target="media/image179.jpeg" Id="rId192" /><Relationship Type="http://schemas.openxmlformats.org/officeDocument/2006/relationships/image" Target="media/image193.jpg" Id="rId206" /><Relationship Type="http://schemas.openxmlformats.org/officeDocument/2006/relationships/image" Target="media/image214.png" Id="rId227" /><Relationship Type="http://schemas.openxmlformats.org/officeDocument/2006/relationships/image" Target="media/image235.jpeg" Id="rId248" /><Relationship Type="http://schemas.openxmlformats.org/officeDocument/2006/relationships/image" Target="media/image256.jpeg" Id="rId269" /><Relationship Type="http://schemas.openxmlformats.org/officeDocument/2006/relationships/image" Target="media/image3.jpeg" Id="rId12" /><Relationship Type="http://schemas.openxmlformats.org/officeDocument/2006/relationships/image" Target="media/image24.png" Id="rId33" /><Relationship Type="http://schemas.openxmlformats.org/officeDocument/2006/relationships/image" Target="media/image98.emf" Id="rId108" /><Relationship Type="http://schemas.openxmlformats.org/officeDocument/2006/relationships/image" Target="media/image119.png" Id="rId129" /><Relationship Type="http://schemas.openxmlformats.org/officeDocument/2006/relationships/image" Target="media/image267.jpeg" Id="rId280" /><Relationship Type="http://schemas.openxmlformats.org/officeDocument/2006/relationships/image" Target="media/image302.jpeg" Id="rId315" /><Relationship Type="http://schemas.openxmlformats.org/officeDocument/2006/relationships/image" Target="media/image44.jpg" Id="rId54" /><Relationship Type="http://schemas.openxmlformats.org/officeDocument/2006/relationships/image" Target="media/image65.png" Id="rId75" /><Relationship Type="http://schemas.openxmlformats.org/officeDocument/2006/relationships/image" Target="media/image86.jpeg" Id="rId96" /><Relationship Type="http://schemas.openxmlformats.org/officeDocument/2006/relationships/image" Target="media/image130.jpeg" Id="rId140" /><Relationship Type="http://schemas.openxmlformats.org/officeDocument/2006/relationships/image" Target="media/image150.emf" Id="rId161" /><Relationship Type="http://schemas.openxmlformats.org/officeDocument/2006/relationships/image" Target="media/image169.jpeg" Id="rId182" /><Relationship Type="http://schemas.openxmlformats.org/officeDocument/2006/relationships/image" Target="media/image204.jpeg" Id="rId217" /><Relationship Type="http://schemas.openxmlformats.org/officeDocument/2006/relationships/webSettings" Target="webSettings.xml" Id="rId6" /><Relationship Type="http://schemas.openxmlformats.org/officeDocument/2006/relationships/image" Target="media/image225.jpeg" Id="rId238" /><Relationship Type="http://schemas.openxmlformats.org/officeDocument/2006/relationships/image" Target="media/image246.jpeg" Id="rId259" /><Relationship Type="http://schemas.openxmlformats.org/officeDocument/2006/relationships/image" Target="media/image14.png" Id="rId23" /><Relationship Type="http://schemas.openxmlformats.org/officeDocument/2006/relationships/image" Target="media/image109.jpeg" Id="rId119" /><Relationship Type="http://schemas.openxmlformats.org/officeDocument/2006/relationships/image" Target="media/image257.jpeg" Id="rId270" /><Relationship Type="http://schemas.openxmlformats.org/officeDocument/2006/relationships/image" Target="media/image278.jpeg" Id="rId291" /><Relationship Type="http://schemas.openxmlformats.org/officeDocument/2006/relationships/image" Target="media/image292.jpeg" Id="rId305" /><Relationship Type="http://schemas.openxmlformats.org/officeDocument/2006/relationships/image" Target="media/image34.jpg" Id="rId44" /><Relationship Type="http://schemas.openxmlformats.org/officeDocument/2006/relationships/image" Target="media/image55.jpeg" Id="rId65" /><Relationship Type="http://schemas.openxmlformats.org/officeDocument/2006/relationships/image" Target="media/image76.jpeg" Id="rId86" /><Relationship Type="http://schemas.openxmlformats.org/officeDocument/2006/relationships/image" Target="media/image120.jpeg" Id="rId130" /><Relationship Type="http://schemas.openxmlformats.org/officeDocument/2006/relationships/image" Target="media/image140.jpeg" Id="rId151" /><Relationship Type="http://schemas.openxmlformats.org/officeDocument/2006/relationships/image" Target="media/image161.jpeg" Id="rId172" /><Relationship Type="http://schemas.openxmlformats.org/officeDocument/2006/relationships/image" Target="media/image180.jpeg" Id="rId193" /><Relationship Type="http://schemas.openxmlformats.org/officeDocument/2006/relationships/image" Target="media/image194.jpeg" Id="rId207" /><Relationship Type="http://schemas.openxmlformats.org/officeDocument/2006/relationships/image" Target="media/image215.jpeg" Id="rId228" /><Relationship Type="http://schemas.openxmlformats.org/officeDocument/2006/relationships/image" Target="media/image236.jpeg" Id="rId249" /><Relationship Type="http://schemas.openxmlformats.org/officeDocument/2006/relationships/image" Target="media/image4.jpeg" Id="rId13" /><Relationship Type="http://schemas.openxmlformats.org/officeDocument/2006/relationships/image" Target="media/image99.emf" Id="rId109" /><Relationship Type="http://schemas.openxmlformats.org/officeDocument/2006/relationships/image" Target="media/image247.jpeg" Id="rId260" /><Relationship Type="http://schemas.openxmlformats.org/officeDocument/2006/relationships/image" Target="media/image268.jpeg" Id="rId281" /><Relationship Type="http://schemas.openxmlformats.org/officeDocument/2006/relationships/image" Target="media/image303.jfif" Id="rId316" /><Relationship Type="http://schemas.openxmlformats.org/officeDocument/2006/relationships/image" Target="media/image25.jpeg" Id="rId34" /><Relationship Type="http://schemas.openxmlformats.org/officeDocument/2006/relationships/image" Target="media/image45.jpg" Id="rId55" /><Relationship Type="http://schemas.openxmlformats.org/officeDocument/2006/relationships/image" Target="media/image66.jpeg" Id="rId76" /><Relationship Type="http://schemas.openxmlformats.org/officeDocument/2006/relationships/image" Target="media/image87.jpg" Id="rId97" /><Relationship Type="http://schemas.openxmlformats.org/officeDocument/2006/relationships/image" Target="media/image110.jpeg" Id="rId120" /><Relationship Type="http://schemas.openxmlformats.org/officeDocument/2006/relationships/image" Target="media/image131.jpeg" Id="rId141" /><Relationship Type="http://schemas.openxmlformats.org/officeDocument/2006/relationships/footnotes" Target="footnotes.xml" Id="rId7" /><Relationship Type="http://schemas.openxmlformats.org/officeDocument/2006/relationships/image" Target="media/image151.jpg" Id="rId162" /><Relationship Type="http://schemas.openxmlformats.org/officeDocument/2006/relationships/image" Target="media/image170.jpeg" Id="rId183" /><Relationship Type="http://schemas.openxmlformats.org/officeDocument/2006/relationships/image" Target="media/image205.jpeg" Id="rId218" /><Relationship Type="http://schemas.openxmlformats.org/officeDocument/2006/relationships/image" Target="media/image226.jpeg" Id="rId239" /><Relationship Type="http://schemas.openxmlformats.org/officeDocument/2006/relationships/image" Target="media/image237.jpeg" Id="rId250" /><Relationship Type="http://schemas.openxmlformats.org/officeDocument/2006/relationships/image" Target="media/image258.jpeg" Id="rId271" /><Relationship Type="http://schemas.openxmlformats.org/officeDocument/2006/relationships/image" Target="media/image279.jpeg" Id="rId292" /><Relationship Type="http://schemas.openxmlformats.org/officeDocument/2006/relationships/image" Target="media/image293.jfif" Id="rId306" /><Relationship Type="http://schemas.openxmlformats.org/officeDocument/2006/relationships/image" Target="media/image15.jpeg" Id="rId24" /><Relationship Type="http://schemas.openxmlformats.org/officeDocument/2006/relationships/image" Target="media/image35.jpeg" Id="rId45" /><Relationship Type="http://schemas.openxmlformats.org/officeDocument/2006/relationships/image" Target="media/image56.jpeg" Id="rId66" /><Relationship Type="http://schemas.openxmlformats.org/officeDocument/2006/relationships/image" Target="media/image77.jpeg" Id="rId87" /><Relationship Type="http://schemas.openxmlformats.org/officeDocument/2006/relationships/image" Target="media/image100.jpeg" Id="rId110" /><Relationship Type="http://schemas.openxmlformats.org/officeDocument/2006/relationships/image" Target="media/image121.emf" Id="rId131" /><Relationship Type="http://schemas.openxmlformats.org/officeDocument/2006/relationships/image" Target="media/image141.jpeg" Id="rId152" /><Relationship Type="http://schemas.openxmlformats.org/officeDocument/2006/relationships/image" Target="media/image162.jpeg" Id="rId173" /><Relationship Type="http://schemas.openxmlformats.org/officeDocument/2006/relationships/image" Target="media/image181.jpg" Id="rId194" /><Relationship Type="http://schemas.openxmlformats.org/officeDocument/2006/relationships/image" Target="media/image195.jpeg" Id="rId208" /><Relationship Type="http://schemas.openxmlformats.org/officeDocument/2006/relationships/image" Target="media/image216.jpeg" Id="rId229" /><Relationship Type="http://schemas.openxmlformats.org/officeDocument/2006/relationships/image" Target="media/image227.jpeg" Id="rId240" /><Relationship Type="http://schemas.openxmlformats.org/officeDocument/2006/relationships/image" Target="media/image248.jpeg" Id="rId261" /><Relationship Type="http://schemas.openxmlformats.org/officeDocument/2006/relationships/image" Target="media/image5.jpeg" Id="rId14" /><Relationship Type="http://schemas.openxmlformats.org/officeDocument/2006/relationships/image" Target="media/image21.jpeg" Id="rId30" /><Relationship Type="http://schemas.openxmlformats.org/officeDocument/2006/relationships/image" Target="media/image26.jpeg" Id="rId35" /><Relationship Type="http://schemas.openxmlformats.org/officeDocument/2006/relationships/image" Target="media/image46.jpeg" Id="rId56" /><Relationship Type="http://schemas.openxmlformats.org/officeDocument/2006/relationships/image" Target="media/image67.jpeg" Id="rId77" /><Relationship Type="http://schemas.openxmlformats.org/officeDocument/2006/relationships/image" Target="media/image90.jpeg" Id="rId100" /><Relationship Type="http://schemas.openxmlformats.org/officeDocument/2006/relationships/image" Target="media/image95.jpeg" Id="rId105" /><Relationship Type="http://schemas.openxmlformats.org/officeDocument/2006/relationships/image" Target="media/image116.jpeg" Id="rId126" /><Relationship Type="http://schemas.openxmlformats.org/officeDocument/2006/relationships/image" Target="media/image137.jpeg" Id="rId147" /><Relationship Type="http://schemas.openxmlformats.org/officeDocument/2006/relationships/image" Target="media/image157.png" Id="rId168" /><Relationship Type="http://schemas.openxmlformats.org/officeDocument/2006/relationships/image" Target="media/image269.jpeg" Id="rId282" /><Relationship Type="http://schemas.openxmlformats.org/officeDocument/2006/relationships/image" Target="media/image299.jfif" Id="rId312" /><Relationship Type="http://schemas.openxmlformats.org/officeDocument/2006/relationships/image" Target="media/image304.jpeg" Id="rId317" /><Relationship Type="http://schemas.openxmlformats.org/officeDocument/2006/relationships/endnotes" Target="endnotes.xml" Id="rId8" /><Relationship Type="http://schemas.openxmlformats.org/officeDocument/2006/relationships/image" Target="media/image41.jpeg" Id="rId51" /><Relationship Type="http://schemas.openxmlformats.org/officeDocument/2006/relationships/image" Target="media/image62.jpeg" Id="rId72" /><Relationship Type="http://schemas.openxmlformats.org/officeDocument/2006/relationships/image" Target="media/image83.jpeg" Id="rId93" /><Relationship Type="http://schemas.openxmlformats.org/officeDocument/2006/relationships/image" Target="media/image88.jpeg" Id="rId98" /><Relationship Type="http://schemas.openxmlformats.org/officeDocument/2006/relationships/image" Target="media/image111.jpg" Id="rId121" /><Relationship Type="http://schemas.openxmlformats.org/officeDocument/2006/relationships/image" Target="media/image132.jpeg" Id="rId142" /><Relationship Type="http://schemas.openxmlformats.org/officeDocument/2006/relationships/image" Target="media/image152.png" Id="rId163" /><Relationship Type="http://schemas.openxmlformats.org/officeDocument/2006/relationships/image" Target="media/image171.jpg" Id="rId184" /><Relationship Type="http://schemas.openxmlformats.org/officeDocument/2006/relationships/image" Target="media/image176.jpg" Id="rId189" /><Relationship Type="http://schemas.openxmlformats.org/officeDocument/2006/relationships/image" Target="media/image206.jpeg" Id="rId219" /><Relationship Type="http://schemas.openxmlformats.org/officeDocument/2006/relationships/numbering" Target="numbering.xml" Id="rId3" /><Relationship Type="http://schemas.openxmlformats.org/officeDocument/2006/relationships/image" Target="media/image201.jpeg" Id="rId214" /><Relationship Type="http://schemas.openxmlformats.org/officeDocument/2006/relationships/image" Target="media/image217.jpeg" Id="rId230" /><Relationship Type="http://schemas.openxmlformats.org/officeDocument/2006/relationships/image" Target="media/image222.jpeg" Id="rId235" /><Relationship Type="http://schemas.openxmlformats.org/officeDocument/2006/relationships/image" Target="media/image238.jpeg" Id="rId251" /><Relationship Type="http://schemas.openxmlformats.org/officeDocument/2006/relationships/image" Target="media/image243.jpeg" Id="rId256" /><Relationship Type="http://schemas.openxmlformats.org/officeDocument/2006/relationships/image" Target="media/image264.jpeg" Id="rId277" /><Relationship Type="http://schemas.openxmlformats.org/officeDocument/2006/relationships/image" Target="media/image285.jpeg" Id="rId298" /><Relationship Type="http://schemas.openxmlformats.org/officeDocument/2006/relationships/image" Target="media/image16.jpeg" Id="rId25" /><Relationship Type="http://schemas.openxmlformats.org/officeDocument/2006/relationships/image" Target="media/image36.png" Id="rId46" /><Relationship Type="http://schemas.openxmlformats.org/officeDocument/2006/relationships/image" Target="media/image57.jpeg" Id="rId67" /><Relationship Type="http://schemas.openxmlformats.org/officeDocument/2006/relationships/image" Target="media/image106.jpeg" Id="rId116" /><Relationship Type="http://schemas.openxmlformats.org/officeDocument/2006/relationships/image" Target="media/image127.jpeg" Id="rId137" /><Relationship Type="http://schemas.openxmlformats.org/officeDocument/2006/relationships/image" Target="media/image147.jpeg" Id="rId158" /><Relationship Type="http://schemas.openxmlformats.org/officeDocument/2006/relationships/image" Target="media/image259.jpeg" Id="rId272" /><Relationship Type="http://schemas.openxmlformats.org/officeDocument/2006/relationships/image" Target="media/image280.jpeg" Id="rId293" /><Relationship Type="http://schemas.openxmlformats.org/officeDocument/2006/relationships/image" Target="media/image289.jpeg" Id="rId302" /><Relationship Type="http://schemas.openxmlformats.org/officeDocument/2006/relationships/image" Target="media/image294.png" Id="rId307" /><Relationship Type="http://schemas.openxmlformats.org/officeDocument/2006/relationships/footer" Target="footer2.xml" Id="rId323" /><Relationship Type="http://schemas.openxmlformats.org/officeDocument/2006/relationships/image" Target="media/image11.jpeg" Id="rId20" /><Relationship Type="http://schemas.openxmlformats.org/officeDocument/2006/relationships/image" Target="media/image31.jpeg" Id="rId41" /><Relationship Type="http://schemas.openxmlformats.org/officeDocument/2006/relationships/image" Target="media/image52.jpeg" Id="rId62" /><Relationship Type="http://schemas.openxmlformats.org/officeDocument/2006/relationships/image" Target="media/image73.jpeg" Id="rId83" /><Relationship Type="http://schemas.openxmlformats.org/officeDocument/2006/relationships/image" Target="media/image78.jpeg" Id="rId88" /><Relationship Type="http://schemas.openxmlformats.org/officeDocument/2006/relationships/image" Target="media/image101.jpeg" Id="rId111" /><Relationship Type="http://schemas.openxmlformats.org/officeDocument/2006/relationships/image" Target="media/image122.jpeg" Id="rId132" /><Relationship Type="http://schemas.openxmlformats.org/officeDocument/2006/relationships/image" Target="media/image142.jpeg" Id="rId153" /><Relationship Type="http://schemas.openxmlformats.org/officeDocument/2006/relationships/image" Target="media/image163.jpeg" Id="rId174" /><Relationship Type="http://schemas.openxmlformats.org/officeDocument/2006/relationships/hyperlink" Target="http://www.abs.gov.au/AUSSTATS/abs@.nsf/DetailsPage/4906.02016?OpenDocument" TargetMode="External" Id="rId179" /><Relationship Type="http://schemas.openxmlformats.org/officeDocument/2006/relationships/image" Target="media/image182.jpeg" Id="rId195" /><Relationship Type="http://schemas.openxmlformats.org/officeDocument/2006/relationships/image" Target="media/image196.jpeg" Id="rId209" /><Relationship Type="http://schemas.openxmlformats.org/officeDocument/2006/relationships/image" Target="media/image177.jpeg" Id="rId190" /><Relationship Type="http://schemas.openxmlformats.org/officeDocument/2006/relationships/image" Target="media/image191.png" Id="rId204" /><Relationship Type="http://schemas.openxmlformats.org/officeDocument/2006/relationships/image" Target="media/image207.jpeg" Id="rId220" /><Relationship Type="http://schemas.openxmlformats.org/officeDocument/2006/relationships/image" Target="media/image212.jpeg" Id="rId225" /><Relationship Type="http://schemas.openxmlformats.org/officeDocument/2006/relationships/image" Target="media/image228.jpeg" Id="rId241" /><Relationship Type="http://schemas.openxmlformats.org/officeDocument/2006/relationships/image" Target="media/image233.jpeg" Id="rId246" /><Relationship Type="http://schemas.openxmlformats.org/officeDocument/2006/relationships/image" Target="media/image254.jpeg" Id="rId267" /><Relationship Type="http://schemas.openxmlformats.org/officeDocument/2006/relationships/image" Target="media/image275.jpeg" Id="rId288" /><Relationship Type="http://schemas.openxmlformats.org/officeDocument/2006/relationships/image" Target="media/image6.jpeg" Id="rId15" /><Relationship Type="http://schemas.openxmlformats.org/officeDocument/2006/relationships/image" Target="media/image27.jpeg" Id="rId36" /><Relationship Type="http://schemas.openxmlformats.org/officeDocument/2006/relationships/image" Target="media/image47.jpg" Id="rId57" /><Relationship Type="http://schemas.openxmlformats.org/officeDocument/2006/relationships/image" Target="media/image96.jpeg" Id="rId106" /><Relationship Type="http://schemas.openxmlformats.org/officeDocument/2006/relationships/image" Target="media/image117.jpeg" Id="rId127" /><Relationship Type="http://schemas.openxmlformats.org/officeDocument/2006/relationships/image" Target="media/image249.jpeg" Id="rId262" /><Relationship Type="http://schemas.openxmlformats.org/officeDocument/2006/relationships/image" Target="media/image270.jpeg" Id="rId283" /><Relationship Type="http://schemas.openxmlformats.org/officeDocument/2006/relationships/image" Target="media/image300.jpeg" Id="rId313" /><Relationship Type="http://schemas.openxmlformats.org/officeDocument/2006/relationships/image" Target="media/image305.png" Id="rId318" /><Relationship Type="http://schemas.openxmlformats.org/officeDocument/2006/relationships/footer" Target="footer1.xml" Id="rId10" /><Relationship Type="http://schemas.openxmlformats.org/officeDocument/2006/relationships/image" Target="media/image22.jpeg" Id="rId31" /><Relationship Type="http://schemas.openxmlformats.org/officeDocument/2006/relationships/image" Target="media/image42.jpeg" Id="rId52" /><Relationship Type="http://schemas.openxmlformats.org/officeDocument/2006/relationships/image" Target="media/image63.jpg" Id="rId73" /><Relationship Type="http://schemas.openxmlformats.org/officeDocument/2006/relationships/image" Target="media/image68.jpeg" Id="rId78" /><Relationship Type="http://schemas.openxmlformats.org/officeDocument/2006/relationships/image" Target="media/image84.jpeg" Id="rId94" /><Relationship Type="http://schemas.openxmlformats.org/officeDocument/2006/relationships/image" Target="media/image89.jpeg" Id="rId99" /><Relationship Type="http://schemas.openxmlformats.org/officeDocument/2006/relationships/image" Target="media/image91.jpeg" Id="rId101" /><Relationship Type="http://schemas.openxmlformats.org/officeDocument/2006/relationships/image" Target="media/image112.jpg" Id="rId122" /><Relationship Type="http://schemas.openxmlformats.org/officeDocument/2006/relationships/image" Target="media/image133.jpeg" Id="rId143" /><Relationship Type="http://schemas.openxmlformats.org/officeDocument/2006/relationships/image" Target="media/image138.jpeg" Id="rId148" /><Relationship Type="http://schemas.openxmlformats.org/officeDocument/2006/relationships/image" Target="media/image153.jpeg" Id="rId164" /><Relationship Type="http://schemas.openxmlformats.org/officeDocument/2006/relationships/image" Target="media/image158.jpeg" Id="rId169" /><Relationship Type="http://schemas.openxmlformats.org/officeDocument/2006/relationships/image" Target="media/image172.jpeg" Id="rId185" /><Relationship Type="http://schemas.openxmlformats.org/officeDocument/2006/relationships/styles" Target="styles.xml" Id="rId4" /><Relationship Type="http://schemas.openxmlformats.org/officeDocument/2006/relationships/image" Target="media/image1.png" Id="rId9" /><Relationship Type="http://schemas.openxmlformats.org/officeDocument/2006/relationships/hyperlink" Target="http://www.abs.gov.au/AUSSTATS/abs@.nsf/DetailsPage/4906.02016?OpenDocument" TargetMode="External" Id="rId180" /><Relationship Type="http://schemas.openxmlformats.org/officeDocument/2006/relationships/image" Target="media/image197.jpeg" Id="rId210" /><Relationship Type="http://schemas.openxmlformats.org/officeDocument/2006/relationships/image" Target="media/image202.jpeg" Id="rId215" /><Relationship Type="http://schemas.openxmlformats.org/officeDocument/2006/relationships/image" Target="media/image223.jpeg" Id="rId236" /><Relationship Type="http://schemas.openxmlformats.org/officeDocument/2006/relationships/image" Target="media/image244.jpeg" Id="rId257" /><Relationship Type="http://schemas.openxmlformats.org/officeDocument/2006/relationships/image" Target="media/image265.jpeg" Id="rId278" /><Relationship Type="http://schemas.openxmlformats.org/officeDocument/2006/relationships/image" Target="media/image17.png" Id="rId26" /><Relationship Type="http://schemas.openxmlformats.org/officeDocument/2006/relationships/image" Target="media/image218.jpeg" Id="rId231" /><Relationship Type="http://schemas.openxmlformats.org/officeDocument/2006/relationships/image" Target="media/image239.jpeg" Id="rId252" /><Relationship Type="http://schemas.openxmlformats.org/officeDocument/2006/relationships/image" Target="media/image260.jpeg" Id="rId273" /><Relationship Type="http://schemas.openxmlformats.org/officeDocument/2006/relationships/image" Target="media/image281.jpeg" Id="rId294" /><Relationship Type="http://schemas.openxmlformats.org/officeDocument/2006/relationships/image" Target="media/image295.jpeg" Id="rId308" /><Relationship Type="http://schemas.openxmlformats.org/officeDocument/2006/relationships/image" Target="media/image37.jpeg" Id="rId47" /><Relationship Type="http://schemas.openxmlformats.org/officeDocument/2006/relationships/image" Target="media/image58.png" Id="rId68" /><Relationship Type="http://schemas.openxmlformats.org/officeDocument/2006/relationships/image" Target="media/image79.jpeg" Id="rId89" /><Relationship Type="http://schemas.openxmlformats.org/officeDocument/2006/relationships/image" Target="media/image102.jpeg" Id="rId112" /><Relationship Type="http://schemas.openxmlformats.org/officeDocument/2006/relationships/image" Target="media/image123.jpeg" Id="rId133" /><Relationship Type="http://schemas.openxmlformats.org/officeDocument/2006/relationships/image" Target="media/image143.jpeg" Id="rId154" /><Relationship Type="http://schemas.openxmlformats.org/officeDocument/2006/relationships/image" Target="media/image164.jpeg" Id="rId175" /><Relationship Type="http://schemas.openxmlformats.org/officeDocument/2006/relationships/image" Target="media/image183.jpg" Id="rId196" /><Relationship Type="http://schemas.openxmlformats.org/officeDocument/2006/relationships/image" Target="media/image187.jpeg" Id="rId200" /><Relationship Type="http://schemas.openxmlformats.org/officeDocument/2006/relationships/image" Target="media/image7.jpeg" Id="rId16" /><Relationship Type="http://schemas.openxmlformats.org/officeDocument/2006/relationships/image" Target="media/image208.jpeg" Id="rId221" /><Relationship Type="http://schemas.openxmlformats.org/officeDocument/2006/relationships/image" Target="media/image229.emf" Id="rId242" /><Relationship Type="http://schemas.openxmlformats.org/officeDocument/2006/relationships/image" Target="media/image250.jpeg" Id="rId263" /><Relationship Type="http://schemas.openxmlformats.org/officeDocument/2006/relationships/image" Target="media/image271.jpeg" Id="rId284" /><Relationship Type="http://schemas.openxmlformats.org/officeDocument/2006/relationships/image" Target="media/image306.jpeg" Id="rId319" /><Relationship Type="http://schemas.openxmlformats.org/officeDocument/2006/relationships/image" Target="media/image28.jpeg" Id="rId37" /><Relationship Type="http://schemas.openxmlformats.org/officeDocument/2006/relationships/image" Target="media/image48.jpeg" Id="rId58" /><Relationship Type="http://schemas.openxmlformats.org/officeDocument/2006/relationships/image" Target="media/image69.jpeg" Id="rId79" /><Relationship Type="http://schemas.openxmlformats.org/officeDocument/2006/relationships/image" Target="media/image92.jpeg" Id="rId102" /><Relationship Type="http://schemas.openxmlformats.org/officeDocument/2006/relationships/image" Target="media/image113.jpeg" Id="rId123" /><Relationship Type="http://schemas.openxmlformats.org/officeDocument/2006/relationships/image" Target="media/image134.jpeg" Id="rId144" /><Relationship Type="http://schemas.openxmlformats.org/officeDocument/2006/relationships/image" Target="media/image80.jpeg" Id="rId90" /><Relationship Type="http://schemas.openxmlformats.org/officeDocument/2006/relationships/image" Target="media/image154.jpeg" Id="rId165" /><Relationship Type="http://schemas.openxmlformats.org/officeDocument/2006/relationships/image" Target="media/image173.jpeg" Id="rId186" /><Relationship Type="http://schemas.openxmlformats.org/officeDocument/2006/relationships/image" Target="media/image198.jpeg" Id="rId211" /><Relationship Type="http://schemas.openxmlformats.org/officeDocument/2006/relationships/image" Target="media/image219.emf" Id="rId232" /><Relationship Type="http://schemas.openxmlformats.org/officeDocument/2006/relationships/image" Target="media/image240.jpeg" Id="rId253" /><Relationship Type="http://schemas.openxmlformats.org/officeDocument/2006/relationships/image" Target="media/image261.jpeg" Id="rId274" /><Relationship Type="http://schemas.openxmlformats.org/officeDocument/2006/relationships/image" Target="media/image282.jpeg" Id="rId295" /><Relationship Type="http://schemas.openxmlformats.org/officeDocument/2006/relationships/image" Target="media/image296.jpeg" Id="rId309" /><Relationship Type="http://schemas.openxmlformats.org/officeDocument/2006/relationships/image" Target="media/image18.jpeg" Id="rId27" /><Relationship Type="http://schemas.openxmlformats.org/officeDocument/2006/relationships/image" Target="media/image38.jpeg" Id="rId48" /><Relationship Type="http://schemas.openxmlformats.org/officeDocument/2006/relationships/image" Target="media/image59.jpeg" Id="rId69" /><Relationship Type="http://schemas.openxmlformats.org/officeDocument/2006/relationships/image" Target="media/image103.jpeg" Id="rId113" /><Relationship Type="http://schemas.openxmlformats.org/officeDocument/2006/relationships/image" Target="media/image124.jpeg" Id="rId134" /><Relationship Type="http://schemas.openxmlformats.org/officeDocument/2006/relationships/image" Target="media/image307.jpeg" Id="rId320" /><Relationship Type="http://schemas.openxmlformats.org/officeDocument/2006/relationships/image" Target="media/image70.jpeg" Id="rId80" /><Relationship Type="http://schemas.openxmlformats.org/officeDocument/2006/relationships/image" Target="media/image144.jpeg" Id="rId155" /><Relationship Type="http://schemas.openxmlformats.org/officeDocument/2006/relationships/image" Target="media/image165.jpeg" Id="rId176" /><Relationship Type="http://schemas.openxmlformats.org/officeDocument/2006/relationships/image" Target="media/image184.jpeg" Id="rId197" /><Relationship Type="http://schemas.openxmlformats.org/officeDocument/2006/relationships/image" Target="media/image188.jpg" Id="rId201" /><Relationship Type="http://schemas.openxmlformats.org/officeDocument/2006/relationships/image" Target="media/image209.png" Id="rId222" /><Relationship Type="http://schemas.openxmlformats.org/officeDocument/2006/relationships/image" Target="media/image230.jpeg" Id="rId243" /><Relationship Type="http://schemas.openxmlformats.org/officeDocument/2006/relationships/image" Target="media/image251.jpeg" Id="rId264" /><Relationship Type="http://schemas.openxmlformats.org/officeDocument/2006/relationships/image" Target="media/image272.jpeg" Id="rId285" /><Relationship Type="http://schemas.openxmlformats.org/officeDocument/2006/relationships/image" Target="media/image8.png" Id="rId17" /><Relationship Type="http://schemas.openxmlformats.org/officeDocument/2006/relationships/image" Target="media/image29.jpeg" Id="rId38" /><Relationship Type="http://schemas.openxmlformats.org/officeDocument/2006/relationships/image" Target="media/image49.jpeg" Id="rId59" /><Relationship Type="http://schemas.openxmlformats.org/officeDocument/2006/relationships/image" Target="media/image93.jpeg" Id="rId103" /><Relationship Type="http://schemas.openxmlformats.org/officeDocument/2006/relationships/image" Target="media/image114.jpeg" Id="rId124" /><Relationship Type="http://schemas.openxmlformats.org/officeDocument/2006/relationships/image" Target="media/image297.png" Id="rId310" /><Relationship Type="http://schemas.openxmlformats.org/officeDocument/2006/relationships/image" Target="media/image60.emf" Id="rId70" /><Relationship Type="http://schemas.openxmlformats.org/officeDocument/2006/relationships/image" Target="media/image81.jpeg" Id="rId91" /><Relationship Type="http://schemas.openxmlformats.org/officeDocument/2006/relationships/image" Target="media/image135.jpeg" Id="rId145" /><Relationship Type="http://schemas.openxmlformats.org/officeDocument/2006/relationships/image" Target="media/image155.png" Id="rId166" /><Relationship Type="http://schemas.openxmlformats.org/officeDocument/2006/relationships/image" Target="media/image174.jpeg" Id="rId187" /><Relationship Type="http://schemas.openxmlformats.org/officeDocument/2006/relationships/image" Target="media/image199.jpeg" Id="rId212" /><Relationship Type="http://schemas.openxmlformats.org/officeDocument/2006/relationships/image" Target="media/image220.jpeg" Id="rId233" /><Relationship Type="http://schemas.openxmlformats.org/officeDocument/2006/relationships/image" Target="media/image241.jpeg" Id="rId254" /><Relationship Type="http://schemas.openxmlformats.org/officeDocument/2006/relationships/image" Target="media/image19.jpeg" Id="rId28" /><Relationship Type="http://schemas.openxmlformats.org/officeDocument/2006/relationships/image" Target="media/image39.jpeg" Id="rId49" /><Relationship Type="http://schemas.openxmlformats.org/officeDocument/2006/relationships/image" Target="media/image104.jpeg" Id="rId114" /><Relationship Type="http://schemas.openxmlformats.org/officeDocument/2006/relationships/image" Target="media/image262.jpeg" Id="rId275" /><Relationship Type="http://schemas.openxmlformats.org/officeDocument/2006/relationships/image" Target="media/image283.jpeg" Id="rId296" /><Relationship Type="http://schemas.openxmlformats.org/officeDocument/2006/relationships/image" Target="media/image287.jpeg" Id="rId300" /><Relationship Type="http://schemas.openxmlformats.org/officeDocument/2006/relationships/image" Target="media/image50.jpeg" Id="rId60" /><Relationship Type="http://schemas.openxmlformats.org/officeDocument/2006/relationships/image" Target="media/image71.jpeg" Id="rId81" /><Relationship Type="http://schemas.openxmlformats.org/officeDocument/2006/relationships/image" Target="media/image125.jpeg" Id="rId135" /><Relationship Type="http://schemas.openxmlformats.org/officeDocument/2006/relationships/image" Target="media/image145.jpeg" Id="rId156" /><Relationship Type="http://schemas.openxmlformats.org/officeDocument/2006/relationships/image" Target="media/image166.jpeg" Id="rId177" /><Relationship Type="http://schemas.openxmlformats.org/officeDocument/2006/relationships/image" Target="media/image185.jpeg" Id="rId198" /><Relationship Type="http://schemas.openxmlformats.org/officeDocument/2006/relationships/image" Target="media/image308.jpeg" Id="rId321" /><Relationship Type="http://schemas.openxmlformats.org/officeDocument/2006/relationships/image" Target="media/image189.jpeg" Id="rId202" /><Relationship Type="http://schemas.openxmlformats.org/officeDocument/2006/relationships/image" Target="media/image210.jpeg" Id="rId223" /><Relationship Type="http://schemas.openxmlformats.org/officeDocument/2006/relationships/image" Target="media/image231.png" Id="rId244" /><Relationship Type="http://schemas.openxmlformats.org/officeDocument/2006/relationships/image" Target="media/image9.emf" Id="rId18" /><Relationship Type="http://schemas.microsoft.com/office/2007/relationships/hdphoto" Target="media/hdphoto1.wdp" Id="rId39" /><Relationship Type="http://schemas.openxmlformats.org/officeDocument/2006/relationships/image" Target="media/image252.jpeg" Id="rId265" /><Relationship Type="http://schemas.openxmlformats.org/officeDocument/2006/relationships/image" Target="media/image273.jpeg" Id="rId286" /><Relationship Type="http://schemas.openxmlformats.org/officeDocument/2006/relationships/image" Target="media/image40.jpeg" Id="rId50" /><Relationship Type="http://schemas.openxmlformats.org/officeDocument/2006/relationships/image" Target="media/image94.png" Id="rId104" /><Relationship Type="http://schemas.openxmlformats.org/officeDocument/2006/relationships/image" Target="media/image115.jpeg" Id="rId125" /><Relationship Type="http://schemas.openxmlformats.org/officeDocument/2006/relationships/image" Target="media/image136.jpeg" Id="rId146" /><Relationship Type="http://schemas.openxmlformats.org/officeDocument/2006/relationships/image" Target="media/image156.emf" Id="rId167" /><Relationship Type="http://schemas.openxmlformats.org/officeDocument/2006/relationships/image" Target="media/image175.jpeg" Id="rId188" /><Relationship Type="http://schemas.openxmlformats.org/officeDocument/2006/relationships/image" Target="media/image298.jpeg" Id="rId311" /><Relationship Type="http://schemas.openxmlformats.org/officeDocument/2006/relationships/image" Target="media/image61.emf" Id="rId71" /><Relationship Type="http://schemas.openxmlformats.org/officeDocument/2006/relationships/image" Target="media/image82.jpeg" Id="rId92" /><Relationship Type="http://schemas.openxmlformats.org/officeDocument/2006/relationships/image" Target="media/image200.jpeg" Id="rId213" /><Relationship Type="http://schemas.openxmlformats.org/officeDocument/2006/relationships/image" Target="media/image221.jpeg" Id="rId234" /><Relationship Type="http://schemas.openxmlformats.org/officeDocument/2006/relationships/customXml" Target="../customXml/item2.xml" Id="rId2" /><Relationship Type="http://schemas.openxmlformats.org/officeDocument/2006/relationships/image" Target="media/image20.png" Id="rId29" /><Relationship Type="http://schemas.openxmlformats.org/officeDocument/2006/relationships/image" Target="media/image242.jpeg" Id="rId255" /><Relationship Type="http://schemas.openxmlformats.org/officeDocument/2006/relationships/image" Target="media/image263.png" Id="rId276" /><Relationship Type="http://schemas.openxmlformats.org/officeDocument/2006/relationships/image" Target="media/image284.jpeg" Id="rId297" /><Relationship Type="http://schemas.openxmlformats.org/officeDocument/2006/relationships/image" Target="media/image30.jpeg" Id="rId40" /><Relationship Type="http://schemas.openxmlformats.org/officeDocument/2006/relationships/image" Target="media/image105.jpeg" Id="rId115" /><Relationship Type="http://schemas.openxmlformats.org/officeDocument/2006/relationships/image" Target="media/image126.jpeg" Id="rId136" /><Relationship Type="http://schemas.openxmlformats.org/officeDocument/2006/relationships/image" Target="media/image146.jpeg" Id="rId157" /><Relationship Type="http://schemas.openxmlformats.org/officeDocument/2006/relationships/image" Target="media/image167.jpeg" Id="rId178" /><Relationship Type="http://schemas.openxmlformats.org/officeDocument/2006/relationships/image" Target="media/image288.jpeg" Id="rId301" /><Relationship Type="http://schemas.openxmlformats.org/officeDocument/2006/relationships/hyperlink" Target="https://www.ncbi.nlm.nih.gov/pmc/articles/PMC7326340/" TargetMode="External" Id="rId322" /><Relationship Type="http://schemas.openxmlformats.org/officeDocument/2006/relationships/image" Target="media/image51.jpeg" Id="rId61" /><Relationship Type="http://schemas.openxmlformats.org/officeDocument/2006/relationships/image" Target="media/image72.jpeg" Id="rId82" /><Relationship Type="http://schemas.openxmlformats.org/officeDocument/2006/relationships/image" Target="media/image186.png" Id="rId199" /><Relationship Type="http://schemas.openxmlformats.org/officeDocument/2006/relationships/image" Target="media/image190.jpeg" Id="rId203" /><Relationship Type="http://schemas.openxmlformats.org/officeDocument/2006/relationships/image" Target="media/image10.jpeg" Id="rId19" /><Relationship Type="http://schemas.openxmlformats.org/officeDocument/2006/relationships/image" Target="media/image211.jpeg" Id="rId224" /><Relationship Type="http://schemas.openxmlformats.org/officeDocument/2006/relationships/image" Target="media/image232.emf" Id="rId245" /><Relationship Type="http://schemas.openxmlformats.org/officeDocument/2006/relationships/image" Target="media/image253.jpeg" Id="rId266" /><Relationship Type="http://schemas.openxmlformats.org/officeDocument/2006/relationships/image" Target="media/image274.jpeg" Id="rId287" /><Relationship Type="http://schemas.openxmlformats.org/officeDocument/2006/relationships/customXml" Target="/customXML/item3.xml" Id="R86e780352ad1406e" /></Relationships>
</file>

<file path=word/_rels/footnotes.xml.rels><?xml version="1.0" encoding="UTF-8" standalone="yes"?>
<Relationships xmlns="http://schemas.openxmlformats.org/package/2006/relationships"><Relationship Id="rId3" Type="http://schemas.openxmlformats.org/officeDocument/2006/relationships/hyperlink" Target="https://www.ncbi.nlm.nih.gov/pubmed/27344352" TargetMode="External"/><Relationship Id="rId2" Type="http://schemas.openxmlformats.org/officeDocument/2006/relationships/hyperlink" Target="http://www.gendercentre.org.au/resources/polare-archive/archived-articles/how-many-of-us-are-there.htm" TargetMode="External"/><Relationship Id="rId1" Type="http://schemas.openxmlformats.org/officeDocument/2006/relationships/hyperlink" Target="http://www.roymorgan.com/findings/6263-exactly-how-many-australians-are-gay-december-2014-201506020136" TargetMode="External"/><Relationship Id="rId5" Type="http://schemas.openxmlformats.org/officeDocument/2006/relationships/hyperlink" Target="https://www.sciencedirect.com/science/journal/03064603/39/12" TargetMode="External"/><Relationship Id="rId4" Type="http://schemas.openxmlformats.org/officeDocument/2006/relationships/hyperlink" Target="https://www.sciencedirect.com/science/journal/03064603"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3.xml.rels>&#65279;<?xml version="1.0" encoding="utf-8"?><Relationships xmlns="http://schemas.openxmlformats.org/package/2006/relationships"><Relationship Type="http://schemas.openxmlformats.org/officeDocument/2006/relationships/customXmlProps" Target="/customXML/itemProps3.xml" Id="Rd3c4172d526e4b2384ade4b889302c76" /></Relationships>
</file>

<file path=customXML/item3.xml><?xml version="1.0" encoding="utf-8"?>
<metadata xmlns="http://www.objective.com/ecm/document/metadata/9676E22B47CC48CBA49BA16071DCFF24" version="1.0.0">
  <systemFields>
    <field name="Objective-Id">
      <value order="0">A6819540</value>
    </field>
    <field name="Objective-Title">
      <value order="0">C Greater Dandenong Health and Wellbeing Profile</value>
    </field>
    <field name="Objective-Description">
      <value order="0"/>
    </field>
    <field name="Objective-CreationStamp">
      <value order="0">2020-08-30T21:38:06Z</value>
    </field>
    <field name="Objective-IsApproved">
      <value order="0">false</value>
    </field>
    <field name="Objective-IsPublished">
      <value order="0">true</value>
    </field>
    <field name="Objective-DatePublished">
      <value order="0">2021-04-23T02:35:04Z</value>
    </field>
    <field name="Objective-ModificationStamp">
      <value order="0">2021-04-23T02:35:04Z</value>
    </field>
    <field name="Objective-Owner">
      <value order="0">Fran McKechnie</value>
    </field>
    <field name="Objective-Path">
      <value order="0">Classified Object:Classified Object:Classified Object:Classified Object:Webpage Stats A Summaries of Social Information</value>
    </field>
    <field name="Objective-Parent">
      <value order="0">Webpage Stats A Summaries of Social Information</value>
    </field>
    <field name="Objective-State">
      <value order="0">Published</value>
    </field>
    <field name="Objective-VersionId">
      <value order="0">vA9844369</value>
    </field>
    <field name="Objective-Version">
      <value order="0">2.0</value>
    </field>
    <field name="Objective-VersionNumber">
      <value order="0">2</value>
    </field>
    <field name="Objective-VersionComment">
      <value order="0"/>
    </field>
    <field name="Objective-FileNumber">
      <value order="0">qA1096</value>
    </field>
    <field name="Objective-Classification">
      <value order="0"/>
    </field>
    <field name="Objective-Caveats">
      <value order="0"/>
    </field>
  </systemFields>
  <catalogues>
    <catalogue name="Document Type Catalogue" type="type" ori="id:cA11">
      <field name="Objective-Business Unit">
        <value order="0">Community Development</value>
      </field>
      <field name="Objective-Corporate Document Type">
        <value order="0"/>
      </field>
      <field name="Objective-Records Audit Vital Record">
        <value order="0"/>
      </field>
      <field name="Objective-Records Audit Date">
        <value order="0"/>
      </field>
      <field name="Objective-Connect Creator">
        <value order="0"/>
      </field>
    </catalogue>
  </catalogues>
</metadata>
</file>

<file path=customXML/itemProps3.xml><?xml version="1.0" encoding="utf-8"?>
<ds:datastoreItem xmlns:ds="http://schemas.openxmlformats.org/officeDocument/2006/customXml" ds:itemID="{5745109E-2DDF-40CB-AC2B-FF9B10C90820}">
  <ds:schemaRefs>
    <ds:schemaRef ds:uri="http://www.objective.com/ecm/document/metadata/9676E22B47CC48CBA49BA16071DCFF24"/>
  </ds:schemaRefs>
</ds:datastoreItem>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2.xml><?xml version="1.0" encoding="utf-8"?>
<b:Sources xmlns:b="http://schemas.openxmlformats.org/officeDocument/2006/bibliography" xmlns="http://schemas.openxmlformats.org/officeDocument/2006/bibliography" SelectedStyle="\APA.XSL" StyleName="APA"/>
</file>

<file path=customXml/itemProps2.xml><?xml version="1.0" encoding="utf-8"?>
<ds:datastoreItem xmlns:ds="http://schemas.openxmlformats.org/officeDocument/2006/customXml" ds:itemID="{6DCDFBEE-C471-408A-88DF-FC27A7F9899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117</Pages>
  <Words>28342</Words>
  <Characters>161555</Characters>
  <Application>Microsoft Office Word</Application>
  <DocSecurity>0</DocSecurity>
  <Lines>1346</Lines>
  <Paragraphs>379</Paragraphs>
  <ScaleCrop>false</ScaleCrop>
  <HeadingPairs>
    <vt:vector size="2" baseType="variant">
      <vt:variant>
        <vt:lpstr>Title</vt:lpstr>
      </vt:variant>
      <vt:variant>
        <vt:i4>1</vt:i4>
      </vt:variant>
    </vt:vector>
  </HeadingPairs>
  <TitlesOfParts>
    <vt:vector size="1" baseType="lpstr">
      <vt:lpstr/>
    </vt:vector>
  </TitlesOfParts>
  <Company>City of Greater Dandenong</Company>
  <LinksUpToDate>false</LinksUpToDate>
  <CharactersWithSpaces>189518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hbrown</dc:creator>
  <cp:lastModifiedBy>Hayden Brown</cp:lastModifiedBy>
  <cp:revision>3</cp:revision>
  <cp:lastPrinted>2019-11-11T20:03:00Z</cp:lastPrinted>
  <dcterms:created xsi:type="dcterms:W3CDTF">2020-08-23T12:19:00Z</dcterms:created>
  <dcterms:modified xsi:type="dcterms:W3CDTF">2021-04-23T02:34:00Z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hecked by">
    <vt:lpwstr>32123</vt:lpwstr>
  </property>
  <property fmtid="{D5CDD505-2E9C-101B-9397-08002B2CF9AE}" pid="3" name="Objective-Id">
    <vt:lpwstr>A6819540</vt:lpwstr>
  </property>
  <property fmtid="{D5CDD505-2E9C-101B-9397-08002B2CF9AE}" pid="4" name="Objective-Title">
    <vt:lpwstr>C Greater Dandenong Health and Wellbeing Profile</vt:lpwstr>
  </property>
  <property fmtid="{D5CDD505-2E9C-101B-9397-08002B2CF9AE}" pid="5" name="Objective-Description">
    <vt:lpwstr/>
  </property>
  <property fmtid="{D5CDD505-2E9C-101B-9397-08002B2CF9AE}" pid="6" name="Objective-CreationStamp">
    <vt:filetime>2020-08-30T21:38:06Z</vt:filetime>
  </property>
  <property fmtid="{D5CDD505-2E9C-101B-9397-08002B2CF9AE}" pid="7" name="Objective-IsApproved">
    <vt:bool>false</vt:bool>
  </property>
  <property fmtid="{D5CDD505-2E9C-101B-9397-08002B2CF9AE}" pid="8" name="Objective-IsPublished">
    <vt:bool>true</vt:bool>
  </property>
  <property fmtid="{D5CDD505-2E9C-101B-9397-08002B2CF9AE}" pid="9" name="Objective-DatePublished">
    <vt:filetime>2021-04-23T02:35:04Z</vt:filetime>
  </property>
  <property fmtid="{D5CDD505-2E9C-101B-9397-08002B2CF9AE}" pid="10" name="Objective-ModificationStamp">
    <vt:filetime>2021-04-23T02:35:04Z</vt:filetime>
  </property>
  <property fmtid="{D5CDD505-2E9C-101B-9397-08002B2CF9AE}" pid="11" name="Objective-Owner">
    <vt:lpwstr>Fran McKechnie</vt:lpwstr>
  </property>
  <property fmtid="{D5CDD505-2E9C-101B-9397-08002B2CF9AE}" pid="12" name="Objective-Path">
    <vt:lpwstr>Classified Object:Classified Object:Classified Object:Classified Object:Webpage Stats A Summaries of Social Information</vt:lpwstr>
  </property>
  <property fmtid="{D5CDD505-2E9C-101B-9397-08002B2CF9AE}" pid="13" name="Objective-Parent">
    <vt:lpwstr>Webpage Stats A Summaries of Social Information</vt:lpwstr>
  </property>
  <property fmtid="{D5CDD505-2E9C-101B-9397-08002B2CF9AE}" pid="14" name="Objective-State">
    <vt:lpwstr>Published</vt:lpwstr>
  </property>
  <property fmtid="{D5CDD505-2E9C-101B-9397-08002B2CF9AE}" pid="15" name="Objective-VersionId">
    <vt:lpwstr>vA9844369</vt:lpwstr>
  </property>
  <property fmtid="{D5CDD505-2E9C-101B-9397-08002B2CF9AE}" pid="16" name="Objective-Version">
    <vt:lpwstr>2.0</vt:lpwstr>
  </property>
  <property fmtid="{D5CDD505-2E9C-101B-9397-08002B2CF9AE}" pid="17" name="Objective-VersionNumber">
    <vt:r8>2</vt:r8>
  </property>
  <property fmtid="{D5CDD505-2E9C-101B-9397-08002B2CF9AE}" pid="18" name="Objective-VersionComment">
    <vt:lpwstr/>
  </property>
  <property fmtid="{D5CDD505-2E9C-101B-9397-08002B2CF9AE}" pid="19" name="Objective-FileNumber">
    <vt:lpwstr>qA1096</vt:lpwstr>
  </property>
  <property fmtid="{D5CDD505-2E9C-101B-9397-08002B2CF9AE}" pid="20" name="Objective-Classification">
    <vt:lpwstr/>
  </property>
  <property fmtid="{D5CDD505-2E9C-101B-9397-08002B2CF9AE}" pid="21" name="Objective-Caveats">
    <vt:lpwstr/>
  </property>
  <property fmtid="{D5CDD505-2E9C-101B-9397-08002B2CF9AE}" pid="22" name="Objective-Business Unit">
    <vt:lpwstr>Community Development</vt:lpwstr>
  </property>
  <property fmtid="{D5CDD505-2E9C-101B-9397-08002B2CF9AE}" pid="23" name="Objective-Corporate Document Type">
    <vt:lpwstr/>
  </property>
  <property fmtid="{D5CDD505-2E9C-101B-9397-08002B2CF9AE}" pid="24" name="Objective-Records Audit Date">
    <vt:lpwstr/>
  </property>
  <property fmtid="{D5CDD505-2E9C-101B-9397-08002B2CF9AE}" pid="25" name="Objective-Records Audit Vital Record">
    <vt:lpwstr/>
  </property>
  <property fmtid="{D5CDD505-2E9C-101B-9397-08002B2CF9AE}" pid="26" name="Objective-Comment">
    <vt:lpwstr/>
  </property>
  <property fmtid="{D5CDD505-2E9C-101B-9397-08002B2CF9AE}" pid="27" name="Objective-Business Unit [system]">
    <vt:lpwstr>Community Development</vt:lpwstr>
  </property>
  <property fmtid="{D5CDD505-2E9C-101B-9397-08002B2CF9AE}" pid="28" name="Objective-Corporate Document Type [system]">
    <vt:lpwstr/>
  </property>
  <property fmtid="{D5CDD505-2E9C-101B-9397-08002B2CF9AE}" pid="29" name="Objective-Records Audit Vital Record [system]">
    <vt:lpwstr/>
  </property>
  <property fmtid="{D5CDD505-2E9C-101B-9397-08002B2CF9AE}" pid="30" name="Objective-Records Audit Date [system]">
    <vt:lpwstr/>
  </property>
  <property fmtid="{D5CDD505-2E9C-101B-9397-08002B2CF9AE}" pid="31" name="Objective-Connect Creator">
    <vt:lpwstr/>
  </property>
</Properties>
</file>