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0F1D5" w14:textId="77777777" w:rsidR="00894B04" w:rsidRPr="0091465B" w:rsidRDefault="00894B04" w:rsidP="00894B04">
      <w:pPr>
        <w:jc w:val="center"/>
        <w:rPr>
          <w:rFonts w:asciiTheme="minorHAnsi" w:hAnsiTheme="minorHAnsi" w:cstheme="minorHAnsi"/>
          <w:color w:val="244061" w:themeColor="accent1" w:themeShade="80"/>
          <w:sz w:val="32"/>
          <w:szCs w:val="32"/>
        </w:rPr>
      </w:pPr>
      <w:bookmarkStart w:id="0" w:name="_Hlk23172095"/>
      <w:r w:rsidRPr="0091465B">
        <w:rPr>
          <w:rFonts w:asciiTheme="minorHAnsi" w:hAnsiTheme="minorHAnsi" w:cstheme="minorHAnsi"/>
          <w:noProof/>
          <w:color w:val="244061" w:themeColor="accent1" w:themeShade="80"/>
          <w:sz w:val="32"/>
          <w:szCs w:val="32"/>
        </w:rPr>
        <w:drawing>
          <wp:anchor distT="0" distB="0" distL="114300" distR="114300" simplePos="0" relativeHeight="251671552" behindDoc="0" locked="0" layoutInCell="1" allowOverlap="1" wp14:anchorId="40B9C0D9" wp14:editId="31280DF7">
            <wp:simplePos x="0" y="0"/>
            <wp:positionH relativeFrom="margin">
              <wp:align>left</wp:align>
            </wp:positionH>
            <wp:positionV relativeFrom="paragraph">
              <wp:posOffset>-5715</wp:posOffset>
            </wp:positionV>
            <wp:extent cx="314325" cy="566599"/>
            <wp:effectExtent l="0" t="0" r="0" b="508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aphorical - Silouette of Wom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554" cy="572420"/>
                    </a:xfrm>
                    <a:prstGeom prst="rect">
                      <a:avLst/>
                    </a:prstGeom>
                  </pic:spPr>
                </pic:pic>
              </a:graphicData>
            </a:graphic>
            <wp14:sizeRelH relativeFrom="page">
              <wp14:pctWidth>0</wp14:pctWidth>
            </wp14:sizeRelH>
            <wp14:sizeRelV relativeFrom="page">
              <wp14:pctHeight>0</wp14:pctHeight>
            </wp14:sizeRelV>
          </wp:anchor>
        </w:drawing>
      </w:r>
      <w:r w:rsidRPr="0091465B">
        <w:rPr>
          <w:rFonts w:asciiTheme="minorHAnsi" w:hAnsiTheme="minorHAnsi" w:cstheme="minorHAnsi"/>
          <w:color w:val="244061" w:themeColor="accent1" w:themeShade="80"/>
          <w:sz w:val="32"/>
          <w:szCs w:val="32"/>
        </w:rPr>
        <w:t xml:space="preserve">Notes about Gender Equity: </w:t>
      </w:r>
    </w:p>
    <w:p w14:paraId="3A3365BF" w14:textId="77777777" w:rsidR="00845324" w:rsidRDefault="00680641" w:rsidP="00894B04">
      <w:pPr>
        <w:jc w:val="center"/>
        <w:rPr>
          <w:rFonts w:asciiTheme="minorHAnsi" w:hAnsiTheme="minorHAnsi" w:cstheme="minorHAnsi"/>
          <w:b/>
          <w:bCs/>
          <w:color w:val="244061" w:themeColor="accent1" w:themeShade="80"/>
          <w:sz w:val="32"/>
          <w:szCs w:val="32"/>
        </w:rPr>
      </w:pPr>
      <w:r>
        <w:rPr>
          <w:rFonts w:asciiTheme="minorHAnsi" w:hAnsiTheme="minorHAnsi" w:cstheme="minorHAnsi"/>
          <w:b/>
          <w:bCs/>
          <w:color w:val="244061" w:themeColor="accent1" w:themeShade="80"/>
          <w:sz w:val="32"/>
          <w:szCs w:val="32"/>
        </w:rPr>
        <w:t>Family Violence</w:t>
      </w:r>
      <w:r w:rsidR="00845324">
        <w:rPr>
          <w:rFonts w:asciiTheme="minorHAnsi" w:hAnsiTheme="minorHAnsi" w:cstheme="minorHAnsi"/>
          <w:b/>
          <w:bCs/>
          <w:color w:val="244061" w:themeColor="accent1" w:themeShade="80"/>
          <w:sz w:val="32"/>
          <w:szCs w:val="32"/>
        </w:rPr>
        <w:t>, Harassment and Stalking</w:t>
      </w:r>
      <w:r>
        <w:rPr>
          <w:rFonts w:asciiTheme="minorHAnsi" w:hAnsiTheme="minorHAnsi" w:cstheme="minorHAnsi"/>
          <w:b/>
          <w:bCs/>
          <w:color w:val="244061" w:themeColor="accent1" w:themeShade="80"/>
          <w:sz w:val="32"/>
          <w:szCs w:val="32"/>
        </w:rPr>
        <w:t xml:space="preserve">: </w:t>
      </w:r>
    </w:p>
    <w:p w14:paraId="57FA847E" w14:textId="09E42F68" w:rsidR="00894B04" w:rsidRPr="00845324" w:rsidRDefault="00845324" w:rsidP="00894B04">
      <w:pPr>
        <w:jc w:val="center"/>
        <w:rPr>
          <w:rFonts w:asciiTheme="minorHAnsi" w:hAnsiTheme="minorHAnsi" w:cstheme="minorHAnsi"/>
          <w:color w:val="244061" w:themeColor="accent1" w:themeShade="80"/>
        </w:rPr>
      </w:pPr>
      <w:r w:rsidRPr="00845324">
        <w:rPr>
          <w:rFonts w:asciiTheme="minorHAnsi" w:hAnsiTheme="minorHAnsi" w:cstheme="minorHAnsi"/>
          <w:color w:val="244061" w:themeColor="accent1" w:themeShade="80"/>
        </w:rPr>
        <w:t>Including their</w:t>
      </w:r>
      <w:r w:rsidR="00680641" w:rsidRPr="00845324">
        <w:rPr>
          <w:rFonts w:asciiTheme="minorHAnsi" w:hAnsiTheme="minorHAnsi" w:cstheme="minorHAnsi"/>
          <w:color w:val="244061" w:themeColor="accent1" w:themeShade="80"/>
        </w:rPr>
        <w:t xml:space="preserve"> prevalence and link to gender equity</w:t>
      </w:r>
    </w:p>
    <w:p w14:paraId="47F50417" w14:textId="77777777" w:rsidR="00894B04" w:rsidRPr="0091465B" w:rsidRDefault="00894B04" w:rsidP="008C61EB">
      <w:pPr>
        <w:tabs>
          <w:tab w:val="left" w:pos="284"/>
        </w:tabs>
        <w:spacing w:line="360" w:lineRule="auto"/>
        <w:jc w:val="both"/>
        <w:rPr>
          <w:rFonts w:asciiTheme="minorHAnsi" w:hAnsiTheme="minorHAnsi" w:cstheme="minorHAnsi"/>
          <w:b/>
          <w:noProof/>
          <w:sz w:val="22"/>
          <w:szCs w:val="22"/>
        </w:rPr>
      </w:pPr>
    </w:p>
    <w:p w14:paraId="47D9E432" w14:textId="3750CA0B" w:rsidR="00845F9C" w:rsidRPr="0019655D" w:rsidRDefault="008C61EB" w:rsidP="0019655D">
      <w:pPr>
        <w:tabs>
          <w:tab w:val="left" w:pos="284"/>
        </w:tabs>
        <w:spacing w:line="360" w:lineRule="auto"/>
        <w:jc w:val="both"/>
        <w:rPr>
          <w:rFonts w:asciiTheme="minorHAnsi" w:hAnsiTheme="minorHAnsi" w:cstheme="minorHAnsi"/>
          <w:noProof/>
          <w:sz w:val="22"/>
          <w:szCs w:val="22"/>
        </w:rPr>
      </w:pPr>
      <w:r w:rsidRPr="0091465B">
        <w:rPr>
          <w:rFonts w:asciiTheme="minorHAnsi" w:hAnsiTheme="minorHAnsi" w:cstheme="minorHAnsi"/>
          <w:noProof/>
          <w:sz w:val="22"/>
          <w:szCs w:val="22"/>
        </w:rPr>
        <w:t xml:space="preserve">Violence within families, including the abuse of children, cannot be measured with accuracy. </w:t>
      </w:r>
      <w:r w:rsidR="00891AF7">
        <w:rPr>
          <w:rFonts w:asciiTheme="minorHAnsi" w:hAnsiTheme="minorHAnsi" w:cstheme="minorHAnsi"/>
          <w:noProof/>
          <w:sz w:val="22"/>
          <w:szCs w:val="22"/>
        </w:rPr>
        <w:t>Instead</w:t>
      </w:r>
      <w:r w:rsidR="00AE21B3" w:rsidRPr="0091465B">
        <w:rPr>
          <w:rFonts w:asciiTheme="minorHAnsi" w:hAnsiTheme="minorHAnsi" w:cstheme="minorHAnsi"/>
          <w:noProof/>
          <w:sz w:val="22"/>
          <w:szCs w:val="22"/>
        </w:rPr>
        <w:t>,</w:t>
      </w:r>
      <w:r w:rsidR="00916BFA" w:rsidRPr="0091465B">
        <w:rPr>
          <w:rFonts w:asciiTheme="minorHAnsi" w:hAnsiTheme="minorHAnsi" w:cstheme="minorHAnsi"/>
          <w:noProof/>
          <w:sz w:val="22"/>
          <w:szCs w:val="22"/>
        </w:rPr>
        <w:t xml:space="preserve"> random</w:t>
      </w:r>
      <w:r w:rsidR="00412A77" w:rsidRPr="0091465B">
        <w:rPr>
          <w:rFonts w:asciiTheme="minorHAnsi" w:hAnsiTheme="minorHAnsi" w:cstheme="minorHAnsi"/>
          <w:noProof/>
          <w:sz w:val="22"/>
          <w:szCs w:val="22"/>
        </w:rPr>
        <w:t xml:space="preserve"> su</w:t>
      </w:r>
      <w:r w:rsidR="00916BFA" w:rsidRPr="0091465B">
        <w:rPr>
          <w:rFonts w:asciiTheme="minorHAnsi" w:hAnsiTheme="minorHAnsi" w:cstheme="minorHAnsi"/>
          <w:noProof/>
          <w:sz w:val="22"/>
          <w:szCs w:val="22"/>
        </w:rPr>
        <w:t>rveys of the general population</w:t>
      </w:r>
      <w:r w:rsidR="00412A77" w:rsidRPr="0091465B">
        <w:rPr>
          <w:rFonts w:asciiTheme="minorHAnsi" w:hAnsiTheme="minorHAnsi" w:cstheme="minorHAnsi"/>
          <w:noProof/>
          <w:sz w:val="22"/>
          <w:szCs w:val="22"/>
        </w:rPr>
        <w:t xml:space="preserve"> offer </w:t>
      </w:r>
      <w:r w:rsidR="00AE21B3" w:rsidRPr="0091465B">
        <w:rPr>
          <w:rFonts w:asciiTheme="minorHAnsi" w:hAnsiTheme="minorHAnsi" w:cstheme="minorHAnsi"/>
          <w:noProof/>
          <w:sz w:val="22"/>
          <w:szCs w:val="22"/>
        </w:rPr>
        <w:t>the best available</w:t>
      </w:r>
      <w:r w:rsidR="00412A77" w:rsidRPr="0091465B">
        <w:rPr>
          <w:rFonts w:asciiTheme="minorHAnsi" w:hAnsiTheme="minorHAnsi" w:cstheme="minorHAnsi"/>
          <w:noProof/>
          <w:sz w:val="22"/>
          <w:szCs w:val="22"/>
        </w:rPr>
        <w:t xml:space="preserve"> method for measuring the prevalence of the </w:t>
      </w:r>
      <w:r w:rsidR="00916BFA" w:rsidRPr="0091465B">
        <w:rPr>
          <w:rFonts w:asciiTheme="minorHAnsi" w:hAnsiTheme="minorHAnsi" w:cstheme="minorHAnsi"/>
          <w:noProof/>
          <w:sz w:val="22"/>
          <w:szCs w:val="22"/>
        </w:rPr>
        <w:t>such violence</w:t>
      </w:r>
      <w:r w:rsidR="00412A77" w:rsidRPr="0091465B">
        <w:rPr>
          <w:rFonts w:asciiTheme="minorHAnsi" w:hAnsiTheme="minorHAnsi" w:cstheme="minorHAnsi"/>
          <w:noProof/>
          <w:sz w:val="22"/>
          <w:szCs w:val="22"/>
        </w:rPr>
        <w:t>. One of the most important of these surveys in recent times was the 201</w:t>
      </w:r>
      <w:r w:rsidR="00DD518A" w:rsidRPr="0091465B">
        <w:rPr>
          <w:rFonts w:asciiTheme="minorHAnsi" w:hAnsiTheme="minorHAnsi" w:cstheme="minorHAnsi"/>
          <w:noProof/>
          <w:sz w:val="22"/>
          <w:szCs w:val="22"/>
        </w:rPr>
        <w:t>6</w:t>
      </w:r>
      <w:r w:rsidR="00412A77" w:rsidRPr="0091465B">
        <w:rPr>
          <w:rFonts w:asciiTheme="minorHAnsi" w:hAnsiTheme="minorHAnsi" w:cstheme="minorHAnsi"/>
          <w:noProof/>
          <w:sz w:val="22"/>
          <w:szCs w:val="22"/>
        </w:rPr>
        <w:t xml:space="preserve"> Personal Safety Survey</w:t>
      </w:r>
      <w:r w:rsidR="00221BA0" w:rsidRPr="0091465B">
        <w:rPr>
          <w:rFonts w:asciiTheme="minorHAnsi" w:hAnsiTheme="minorHAnsi" w:cstheme="minorHAnsi"/>
          <w:noProof/>
          <w:sz w:val="22"/>
          <w:szCs w:val="22"/>
        </w:rPr>
        <w:t xml:space="preserve"> (Australian Bureau of Statistics, 2017c)</w:t>
      </w:r>
      <w:r w:rsidR="00DD518A" w:rsidRPr="0091465B">
        <w:rPr>
          <w:rFonts w:asciiTheme="minorHAnsi" w:hAnsiTheme="minorHAnsi" w:cstheme="minorHAnsi"/>
          <w:noProof/>
          <w:sz w:val="22"/>
          <w:szCs w:val="22"/>
        </w:rPr>
        <w:t>,</w:t>
      </w:r>
      <w:r w:rsidR="00DD518A" w:rsidRPr="0091465B">
        <w:rPr>
          <w:rFonts w:asciiTheme="minorHAnsi" w:hAnsiTheme="minorHAnsi" w:cstheme="minorHAnsi"/>
          <w:sz w:val="22"/>
          <w:szCs w:val="22"/>
          <w:lang w:val="en-AU"/>
        </w:rPr>
        <w:t xml:space="preserve"> conducted among 21,000 Australian adult women and men</w:t>
      </w:r>
      <w:r w:rsidR="008451C0" w:rsidRPr="0091465B">
        <w:rPr>
          <w:rFonts w:asciiTheme="minorHAnsi" w:hAnsiTheme="minorHAnsi" w:cstheme="minorHAnsi"/>
          <w:sz w:val="22"/>
          <w:szCs w:val="22"/>
          <w:lang w:val="en-AU"/>
        </w:rPr>
        <w:t>. Survey p</w:t>
      </w:r>
      <w:r w:rsidR="00DD518A" w:rsidRPr="0091465B">
        <w:rPr>
          <w:rFonts w:asciiTheme="minorHAnsi" w:hAnsiTheme="minorHAnsi" w:cstheme="minorHAnsi"/>
          <w:sz w:val="22"/>
          <w:szCs w:val="22"/>
          <w:lang w:val="en-AU"/>
        </w:rPr>
        <w:t>articipants</w:t>
      </w:r>
      <w:r w:rsidR="008451C0" w:rsidRPr="0091465B">
        <w:rPr>
          <w:rFonts w:asciiTheme="minorHAnsi" w:hAnsiTheme="minorHAnsi" w:cstheme="minorHAnsi"/>
          <w:sz w:val="22"/>
          <w:szCs w:val="22"/>
          <w:lang w:val="en-AU"/>
        </w:rPr>
        <w:t xml:space="preserve"> were</w:t>
      </w:r>
      <w:r w:rsidR="00DD518A" w:rsidRPr="0091465B">
        <w:rPr>
          <w:rFonts w:asciiTheme="minorHAnsi" w:hAnsiTheme="minorHAnsi" w:cstheme="minorHAnsi"/>
          <w:sz w:val="22"/>
          <w:szCs w:val="22"/>
          <w:lang w:val="en-AU"/>
        </w:rPr>
        <w:t xml:space="preserve"> asked about their experience of physical or sexual assault and violence (assault or threats of assault) since the age of 15 and in the past 12 months. The findings of this survey provide a glimpse of the extent and nature of violence within families and intimate relationships.</w:t>
      </w:r>
    </w:p>
    <w:p w14:paraId="0D141E85" w14:textId="218358CE" w:rsidR="00DD518A" w:rsidRPr="0091465B" w:rsidRDefault="00DD518A" w:rsidP="00DD518A">
      <w:pPr>
        <w:contextualSpacing/>
        <w:jc w:val="both"/>
        <w:rPr>
          <w:rFonts w:asciiTheme="minorHAnsi" w:hAnsiTheme="minorHAnsi" w:cstheme="minorHAnsi"/>
        </w:rPr>
      </w:pPr>
      <w:r w:rsidRPr="0091465B">
        <w:rPr>
          <w:rFonts w:asciiTheme="minorHAnsi" w:hAnsiTheme="minorHAnsi" w:cstheme="minorHAnsi"/>
          <w:b/>
          <w:noProof/>
          <w:color w:val="17365D" w:themeColor="text2" w:themeShade="BF"/>
          <w:lang w:val="en-AU" w:eastAsia="en-AU"/>
        </w:rPr>
        <w:drawing>
          <wp:anchor distT="0" distB="0" distL="114300" distR="114300" simplePos="0" relativeHeight="251667456" behindDoc="1" locked="0" layoutInCell="1" allowOverlap="1" wp14:anchorId="0F6100F1" wp14:editId="277D65DD">
            <wp:simplePos x="0" y="0"/>
            <wp:positionH relativeFrom="margin">
              <wp:align>right</wp:align>
            </wp:positionH>
            <wp:positionV relativeFrom="paragraph">
              <wp:posOffset>147320</wp:posOffset>
            </wp:positionV>
            <wp:extent cx="3789680" cy="2089150"/>
            <wp:effectExtent l="0" t="0" r="1270" b="6350"/>
            <wp:wrapTight wrapText="bothSides">
              <wp:wrapPolygon edited="0">
                <wp:start x="0" y="0"/>
                <wp:lineTo x="0" y="21469"/>
                <wp:lineTo x="21499" y="21469"/>
                <wp:lineTo x="2149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4207" t="20978" b="12100"/>
                    <a:stretch/>
                  </pic:blipFill>
                  <pic:spPr bwMode="auto">
                    <a:xfrm>
                      <a:off x="0" y="0"/>
                      <a:ext cx="3789680" cy="208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E38B50" w14:textId="77777777" w:rsidR="00DD518A" w:rsidRPr="0091465B" w:rsidRDefault="00DD518A" w:rsidP="00424D7C">
      <w:pPr>
        <w:spacing w:before="120" w:after="120" w:line="360" w:lineRule="auto"/>
        <w:contextualSpacing/>
        <w:jc w:val="both"/>
        <w:rPr>
          <w:rFonts w:asciiTheme="minorHAnsi" w:hAnsiTheme="minorHAnsi" w:cstheme="minorHAnsi"/>
          <w:b/>
          <w:color w:val="000000" w:themeColor="text1"/>
          <w:sz w:val="22"/>
          <w:szCs w:val="22"/>
        </w:rPr>
      </w:pPr>
      <w:r w:rsidRPr="0091465B">
        <w:rPr>
          <w:rFonts w:asciiTheme="minorHAnsi" w:hAnsiTheme="minorHAnsi" w:cstheme="minorHAnsi"/>
          <w:b/>
          <w:color w:val="000000" w:themeColor="text1"/>
          <w:sz w:val="22"/>
          <w:szCs w:val="22"/>
        </w:rPr>
        <w:t>Intimate Partner Violence</w:t>
      </w:r>
    </w:p>
    <w:p w14:paraId="591D7B1F" w14:textId="10B98B28" w:rsidR="00DD518A" w:rsidRPr="0019655D" w:rsidRDefault="00DD518A" w:rsidP="0019655D">
      <w:pPr>
        <w:tabs>
          <w:tab w:val="left" w:pos="360"/>
        </w:tabs>
        <w:spacing w:before="60" w:line="360" w:lineRule="auto"/>
        <w:jc w:val="both"/>
        <w:rPr>
          <w:rFonts w:asciiTheme="minorHAnsi" w:hAnsiTheme="minorHAnsi" w:cstheme="minorHAnsi"/>
          <w:sz w:val="22"/>
          <w:szCs w:val="22"/>
          <w:lang w:val="en-AU"/>
        </w:rPr>
      </w:pPr>
      <w:r w:rsidRPr="0091465B">
        <w:rPr>
          <w:rFonts w:asciiTheme="minorHAnsi" w:hAnsiTheme="minorHAnsi" w:cstheme="minorHAnsi"/>
          <w:noProof/>
          <w:sz w:val="22"/>
          <w:szCs w:val="22"/>
        </w:rPr>
        <w:t xml:space="preserve">Approximately 22% of women and 7% of men </w:t>
      </w:r>
      <w:r w:rsidR="00467C0E" w:rsidRPr="0091465B">
        <w:rPr>
          <w:rFonts w:asciiTheme="minorHAnsi" w:hAnsiTheme="minorHAnsi" w:cstheme="minorHAnsi"/>
          <w:noProof/>
          <w:sz w:val="22"/>
          <w:szCs w:val="22"/>
        </w:rPr>
        <w:t>had been</w:t>
      </w:r>
      <w:r w:rsidRPr="0091465B">
        <w:rPr>
          <w:rFonts w:asciiTheme="minorHAnsi" w:hAnsiTheme="minorHAnsi" w:cstheme="minorHAnsi"/>
          <w:noProof/>
          <w:sz w:val="22"/>
          <w:szCs w:val="22"/>
        </w:rPr>
        <w:t xml:space="preserve"> assaulted by a partner since the age of 15</w:t>
      </w:r>
      <w:r w:rsidRPr="0091465B">
        <w:rPr>
          <w:rFonts w:asciiTheme="minorHAnsi" w:hAnsiTheme="minorHAnsi" w:cstheme="minorHAnsi"/>
          <w:sz w:val="22"/>
          <w:szCs w:val="22"/>
          <w:lang w:val="en-AU"/>
        </w:rPr>
        <w:t>.</w:t>
      </w:r>
    </w:p>
    <w:p w14:paraId="5B093418" w14:textId="77777777" w:rsidR="00424D7C" w:rsidRPr="0091465B" w:rsidRDefault="00424D7C" w:rsidP="00DD518A">
      <w:pPr>
        <w:contextualSpacing/>
        <w:jc w:val="both"/>
        <w:rPr>
          <w:rFonts w:asciiTheme="minorHAnsi" w:hAnsiTheme="minorHAnsi" w:cstheme="minorHAnsi"/>
          <w:sz w:val="14"/>
          <w:szCs w:val="14"/>
        </w:rPr>
      </w:pPr>
    </w:p>
    <w:p w14:paraId="0B2062C6" w14:textId="77777777" w:rsidR="00DD518A" w:rsidRPr="0091465B" w:rsidRDefault="00DD518A" w:rsidP="00DD518A">
      <w:pPr>
        <w:contextualSpacing/>
        <w:jc w:val="both"/>
        <w:rPr>
          <w:rFonts w:asciiTheme="minorHAnsi" w:hAnsiTheme="minorHAnsi" w:cstheme="minorHAnsi"/>
          <w:color w:val="7F7F7F" w:themeColor="text1" w:themeTint="80"/>
          <w:sz w:val="20"/>
          <w:szCs w:val="20"/>
        </w:rPr>
      </w:pPr>
      <w:r w:rsidRPr="0091465B">
        <w:rPr>
          <w:rFonts w:asciiTheme="minorHAnsi" w:hAnsiTheme="minorHAnsi" w:cstheme="minorHAnsi"/>
          <w:color w:val="7F7F7F" w:themeColor="text1" w:themeTint="80"/>
          <w:sz w:val="20"/>
          <w:szCs w:val="20"/>
        </w:rPr>
        <w:t>Per cent of persons who been assaulted by an intimate partner since aged 15, by gender of victim and type of assault</w:t>
      </w:r>
    </w:p>
    <w:p w14:paraId="747A088A" w14:textId="77777777" w:rsidR="00DD518A" w:rsidRPr="0091465B" w:rsidRDefault="00DD518A" w:rsidP="00F1013F">
      <w:pPr>
        <w:contextualSpacing/>
        <w:rPr>
          <w:rFonts w:asciiTheme="minorHAnsi" w:hAnsiTheme="minorHAnsi" w:cstheme="minorHAnsi"/>
          <w:sz w:val="14"/>
          <w:szCs w:val="14"/>
        </w:rPr>
      </w:pPr>
    </w:p>
    <w:p w14:paraId="76E2B571" w14:textId="3C42873A" w:rsidR="00DD518A" w:rsidRPr="0091465B" w:rsidRDefault="00DD518A" w:rsidP="00DD518A">
      <w:pPr>
        <w:tabs>
          <w:tab w:val="left" w:pos="360"/>
        </w:tabs>
        <w:spacing w:line="360" w:lineRule="auto"/>
        <w:jc w:val="both"/>
        <w:rPr>
          <w:rFonts w:asciiTheme="minorHAnsi" w:hAnsiTheme="minorHAnsi" w:cstheme="minorHAnsi"/>
          <w:sz w:val="22"/>
          <w:szCs w:val="22"/>
          <w:lang w:val="en-AU"/>
        </w:rPr>
      </w:pPr>
      <w:r w:rsidRPr="0091465B">
        <w:rPr>
          <w:rFonts w:asciiTheme="minorHAnsi" w:hAnsiTheme="minorHAnsi" w:cstheme="minorHAnsi"/>
          <w:sz w:val="22"/>
          <w:szCs w:val="22"/>
          <w:lang w:val="en-AU"/>
        </w:rPr>
        <w:t xml:space="preserve">Women </w:t>
      </w:r>
      <w:r w:rsidR="00467C0E" w:rsidRPr="0091465B">
        <w:rPr>
          <w:rFonts w:asciiTheme="minorHAnsi" w:hAnsiTheme="minorHAnsi" w:cstheme="minorHAnsi"/>
          <w:sz w:val="22"/>
          <w:szCs w:val="22"/>
          <w:lang w:val="en-AU"/>
        </w:rPr>
        <w:t>were</w:t>
      </w:r>
      <w:r w:rsidRPr="0091465B">
        <w:rPr>
          <w:rFonts w:asciiTheme="minorHAnsi" w:hAnsiTheme="minorHAnsi" w:cstheme="minorHAnsi"/>
          <w:sz w:val="22"/>
          <w:szCs w:val="22"/>
          <w:lang w:val="en-AU"/>
        </w:rPr>
        <w:t xml:space="preserve"> three times as likely to have been physically assaulted by a partner as men, and nearly eight times more likely to have been sexually assaulted</w:t>
      </w:r>
      <w:r w:rsidR="00DD7046" w:rsidRPr="0091465B">
        <w:rPr>
          <w:rFonts w:asciiTheme="minorHAnsi" w:hAnsiTheme="minorHAnsi" w:cstheme="minorHAnsi"/>
          <w:sz w:val="22"/>
          <w:szCs w:val="22"/>
          <w:lang w:val="en-AU"/>
        </w:rPr>
        <w:t xml:space="preserve"> by a partner</w:t>
      </w:r>
      <w:r w:rsidRPr="0091465B">
        <w:rPr>
          <w:rFonts w:asciiTheme="minorHAnsi" w:hAnsiTheme="minorHAnsi" w:cstheme="minorHAnsi"/>
          <w:sz w:val="22"/>
          <w:szCs w:val="22"/>
          <w:lang w:val="en-AU"/>
        </w:rPr>
        <w:t>.</w:t>
      </w:r>
    </w:p>
    <w:p w14:paraId="7AEE7723" w14:textId="77777777" w:rsidR="00DF5E4C" w:rsidRDefault="00DF5E4C" w:rsidP="00DD518A">
      <w:pPr>
        <w:tabs>
          <w:tab w:val="left" w:pos="360"/>
        </w:tabs>
        <w:spacing w:line="360" w:lineRule="auto"/>
        <w:jc w:val="both"/>
        <w:rPr>
          <w:rFonts w:asciiTheme="minorHAnsi" w:hAnsiTheme="minorHAnsi" w:cstheme="minorHAnsi"/>
          <w:b/>
          <w:bCs/>
          <w:sz w:val="22"/>
          <w:szCs w:val="22"/>
          <w:lang w:val="en-AU"/>
        </w:rPr>
      </w:pPr>
    </w:p>
    <w:p w14:paraId="5EC22FA5" w14:textId="0A0EF58A" w:rsidR="00E571EB" w:rsidRPr="00E571EB" w:rsidRDefault="00E571EB" w:rsidP="00DD518A">
      <w:pPr>
        <w:tabs>
          <w:tab w:val="left" w:pos="360"/>
        </w:tabs>
        <w:spacing w:line="360" w:lineRule="auto"/>
        <w:jc w:val="both"/>
        <w:rPr>
          <w:rFonts w:asciiTheme="minorHAnsi" w:hAnsiTheme="minorHAnsi" w:cstheme="minorHAnsi"/>
          <w:b/>
          <w:bCs/>
          <w:sz w:val="22"/>
          <w:szCs w:val="22"/>
          <w:lang w:val="en-AU"/>
        </w:rPr>
      </w:pPr>
      <w:r w:rsidRPr="00E571EB">
        <w:rPr>
          <w:rFonts w:asciiTheme="minorHAnsi" w:hAnsiTheme="minorHAnsi" w:cstheme="minorHAnsi"/>
          <w:b/>
          <w:bCs/>
          <w:sz w:val="22"/>
          <w:szCs w:val="22"/>
          <w:lang w:val="en-AU"/>
        </w:rPr>
        <w:t>The Prevalence of Intimate Partner Violence and the COVID Epidemic</w:t>
      </w:r>
    </w:p>
    <w:p w14:paraId="16E4605D" w14:textId="2CA66D17" w:rsidR="00C666B3" w:rsidRDefault="00E571EB" w:rsidP="00DD518A">
      <w:pPr>
        <w:tabs>
          <w:tab w:val="left" w:pos="360"/>
        </w:tabs>
        <w:spacing w:line="360" w:lineRule="auto"/>
        <w:jc w:val="both"/>
        <w:rPr>
          <w:rFonts w:asciiTheme="minorHAnsi" w:hAnsiTheme="minorHAnsi" w:cstheme="minorHAnsi"/>
          <w:sz w:val="22"/>
          <w:szCs w:val="22"/>
          <w:lang w:val="en-AU"/>
        </w:rPr>
      </w:pPr>
      <w:r w:rsidRPr="00E571EB">
        <w:rPr>
          <w:rFonts w:asciiTheme="minorHAnsi" w:hAnsiTheme="minorHAnsi" w:cstheme="minorHAnsi"/>
          <w:sz w:val="22"/>
          <w:szCs w:val="22"/>
          <w:lang w:val="en-AU"/>
        </w:rPr>
        <w:t>An online survey of 15,000 Australian women conducted in mid-2020, found that, among those who had been in cohabiting relationships within the previous year, 8.2% had experienced physical violence by their partner in the previous 3 months, 4.2% sexual violence, and 11.1% coercive control (three or more forms of emotion abuse, harassment and control in previous three months), by their partner - with 13.2% of women who had been in cohabiting relationships in the previous year, had experienced one or more of these types of abuse. Many survey participants reported that violence and abuse commenced or escalated during the pandemic.</w:t>
      </w:r>
      <w:r>
        <w:rPr>
          <w:rFonts w:asciiTheme="minorHAnsi" w:hAnsiTheme="minorHAnsi" w:cstheme="minorHAnsi"/>
          <w:sz w:val="22"/>
          <w:szCs w:val="22"/>
          <w:lang w:val="en-AU"/>
        </w:rPr>
        <w:t xml:space="preserve"> (Boxall et al, 2020).</w:t>
      </w:r>
    </w:p>
    <w:p w14:paraId="7F8E7B65" w14:textId="77777777" w:rsidR="00DF5E4C" w:rsidRDefault="00DF5E4C" w:rsidP="00424D7C">
      <w:pPr>
        <w:spacing w:before="120" w:after="120" w:line="360" w:lineRule="auto"/>
        <w:contextualSpacing/>
        <w:jc w:val="both"/>
        <w:rPr>
          <w:rFonts w:asciiTheme="minorHAnsi" w:hAnsiTheme="minorHAnsi" w:cstheme="minorHAnsi"/>
          <w:b/>
          <w:color w:val="000000" w:themeColor="text1"/>
          <w:sz w:val="22"/>
          <w:szCs w:val="22"/>
        </w:rPr>
      </w:pPr>
    </w:p>
    <w:p w14:paraId="7B7C22C2" w14:textId="295D68E9" w:rsidR="00DD518A" w:rsidRPr="0091465B" w:rsidRDefault="00DD518A" w:rsidP="00424D7C">
      <w:pPr>
        <w:spacing w:before="120" w:after="120" w:line="360" w:lineRule="auto"/>
        <w:contextualSpacing/>
        <w:jc w:val="both"/>
        <w:rPr>
          <w:rFonts w:asciiTheme="minorHAnsi" w:hAnsiTheme="minorHAnsi" w:cstheme="minorHAnsi"/>
          <w:b/>
          <w:color w:val="000000" w:themeColor="text1"/>
          <w:sz w:val="22"/>
          <w:szCs w:val="22"/>
        </w:rPr>
      </w:pPr>
      <w:r w:rsidRPr="0091465B">
        <w:rPr>
          <w:rFonts w:asciiTheme="minorHAnsi" w:hAnsiTheme="minorHAnsi" w:cstheme="minorHAnsi"/>
          <w:b/>
          <w:color w:val="000000" w:themeColor="text1"/>
          <w:sz w:val="22"/>
          <w:szCs w:val="22"/>
        </w:rPr>
        <w:t>Police and Court Involvement</w:t>
      </w:r>
    </w:p>
    <w:p w14:paraId="644E6004" w14:textId="77777777" w:rsidR="00DD518A" w:rsidRPr="0091465B" w:rsidRDefault="00DD518A" w:rsidP="00F1013F">
      <w:pPr>
        <w:tabs>
          <w:tab w:val="left" w:pos="360"/>
        </w:tabs>
        <w:spacing w:line="360" w:lineRule="auto"/>
        <w:jc w:val="both"/>
        <w:rPr>
          <w:rFonts w:asciiTheme="minorHAnsi" w:hAnsiTheme="minorHAnsi" w:cstheme="minorHAnsi"/>
          <w:sz w:val="22"/>
          <w:szCs w:val="22"/>
          <w:lang w:val="en-AU"/>
        </w:rPr>
      </w:pPr>
      <w:r w:rsidRPr="0091465B">
        <w:rPr>
          <w:rFonts w:asciiTheme="minorHAnsi" w:hAnsiTheme="minorHAnsi" w:cstheme="minorHAnsi"/>
          <w:sz w:val="22"/>
          <w:szCs w:val="22"/>
          <w:lang w:val="en-AU"/>
        </w:rPr>
        <w:t xml:space="preserve">Police became involved in approximately one in six (17%) of incidents of violence by a current partner among women, and in one in </w:t>
      </w:r>
      <w:proofErr w:type="gramStart"/>
      <w:r w:rsidRPr="0091465B">
        <w:rPr>
          <w:rFonts w:asciiTheme="minorHAnsi" w:hAnsiTheme="minorHAnsi" w:cstheme="minorHAnsi"/>
          <w:sz w:val="22"/>
          <w:szCs w:val="22"/>
          <w:lang w:val="en-AU"/>
        </w:rPr>
        <w:t>twenty five</w:t>
      </w:r>
      <w:proofErr w:type="gramEnd"/>
      <w:r w:rsidRPr="0091465B">
        <w:rPr>
          <w:rFonts w:asciiTheme="minorHAnsi" w:hAnsiTheme="minorHAnsi" w:cstheme="minorHAnsi"/>
          <w:sz w:val="22"/>
          <w:szCs w:val="22"/>
          <w:lang w:val="en-AU"/>
        </w:rPr>
        <w:t xml:space="preserve"> (4%) instances of current partner violence against men. </w:t>
      </w:r>
    </w:p>
    <w:p w14:paraId="2DC656E4" w14:textId="20E62F37" w:rsidR="00DD518A" w:rsidRDefault="00DD518A" w:rsidP="00F1013F">
      <w:pPr>
        <w:spacing w:line="360" w:lineRule="auto"/>
        <w:contextualSpacing/>
        <w:jc w:val="both"/>
        <w:rPr>
          <w:rFonts w:asciiTheme="minorHAnsi" w:hAnsiTheme="minorHAnsi" w:cstheme="minorHAnsi"/>
          <w:sz w:val="22"/>
          <w:szCs w:val="22"/>
          <w:lang w:val="en-AU"/>
        </w:rPr>
      </w:pPr>
      <w:r w:rsidRPr="0091465B">
        <w:rPr>
          <w:rFonts w:asciiTheme="minorHAnsi" w:hAnsiTheme="minorHAnsi" w:cstheme="minorHAnsi"/>
          <w:sz w:val="22"/>
          <w:szCs w:val="22"/>
          <w:lang w:val="en-AU"/>
        </w:rPr>
        <w:t>Police were contacted in a higher proportion of instances of violence involving a previous partner (table below).</w:t>
      </w:r>
    </w:p>
    <w:p w14:paraId="67912446" w14:textId="77777777" w:rsidR="0019655D" w:rsidRPr="0091465B" w:rsidRDefault="0019655D" w:rsidP="0019655D">
      <w:pPr>
        <w:contextualSpacing/>
        <w:jc w:val="both"/>
        <w:rPr>
          <w:rFonts w:asciiTheme="minorHAnsi" w:hAnsiTheme="minorHAnsi" w:cstheme="minorHAnsi"/>
          <w:color w:val="7F7F7F" w:themeColor="text1" w:themeTint="80"/>
          <w:sz w:val="20"/>
          <w:szCs w:val="20"/>
        </w:rPr>
      </w:pPr>
      <w:r w:rsidRPr="0091465B">
        <w:rPr>
          <w:rFonts w:asciiTheme="minorHAnsi" w:hAnsiTheme="minorHAnsi" w:cstheme="minorHAnsi"/>
          <w:color w:val="7F7F7F" w:themeColor="text1" w:themeTint="80"/>
          <w:sz w:val="20"/>
          <w:szCs w:val="20"/>
        </w:rPr>
        <w:lastRenderedPageBreak/>
        <w:t>Per cent of most recent instances of partner violence where police were involved, by category of partner and gender of victim</w:t>
      </w:r>
    </w:p>
    <w:tbl>
      <w:tblPr>
        <w:tblW w:w="5260" w:type="dxa"/>
        <w:tblInd w:w="1668" w:type="dxa"/>
        <w:tblLook w:val="04A0" w:firstRow="1" w:lastRow="0" w:firstColumn="1" w:lastColumn="0" w:noHBand="0" w:noVBand="1"/>
      </w:tblPr>
      <w:tblGrid>
        <w:gridCol w:w="1480"/>
        <w:gridCol w:w="2020"/>
        <w:gridCol w:w="1760"/>
      </w:tblGrid>
      <w:tr w:rsidR="0019655D" w:rsidRPr="0091465B" w14:paraId="6CAEAF01" w14:textId="77777777" w:rsidTr="00080B02">
        <w:trPr>
          <w:trHeight w:val="330"/>
        </w:trPr>
        <w:tc>
          <w:tcPr>
            <w:tcW w:w="1480" w:type="dxa"/>
            <w:tcBorders>
              <w:top w:val="nil"/>
              <w:left w:val="nil"/>
              <w:bottom w:val="nil"/>
              <w:right w:val="nil"/>
            </w:tcBorders>
            <w:shd w:val="clear" w:color="auto" w:fill="auto"/>
            <w:vAlign w:val="center"/>
            <w:hideMark/>
          </w:tcPr>
          <w:p w14:paraId="46297250" w14:textId="77777777" w:rsidR="0019655D" w:rsidRPr="0091465B" w:rsidRDefault="0019655D" w:rsidP="00080B02">
            <w:pPr>
              <w:rPr>
                <w:rFonts w:asciiTheme="minorHAnsi" w:hAnsiTheme="minorHAnsi" w:cstheme="minorHAnsi"/>
                <w:color w:val="000000"/>
                <w:sz w:val="20"/>
                <w:szCs w:val="20"/>
              </w:rPr>
            </w:pPr>
          </w:p>
        </w:tc>
        <w:tc>
          <w:tcPr>
            <w:tcW w:w="2020" w:type="dxa"/>
            <w:tcBorders>
              <w:top w:val="nil"/>
              <w:left w:val="nil"/>
              <w:bottom w:val="nil"/>
              <w:right w:val="nil"/>
            </w:tcBorders>
            <w:shd w:val="clear" w:color="auto" w:fill="auto"/>
            <w:vAlign w:val="center"/>
            <w:hideMark/>
          </w:tcPr>
          <w:p w14:paraId="3F133B95" w14:textId="77777777" w:rsidR="0019655D" w:rsidRPr="0091465B" w:rsidRDefault="0019655D" w:rsidP="00080B02">
            <w:pPr>
              <w:jc w:val="center"/>
              <w:rPr>
                <w:rFonts w:asciiTheme="minorHAnsi" w:hAnsiTheme="minorHAnsi" w:cstheme="minorHAnsi"/>
                <w:bCs/>
                <w:color w:val="000000"/>
                <w:sz w:val="20"/>
                <w:szCs w:val="20"/>
              </w:rPr>
            </w:pPr>
            <w:r w:rsidRPr="0091465B">
              <w:rPr>
                <w:rFonts w:asciiTheme="minorHAnsi" w:hAnsiTheme="minorHAnsi" w:cstheme="minorHAnsi"/>
                <w:bCs/>
                <w:color w:val="000000"/>
                <w:sz w:val="20"/>
                <w:szCs w:val="20"/>
              </w:rPr>
              <w:t>Current partner violence</w:t>
            </w:r>
          </w:p>
        </w:tc>
        <w:tc>
          <w:tcPr>
            <w:tcW w:w="1760" w:type="dxa"/>
            <w:tcBorders>
              <w:top w:val="nil"/>
              <w:left w:val="nil"/>
              <w:bottom w:val="nil"/>
              <w:right w:val="nil"/>
            </w:tcBorders>
            <w:shd w:val="clear" w:color="auto" w:fill="auto"/>
            <w:vAlign w:val="center"/>
            <w:hideMark/>
          </w:tcPr>
          <w:p w14:paraId="5FE198C5" w14:textId="77777777" w:rsidR="0019655D" w:rsidRPr="0091465B" w:rsidRDefault="0019655D" w:rsidP="00080B02">
            <w:pPr>
              <w:jc w:val="center"/>
              <w:rPr>
                <w:rFonts w:asciiTheme="minorHAnsi" w:hAnsiTheme="minorHAnsi" w:cstheme="minorHAnsi"/>
                <w:bCs/>
                <w:color w:val="000000"/>
                <w:sz w:val="20"/>
                <w:szCs w:val="20"/>
              </w:rPr>
            </w:pPr>
            <w:r w:rsidRPr="0091465B">
              <w:rPr>
                <w:rFonts w:asciiTheme="minorHAnsi" w:hAnsiTheme="minorHAnsi" w:cstheme="minorHAnsi"/>
                <w:bCs/>
                <w:color w:val="000000"/>
                <w:sz w:val="20"/>
                <w:szCs w:val="20"/>
              </w:rPr>
              <w:t>Previous partner violence</w:t>
            </w:r>
          </w:p>
        </w:tc>
      </w:tr>
      <w:tr w:rsidR="0019655D" w:rsidRPr="0091465B" w14:paraId="10F82DBB" w14:textId="77777777" w:rsidTr="00080B02">
        <w:trPr>
          <w:trHeight w:val="300"/>
        </w:trPr>
        <w:tc>
          <w:tcPr>
            <w:tcW w:w="1480" w:type="dxa"/>
            <w:tcBorders>
              <w:top w:val="nil"/>
              <w:left w:val="nil"/>
              <w:bottom w:val="nil"/>
              <w:right w:val="nil"/>
            </w:tcBorders>
            <w:shd w:val="clear" w:color="auto" w:fill="auto"/>
            <w:vAlign w:val="center"/>
            <w:hideMark/>
          </w:tcPr>
          <w:p w14:paraId="047CB9B8" w14:textId="77777777" w:rsidR="0019655D" w:rsidRPr="0091465B" w:rsidRDefault="0019655D" w:rsidP="00080B02">
            <w:pPr>
              <w:jc w:val="right"/>
              <w:rPr>
                <w:rFonts w:asciiTheme="minorHAnsi" w:hAnsiTheme="minorHAnsi" w:cstheme="minorHAnsi"/>
                <w:i/>
                <w:iCs/>
                <w:color w:val="000000"/>
                <w:sz w:val="20"/>
                <w:szCs w:val="20"/>
              </w:rPr>
            </w:pPr>
            <w:r w:rsidRPr="0091465B">
              <w:rPr>
                <w:rFonts w:asciiTheme="minorHAnsi" w:hAnsiTheme="minorHAnsi" w:cstheme="minorHAnsi"/>
                <w:i/>
                <w:iCs/>
                <w:color w:val="000000"/>
                <w:sz w:val="20"/>
                <w:szCs w:val="20"/>
              </w:rPr>
              <w:t>Females</w:t>
            </w:r>
          </w:p>
        </w:tc>
        <w:tc>
          <w:tcPr>
            <w:tcW w:w="2020" w:type="dxa"/>
            <w:tcBorders>
              <w:top w:val="single" w:sz="4" w:space="0" w:color="auto"/>
              <w:left w:val="nil"/>
              <w:bottom w:val="single" w:sz="4" w:space="0" w:color="auto"/>
              <w:right w:val="nil"/>
            </w:tcBorders>
            <w:shd w:val="clear" w:color="auto" w:fill="auto"/>
            <w:vAlign w:val="center"/>
            <w:hideMark/>
          </w:tcPr>
          <w:p w14:paraId="3FED812A" w14:textId="77777777" w:rsidR="0019655D" w:rsidRPr="0091465B" w:rsidRDefault="0019655D" w:rsidP="00080B02">
            <w:pPr>
              <w:jc w:val="center"/>
              <w:rPr>
                <w:rFonts w:asciiTheme="minorHAnsi" w:hAnsiTheme="minorHAnsi" w:cstheme="minorHAnsi"/>
                <w:color w:val="000000"/>
                <w:sz w:val="20"/>
                <w:szCs w:val="20"/>
              </w:rPr>
            </w:pPr>
            <w:r w:rsidRPr="0091465B">
              <w:rPr>
                <w:rFonts w:asciiTheme="minorHAnsi" w:hAnsiTheme="minorHAnsi" w:cstheme="minorHAnsi"/>
                <w:color w:val="000000"/>
                <w:sz w:val="20"/>
                <w:szCs w:val="20"/>
              </w:rPr>
              <w:t>17%</w:t>
            </w:r>
          </w:p>
        </w:tc>
        <w:tc>
          <w:tcPr>
            <w:tcW w:w="1760" w:type="dxa"/>
            <w:tcBorders>
              <w:top w:val="single" w:sz="4" w:space="0" w:color="auto"/>
              <w:left w:val="nil"/>
              <w:bottom w:val="single" w:sz="4" w:space="0" w:color="auto"/>
              <w:right w:val="nil"/>
            </w:tcBorders>
            <w:shd w:val="clear" w:color="auto" w:fill="auto"/>
            <w:vAlign w:val="center"/>
            <w:hideMark/>
          </w:tcPr>
          <w:p w14:paraId="15810060" w14:textId="77777777" w:rsidR="0019655D" w:rsidRPr="0091465B" w:rsidRDefault="0019655D" w:rsidP="00080B02">
            <w:pPr>
              <w:jc w:val="center"/>
              <w:rPr>
                <w:rFonts w:asciiTheme="minorHAnsi" w:hAnsiTheme="minorHAnsi" w:cstheme="minorHAnsi"/>
                <w:color w:val="000000"/>
                <w:sz w:val="20"/>
                <w:szCs w:val="20"/>
              </w:rPr>
            </w:pPr>
            <w:r w:rsidRPr="0091465B">
              <w:rPr>
                <w:rFonts w:asciiTheme="minorHAnsi" w:hAnsiTheme="minorHAnsi" w:cstheme="minorHAnsi"/>
                <w:color w:val="000000"/>
                <w:sz w:val="20"/>
                <w:szCs w:val="20"/>
              </w:rPr>
              <w:t>35%</w:t>
            </w:r>
          </w:p>
        </w:tc>
      </w:tr>
      <w:tr w:rsidR="0019655D" w:rsidRPr="0091465B" w14:paraId="48233F4D" w14:textId="77777777" w:rsidTr="00080B02">
        <w:trPr>
          <w:trHeight w:val="300"/>
        </w:trPr>
        <w:tc>
          <w:tcPr>
            <w:tcW w:w="1480" w:type="dxa"/>
            <w:tcBorders>
              <w:top w:val="nil"/>
              <w:left w:val="nil"/>
              <w:bottom w:val="nil"/>
              <w:right w:val="nil"/>
            </w:tcBorders>
            <w:shd w:val="clear" w:color="auto" w:fill="auto"/>
            <w:vAlign w:val="center"/>
            <w:hideMark/>
          </w:tcPr>
          <w:p w14:paraId="1BFF2405" w14:textId="77777777" w:rsidR="0019655D" w:rsidRPr="0091465B" w:rsidRDefault="0019655D" w:rsidP="00080B02">
            <w:pPr>
              <w:jc w:val="right"/>
              <w:rPr>
                <w:rFonts w:asciiTheme="minorHAnsi" w:hAnsiTheme="minorHAnsi" w:cstheme="minorHAnsi"/>
                <w:i/>
                <w:iCs/>
                <w:color w:val="000000"/>
                <w:sz w:val="20"/>
                <w:szCs w:val="20"/>
              </w:rPr>
            </w:pPr>
            <w:r w:rsidRPr="0091465B">
              <w:rPr>
                <w:rFonts w:asciiTheme="minorHAnsi" w:hAnsiTheme="minorHAnsi" w:cstheme="minorHAnsi"/>
                <w:i/>
                <w:iCs/>
                <w:color w:val="000000"/>
                <w:sz w:val="20"/>
                <w:szCs w:val="20"/>
              </w:rPr>
              <w:t>Males</w:t>
            </w:r>
          </w:p>
        </w:tc>
        <w:tc>
          <w:tcPr>
            <w:tcW w:w="2020" w:type="dxa"/>
            <w:tcBorders>
              <w:top w:val="nil"/>
              <w:left w:val="nil"/>
              <w:bottom w:val="single" w:sz="4" w:space="0" w:color="auto"/>
              <w:right w:val="nil"/>
            </w:tcBorders>
            <w:shd w:val="clear" w:color="auto" w:fill="auto"/>
            <w:vAlign w:val="center"/>
            <w:hideMark/>
          </w:tcPr>
          <w:p w14:paraId="2615996D" w14:textId="77777777" w:rsidR="0019655D" w:rsidRPr="0091465B" w:rsidRDefault="0019655D" w:rsidP="00080B02">
            <w:pPr>
              <w:jc w:val="center"/>
              <w:rPr>
                <w:rFonts w:asciiTheme="minorHAnsi" w:hAnsiTheme="minorHAnsi" w:cstheme="minorHAnsi"/>
                <w:color w:val="000000"/>
                <w:sz w:val="20"/>
                <w:szCs w:val="20"/>
              </w:rPr>
            </w:pPr>
            <w:r w:rsidRPr="0091465B">
              <w:rPr>
                <w:rFonts w:asciiTheme="minorHAnsi" w:hAnsiTheme="minorHAnsi" w:cstheme="minorHAnsi"/>
                <w:color w:val="000000"/>
                <w:sz w:val="20"/>
                <w:szCs w:val="20"/>
              </w:rPr>
              <w:t>4%</w:t>
            </w:r>
          </w:p>
        </w:tc>
        <w:tc>
          <w:tcPr>
            <w:tcW w:w="1760" w:type="dxa"/>
            <w:tcBorders>
              <w:top w:val="nil"/>
              <w:left w:val="nil"/>
              <w:bottom w:val="single" w:sz="4" w:space="0" w:color="auto"/>
              <w:right w:val="nil"/>
            </w:tcBorders>
            <w:shd w:val="clear" w:color="auto" w:fill="auto"/>
            <w:vAlign w:val="center"/>
            <w:hideMark/>
          </w:tcPr>
          <w:p w14:paraId="25ABBA9F" w14:textId="77777777" w:rsidR="0019655D" w:rsidRPr="0091465B" w:rsidRDefault="0019655D" w:rsidP="00080B02">
            <w:pPr>
              <w:jc w:val="center"/>
              <w:rPr>
                <w:rFonts w:asciiTheme="minorHAnsi" w:hAnsiTheme="minorHAnsi" w:cstheme="minorHAnsi"/>
                <w:color w:val="000000"/>
                <w:sz w:val="20"/>
                <w:szCs w:val="20"/>
              </w:rPr>
            </w:pPr>
            <w:r w:rsidRPr="0091465B">
              <w:rPr>
                <w:rFonts w:asciiTheme="minorHAnsi" w:hAnsiTheme="minorHAnsi" w:cstheme="minorHAnsi"/>
                <w:color w:val="000000"/>
                <w:sz w:val="20"/>
                <w:szCs w:val="20"/>
              </w:rPr>
              <w:t>25%</w:t>
            </w:r>
          </w:p>
        </w:tc>
      </w:tr>
    </w:tbl>
    <w:p w14:paraId="0B404923" w14:textId="77777777" w:rsidR="0019655D" w:rsidRPr="0091465B" w:rsidRDefault="0019655D" w:rsidP="0019655D">
      <w:pPr>
        <w:contextualSpacing/>
        <w:jc w:val="both"/>
        <w:rPr>
          <w:rFonts w:asciiTheme="minorHAnsi" w:hAnsiTheme="minorHAnsi" w:cstheme="minorHAnsi"/>
          <w:sz w:val="10"/>
          <w:szCs w:val="10"/>
        </w:rPr>
      </w:pPr>
    </w:p>
    <w:p w14:paraId="2D002FB6" w14:textId="77777777" w:rsidR="00DD518A" w:rsidRPr="0091465B" w:rsidRDefault="00DD518A" w:rsidP="00DD518A">
      <w:pPr>
        <w:tabs>
          <w:tab w:val="left" w:pos="360"/>
        </w:tabs>
        <w:spacing w:line="360" w:lineRule="auto"/>
        <w:jc w:val="both"/>
        <w:rPr>
          <w:rFonts w:asciiTheme="minorHAnsi" w:hAnsiTheme="minorHAnsi" w:cstheme="minorHAnsi"/>
          <w:sz w:val="22"/>
          <w:szCs w:val="22"/>
          <w:lang w:val="en-AU"/>
        </w:rPr>
      </w:pPr>
      <w:r w:rsidRPr="0091465B">
        <w:rPr>
          <w:rFonts w:asciiTheme="minorHAnsi" w:hAnsiTheme="minorHAnsi" w:cstheme="minorHAnsi"/>
          <w:sz w:val="22"/>
          <w:szCs w:val="22"/>
          <w:lang w:val="en-AU"/>
        </w:rPr>
        <w:t xml:space="preserve">Among females, the proportion of the most recent instances of assault by a male perpetrator which resulted in charges being heard in a court, was 3% for sexual assault and 12% of physical assaults. </w:t>
      </w:r>
    </w:p>
    <w:p w14:paraId="753F7DCB" w14:textId="77777777" w:rsidR="00DD518A" w:rsidRPr="0091465B" w:rsidRDefault="00DD518A" w:rsidP="00DD518A">
      <w:pPr>
        <w:tabs>
          <w:tab w:val="left" w:pos="360"/>
        </w:tabs>
        <w:spacing w:line="360" w:lineRule="auto"/>
        <w:jc w:val="both"/>
        <w:rPr>
          <w:rFonts w:asciiTheme="minorHAnsi" w:hAnsiTheme="minorHAnsi" w:cstheme="minorHAnsi"/>
          <w:sz w:val="22"/>
          <w:szCs w:val="22"/>
          <w:lang w:val="en-AU"/>
        </w:rPr>
      </w:pPr>
      <w:r w:rsidRPr="0091465B">
        <w:rPr>
          <w:rFonts w:asciiTheme="minorHAnsi" w:hAnsiTheme="minorHAnsi" w:cstheme="minorHAnsi"/>
          <w:sz w:val="22"/>
          <w:szCs w:val="22"/>
          <w:lang w:val="en-AU"/>
        </w:rPr>
        <w:t>Nearly a quarter (24%) of women who experienced violence from a previous partner obtained a restraining order, with half (51%) of these women reporting that further instances of violence occurred after the order was obtained.</w:t>
      </w:r>
    </w:p>
    <w:p w14:paraId="1FC9DDA4" w14:textId="1820E035" w:rsidR="00845F9C" w:rsidRDefault="00845F9C" w:rsidP="00467C0E">
      <w:pPr>
        <w:contextualSpacing/>
        <w:jc w:val="both"/>
        <w:rPr>
          <w:rFonts w:asciiTheme="minorHAnsi" w:hAnsiTheme="minorHAnsi" w:cstheme="minorHAnsi"/>
          <w:sz w:val="10"/>
          <w:szCs w:val="10"/>
        </w:rPr>
      </w:pPr>
    </w:p>
    <w:p w14:paraId="1E48B106" w14:textId="77777777" w:rsidR="00467C0E" w:rsidRPr="0091465B" w:rsidRDefault="00467C0E" w:rsidP="00424D7C">
      <w:pPr>
        <w:spacing w:before="120" w:after="120" w:line="360" w:lineRule="auto"/>
        <w:contextualSpacing/>
        <w:jc w:val="both"/>
        <w:rPr>
          <w:rFonts w:asciiTheme="minorHAnsi" w:hAnsiTheme="minorHAnsi" w:cstheme="minorHAnsi"/>
          <w:b/>
          <w:color w:val="000000" w:themeColor="text1"/>
          <w:sz w:val="22"/>
          <w:szCs w:val="22"/>
        </w:rPr>
      </w:pPr>
      <w:r w:rsidRPr="0091465B">
        <w:rPr>
          <w:rFonts w:asciiTheme="minorHAnsi" w:hAnsiTheme="minorHAnsi" w:cstheme="minorHAnsi"/>
          <w:b/>
          <w:color w:val="000000" w:themeColor="text1"/>
          <w:sz w:val="22"/>
          <w:szCs w:val="22"/>
        </w:rPr>
        <w:t>Children as Witnesses to Partner Violence</w:t>
      </w:r>
    </w:p>
    <w:p w14:paraId="65BC01DA" w14:textId="391C3607" w:rsidR="00467C0E" w:rsidRDefault="00467C0E" w:rsidP="00467C0E">
      <w:pPr>
        <w:tabs>
          <w:tab w:val="left" w:pos="360"/>
        </w:tabs>
        <w:spacing w:before="60" w:line="360" w:lineRule="auto"/>
        <w:jc w:val="both"/>
        <w:rPr>
          <w:rFonts w:asciiTheme="minorHAnsi" w:hAnsiTheme="minorHAnsi" w:cstheme="minorHAnsi"/>
          <w:sz w:val="22"/>
          <w:szCs w:val="22"/>
          <w:lang w:val="en-AU"/>
        </w:rPr>
      </w:pPr>
      <w:r w:rsidRPr="0091465B">
        <w:rPr>
          <w:rFonts w:asciiTheme="minorHAnsi" w:hAnsiTheme="minorHAnsi" w:cstheme="minorHAnsi"/>
          <w:noProof/>
          <w:lang w:val="en-AU" w:eastAsia="en-AU"/>
        </w:rPr>
        <w:drawing>
          <wp:anchor distT="0" distB="0" distL="114300" distR="114300" simplePos="0" relativeHeight="251655168" behindDoc="0" locked="0" layoutInCell="1" allowOverlap="1" wp14:anchorId="69DF3B0A" wp14:editId="47977005">
            <wp:simplePos x="0" y="0"/>
            <wp:positionH relativeFrom="column">
              <wp:posOffset>3009265</wp:posOffset>
            </wp:positionH>
            <wp:positionV relativeFrom="paragraph">
              <wp:posOffset>487680</wp:posOffset>
            </wp:positionV>
            <wp:extent cx="3136900" cy="2066925"/>
            <wp:effectExtent l="0" t="0" r="635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l="11598" t="9295"/>
                    <a:stretch>
                      <a:fillRect/>
                    </a:stretch>
                  </pic:blipFill>
                  <pic:spPr bwMode="auto">
                    <a:xfrm>
                      <a:off x="0" y="0"/>
                      <a:ext cx="3136900" cy="2066925"/>
                    </a:xfrm>
                    <a:prstGeom prst="rect">
                      <a:avLst/>
                    </a:prstGeom>
                    <a:noFill/>
                  </pic:spPr>
                </pic:pic>
              </a:graphicData>
            </a:graphic>
            <wp14:sizeRelH relativeFrom="page">
              <wp14:pctWidth>0</wp14:pctWidth>
            </wp14:sizeRelH>
            <wp14:sizeRelV relativeFrom="page">
              <wp14:pctHeight>0</wp14:pctHeight>
            </wp14:sizeRelV>
          </wp:anchor>
        </w:drawing>
      </w:r>
      <w:r w:rsidRPr="0091465B">
        <w:rPr>
          <w:rFonts w:asciiTheme="minorHAnsi" w:hAnsiTheme="minorHAnsi" w:cstheme="minorHAnsi"/>
          <w:sz w:val="22"/>
          <w:szCs w:val="22"/>
          <w:lang w:val="en-AU"/>
        </w:rPr>
        <w:t xml:space="preserve">Approximately one in ten (11%) Australian adults had witnessed violence inflicted upon their mother by a partner before the age of 18, and one in twenty-five (4.5%) had experienced violence by their mother toward her partner. </w:t>
      </w:r>
    </w:p>
    <w:p w14:paraId="789FFDC1" w14:textId="77777777" w:rsidR="00467C0E" w:rsidRPr="0091465B" w:rsidRDefault="00467C0E" w:rsidP="00467C0E">
      <w:pPr>
        <w:contextualSpacing/>
        <w:jc w:val="both"/>
        <w:rPr>
          <w:rFonts w:asciiTheme="minorHAnsi" w:hAnsiTheme="minorHAnsi" w:cstheme="minorHAnsi"/>
          <w:sz w:val="14"/>
          <w:szCs w:val="14"/>
        </w:rPr>
      </w:pPr>
    </w:p>
    <w:p w14:paraId="2CD6D518" w14:textId="77777777" w:rsidR="00467C0E" w:rsidRPr="0091465B" w:rsidRDefault="00467C0E" w:rsidP="00467C0E">
      <w:pPr>
        <w:contextualSpacing/>
        <w:jc w:val="both"/>
        <w:rPr>
          <w:rFonts w:asciiTheme="minorHAnsi" w:hAnsiTheme="minorHAnsi" w:cstheme="minorHAnsi"/>
          <w:color w:val="7F7F7F" w:themeColor="text1" w:themeTint="80"/>
          <w:sz w:val="20"/>
          <w:szCs w:val="20"/>
        </w:rPr>
      </w:pPr>
      <w:r w:rsidRPr="0091465B">
        <w:rPr>
          <w:rFonts w:asciiTheme="minorHAnsi" w:hAnsiTheme="minorHAnsi" w:cstheme="minorHAnsi"/>
          <w:color w:val="7F7F7F" w:themeColor="text1" w:themeTint="80"/>
          <w:sz w:val="20"/>
          <w:szCs w:val="20"/>
        </w:rPr>
        <w:t>Per cent of persons who had witnessed violence between their parents during childhood, by gender of person and category of violence</w:t>
      </w:r>
    </w:p>
    <w:p w14:paraId="48B9B67C" w14:textId="7411381E" w:rsidR="00467C0E" w:rsidRDefault="00467C0E" w:rsidP="00467C0E">
      <w:pPr>
        <w:contextualSpacing/>
        <w:jc w:val="both"/>
        <w:rPr>
          <w:rFonts w:asciiTheme="minorHAnsi" w:hAnsiTheme="minorHAnsi" w:cstheme="minorHAnsi"/>
          <w:sz w:val="14"/>
          <w:szCs w:val="14"/>
        </w:rPr>
      </w:pPr>
    </w:p>
    <w:p w14:paraId="53A2BE39" w14:textId="510AE6C1" w:rsidR="0019655D" w:rsidRDefault="0019655D" w:rsidP="00467C0E">
      <w:pPr>
        <w:contextualSpacing/>
        <w:jc w:val="both"/>
        <w:rPr>
          <w:rFonts w:asciiTheme="minorHAnsi" w:hAnsiTheme="minorHAnsi" w:cstheme="minorHAnsi"/>
          <w:sz w:val="14"/>
          <w:szCs w:val="14"/>
        </w:rPr>
      </w:pPr>
    </w:p>
    <w:p w14:paraId="179A98CD" w14:textId="7D357691" w:rsidR="00467C0E" w:rsidRDefault="00467C0E" w:rsidP="00467C0E">
      <w:pPr>
        <w:tabs>
          <w:tab w:val="left" w:pos="360"/>
        </w:tabs>
        <w:spacing w:line="360" w:lineRule="auto"/>
        <w:jc w:val="both"/>
        <w:rPr>
          <w:rFonts w:asciiTheme="minorHAnsi" w:hAnsiTheme="minorHAnsi" w:cstheme="minorHAnsi"/>
          <w:sz w:val="22"/>
          <w:szCs w:val="22"/>
          <w:lang w:val="en-AU"/>
        </w:rPr>
      </w:pPr>
      <w:r w:rsidRPr="0091465B">
        <w:rPr>
          <w:rFonts w:asciiTheme="minorHAnsi" w:hAnsiTheme="minorHAnsi" w:cstheme="minorHAnsi"/>
          <w:sz w:val="22"/>
          <w:szCs w:val="22"/>
          <w:lang w:val="en-AU"/>
        </w:rPr>
        <w:t xml:space="preserve">Notably, those adults who had witnessed violence </w:t>
      </w:r>
      <w:r w:rsidR="00891AF7">
        <w:rPr>
          <w:rFonts w:asciiTheme="minorHAnsi" w:hAnsiTheme="minorHAnsi" w:cstheme="minorHAnsi"/>
          <w:sz w:val="22"/>
          <w:szCs w:val="22"/>
          <w:lang w:val="en-AU"/>
        </w:rPr>
        <w:t>during childhood</w:t>
      </w:r>
      <w:r w:rsidRPr="0091465B">
        <w:rPr>
          <w:rFonts w:asciiTheme="minorHAnsi" w:hAnsiTheme="minorHAnsi" w:cstheme="minorHAnsi"/>
          <w:sz w:val="22"/>
          <w:szCs w:val="22"/>
          <w:lang w:val="en-AU"/>
        </w:rPr>
        <w:t xml:space="preserve"> were over twice as likely to experience violence </w:t>
      </w:r>
      <w:r w:rsidR="00891AF7">
        <w:rPr>
          <w:rFonts w:asciiTheme="minorHAnsi" w:hAnsiTheme="minorHAnsi" w:cstheme="minorHAnsi"/>
          <w:sz w:val="22"/>
          <w:szCs w:val="22"/>
          <w:lang w:val="en-AU"/>
        </w:rPr>
        <w:t xml:space="preserve">from a partner </w:t>
      </w:r>
      <w:r w:rsidRPr="0091465B">
        <w:rPr>
          <w:rFonts w:asciiTheme="minorHAnsi" w:hAnsiTheme="minorHAnsi" w:cstheme="minorHAnsi"/>
          <w:sz w:val="22"/>
          <w:szCs w:val="22"/>
          <w:lang w:val="en-AU"/>
        </w:rPr>
        <w:t>in adulthood (26%)</w:t>
      </w:r>
      <w:r w:rsidR="00891AF7">
        <w:rPr>
          <w:rFonts w:asciiTheme="minorHAnsi" w:hAnsiTheme="minorHAnsi" w:cstheme="minorHAnsi"/>
          <w:sz w:val="22"/>
          <w:szCs w:val="22"/>
          <w:lang w:val="en-AU"/>
        </w:rPr>
        <w:t>,</w:t>
      </w:r>
      <w:r w:rsidRPr="0091465B">
        <w:rPr>
          <w:rFonts w:asciiTheme="minorHAnsi" w:hAnsiTheme="minorHAnsi" w:cstheme="minorHAnsi"/>
          <w:sz w:val="22"/>
          <w:szCs w:val="22"/>
          <w:lang w:val="en-AU"/>
        </w:rPr>
        <w:t xml:space="preserve"> as </w:t>
      </w:r>
      <w:r w:rsidR="00891AF7">
        <w:rPr>
          <w:rFonts w:asciiTheme="minorHAnsi" w:hAnsiTheme="minorHAnsi" w:cstheme="minorHAnsi"/>
          <w:sz w:val="22"/>
          <w:szCs w:val="22"/>
          <w:lang w:val="en-AU"/>
        </w:rPr>
        <w:t>others</w:t>
      </w:r>
      <w:r w:rsidRPr="0091465B">
        <w:rPr>
          <w:rFonts w:asciiTheme="minorHAnsi" w:hAnsiTheme="minorHAnsi" w:cstheme="minorHAnsi"/>
          <w:sz w:val="22"/>
          <w:szCs w:val="22"/>
          <w:lang w:val="en-AU"/>
        </w:rPr>
        <w:t xml:space="preserve"> (12%).</w:t>
      </w:r>
    </w:p>
    <w:p w14:paraId="0107E796" w14:textId="77777777" w:rsidR="00DF5E4C" w:rsidRDefault="00DF5E4C" w:rsidP="00424D7C">
      <w:pPr>
        <w:spacing w:line="360" w:lineRule="auto"/>
        <w:contextualSpacing/>
        <w:jc w:val="both"/>
        <w:rPr>
          <w:rFonts w:asciiTheme="minorHAnsi" w:hAnsiTheme="minorHAnsi" w:cstheme="minorHAnsi"/>
          <w:b/>
          <w:color w:val="000000" w:themeColor="text1"/>
          <w:sz w:val="22"/>
          <w:szCs w:val="22"/>
        </w:rPr>
      </w:pPr>
    </w:p>
    <w:p w14:paraId="024986B9" w14:textId="5BF92B88" w:rsidR="00F1013F" w:rsidRPr="0091465B" w:rsidRDefault="00DD518A" w:rsidP="00424D7C">
      <w:pPr>
        <w:spacing w:line="360" w:lineRule="auto"/>
        <w:contextualSpacing/>
        <w:jc w:val="both"/>
        <w:rPr>
          <w:rFonts w:asciiTheme="minorHAnsi" w:hAnsiTheme="minorHAnsi" w:cstheme="minorHAnsi"/>
          <w:color w:val="7F7F7F" w:themeColor="text1" w:themeTint="80"/>
          <w:sz w:val="20"/>
          <w:szCs w:val="20"/>
        </w:rPr>
      </w:pPr>
      <w:r w:rsidRPr="0091465B">
        <w:rPr>
          <w:rFonts w:asciiTheme="minorHAnsi" w:hAnsiTheme="minorHAnsi" w:cstheme="minorHAnsi"/>
          <w:b/>
          <w:color w:val="000000" w:themeColor="text1"/>
          <w:sz w:val="22"/>
          <w:szCs w:val="22"/>
        </w:rPr>
        <w:t>Child Abuse</w:t>
      </w:r>
      <w:r w:rsidR="00F1013F" w:rsidRPr="0091465B">
        <w:rPr>
          <w:rFonts w:asciiTheme="minorHAnsi" w:hAnsiTheme="minorHAnsi" w:cstheme="minorHAnsi"/>
          <w:i/>
          <w:color w:val="000000" w:themeColor="text1"/>
        </w:rPr>
        <w:t xml:space="preserve">                                </w:t>
      </w:r>
      <w:r w:rsidR="00E571EB">
        <w:rPr>
          <w:rFonts w:asciiTheme="minorHAnsi" w:hAnsiTheme="minorHAnsi" w:cstheme="minorHAnsi"/>
          <w:i/>
          <w:color w:val="000000" w:themeColor="text1"/>
        </w:rPr>
        <w:t xml:space="preserve">   </w:t>
      </w:r>
      <w:r w:rsidR="00F1013F" w:rsidRPr="0091465B">
        <w:rPr>
          <w:rFonts w:asciiTheme="minorHAnsi" w:hAnsiTheme="minorHAnsi" w:cstheme="minorHAnsi"/>
          <w:color w:val="7F7F7F" w:themeColor="text1" w:themeTint="80"/>
          <w:sz w:val="20"/>
          <w:szCs w:val="20"/>
        </w:rPr>
        <w:t>Per cent of adults abused in childhood, by gender of victim and type of abuse</w:t>
      </w:r>
    </w:p>
    <w:p w14:paraId="59C22446" w14:textId="265412FC" w:rsidR="00DD518A" w:rsidRPr="0091465B" w:rsidRDefault="00F1013F" w:rsidP="00F1013F">
      <w:pPr>
        <w:tabs>
          <w:tab w:val="left" w:pos="360"/>
        </w:tabs>
        <w:spacing w:before="60" w:line="360" w:lineRule="auto"/>
        <w:jc w:val="both"/>
        <w:rPr>
          <w:rFonts w:asciiTheme="minorHAnsi" w:hAnsiTheme="minorHAnsi" w:cstheme="minorHAnsi"/>
          <w:sz w:val="22"/>
          <w:szCs w:val="22"/>
          <w:lang w:val="en-AU"/>
        </w:rPr>
      </w:pPr>
      <w:r w:rsidRPr="0091465B">
        <w:rPr>
          <w:rFonts w:asciiTheme="minorHAnsi" w:hAnsiTheme="minorHAnsi" w:cstheme="minorHAnsi"/>
          <w:noProof/>
          <w:lang w:val="en-AU" w:eastAsia="en-AU"/>
        </w:rPr>
        <w:drawing>
          <wp:anchor distT="0" distB="0" distL="114300" distR="114300" simplePos="0" relativeHeight="251666432" behindDoc="0" locked="0" layoutInCell="1" allowOverlap="1" wp14:anchorId="07E912E5" wp14:editId="68E47421">
            <wp:simplePos x="0" y="0"/>
            <wp:positionH relativeFrom="margin">
              <wp:align>right</wp:align>
            </wp:positionH>
            <wp:positionV relativeFrom="paragraph">
              <wp:posOffset>125730</wp:posOffset>
            </wp:positionV>
            <wp:extent cx="3455035" cy="222377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3695" r="2592" b="10761"/>
                    <a:stretch/>
                  </pic:blipFill>
                  <pic:spPr bwMode="auto">
                    <a:xfrm>
                      <a:off x="0" y="0"/>
                      <a:ext cx="3455528" cy="22244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518A" w:rsidRPr="0091465B">
        <w:rPr>
          <w:rFonts w:asciiTheme="minorHAnsi" w:hAnsiTheme="minorHAnsi" w:cstheme="minorHAnsi"/>
          <w:sz w:val="22"/>
          <w:szCs w:val="22"/>
          <w:lang w:val="en-AU"/>
        </w:rPr>
        <w:t xml:space="preserve">Approximately one in six (16%) females and one in ten (11%) males </w:t>
      </w:r>
      <w:r w:rsidR="00891AF7">
        <w:rPr>
          <w:rFonts w:asciiTheme="minorHAnsi" w:hAnsiTheme="minorHAnsi" w:cstheme="minorHAnsi"/>
          <w:sz w:val="22"/>
          <w:szCs w:val="22"/>
          <w:lang w:val="en-AU"/>
        </w:rPr>
        <w:t>stated that they had been</w:t>
      </w:r>
      <w:r w:rsidR="00DD518A" w:rsidRPr="0091465B">
        <w:rPr>
          <w:rFonts w:asciiTheme="minorHAnsi" w:hAnsiTheme="minorHAnsi" w:cstheme="minorHAnsi"/>
          <w:sz w:val="22"/>
          <w:szCs w:val="22"/>
          <w:lang w:val="en-AU"/>
        </w:rPr>
        <w:t xml:space="preserve"> abused before the age of 15. </w:t>
      </w:r>
    </w:p>
    <w:p w14:paraId="17A80B46" w14:textId="27B8D510" w:rsidR="0019655D" w:rsidRDefault="00467C0E" w:rsidP="00467C0E">
      <w:pPr>
        <w:spacing w:line="360" w:lineRule="auto"/>
        <w:jc w:val="both"/>
        <w:rPr>
          <w:rFonts w:asciiTheme="minorHAnsi" w:hAnsiTheme="minorHAnsi" w:cstheme="minorHAnsi"/>
          <w:sz w:val="22"/>
          <w:szCs w:val="22"/>
          <w:lang w:val="en-AU"/>
        </w:rPr>
      </w:pPr>
      <w:r w:rsidRPr="0091465B">
        <w:rPr>
          <w:rFonts w:asciiTheme="minorHAnsi" w:hAnsiTheme="minorHAnsi" w:cstheme="minorHAnsi"/>
          <w:sz w:val="22"/>
          <w:szCs w:val="22"/>
          <w:lang w:val="en-AU"/>
        </w:rPr>
        <w:t>National records of child abuse, published by the National Institute of Health and Welfare</w:t>
      </w:r>
      <w:r w:rsidR="00891AF7">
        <w:rPr>
          <w:rFonts w:asciiTheme="minorHAnsi" w:hAnsiTheme="minorHAnsi" w:cstheme="minorHAnsi"/>
          <w:sz w:val="22"/>
          <w:szCs w:val="22"/>
          <w:lang w:val="en-AU"/>
        </w:rPr>
        <w:t>,</w:t>
      </w:r>
      <w:r w:rsidRPr="0091465B">
        <w:rPr>
          <w:rFonts w:asciiTheme="minorHAnsi" w:hAnsiTheme="minorHAnsi" w:cstheme="minorHAnsi"/>
          <w:sz w:val="22"/>
          <w:szCs w:val="22"/>
          <w:lang w:val="en-AU"/>
        </w:rPr>
        <w:t xml:space="preserve"> relate that in 2013/14, 6,482 cases of substantiated child abuse were recorded among the</w:t>
      </w:r>
      <w:r w:rsidR="00EF7111" w:rsidRPr="0091465B">
        <w:rPr>
          <w:rFonts w:asciiTheme="minorHAnsi" w:hAnsiTheme="minorHAnsi" w:cstheme="minorHAnsi"/>
          <w:sz w:val="22"/>
          <w:szCs w:val="22"/>
          <w:lang w:val="en-AU"/>
        </w:rPr>
        <w:t xml:space="preserve"> 20%</w:t>
      </w:r>
      <w:r w:rsidRPr="0091465B">
        <w:rPr>
          <w:rFonts w:asciiTheme="minorHAnsi" w:hAnsiTheme="minorHAnsi" w:cstheme="minorHAnsi"/>
          <w:sz w:val="22"/>
          <w:szCs w:val="22"/>
          <w:lang w:val="en-AU"/>
        </w:rPr>
        <w:t xml:space="preserve"> </w:t>
      </w:r>
      <w:r w:rsidRPr="0091465B">
        <w:rPr>
          <w:rFonts w:asciiTheme="minorHAnsi" w:hAnsiTheme="minorHAnsi" w:cstheme="minorHAnsi"/>
          <w:i/>
          <w:sz w:val="22"/>
          <w:szCs w:val="22"/>
          <w:lang w:val="en-AU"/>
        </w:rPr>
        <w:t>most</w:t>
      </w:r>
      <w:r w:rsidRPr="0091465B">
        <w:rPr>
          <w:rFonts w:asciiTheme="minorHAnsi" w:hAnsiTheme="minorHAnsi" w:cstheme="minorHAnsi"/>
          <w:sz w:val="22"/>
          <w:szCs w:val="22"/>
          <w:lang w:val="en-AU"/>
        </w:rPr>
        <w:t xml:space="preserve"> socio-economically disadvantaged Australian communit</w:t>
      </w:r>
      <w:r w:rsidR="00EF7111" w:rsidRPr="0091465B">
        <w:rPr>
          <w:rFonts w:asciiTheme="minorHAnsi" w:hAnsiTheme="minorHAnsi" w:cstheme="minorHAnsi"/>
          <w:sz w:val="22"/>
          <w:szCs w:val="22"/>
          <w:lang w:val="en-AU"/>
        </w:rPr>
        <w:t>ies</w:t>
      </w:r>
      <w:r w:rsidRPr="0091465B">
        <w:rPr>
          <w:rFonts w:asciiTheme="minorHAnsi" w:hAnsiTheme="minorHAnsi" w:cstheme="minorHAnsi"/>
          <w:sz w:val="22"/>
          <w:szCs w:val="22"/>
          <w:lang w:val="en-AU"/>
        </w:rPr>
        <w:t>, compared with 873 among the</w:t>
      </w:r>
      <w:r w:rsidR="00EF7111" w:rsidRPr="0091465B">
        <w:rPr>
          <w:rFonts w:asciiTheme="minorHAnsi" w:hAnsiTheme="minorHAnsi" w:cstheme="minorHAnsi"/>
          <w:sz w:val="22"/>
          <w:szCs w:val="22"/>
          <w:lang w:val="en-AU"/>
        </w:rPr>
        <w:t xml:space="preserve"> 20%</w:t>
      </w:r>
      <w:r w:rsidRPr="0091465B">
        <w:rPr>
          <w:rFonts w:asciiTheme="minorHAnsi" w:hAnsiTheme="minorHAnsi" w:cstheme="minorHAnsi"/>
          <w:sz w:val="22"/>
          <w:szCs w:val="22"/>
          <w:lang w:val="en-AU"/>
        </w:rPr>
        <w:t xml:space="preserve"> </w:t>
      </w:r>
      <w:r w:rsidR="00EF7111" w:rsidRPr="0091465B">
        <w:rPr>
          <w:rFonts w:asciiTheme="minorHAnsi" w:hAnsiTheme="minorHAnsi" w:cstheme="minorHAnsi"/>
          <w:i/>
          <w:sz w:val="22"/>
          <w:szCs w:val="22"/>
          <w:lang w:val="en-AU"/>
        </w:rPr>
        <w:t>least</w:t>
      </w:r>
      <w:r w:rsidRPr="0091465B">
        <w:rPr>
          <w:rFonts w:asciiTheme="minorHAnsi" w:hAnsiTheme="minorHAnsi" w:cstheme="minorHAnsi"/>
          <w:sz w:val="22"/>
          <w:szCs w:val="22"/>
          <w:lang w:val="en-AU"/>
        </w:rPr>
        <w:t xml:space="preserve"> disadvantaged </w:t>
      </w:r>
      <w:r w:rsidR="00EF7111" w:rsidRPr="0091465B">
        <w:rPr>
          <w:rFonts w:asciiTheme="minorHAnsi" w:hAnsiTheme="minorHAnsi" w:cstheme="minorHAnsi"/>
          <w:sz w:val="22"/>
          <w:szCs w:val="22"/>
          <w:lang w:val="en-AU"/>
        </w:rPr>
        <w:t>communities</w:t>
      </w:r>
      <w:r w:rsidRPr="0091465B">
        <w:rPr>
          <w:rFonts w:asciiTheme="minorHAnsi" w:hAnsiTheme="minorHAnsi" w:cstheme="minorHAnsi"/>
          <w:sz w:val="22"/>
          <w:szCs w:val="22"/>
          <w:lang w:val="en-AU"/>
        </w:rPr>
        <w:t xml:space="preserve">. These findings </w:t>
      </w:r>
      <w:r w:rsidR="00891AF7">
        <w:rPr>
          <w:rFonts w:asciiTheme="minorHAnsi" w:hAnsiTheme="minorHAnsi" w:cstheme="minorHAnsi"/>
          <w:sz w:val="22"/>
          <w:szCs w:val="22"/>
          <w:lang w:val="en-AU"/>
        </w:rPr>
        <w:t>suggest</w:t>
      </w:r>
      <w:r w:rsidRPr="0091465B">
        <w:rPr>
          <w:rFonts w:asciiTheme="minorHAnsi" w:hAnsiTheme="minorHAnsi" w:cstheme="minorHAnsi"/>
          <w:sz w:val="22"/>
          <w:szCs w:val="22"/>
          <w:lang w:val="en-AU"/>
        </w:rPr>
        <w:t xml:space="preserve"> that the prevalence of substantiated child abuse is </w:t>
      </w:r>
      <w:r w:rsidR="00891AF7">
        <w:rPr>
          <w:rFonts w:asciiTheme="minorHAnsi" w:hAnsiTheme="minorHAnsi" w:cstheme="minorHAnsi"/>
          <w:sz w:val="22"/>
          <w:szCs w:val="22"/>
          <w:lang w:val="en-AU"/>
        </w:rPr>
        <w:t>over seven</w:t>
      </w:r>
      <w:r w:rsidRPr="0091465B">
        <w:rPr>
          <w:rFonts w:asciiTheme="minorHAnsi" w:hAnsiTheme="minorHAnsi" w:cstheme="minorHAnsi"/>
          <w:sz w:val="22"/>
          <w:szCs w:val="22"/>
          <w:lang w:val="en-AU"/>
        </w:rPr>
        <w:t xml:space="preserve"> times higher among the most disadvantaged segments of the community</w:t>
      </w:r>
      <w:r w:rsidR="00891AF7">
        <w:rPr>
          <w:rFonts w:asciiTheme="minorHAnsi" w:hAnsiTheme="minorHAnsi" w:cstheme="minorHAnsi"/>
          <w:sz w:val="22"/>
          <w:szCs w:val="22"/>
          <w:lang w:val="en-AU"/>
        </w:rPr>
        <w:t>, as among the least disadvantaged</w:t>
      </w:r>
      <w:r w:rsidRPr="0091465B">
        <w:rPr>
          <w:rFonts w:asciiTheme="minorHAnsi" w:hAnsiTheme="minorHAnsi" w:cstheme="minorHAnsi"/>
          <w:sz w:val="22"/>
          <w:szCs w:val="22"/>
          <w:lang w:val="en-AU"/>
        </w:rPr>
        <w:t>.</w:t>
      </w:r>
    </w:p>
    <w:p w14:paraId="73A32D62" w14:textId="78D291BD" w:rsidR="00467C0E" w:rsidRPr="0019655D" w:rsidRDefault="00C666B3" w:rsidP="0019655D">
      <w:pPr>
        <w:spacing w:line="360" w:lineRule="auto"/>
        <w:contextualSpacing/>
        <w:rPr>
          <w:rFonts w:asciiTheme="minorHAnsi" w:hAnsiTheme="minorHAnsi" w:cstheme="minorHAnsi"/>
          <w:color w:val="000000" w:themeColor="text1"/>
          <w:sz w:val="20"/>
          <w:szCs w:val="20"/>
        </w:rPr>
      </w:pPr>
      <w:r>
        <w:rPr>
          <w:rFonts w:asciiTheme="minorHAnsi" w:hAnsiTheme="minorHAnsi" w:cstheme="minorHAnsi"/>
          <w:noProof/>
          <w:color w:val="7F7F7F"/>
          <w:sz w:val="20"/>
          <w:szCs w:val="20"/>
          <w:lang w:val="en-AU"/>
        </w:rPr>
        <w:lastRenderedPageBreak/>
        <w:drawing>
          <wp:anchor distT="0" distB="0" distL="114300" distR="114300" simplePos="0" relativeHeight="251675648" behindDoc="0" locked="0" layoutInCell="1" allowOverlap="1" wp14:anchorId="29B10F2B" wp14:editId="5AB00292">
            <wp:simplePos x="0" y="0"/>
            <wp:positionH relativeFrom="margin">
              <wp:posOffset>70485</wp:posOffset>
            </wp:positionH>
            <wp:positionV relativeFrom="paragraph">
              <wp:posOffset>227330</wp:posOffset>
            </wp:positionV>
            <wp:extent cx="4171950" cy="87496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r="6407"/>
                    <a:stretch/>
                  </pic:blipFill>
                  <pic:spPr bwMode="auto">
                    <a:xfrm>
                      <a:off x="0" y="0"/>
                      <a:ext cx="4171950" cy="8749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655D" w:rsidRPr="0019655D">
        <w:rPr>
          <w:rStyle w:val="Hyperlink"/>
          <w:rFonts w:asciiTheme="minorHAnsi" w:hAnsiTheme="minorHAnsi" w:cstheme="minorHAnsi"/>
          <w:color w:val="000000" w:themeColor="text1"/>
          <w:sz w:val="20"/>
          <w:szCs w:val="20"/>
          <w:u w:val="none"/>
        </w:rPr>
        <w:t>Family-related alleged violent incidents, per 100,000 populat</w:t>
      </w:r>
      <w:r w:rsidR="0019655D">
        <w:rPr>
          <w:rStyle w:val="Hyperlink"/>
          <w:rFonts w:asciiTheme="minorHAnsi" w:hAnsiTheme="minorHAnsi" w:cstheme="minorHAnsi"/>
          <w:color w:val="000000" w:themeColor="text1"/>
          <w:sz w:val="20"/>
          <w:szCs w:val="20"/>
          <w:u w:val="none"/>
        </w:rPr>
        <w:t>i</w:t>
      </w:r>
      <w:r w:rsidR="0019655D" w:rsidRPr="0019655D">
        <w:rPr>
          <w:rStyle w:val="Hyperlink"/>
          <w:rFonts w:asciiTheme="minorHAnsi" w:hAnsiTheme="minorHAnsi" w:cstheme="minorHAnsi"/>
          <w:color w:val="000000" w:themeColor="text1"/>
          <w:sz w:val="20"/>
          <w:szCs w:val="20"/>
          <w:u w:val="none"/>
        </w:rPr>
        <w:t>on</w:t>
      </w:r>
    </w:p>
    <w:p w14:paraId="56111132" w14:textId="2D5F800B" w:rsidR="00C649A2" w:rsidRDefault="00C649A2" w:rsidP="00C666B3">
      <w:pPr>
        <w:spacing w:after="120"/>
        <w:contextualSpacing/>
        <w:jc w:val="both"/>
        <w:rPr>
          <w:rFonts w:asciiTheme="minorHAnsi" w:hAnsiTheme="minorHAnsi" w:cstheme="minorHAnsi"/>
          <w:b/>
          <w:color w:val="000000" w:themeColor="text1"/>
          <w:sz w:val="22"/>
          <w:szCs w:val="22"/>
        </w:rPr>
      </w:pPr>
      <w:r w:rsidRPr="0091465B">
        <w:rPr>
          <w:rFonts w:asciiTheme="minorHAnsi" w:hAnsiTheme="minorHAnsi" w:cstheme="minorHAnsi"/>
          <w:b/>
          <w:color w:val="000000" w:themeColor="text1"/>
          <w:sz w:val="22"/>
          <w:szCs w:val="22"/>
        </w:rPr>
        <w:t>Local Measures of the Incidence of Family Violence</w:t>
      </w:r>
      <w:r w:rsidR="00DF2F69" w:rsidRPr="0091465B">
        <w:rPr>
          <w:rFonts w:asciiTheme="minorHAnsi" w:hAnsiTheme="minorHAnsi" w:cstheme="minorHAnsi"/>
          <w:b/>
          <w:color w:val="000000" w:themeColor="text1"/>
          <w:sz w:val="22"/>
          <w:szCs w:val="22"/>
        </w:rPr>
        <w:t xml:space="preserve"> and Child Abuse</w:t>
      </w:r>
    </w:p>
    <w:p w14:paraId="43BFFA24" w14:textId="77777777" w:rsidR="00DF5E4C" w:rsidRDefault="00DF5E4C" w:rsidP="00C666B3">
      <w:pPr>
        <w:spacing w:after="120"/>
        <w:contextualSpacing/>
        <w:jc w:val="both"/>
        <w:rPr>
          <w:rFonts w:asciiTheme="minorHAnsi" w:hAnsiTheme="minorHAnsi" w:cstheme="minorHAnsi"/>
          <w:b/>
          <w:color w:val="000000" w:themeColor="text1"/>
          <w:sz w:val="22"/>
          <w:szCs w:val="22"/>
        </w:rPr>
      </w:pPr>
    </w:p>
    <w:p w14:paraId="70DCE548" w14:textId="306B8084" w:rsidR="00283005" w:rsidRPr="0091465B" w:rsidRDefault="008C61EB" w:rsidP="00C666B3">
      <w:pPr>
        <w:tabs>
          <w:tab w:val="left" w:pos="360"/>
        </w:tabs>
        <w:spacing w:before="120" w:line="360" w:lineRule="auto"/>
        <w:jc w:val="both"/>
        <w:rPr>
          <w:rFonts w:asciiTheme="minorHAnsi" w:hAnsiTheme="minorHAnsi" w:cstheme="minorHAnsi"/>
          <w:sz w:val="22"/>
          <w:szCs w:val="22"/>
          <w:lang w:val="en-AU"/>
        </w:rPr>
      </w:pPr>
      <w:r w:rsidRPr="0091465B">
        <w:rPr>
          <w:rFonts w:asciiTheme="minorHAnsi" w:hAnsiTheme="minorHAnsi" w:cstheme="minorHAnsi"/>
          <w:sz w:val="22"/>
          <w:szCs w:val="22"/>
          <w:lang w:val="en-AU"/>
        </w:rPr>
        <w:t>Local measures of the incidence of family violence and child abuse are less reliable, since they only reflect those instances of violence which reach the attention of responsib</w:t>
      </w:r>
      <w:r w:rsidR="00D22EDC" w:rsidRPr="0091465B">
        <w:rPr>
          <w:rFonts w:asciiTheme="minorHAnsi" w:hAnsiTheme="minorHAnsi" w:cstheme="minorHAnsi"/>
          <w:sz w:val="22"/>
          <w:szCs w:val="22"/>
          <w:lang w:val="en-AU"/>
        </w:rPr>
        <w:t xml:space="preserve">le agencies, such as the police, the courts </w:t>
      </w:r>
      <w:r w:rsidRPr="0091465B">
        <w:rPr>
          <w:rFonts w:asciiTheme="minorHAnsi" w:hAnsiTheme="minorHAnsi" w:cstheme="minorHAnsi"/>
          <w:sz w:val="22"/>
          <w:szCs w:val="22"/>
          <w:lang w:val="en-AU"/>
        </w:rPr>
        <w:t xml:space="preserve">and </w:t>
      </w:r>
      <w:r w:rsidR="00AE21B3" w:rsidRPr="0091465B">
        <w:rPr>
          <w:rFonts w:asciiTheme="minorHAnsi" w:hAnsiTheme="minorHAnsi" w:cstheme="minorHAnsi"/>
          <w:sz w:val="22"/>
          <w:szCs w:val="22"/>
          <w:lang w:val="en-AU"/>
        </w:rPr>
        <w:t>child protection authorities</w:t>
      </w:r>
      <w:r w:rsidRPr="0091465B">
        <w:rPr>
          <w:rFonts w:asciiTheme="minorHAnsi" w:hAnsiTheme="minorHAnsi" w:cstheme="minorHAnsi"/>
          <w:sz w:val="22"/>
          <w:szCs w:val="22"/>
          <w:lang w:val="en-AU"/>
        </w:rPr>
        <w:t xml:space="preserve">. </w:t>
      </w:r>
      <w:r w:rsidR="00283005" w:rsidRPr="0091465B">
        <w:rPr>
          <w:rFonts w:asciiTheme="minorHAnsi" w:hAnsiTheme="minorHAnsi" w:cstheme="minorHAnsi"/>
          <w:sz w:val="22"/>
          <w:szCs w:val="22"/>
          <w:lang w:val="en-AU"/>
        </w:rPr>
        <w:t xml:space="preserve">One measure is of incidents of alleged violence within families, recorded by Victoria Police, termed ‘Family-related alleged violence </w:t>
      </w:r>
      <w:proofErr w:type="gramStart"/>
      <w:r w:rsidR="00283005" w:rsidRPr="0091465B">
        <w:rPr>
          <w:rFonts w:asciiTheme="minorHAnsi" w:hAnsiTheme="minorHAnsi" w:cstheme="minorHAnsi"/>
          <w:sz w:val="22"/>
          <w:szCs w:val="22"/>
          <w:lang w:val="en-AU"/>
        </w:rPr>
        <w:t>offences’</w:t>
      </w:r>
      <w:proofErr w:type="gramEnd"/>
      <w:r w:rsidR="00283005" w:rsidRPr="0091465B">
        <w:rPr>
          <w:rFonts w:asciiTheme="minorHAnsi" w:hAnsiTheme="minorHAnsi" w:cstheme="minorHAnsi"/>
          <w:sz w:val="22"/>
          <w:szCs w:val="22"/>
          <w:lang w:val="en-AU"/>
        </w:rPr>
        <w:t>.</w:t>
      </w:r>
    </w:p>
    <w:p w14:paraId="050E03D0" w14:textId="564F2CE8" w:rsidR="00D7100C" w:rsidRPr="0091465B" w:rsidRDefault="00D7100C" w:rsidP="00D7100C">
      <w:pPr>
        <w:tabs>
          <w:tab w:val="left" w:pos="360"/>
        </w:tabs>
        <w:spacing w:line="360" w:lineRule="auto"/>
        <w:jc w:val="both"/>
        <w:rPr>
          <w:rFonts w:asciiTheme="minorHAnsi" w:hAnsiTheme="minorHAnsi" w:cstheme="minorHAnsi"/>
          <w:sz w:val="22"/>
          <w:szCs w:val="22"/>
          <w:lang w:val="en-AU"/>
        </w:rPr>
      </w:pPr>
      <w:r w:rsidRPr="0091465B">
        <w:rPr>
          <w:rFonts w:asciiTheme="minorHAnsi" w:hAnsiTheme="minorHAnsi" w:cstheme="minorHAnsi"/>
          <w:sz w:val="22"/>
          <w:szCs w:val="22"/>
          <w:lang w:val="en-AU"/>
        </w:rPr>
        <w:t xml:space="preserve">In 2018/19 the rate of </w:t>
      </w:r>
      <w:r w:rsidR="0019655D">
        <w:rPr>
          <w:rFonts w:asciiTheme="minorHAnsi" w:hAnsiTheme="minorHAnsi" w:cstheme="minorHAnsi"/>
          <w:sz w:val="22"/>
          <w:szCs w:val="22"/>
          <w:lang w:val="en-AU"/>
        </w:rPr>
        <w:t xml:space="preserve">such offences </w:t>
      </w:r>
      <w:r w:rsidRPr="0091465B">
        <w:rPr>
          <w:rFonts w:asciiTheme="minorHAnsi" w:hAnsiTheme="minorHAnsi" w:cstheme="minorHAnsi"/>
          <w:sz w:val="22"/>
          <w:szCs w:val="22"/>
          <w:lang w:val="en-AU"/>
        </w:rPr>
        <w:t xml:space="preserve">ranged from </w:t>
      </w:r>
      <w:r w:rsidR="0019655D">
        <w:rPr>
          <w:rFonts w:asciiTheme="minorHAnsi" w:hAnsiTheme="minorHAnsi" w:cstheme="minorHAnsi"/>
          <w:sz w:val="22"/>
          <w:szCs w:val="22"/>
          <w:lang w:val="en-AU"/>
        </w:rPr>
        <w:t xml:space="preserve">its lowest level </w:t>
      </w:r>
      <w:r w:rsidRPr="0091465B">
        <w:rPr>
          <w:rFonts w:asciiTheme="minorHAnsi" w:hAnsiTheme="minorHAnsi" w:cstheme="minorHAnsi"/>
          <w:sz w:val="22"/>
          <w:szCs w:val="22"/>
          <w:lang w:val="en-AU"/>
        </w:rPr>
        <w:t>in Boroondara</w:t>
      </w:r>
      <w:r w:rsidR="00891AF7">
        <w:rPr>
          <w:rFonts w:asciiTheme="minorHAnsi" w:hAnsiTheme="minorHAnsi" w:cstheme="minorHAnsi"/>
          <w:sz w:val="22"/>
          <w:szCs w:val="22"/>
          <w:lang w:val="en-AU"/>
        </w:rPr>
        <w:t>,</w:t>
      </w:r>
      <w:r w:rsidRPr="0091465B">
        <w:rPr>
          <w:rFonts w:asciiTheme="minorHAnsi" w:hAnsiTheme="minorHAnsi" w:cstheme="minorHAnsi"/>
          <w:sz w:val="22"/>
          <w:szCs w:val="22"/>
          <w:lang w:val="en-AU"/>
        </w:rPr>
        <w:t xml:space="preserve"> to </w:t>
      </w:r>
      <w:r w:rsidR="0019655D">
        <w:rPr>
          <w:rFonts w:asciiTheme="minorHAnsi" w:hAnsiTheme="minorHAnsi" w:cstheme="minorHAnsi"/>
          <w:sz w:val="22"/>
          <w:szCs w:val="22"/>
          <w:lang w:val="en-AU"/>
        </w:rPr>
        <w:t>its highest rate</w:t>
      </w:r>
      <w:r w:rsidRPr="0091465B">
        <w:rPr>
          <w:rFonts w:asciiTheme="minorHAnsi" w:hAnsiTheme="minorHAnsi" w:cstheme="minorHAnsi"/>
          <w:sz w:val="22"/>
          <w:szCs w:val="22"/>
          <w:lang w:val="en-AU"/>
        </w:rPr>
        <w:t xml:space="preserve"> La Trobe Shire</w:t>
      </w:r>
      <w:r w:rsidR="0019655D">
        <w:rPr>
          <w:rFonts w:asciiTheme="minorHAnsi" w:hAnsiTheme="minorHAnsi" w:cstheme="minorHAnsi"/>
          <w:sz w:val="22"/>
          <w:szCs w:val="22"/>
          <w:lang w:val="en-AU"/>
        </w:rPr>
        <w:t xml:space="preserve"> -</w:t>
      </w:r>
      <w:r w:rsidRPr="0091465B">
        <w:rPr>
          <w:rFonts w:asciiTheme="minorHAnsi" w:hAnsiTheme="minorHAnsi" w:cstheme="minorHAnsi"/>
          <w:sz w:val="22"/>
          <w:szCs w:val="22"/>
          <w:lang w:val="en-AU"/>
        </w:rPr>
        <w:t xml:space="preserve"> fifteen times the rate recorded in Boroondara.</w:t>
      </w:r>
    </w:p>
    <w:p w14:paraId="4675DAB3" w14:textId="18ABCAF6" w:rsidR="00283005" w:rsidRPr="0091465B" w:rsidRDefault="00283005" w:rsidP="001B483B">
      <w:pPr>
        <w:tabs>
          <w:tab w:val="left" w:pos="2127"/>
        </w:tabs>
        <w:jc w:val="both"/>
        <w:rPr>
          <w:rFonts w:asciiTheme="minorHAnsi" w:hAnsiTheme="minorHAnsi" w:cstheme="minorHAnsi"/>
          <w:color w:val="7F7F7F"/>
          <w:sz w:val="20"/>
          <w:szCs w:val="20"/>
          <w:lang w:val="en-AU"/>
        </w:rPr>
      </w:pPr>
    </w:p>
    <w:p w14:paraId="09659037" w14:textId="77777777" w:rsidR="00C666B3" w:rsidRPr="0091465B" w:rsidRDefault="00C666B3" w:rsidP="00C666B3">
      <w:pPr>
        <w:tabs>
          <w:tab w:val="left" w:pos="2127"/>
        </w:tabs>
        <w:jc w:val="both"/>
        <w:rPr>
          <w:rFonts w:asciiTheme="minorHAnsi" w:hAnsiTheme="minorHAnsi" w:cstheme="minorHAnsi"/>
          <w:color w:val="7F7F7F"/>
          <w:sz w:val="20"/>
          <w:szCs w:val="20"/>
          <w:lang w:val="en-AU"/>
        </w:rPr>
      </w:pPr>
      <w:r w:rsidRPr="0091465B">
        <w:rPr>
          <w:rFonts w:asciiTheme="minorHAnsi" w:hAnsiTheme="minorHAnsi" w:cstheme="minorHAnsi"/>
          <w:color w:val="7F7F7F"/>
          <w:sz w:val="20"/>
          <w:szCs w:val="20"/>
          <w:lang w:val="en-AU"/>
        </w:rPr>
        <w:t>Family-related Alleged Violent Offences, 201</w:t>
      </w:r>
      <w:r>
        <w:rPr>
          <w:rFonts w:asciiTheme="minorHAnsi" w:hAnsiTheme="minorHAnsi" w:cstheme="minorHAnsi"/>
          <w:color w:val="7F7F7F"/>
          <w:sz w:val="20"/>
          <w:szCs w:val="20"/>
          <w:lang w:val="en-AU"/>
        </w:rPr>
        <w:t>8</w:t>
      </w:r>
      <w:r w:rsidRPr="0091465B">
        <w:rPr>
          <w:rFonts w:asciiTheme="minorHAnsi" w:hAnsiTheme="minorHAnsi" w:cstheme="minorHAnsi"/>
          <w:color w:val="7F7F7F"/>
          <w:sz w:val="20"/>
          <w:szCs w:val="20"/>
          <w:lang w:val="en-AU"/>
        </w:rPr>
        <w:t>/1</w:t>
      </w:r>
      <w:r>
        <w:rPr>
          <w:rFonts w:asciiTheme="minorHAnsi" w:hAnsiTheme="minorHAnsi" w:cstheme="minorHAnsi"/>
          <w:color w:val="7F7F7F"/>
          <w:sz w:val="20"/>
          <w:szCs w:val="20"/>
          <w:lang w:val="en-AU"/>
        </w:rPr>
        <w:t>9</w:t>
      </w:r>
      <w:r w:rsidRPr="0091465B">
        <w:rPr>
          <w:rFonts w:asciiTheme="minorHAnsi" w:hAnsiTheme="minorHAnsi" w:cstheme="minorHAnsi"/>
          <w:color w:val="7F7F7F"/>
          <w:sz w:val="20"/>
          <w:szCs w:val="20"/>
          <w:lang w:val="en-AU"/>
        </w:rPr>
        <w:t xml:space="preserve"> [per 100,000 residents] </w:t>
      </w:r>
    </w:p>
    <w:p w14:paraId="76D69C81" w14:textId="278567B7" w:rsidR="001B483B" w:rsidRDefault="001B483B" w:rsidP="001B483B">
      <w:pPr>
        <w:spacing w:before="120" w:line="360" w:lineRule="auto"/>
        <w:jc w:val="both"/>
        <w:rPr>
          <w:rFonts w:asciiTheme="minorHAnsi" w:hAnsiTheme="minorHAnsi" w:cstheme="minorHAnsi"/>
          <w:sz w:val="22"/>
          <w:szCs w:val="22"/>
          <w:lang w:val="en-AU"/>
        </w:rPr>
      </w:pPr>
    </w:p>
    <w:p w14:paraId="70C055B6" w14:textId="013E4CEF" w:rsidR="00D7100C" w:rsidRDefault="00D7100C" w:rsidP="001B483B">
      <w:pPr>
        <w:spacing w:before="120" w:line="360" w:lineRule="auto"/>
        <w:jc w:val="both"/>
        <w:rPr>
          <w:rFonts w:asciiTheme="minorHAnsi" w:hAnsiTheme="minorHAnsi" w:cstheme="minorHAnsi"/>
          <w:sz w:val="22"/>
          <w:szCs w:val="22"/>
          <w:lang w:val="en-AU"/>
        </w:rPr>
      </w:pPr>
    </w:p>
    <w:p w14:paraId="63134FD8" w14:textId="25F1792D" w:rsidR="00D7100C" w:rsidRDefault="00D7100C" w:rsidP="001B483B">
      <w:pPr>
        <w:spacing w:before="120" w:line="360" w:lineRule="auto"/>
        <w:jc w:val="both"/>
        <w:rPr>
          <w:rFonts w:asciiTheme="minorHAnsi" w:hAnsiTheme="minorHAnsi" w:cstheme="minorHAnsi"/>
          <w:sz w:val="22"/>
          <w:szCs w:val="22"/>
          <w:lang w:val="en-AU"/>
        </w:rPr>
      </w:pPr>
    </w:p>
    <w:p w14:paraId="3284EB7F" w14:textId="1DB3152E" w:rsidR="00D7100C" w:rsidRDefault="00D7100C" w:rsidP="001B483B">
      <w:pPr>
        <w:spacing w:before="120" w:line="360" w:lineRule="auto"/>
        <w:jc w:val="both"/>
        <w:rPr>
          <w:rFonts w:asciiTheme="minorHAnsi" w:hAnsiTheme="minorHAnsi" w:cstheme="minorHAnsi"/>
          <w:sz w:val="22"/>
          <w:szCs w:val="22"/>
          <w:lang w:val="en-AU"/>
        </w:rPr>
      </w:pPr>
    </w:p>
    <w:p w14:paraId="4DBE79E5" w14:textId="26EB7299" w:rsidR="00D7100C" w:rsidRDefault="00D7100C" w:rsidP="001B483B">
      <w:pPr>
        <w:spacing w:before="120" w:line="360" w:lineRule="auto"/>
        <w:jc w:val="both"/>
        <w:rPr>
          <w:rFonts w:asciiTheme="minorHAnsi" w:hAnsiTheme="minorHAnsi" w:cstheme="minorHAnsi"/>
          <w:sz w:val="22"/>
          <w:szCs w:val="22"/>
          <w:lang w:val="en-AU"/>
        </w:rPr>
      </w:pPr>
    </w:p>
    <w:p w14:paraId="6C972306" w14:textId="1D533F97" w:rsidR="00D7100C" w:rsidRDefault="00D7100C" w:rsidP="001B483B">
      <w:pPr>
        <w:spacing w:before="120" w:line="360" w:lineRule="auto"/>
        <w:jc w:val="both"/>
        <w:rPr>
          <w:rFonts w:asciiTheme="minorHAnsi" w:hAnsiTheme="minorHAnsi" w:cstheme="minorHAnsi"/>
          <w:sz w:val="22"/>
          <w:szCs w:val="22"/>
          <w:lang w:val="en-AU"/>
        </w:rPr>
      </w:pPr>
    </w:p>
    <w:p w14:paraId="40476B83" w14:textId="4FBF147A" w:rsidR="0019655D" w:rsidRDefault="0019655D" w:rsidP="001B483B">
      <w:pPr>
        <w:spacing w:before="120" w:line="360" w:lineRule="auto"/>
        <w:jc w:val="both"/>
        <w:rPr>
          <w:rFonts w:asciiTheme="minorHAnsi" w:hAnsiTheme="minorHAnsi" w:cstheme="minorHAnsi"/>
          <w:sz w:val="22"/>
          <w:szCs w:val="22"/>
          <w:lang w:val="en-AU"/>
        </w:rPr>
      </w:pPr>
    </w:p>
    <w:bookmarkEnd w:id="0"/>
    <w:p w14:paraId="013ADF00" w14:textId="5CA4FF7D" w:rsidR="001B483B" w:rsidRPr="0091465B" w:rsidRDefault="0019655D" w:rsidP="001B483B">
      <w:pPr>
        <w:contextualSpacing/>
        <w:jc w:val="both"/>
        <w:rPr>
          <w:rFonts w:asciiTheme="minorHAnsi" w:hAnsiTheme="minorHAnsi" w:cstheme="minorHAnsi"/>
          <w:color w:val="7F7F7F" w:themeColor="text1" w:themeTint="80"/>
          <w:sz w:val="20"/>
          <w:szCs w:val="20"/>
        </w:rPr>
      </w:pPr>
      <w:r>
        <w:rPr>
          <w:rFonts w:asciiTheme="minorHAnsi" w:hAnsiTheme="minorHAnsi" w:cstheme="minorHAnsi"/>
          <w:noProof/>
          <w:sz w:val="22"/>
          <w:szCs w:val="22"/>
          <w:lang w:val="en-AU"/>
        </w:rPr>
        <w:lastRenderedPageBreak/>
        <w:drawing>
          <wp:anchor distT="0" distB="0" distL="114300" distR="114300" simplePos="0" relativeHeight="251676672" behindDoc="0" locked="0" layoutInCell="1" allowOverlap="1" wp14:anchorId="34EEDED3" wp14:editId="0287D586">
            <wp:simplePos x="0" y="0"/>
            <wp:positionH relativeFrom="column">
              <wp:posOffset>2437130</wp:posOffset>
            </wp:positionH>
            <wp:positionV relativeFrom="paragraph">
              <wp:posOffset>0</wp:posOffset>
            </wp:positionV>
            <wp:extent cx="3589020" cy="2499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9020" cy="2499360"/>
                    </a:xfrm>
                    <a:prstGeom prst="rect">
                      <a:avLst/>
                    </a:prstGeom>
                    <a:noFill/>
                  </pic:spPr>
                </pic:pic>
              </a:graphicData>
            </a:graphic>
            <wp14:sizeRelH relativeFrom="page">
              <wp14:pctWidth>0</wp14:pctWidth>
            </wp14:sizeRelH>
            <wp14:sizeRelV relativeFrom="page">
              <wp14:pctHeight>0</wp14:pctHeight>
            </wp14:sizeRelV>
          </wp:anchor>
        </w:drawing>
      </w:r>
      <w:r w:rsidR="001B483B" w:rsidRPr="0091465B">
        <w:rPr>
          <w:rFonts w:asciiTheme="minorHAnsi" w:hAnsiTheme="minorHAnsi" w:cstheme="minorHAnsi"/>
          <w:color w:val="7F7F7F" w:themeColor="text1" w:themeTint="80"/>
          <w:sz w:val="20"/>
          <w:szCs w:val="20"/>
        </w:rPr>
        <w:t xml:space="preserve">Family Incidents per 100,000 population: </w:t>
      </w:r>
      <w:r>
        <w:rPr>
          <w:rFonts w:asciiTheme="minorHAnsi" w:hAnsiTheme="minorHAnsi" w:cstheme="minorHAnsi"/>
          <w:color w:val="7F7F7F" w:themeColor="text1" w:themeTint="80"/>
          <w:sz w:val="20"/>
          <w:szCs w:val="20"/>
        </w:rPr>
        <w:t>Victoria</w:t>
      </w:r>
      <w:r w:rsidR="00283005" w:rsidRPr="0091465B">
        <w:rPr>
          <w:rFonts w:asciiTheme="minorHAnsi" w:hAnsiTheme="minorHAnsi" w:cstheme="minorHAnsi"/>
          <w:color w:val="7F7F7F" w:themeColor="text1" w:themeTint="80"/>
          <w:sz w:val="20"/>
          <w:szCs w:val="20"/>
        </w:rPr>
        <w:t xml:space="preserve"> and </w:t>
      </w:r>
      <w:r>
        <w:rPr>
          <w:rFonts w:asciiTheme="minorHAnsi" w:hAnsiTheme="minorHAnsi" w:cstheme="minorHAnsi"/>
          <w:color w:val="7F7F7F" w:themeColor="text1" w:themeTint="80"/>
          <w:sz w:val="20"/>
          <w:szCs w:val="20"/>
        </w:rPr>
        <w:t>Central Melbourne</w:t>
      </w:r>
      <w:r w:rsidR="001B483B" w:rsidRPr="0091465B">
        <w:rPr>
          <w:rFonts w:asciiTheme="minorHAnsi" w:hAnsiTheme="minorHAnsi" w:cstheme="minorHAnsi"/>
          <w:color w:val="7F7F7F" w:themeColor="text1" w:themeTint="80"/>
          <w:sz w:val="20"/>
          <w:szCs w:val="20"/>
        </w:rPr>
        <w:t xml:space="preserve">, </w:t>
      </w:r>
      <w:r>
        <w:rPr>
          <w:rFonts w:asciiTheme="minorHAnsi" w:hAnsiTheme="minorHAnsi" w:cstheme="minorHAnsi"/>
          <w:color w:val="7F7F7F" w:themeColor="text1" w:themeTint="80"/>
          <w:sz w:val="20"/>
          <w:szCs w:val="20"/>
        </w:rPr>
        <w:t>2010-2019</w:t>
      </w:r>
    </w:p>
    <w:p w14:paraId="4A89A996" w14:textId="77777777" w:rsidR="001B483B" w:rsidRPr="0091465B" w:rsidRDefault="001B483B" w:rsidP="001B483B">
      <w:pPr>
        <w:tabs>
          <w:tab w:val="left" w:pos="2127"/>
        </w:tabs>
        <w:jc w:val="both"/>
        <w:rPr>
          <w:rFonts w:asciiTheme="minorHAnsi" w:hAnsiTheme="minorHAnsi" w:cstheme="minorHAnsi"/>
          <w:color w:val="7F7F7F"/>
          <w:sz w:val="20"/>
          <w:szCs w:val="20"/>
          <w:lang w:val="en-AU"/>
        </w:rPr>
      </w:pPr>
    </w:p>
    <w:p w14:paraId="1E3BCE3D" w14:textId="77777777" w:rsidR="001B483B" w:rsidRPr="0091465B" w:rsidRDefault="001B483B" w:rsidP="001B483B">
      <w:pPr>
        <w:tabs>
          <w:tab w:val="left" w:pos="2127"/>
        </w:tabs>
        <w:jc w:val="both"/>
        <w:rPr>
          <w:rFonts w:asciiTheme="minorHAnsi" w:hAnsiTheme="minorHAnsi" w:cstheme="minorHAnsi"/>
          <w:color w:val="7F7F7F"/>
          <w:sz w:val="20"/>
          <w:szCs w:val="20"/>
          <w:lang w:val="en-AU"/>
        </w:rPr>
      </w:pPr>
    </w:p>
    <w:p w14:paraId="401244D8" w14:textId="7431F8F9" w:rsidR="00D7100C" w:rsidRPr="0091465B" w:rsidRDefault="00D7100C" w:rsidP="00D7100C">
      <w:pPr>
        <w:spacing w:line="360" w:lineRule="auto"/>
        <w:jc w:val="both"/>
        <w:rPr>
          <w:rFonts w:asciiTheme="minorHAnsi" w:hAnsiTheme="minorHAnsi" w:cstheme="minorHAnsi"/>
          <w:sz w:val="22"/>
          <w:szCs w:val="22"/>
          <w:lang w:val="en-AU"/>
        </w:rPr>
      </w:pPr>
      <w:r w:rsidRPr="0091465B">
        <w:rPr>
          <w:rFonts w:asciiTheme="minorHAnsi" w:hAnsiTheme="minorHAnsi" w:cstheme="minorHAnsi"/>
          <w:sz w:val="22"/>
          <w:szCs w:val="22"/>
          <w:lang w:val="en-AU"/>
        </w:rPr>
        <w:t>The rate of family-related alleged violence offences recorded by police has risen by 113% across Victoria during the past six years, largely</w:t>
      </w:r>
      <w:r w:rsidR="00891AF7">
        <w:rPr>
          <w:rFonts w:asciiTheme="minorHAnsi" w:hAnsiTheme="minorHAnsi" w:cstheme="minorHAnsi"/>
          <w:sz w:val="22"/>
          <w:szCs w:val="22"/>
          <w:lang w:val="en-AU"/>
        </w:rPr>
        <w:t>, it is supposed,</w:t>
      </w:r>
      <w:r w:rsidRPr="0091465B">
        <w:rPr>
          <w:rFonts w:asciiTheme="minorHAnsi" w:hAnsiTheme="minorHAnsi" w:cstheme="minorHAnsi"/>
          <w:sz w:val="22"/>
          <w:szCs w:val="22"/>
          <w:lang w:val="en-AU"/>
        </w:rPr>
        <w:t xml:space="preserve"> because of a rise in the rate of reporting of such crimes.</w:t>
      </w:r>
    </w:p>
    <w:p w14:paraId="2D394201" w14:textId="170ACF2E" w:rsidR="00283005" w:rsidRPr="0091465B" w:rsidRDefault="00283005" w:rsidP="00845F9C">
      <w:pPr>
        <w:tabs>
          <w:tab w:val="left" w:pos="360"/>
        </w:tabs>
        <w:spacing w:line="360" w:lineRule="auto"/>
        <w:jc w:val="both"/>
        <w:rPr>
          <w:rFonts w:asciiTheme="minorHAnsi" w:hAnsiTheme="minorHAnsi" w:cstheme="minorHAnsi"/>
          <w:sz w:val="22"/>
          <w:szCs w:val="22"/>
          <w:lang w:val="en-AU"/>
        </w:rPr>
      </w:pPr>
    </w:p>
    <w:p w14:paraId="7EC0EC2D" w14:textId="60D8BBAC" w:rsidR="00283005" w:rsidRDefault="00283005" w:rsidP="00283005">
      <w:pPr>
        <w:spacing w:after="60"/>
        <w:jc w:val="both"/>
        <w:rPr>
          <w:rFonts w:asciiTheme="minorHAnsi" w:hAnsiTheme="minorHAnsi" w:cstheme="minorHAnsi"/>
          <w:b/>
          <w:sz w:val="22"/>
          <w:szCs w:val="22"/>
        </w:rPr>
      </w:pPr>
    </w:p>
    <w:p w14:paraId="482351E8" w14:textId="14F9A181" w:rsidR="00891AF7" w:rsidRPr="0091465B" w:rsidRDefault="00891AF7" w:rsidP="00891AF7">
      <w:pPr>
        <w:spacing w:after="60"/>
        <w:jc w:val="both"/>
        <w:rPr>
          <w:rFonts w:asciiTheme="minorHAnsi" w:hAnsiTheme="minorHAnsi" w:cstheme="minorHAnsi"/>
          <w:b/>
          <w:sz w:val="22"/>
          <w:szCs w:val="22"/>
        </w:rPr>
      </w:pPr>
      <w:r>
        <w:rPr>
          <w:rFonts w:asciiTheme="minorHAnsi" w:hAnsiTheme="minorHAnsi" w:cstheme="minorHAnsi"/>
          <w:b/>
          <w:sz w:val="22"/>
          <w:szCs w:val="22"/>
        </w:rPr>
        <w:t>Stalking and Harassment</w:t>
      </w:r>
    </w:p>
    <w:p w14:paraId="0E0A0A86" w14:textId="47B59034" w:rsidR="00891AF7" w:rsidRPr="00D36120" w:rsidRDefault="00DF5E4C" w:rsidP="00891AF7">
      <w:pPr>
        <w:contextualSpacing/>
        <w:jc w:val="both"/>
        <w:rPr>
          <w:rFonts w:asciiTheme="minorHAnsi" w:hAnsiTheme="minorHAnsi" w:cstheme="minorHAnsi"/>
          <w:color w:val="7F7F7F" w:themeColor="text1" w:themeTint="80"/>
          <w:sz w:val="20"/>
          <w:szCs w:val="20"/>
        </w:rPr>
      </w:pPr>
      <w:r w:rsidRPr="00D36120">
        <w:rPr>
          <w:rFonts w:asciiTheme="minorHAnsi" w:hAnsiTheme="minorHAnsi" w:cstheme="minorHAnsi"/>
          <w:noProof/>
          <w:color w:val="7F7F7F" w:themeColor="text1" w:themeTint="80"/>
          <w:sz w:val="20"/>
          <w:szCs w:val="20"/>
        </w:rPr>
        <w:drawing>
          <wp:anchor distT="0" distB="0" distL="114300" distR="114300" simplePos="0" relativeHeight="251678720" behindDoc="0" locked="0" layoutInCell="1" allowOverlap="1" wp14:anchorId="475A210E" wp14:editId="65D33BB3">
            <wp:simplePos x="0" y="0"/>
            <wp:positionH relativeFrom="margin">
              <wp:align>left</wp:align>
            </wp:positionH>
            <wp:positionV relativeFrom="paragraph">
              <wp:posOffset>4445</wp:posOffset>
            </wp:positionV>
            <wp:extent cx="3448050" cy="2298700"/>
            <wp:effectExtent l="0" t="0" r="0" b="6350"/>
            <wp:wrapSquare wrapText="bothSides"/>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l="6897" t="12088"/>
                    <a:stretch>
                      <a:fillRect/>
                    </a:stretch>
                  </pic:blipFill>
                  <pic:spPr bwMode="auto">
                    <a:xfrm>
                      <a:off x="0" y="0"/>
                      <a:ext cx="3448050" cy="2298700"/>
                    </a:xfrm>
                    <a:prstGeom prst="rect">
                      <a:avLst/>
                    </a:prstGeom>
                    <a:noFill/>
                  </pic:spPr>
                </pic:pic>
              </a:graphicData>
            </a:graphic>
            <wp14:sizeRelH relativeFrom="page">
              <wp14:pctWidth>0</wp14:pctWidth>
            </wp14:sizeRelH>
            <wp14:sizeRelV relativeFrom="page">
              <wp14:pctHeight>0</wp14:pctHeight>
            </wp14:sizeRelV>
          </wp:anchor>
        </w:drawing>
      </w:r>
      <w:r w:rsidR="00891AF7" w:rsidRPr="00D36120">
        <w:rPr>
          <w:rFonts w:asciiTheme="minorHAnsi" w:hAnsiTheme="minorHAnsi" w:cstheme="minorHAnsi"/>
          <w:color w:val="7F7F7F" w:themeColor="text1" w:themeTint="80"/>
          <w:sz w:val="20"/>
          <w:szCs w:val="20"/>
        </w:rPr>
        <w:t>Per cent of persons who had experienced sexual harassment or stalking in their lifetimes, by gender of victim</w:t>
      </w:r>
    </w:p>
    <w:p w14:paraId="324276F8" w14:textId="2BC8EC67" w:rsidR="00891AF7" w:rsidRPr="00D36120" w:rsidRDefault="00891AF7" w:rsidP="00891AF7">
      <w:pPr>
        <w:tabs>
          <w:tab w:val="left" w:pos="4395"/>
        </w:tabs>
        <w:contextualSpacing/>
        <w:jc w:val="both"/>
        <w:rPr>
          <w:rFonts w:asciiTheme="minorHAnsi" w:hAnsiTheme="minorHAnsi" w:cstheme="minorHAnsi"/>
          <w:i/>
          <w:sz w:val="22"/>
          <w:szCs w:val="22"/>
        </w:rPr>
      </w:pPr>
    </w:p>
    <w:p w14:paraId="3ADADC17" w14:textId="77777777" w:rsidR="00891AF7" w:rsidRPr="00D36120" w:rsidRDefault="00891AF7" w:rsidP="00891AF7">
      <w:pPr>
        <w:spacing w:line="360" w:lineRule="auto"/>
        <w:contextualSpacing/>
        <w:jc w:val="both"/>
        <w:rPr>
          <w:rFonts w:asciiTheme="minorHAnsi" w:hAnsiTheme="minorHAnsi" w:cstheme="minorHAnsi"/>
          <w:sz w:val="22"/>
          <w:szCs w:val="22"/>
        </w:rPr>
      </w:pPr>
      <w:r w:rsidRPr="00D36120">
        <w:rPr>
          <w:rFonts w:asciiTheme="minorHAnsi" w:hAnsiTheme="minorHAnsi" w:cstheme="minorHAnsi"/>
          <w:sz w:val="22"/>
          <w:szCs w:val="22"/>
        </w:rPr>
        <w:t>The 2016/17 Commonwealth Personal Safety Survey explored the experience of sexual harassment and stalking, finding that approximately half of women and a quarter of men had been sexually harassed since age 15, while stalking had been experienced by 17% of women and 7% of men.</w:t>
      </w:r>
    </w:p>
    <w:p w14:paraId="793A2995" w14:textId="77777777" w:rsidR="00891AF7" w:rsidRPr="00D36120" w:rsidRDefault="00891AF7" w:rsidP="00891AF7">
      <w:pPr>
        <w:spacing w:line="360" w:lineRule="auto"/>
        <w:contextualSpacing/>
        <w:jc w:val="both"/>
        <w:rPr>
          <w:rFonts w:asciiTheme="minorHAnsi" w:hAnsiTheme="minorHAnsi" w:cstheme="minorHAnsi"/>
          <w:sz w:val="22"/>
          <w:szCs w:val="22"/>
        </w:rPr>
      </w:pPr>
      <w:r w:rsidRPr="00D36120">
        <w:rPr>
          <w:rFonts w:asciiTheme="minorHAnsi" w:hAnsiTheme="minorHAnsi" w:cstheme="minorHAnsi"/>
          <w:sz w:val="22"/>
          <w:szCs w:val="22"/>
        </w:rPr>
        <w:t>Males accounted for 87% of the perpetrators of stalking against women and 93% of those who have sexually harassed women</w:t>
      </w:r>
    </w:p>
    <w:p w14:paraId="75A4A38D" w14:textId="77777777" w:rsidR="00891AF7" w:rsidRPr="0091465B" w:rsidRDefault="00891AF7" w:rsidP="00283005">
      <w:pPr>
        <w:spacing w:after="60"/>
        <w:jc w:val="both"/>
        <w:rPr>
          <w:rFonts w:asciiTheme="minorHAnsi" w:hAnsiTheme="minorHAnsi" w:cstheme="minorHAnsi"/>
          <w:b/>
          <w:sz w:val="22"/>
          <w:szCs w:val="22"/>
        </w:rPr>
      </w:pPr>
    </w:p>
    <w:p w14:paraId="5150CF5C" w14:textId="01449D44" w:rsidR="00283005" w:rsidRPr="0091465B" w:rsidRDefault="00283005" w:rsidP="00283005">
      <w:pPr>
        <w:spacing w:after="60"/>
        <w:jc w:val="both"/>
        <w:rPr>
          <w:rFonts w:asciiTheme="minorHAnsi" w:hAnsiTheme="minorHAnsi" w:cstheme="minorHAnsi"/>
          <w:b/>
          <w:sz w:val="22"/>
          <w:szCs w:val="22"/>
        </w:rPr>
      </w:pPr>
      <w:r w:rsidRPr="0091465B">
        <w:rPr>
          <w:rFonts w:asciiTheme="minorHAnsi" w:hAnsiTheme="minorHAnsi" w:cstheme="minorHAnsi"/>
          <w:b/>
          <w:sz w:val="22"/>
          <w:szCs w:val="22"/>
        </w:rPr>
        <w:t>Harassment of Women on the Streets</w:t>
      </w:r>
    </w:p>
    <w:p w14:paraId="59194713" w14:textId="644C82A8" w:rsidR="00283005" w:rsidRPr="0091465B" w:rsidRDefault="00891AF7" w:rsidP="00457C12">
      <w:pPr>
        <w:spacing w:line="360" w:lineRule="auto"/>
        <w:jc w:val="both"/>
        <w:rPr>
          <w:rFonts w:asciiTheme="minorHAnsi" w:hAnsiTheme="minorHAnsi" w:cstheme="minorHAnsi"/>
          <w:sz w:val="22"/>
          <w:szCs w:val="22"/>
          <w:lang w:val="en-AU"/>
        </w:rPr>
      </w:pPr>
      <w:r>
        <w:rPr>
          <w:rFonts w:asciiTheme="minorHAnsi" w:hAnsiTheme="minorHAnsi" w:cstheme="minorHAnsi"/>
          <w:sz w:val="22"/>
          <w:szCs w:val="22"/>
          <w:lang w:val="en-AU"/>
        </w:rPr>
        <w:t>A related issue</w:t>
      </w:r>
      <w:r w:rsidR="00283005" w:rsidRPr="0091465B">
        <w:rPr>
          <w:rFonts w:asciiTheme="minorHAnsi" w:hAnsiTheme="minorHAnsi" w:cstheme="minorHAnsi"/>
          <w:sz w:val="22"/>
          <w:szCs w:val="22"/>
          <w:lang w:val="en-AU"/>
        </w:rPr>
        <w:t xml:space="preserve"> is the harassment of women on the street and in other public places. A 2014 survey inquired into women’s experiences of physical and non-physical harassments, and perceptions of personal safety among both women and men, on the streets. </w:t>
      </w:r>
    </w:p>
    <w:p w14:paraId="5A9E1E6E" w14:textId="62C6D4B0" w:rsidR="00283005" w:rsidRPr="0091465B" w:rsidRDefault="00283005" w:rsidP="00457C12">
      <w:pPr>
        <w:spacing w:line="360" w:lineRule="auto"/>
        <w:jc w:val="both"/>
        <w:rPr>
          <w:rFonts w:asciiTheme="minorHAnsi" w:hAnsiTheme="minorHAnsi" w:cstheme="minorHAnsi"/>
          <w:sz w:val="22"/>
          <w:szCs w:val="22"/>
          <w:lang w:val="en-AU"/>
        </w:rPr>
      </w:pPr>
      <w:r w:rsidRPr="0091465B">
        <w:rPr>
          <w:rFonts w:asciiTheme="minorHAnsi" w:hAnsiTheme="minorHAnsi" w:cstheme="minorHAnsi"/>
          <w:sz w:val="22"/>
          <w:szCs w:val="22"/>
          <w:lang w:val="en-AU"/>
        </w:rPr>
        <w:t xml:space="preserve">This investigation found that 84% of women had experienced some form of </w:t>
      </w:r>
      <w:r w:rsidRPr="00891AF7">
        <w:rPr>
          <w:rFonts w:asciiTheme="minorHAnsi" w:hAnsiTheme="minorHAnsi" w:cstheme="minorHAnsi"/>
          <w:i/>
          <w:iCs/>
          <w:sz w:val="22"/>
          <w:szCs w:val="22"/>
          <w:lang w:val="en-AU"/>
        </w:rPr>
        <w:t>non-physical</w:t>
      </w:r>
      <w:r w:rsidRPr="0091465B">
        <w:rPr>
          <w:rFonts w:asciiTheme="minorHAnsi" w:hAnsiTheme="minorHAnsi" w:cstheme="minorHAnsi"/>
          <w:sz w:val="22"/>
          <w:szCs w:val="22"/>
          <w:lang w:val="en-AU"/>
        </w:rPr>
        <w:t xml:space="preserve"> harassment during their lives</w:t>
      </w:r>
      <w:r w:rsidR="0019655D">
        <w:rPr>
          <w:rFonts w:asciiTheme="minorHAnsi" w:hAnsiTheme="minorHAnsi" w:cstheme="minorHAnsi"/>
          <w:sz w:val="22"/>
          <w:szCs w:val="22"/>
          <w:lang w:val="en-AU"/>
        </w:rPr>
        <w:t>. And in the previous</w:t>
      </w:r>
      <w:r w:rsidRPr="0091465B">
        <w:rPr>
          <w:rFonts w:asciiTheme="minorHAnsi" w:hAnsiTheme="minorHAnsi" w:cstheme="minorHAnsi"/>
          <w:sz w:val="22"/>
          <w:szCs w:val="22"/>
          <w:lang w:val="en-AU"/>
        </w:rPr>
        <w:t xml:space="preserve"> year</w:t>
      </w:r>
      <w:r w:rsidR="0019655D">
        <w:rPr>
          <w:rFonts w:asciiTheme="minorHAnsi" w:hAnsiTheme="minorHAnsi" w:cstheme="minorHAnsi"/>
          <w:sz w:val="22"/>
          <w:szCs w:val="22"/>
          <w:lang w:val="en-AU"/>
        </w:rPr>
        <w:t xml:space="preserve"> alone</w:t>
      </w:r>
      <w:r w:rsidRPr="0091465B">
        <w:rPr>
          <w:rFonts w:asciiTheme="minorHAnsi" w:hAnsiTheme="minorHAnsi" w:cstheme="minorHAnsi"/>
          <w:sz w:val="22"/>
          <w:szCs w:val="22"/>
          <w:lang w:val="en-AU"/>
        </w:rPr>
        <w:t>, 38% had experienced honking, 30% wolf whistling, 37% leering, 28% vulgar gestures, 23% lewd comments, 25% sexist comments and 19% repeated unwelcome sexual advances.</w:t>
      </w:r>
      <w:r w:rsidR="00891AF7">
        <w:rPr>
          <w:rFonts w:asciiTheme="minorHAnsi" w:hAnsiTheme="minorHAnsi" w:cstheme="minorHAnsi"/>
          <w:sz w:val="22"/>
          <w:szCs w:val="22"/>
          <w:lang w:val="en-AU"/>
        </w:rPr>
        <w:t xml:space="preserve"> </w:t>
      </w:r>
      <w:r w:rsidRPr="0091465B">
        <w:rPr>
          <w:rFonts w:asciiTheme="minorHAnsi" w:hAnsiTheme="minorHAnsi" w:cstheme="minorHAnsi"/>
          <w:sz w:val="22"/>
          <w:szCs w:val="22"/>
          <w:lang w:val="en-AU"/>
        </w:rPr>
        <w:t xml:space="preserve">About two-thirds (65%) of women had experienced </w:t>
      </w:r>
      <w:r w:rsidRPr="00891AF7">
        <w:rPr>
          <w:rFonts w:asciiTheme="minorHAnsi" w:hAnsiTheme="minorHAnsi" w:cstheme="minorHAnsi"/>
          <w:i/>
          <w:iCs/>
          <w:sz w:val="22"/>
          <w:szCs w:val="22"/>
          <w:lang w:val="en-AU"/>
        </w:rPr>
        <w:t>physical</w:t>
      </w:r>
      <w:r w:rsidRPr="0091465B">
        <w:rPr>
          <w:rFonts w:asciiTheme="minorHAnsi" w:hAnsiTheme="minorHAnsi" w:cstheme="minorHAnsi"/>
          <w:sz w:val="22"/>
          <w:szCs w:val="22"/>
          <w:lang w:val="en-AU"/>
        </w:rPr>
        <w:t xml:space="preserve"> harassment on the street</w:t>
      </w:r>
      <w:r w:rsidR="0019655D">
        <w:rPr>
          <w:rFonts w:asciiTheme="minorHAnsi" w:hAnsiTheme="minorHAnsi" w:cstheme="minorHAnsi"/>
          <w:sz w:val="22"/>
          <w:szCs w:val="22"/>
          <w:lang w:val="en-AU"/>
        </w:rPr>
        <w:t xml:space="preserve"> – usually (for 78% of respondents - when they were alone -</w:t>
      </w:r>
      <w:r w:rsidRPr="0091465B">
        <w:rPr>
          <w:rFonts w:asciiTheme="minorHAnsi" w:hAnsiTheme="minorHAnsi" w:cstheme="minorHAnsi"/>
          <w:sz w:val="22"/>
          <w:szCs w:val="22"/>
          <w:lang w:val="en-AU"/>
        </w:rPr>
        <w:t xml:space="preserve"> including being followed, sexual touching or groping, having their path blocked, having someone expose themselves being kissed without consent or being threatened after rejecting the sexual advances of a stranger. Among</w:t>
      </w:r>
      <w:r w:rsidR="00891AF7">
        <w:rPr>
          <w:rFonts w:asciiTheme="minorHAnsi" w:hAnsiTheme="minorHAnsi" w:cstheme="minorHAnsi"/>
          <w:sz w:val="22"/>
          <w:szCs w:val="22"/>
          <w:lang w:val="en-AU"/>
        </w:rPr>
        <w:t xml:space="preserve"> those</w:t>
      </w:r>
      <w:r w:rsidRPr="0091465B">
        <w:rPr>
          <w:rFonts w:asciiTheme="minorHAnsi" w:hAnsiTheme="minorHAnsi" w:cstheme="minorHAnsi"/>
          <w:sz w:val="22"/>
          <w:szCs w:val="22"/>
          <w:lang w:val="en-AU"/>
        </w:rPr>
        <w:t xml:space="preserve"> offenders whose sex </w:t>
      </w:r>
      <w:r w:rsidR="00891AF7">
        <w:rPr>
          <w:rFonts w:asciiTheme="minorHAnsi" w:hAnsiTheme="minorHAnsi" w:cstheme="minorHAnsi"/>
          <w:sz w:val="22"/>
          <w:szCs w:val="22"/>
          <w:lang w:val="en-AU"/>
        </w:rPr>
        <w:t>was</w:t>
      </w:r>
      <w:r w:rsidRPr="0091465B">
        <w:rPr>
          <w:rFonts w:asciiTheme="minorHAnsi" w:hAnsiTheme="minorHAnsi" w:cstheme="minorHAnsi"/>
          <w:sz w:val="22"/>
          <w:szCs w:val="22"/>
          <w:lang w:val="en-AU"/>
        </w:rPr>
        <w:t xml:space="preserve"> identified by survey </w:t>
      </w:r>
      <w:r w:rsidR="00891AF7">
        <w:rPr>
          <w:rFonts w:asciiTheme="minorHAnsi" w:hAnsiTheme="minorHAnsi" w:cstheme="minorHAnsi"/>
          <w:sz w:val="22"/>
          <w:szCs w:val="22"/>
          <w:lang w:val="en-AU"/>
        </w:rPr>
        <w:t>participants</w:t>
      </w:r>
      <w:r w:rsidRPr="0091465B">
        <w:rPr>
          <w:rFonts w:asciiTheme="minorHAnsi" w:hAnsiTheme="minorHAnsi" w:cstheme="minorHAnsi"/>
          <w:sz w:val="22"/>
          <w:szCs w:val="22"/>
          <w:lang w:val="en-AU"/>
        </w:rPr>
        <w:t>, 87% were males.</w:t>
      </w:r>
    </w:p>
    <w:p w14:paraId="13301F7C" w14:textId="026D0FFB" w:rsidR="00283005" w:rsidRPr="0091465B" w:rsidRDefault="00283005" w:rsidP="00457C12">
      <w:pPr>
        <w:spacing w:line="360" w:lineRule="auto"/>
        <w:jc w:val="both"/>
        <w:rPr>
          <w:rFonts w:asciiTheme="minorHAnsi" w:hAnsiTheme="minorHAnsi" w:cstheme="minorHAnsi"/>
          <w:sz w:val="22"/>
          <w:szCs w:val="22"/>
          <w:lang w:val="en-AU"/>
        </w:rPr>
      </w:pPr>
      <w:r w:rsidRPr="0091465B">
        <w:rPr>
          <w:rFonts w:asciiTheme="minorHAnsi" w:hAnsiTheme="minorHAnsi" w:cstheme="minorHAnsi"/>
          <w:sz w:val="22"/>
          <w:szCs w:val="22"/>
          <w:lang w:val="en-AU"/>
        </w:rPr>
        <w:lastRenderedPageBreak/>
        <w:t xml:space="preserve">The proportion of women who had </w:t>
      </w:r>
      <w:r w:rsidR="0019655D">
        <w:rPr>
          <w:rFonts w:asciiTheme="minorHAnsi" w:hAnsiTheme="minorHAnsi" w:cstheme="minorHAnsi"/>
          <w:sz w:val="22"/>
          <w:szCs w:val="22"/>
          <w:lang w:val="en-AU"/>
        </w:rPr>
        <w:t>been harassed in the previous year</w:t>
      </w:r>
      <w:r w:rsidRPr="0091465B">
        <w:rPr>
          <w:rFonts w:asciiTheme="minorHAnsi" w:hAnsiTheme="minorHAnsi" w:cstheme="minorHAnsi"/>
          <w:sz w:val="22"/>
          <w:szCs w:val="22"/>
          <w:lang w:val="en-AU"/>
        </w:rPr>
        <w:t xml:space="preserve"> was highest among those of younger age, </w:t>
      </w:r>
      <w:r w:rsidR="0019655D">
        <w:rPr>
          <w:rFonts w:asciiTheme="minorHAnsi" w:hAnsiTheme="minorHAnsi" w:cstheme="minorHAnsi"/>
          <w:sz w:val="22"/>
          <w:szCs w:val="22"/>
          <w:lang w:val="en-AU"/>
        </w:rPr>
        <w:t>including</w:t>
      </w:r>
      <w:r w:rsidRPr="0091465B">
        <w:rPr>
          <w:rFonts w:asciiTheme="minorHAnsi" w:hAnsiTheme="minorHAnsi" w:cstheme="minorHAnsi"/>
          <w:sz w:val="22"/>
          <w:szCs w:val="22"/>
          <w:lang w:val="en-AU"/>
        </w:rPr>
        <w:t xml:space="preserve"> 83% of those aged 18-24</w:t>
      </w:r>
      <w:r w:rsidR="0019655D">
        <w:rPr>
          <w:rFonts w:asciiTheme="minorHAnsi" w:hAnsiTheme="minorHAnsi" w:cstheme="minorHAnsi"/>
          <w:sz w:val="22"/>
          <w:szCs w:val="22"/>
          <w:lang w:val="en-AU"/>
        </w:rPr>
        <w:t xml:space="preserve">, </w:t>
      </w:r>
      <w:r w:rsidRPr="0091465B">
        <w:rPr>
          <w:rFonts w:asciiTheme="minorHAnsi" w:hAnsiTheme="minorHAnsi" w:cstheme="minorHAnsi"/>
          <w:sz w:val="22"/>
          <w:szCs w:val="22"/>
          <w:lang w:val="en-AU"/>
        </w:rPr>
        <w:t>compared with 21% of those aged 65 years or more.</w:t>
      </w:r>
    </w:p>
    <w:p w14:paraId="38349544" w14:textId="369F20A8" w:rsidR="00283005" w:rsidRDefault="00283005" w:rsidP="00457C12">
      <w:pPr>
        <w:spacing w:line="360" w:lineRule="auto"/>
        <w:jc w:val="both"/>
        <w:rPr>
          <w:rFonts w:asciiTheme="minorHAnsi" w:hAnsiTheme="minorHAnsi" w:cstheme="minorHAnsi"/>
          <w:sz w:val="22"/>
          <w:szCs w:val="22"/>
          <w:lang w:val="en-AU"/>
        </w:rPr>
      </w:pPr>
      <w:r w:rsidRPr="0091465B">
        <w:rPr>
          <w:rFonts w:asciiTheme="minorHAnsi" w:hAnsiTheme="minorHAnsi" w:cstheme="minorHAnsi"/>
          <w:sz w:val="22"/>
          <w:szCs w:val="22"/>
          <w:lang w:val="en-AU"/>
        </w:rPr>
        <w:t>Reflecting these experiences, the survey found that 40% of female survey respondents</w:t>
      </w:r>
      <w:r w:rsidR="00891AF7">
        <w:rPr>
          <w:rFonts w:asciiTheme="minorHAnsi" w:hAnsiTheme="minorHAnsi" w:cstheme="minorHAnsi"/>
          <w:sz w:val="22"/>
          <w:szCs w:val="22"/>
          <w:lang w:val="en-AU"/>
        </w:rPr>
        <w:t>,</w:t>
      </w:r>
      <w:r w:rsidRPr="0091465B">
        <w:rPr>
          <w:rFonts w:asciiTheme="minorHAnsi" w:hAnsiTheme="minorHAnsi" w:cstheme="minorHAnsi"/>
          <w:sz w:val="22"/>
          <w:szCs w:val="22"/>
          <w:lang w:val="en-AU"/>
        </w:rPr>
        <w:t xml:space="preserve"> and 17% of males</w:t>
      </w:r>
      <w:r w:rsidR="00891AF7">
        <w:rPr>
          <w:rFonts w:asciiTheme="minorHAnsi" w:hAnsiTheme="minorHAnsi" w:cstheme="minorHAnsi"/>
          <w:sz w:val="22"/>
          <w:szCs w:val="22"/>
          <w:lang w:val="en-AU"/>
        </w:rPr>
        <w:t>,</w:t>
      </w:r>
      <w:r w:rsidRPr="0091465B">
        <w:rPr>
          <w:rFonts w:asciiTheme="minorHAnsi" w:hAnsiTheme="minorHAnsi" w:cstheme="minorHAnsi"/>
          <w:sz w:val="22"/>
          <w:szCs w:val="22"/>
          <w:lang w:val="en-AU"/>
        </w:rPr>
        <w:t xml:space="preserve"> felt unsafe in their community at night. Consequently, many women reported that they adjusted their behaviour when on the streets at night during the previous year</w:t>
      </w:r>
      <w:r w:rsidR="00457C12" w:rsidRPr="0091465B">
        <w:rPr>
          <w:rFonts w:asciiTheme="minorHAnsi" w:hAnsiTheme="minorHAnsi" w:cstheme="minorHAnsi"/>
          <w:sz w:val="22"/>
          <w:szCs w:val="22"/>
          <w:lang w:val="en-AU"/>
        </w:rPr>
        <w:t>,</w:t>
      </w:r>
      <w:r w:rsidRPr="0091465B">
        <w:rPr>
          <w:rFonts w:asciiTheme="minorHAnsi" w:hAnsiTheme="minorHAnsi" w:cstheme="minorHAnsi"/>
          <w:sz w:val="22"/>
          <w:szCs w:val="22"/>
          <w:lang w:val="en-AU"/>
        </w:rPr>
        <w:t xml:space="preserve"> including 93% of those aged 18 to 24</w:t>
      </w:r>
      <w:r w:rsidR="00891AF7">
        <w:rPr>
          <w:rFonts w:asciiTheme="minorHAnsi" w:hAnsiTheme="minorHAnsi" w:cstheme="minorHAnsi"/>
          <w:sz w:val="22"/>
          <w:szCs w:val="22"/>
          <w:lang w:val="en-AU"/>
        </w:rPr>
        <w:t>,</w:t>
      </w:r>
      <w:r w:rsidRPr="0091465B">
        <w:rPr>
          <w:rFonts w:asciiTheme="minorHAnsi" w:hAnsiTheme="minorHAnsi" w:cstheme="minorHAnsi"/>
          <w:sz w:val="22"/>
          <w:szCs w:val="22"/>
          <w:lang w:val="en-AU"/>
        </w:rPr>
        <w:t xml:space="preserve"> and 64% of those </w:t>
      </w:r>
      <w:r w:rsidR="00457C12" w:rsidRPr="0091465B">
        <w:rPr>
          <w:rFonts w:asciiTheme="minorHAnsi" w:hAnsiTheme="minorHAnsi" w:cstheme="minorHAnsi"/>
          <w:sz w:val="22"/>
          <w:szCs w:val="22"/>
          <w:lang w:val="en-AU"/>
        </w:rPr>
        <w:t>over 45 years</w:t>
      </w:r>
      <w:r w:rsidRPr="0091465B">
        <w:rPr>
          <w:rFonts w:asciiTheme="minorHAnsi" w:hAnsiTheme="minorHAnsi" w:cstheme="minorHAnsi"/>
          <w:sz w:val="22"/>
          <w:szCs w:val="22"/>
          <w:lang w:val="en-AU"/>
        </w:rPr>
        <w:t xml:space="preserve">. These changes in behaviour included avoiding working walking home alone at night (61%) and </w:t>
      </w:r>
      <w:r w:rsidR="00457C12" w:rsidRPr="0091465B">
        <w:rPr>
          <w:rFonts w:asciiTheme="minorHAnsi" w:hAnsiTheme="minorHAnsi" w:cstheme="minorHAnsi"/>
          <w:sz w:val="22"/>
          <w:szCs w:val="22"/>
          <w:lang w:val="en-AU"/>
        </w:rPr>
        <w:t>refraining from</w:t>
      </w:r>
      <w:r w:rsidRPr="0091465B">
        <w:rPr>
          <w:rFonts w:asciiTheme="minorHAnsi" w:hAnsiTheme="minorHAnsi" w:cstheme="minorHAnsi"/>
          <w:sz w:val="22"/>
          <w:szCs w:val="22"/>
          <w:lang w:val="en-AU"/>
        </w:rPr>
        <w:t xml:space="preserve"> exercise alone outdoors at night (45%), arrang</w:t>
      </w:r>
      <w:r w:rsidR="00457C12" w:rsidRPr="0091465B">
        <w:rPr>
          <w:rFonts w:asciiTheme="minorHAnsi" w:hAnsiTheme="minorHAnsi" w:cstheme="minorHAnsi"/>
          <w:sz w:val="22"/>
          <w:szCs w:val="22"/>
          <w:lang w:val="en-AU"/>
        </w:rPr>
        <w:t xml:space="preserve">ing </w:t>
      </w:r>
      <w:r w:rsidRPr="0091465B">
        <w:rPr>
          <w:rFonts w:asciiTheme="minorHAnsi" w:hAnsiTheme="minorHAnsi" w:cstheme="minorHAnsi"/>
          <w:sz w:val="22"/>
          <w:szCs w:val="22"/>
          <w:lang w:val="en-AU"/>
        </w:rPr>
        <w:t>to text a friend when they arrived home safely</w:t>
      </w:r>
      <w:r w:rsidR="0019655D">
        <w:rPr>
          <w:rFonts w:asciiTheme="minorHAnsi" w:hAnsiTheme="minorHAnsi" w:cstheme="minorHAnsi"/>
          <w:sz w:val="22"/>
          <w:szCs w:val="22"/>
          <w:lang w:val="en-AU"/>
        </w:rPr>
        <w:t xml:space="preserve"> </w:t>
      </w:r>
      <w:r w:rsidRPr="0091465B">
        <w:rPr>
          <w:rFonts w:asciiTheme="minorHAnsi" w:hAnsiTheme="minorHAnsi" w:cstheme="minorHAnsi"/>
          <w:sz w:val="22"/>
          <w:szCs w:val="22"/>
          <w:lang w:val="en-AU"/>
        </w:rPr>
        <w:t xml:space="preserve">(38%), walking directly under </w:t>
      </w:r>
      <w:r w:rsidR="008366C0" w:rsidRPr="0091465B">
        <w:rPr>
          <w:rFonts w:asciiTheme="minorHAnsi" w:hAnsiTheme="minorHAnsi" w:cstheme="minorHAnsi"/>
          <w:sz w:val="22"/>
          <w:szCs w:val="22"/>
          <w:lang w:val="en-AU"/>
        </w:rPr>
        <w:t>streetlights</w:t>
      </w:r>
      <w:r w:rsidRPr="0091465B">
        <w:rPr>
          <w:rFonts w:asciiTheme="minorHAnsi" w:hAnsiTheme="minorHAnsi" w:cstheme="minorHAnsi"/>
          <w:sz w:val="22"/>
          <w:szCs w:val="22"/>
          <w:lang w:val="en-AU"/>
        </w:rPr>
        <w:t xml:space="preserve"> (36%), holding keys in their hands like a weapon when walking home (35%) and not leaving their drinks unattended (34%). The proportion of male respondents who adopted the same precautions on the streets was typically about half that </w:t>
      </w:r>
      <w:r w:rsidR="00457C12" w:rsidRPr="0091465B">
        <w:rPr>
          <w:rFonts w:asciiTheme="minorHAnsi" w:hAnsiTheme="minorHAnsi" w:cstheme="minorHAnsi"/>
          <w:sz w:val="22"/>
          <w:szCs w:val="22"/>
          <w:lang w:val="en-AU"/>
        </w:rPr>
        <w:t>among</w:t>
      </w:r>
      <w:r w:rsidRPr="0091465B">
        <w:rPr>
          <w:rFonts w:asciiTheme="minorHAnsi" w:hAnsiTheme="minorHAnsi" w:cstheme="minorHAnsi"/>
          <w:sz w:val="22"/>
          <w:szCs w:val="22"/>
          <w:lang w:val="en-AU"/>
        </w:rPr>
        <w:t xml:space="preserve"> women.</w:t>
      </w:r>
    </w:p>
    <w:p w14:paraId="5CBE454A" w14:textId="124E6D12" w:rsidR="0091465B" w:rsidRPr="00405976" w:rsidRDefault="0091465B" w:rsidP="00CB721D">
      <w:pPr>
        <w:spacing w:before="240" w:after="60"/>
        <w:jc w:val="both"/>
        <w:rPr>
          <w:rFonts w:asciiTheme="minorHAnsi" w:hAnsiTheme="minorHAnsi" w:cstheme="minorHAnsi"/>
          <w:b/>
          <w:sz w:val="22"/>
          <w:szCs w:val="22"/>
        </w:rPr>
      </w:pPr>
      <w:r w:rsidRPr="00405976">
        <w:rPr>
          <w:rFonts w:asciiTheme="minorHAnsi" w:hAnsiTheme="minorHAnsi" w:cstheme="minorHAnsi"/>
          <w:b/>
          <w:sz w:val="22"/>
          <w:szCs w:val="22"/>
        </w:rPr>
        <w:t>Gendered Drivers of Family Violence</w:t>
      </w:r>
    </w:p>
    <w:p w14:paraId="0A7505C6" w14:textId="5582D65B" w:rsidR="0091465B" w:rsidRPr="00D7100C" w:rsidRDefault="0091465B" w:rsidP="00D36120">
      <w:pPr>
        <w:spacing w:line="360" w:lineRule="auto"/>
        <w:jc w:val="both"/>
        <w:rPr>
          <w:rFonts w:asciiTheme="minorHAnsi" w:hAnsiTheme="minorHAnsi" w:cstheme="minorHAnsi"/>
          <w:sz w:val="22"/>
          <w:szCs w:val="22"/>
          <w:lang w:val="en-AU"/>
        </w:rPr>
      </w:pPr>
      <w:r w:rsidRPr="00D7100C">
        <w:rPr>
          <w:rFonts w:asciiTheme="minorHAnsi" w:hAnsiTheme="minorHAnsi" w:cstheme="minorHAnsi"/>
          <w:sz w:val="22"/>
          <w:szCs w:val="22"/>
          <w:lang w:val="en-AU"/>
        </w:rPr>
        <w:t xml:space="preserve">Attitudes, </w:t>
      </w:r>
      <w:proofErr w:type="gramStart"/>
      <w:r w:rsidRPr="00D7100C">
        <w:rPr>
          <w:rFonts w:asciiTheme="minorHAnsi" w:hAnsiTheme="minorHAnsi" w:cstheme="minorHAnsi"/>
          <w:sz w:val="22"/>
          <w:szCs w:val="22"/>
          <w:lang w:val="en-AU"/>
        </w:rPr>
        <w:t>beliefs</w:t>
      </w:r>
      <w:proofErr w:type="gramEnd"/>
      <w:r w:rsidRPr="00D7100C">
        <w:rPr>
          <w:rFonts w:asciiTheme="minorHAnsi" w:hAnsiTheme="minorHAnsi" w:cstheme="minorHAnsi"/>
          <w:sz w:val="22"/>
          <w:szCs w:val="22"/>
          <w:lang w:val="en-AU"/>
        </w:rPr>
        <w:t xml:space="preserve"> and behaviours which are widespread in our society contribute to </w:t>
      </w:r>
      <w:r w:rsidR="0019655D">
        <w:rPr>
          <w:rFonts w:asciiTheme="minorHAnsi" w:hAnsiTheme="minorHAnsi" w:cstheme="minorHAnsi"/>
          <w:sz w:val="22"/>
          <w:szCs w:val="22"/>
          <w:lang w:val="en-AU"/>
        </w:rPr>
        <w:t>harassment and</w:t>
      </w:r>
      <w:r w:rsidRPr="00D7100C">
        <w:rPr>
          <w:rFonts w:asciiTheme="minorHAnsi" w:hAnsiTheme="minorHAnsi" w:cstheme="minorHAnsi"/>
          <w:sz w:val="22"/>
          <w:szCs w:val="22"/>
          <w:lang w:val="en-AU"/>
        </w:rPr>
        <w:t xml:space="preserve"> violence</w:t>
      </w:r>
      <w:r w:rsidR="0019655D">
        <w:rPr>
          <w:rFonts w:asciiTheme="minorHAnsi" w:hAnsiTheme="minorHAnsi" w:cstheme="minorHAnsi"/>
          <w:sz w:val="22"/>
          <w:szCs w:val="22"/>
          <w:lang w:val="en-AU"/>
        </w:rPr>
        <w:t xml:space="preserve"> against women</w:t>
      </w:r>
      <w:r w:rsidRPr="00D7100C">
        <w:rPr>
          <w:rFonts w:asciiTheme="minorHAnsi" w:hAnsiTheme="minorHAnsi" w:cstheme="minorHAnsi"/>
          <w:sz w:val="22"/>
          <w:szCs w:val="22"/>
          <w:lang w:val="en-AU"/>
        </w:rPr>
        <w:t>. The 2017 report ‘Change the Story’ by Our Watch explored this issue in detail, identifying four gender-related circumstances which cause family violence or aggravate the severity of such crimes:</w:t>
      </w:r>
    </w:p>
    <w:p w14:paraId="3D62B72A" w14:textId="42172494" w:rsidR="0091465B" w:rsidRPr="00D7100C" w:rsidRDefault="0019655D" w:rsidP="00D36120">
      <w:pPr>
        <w:spacing w:line="360" w:lineRule="auto"/>
        <w:jc w:val="both"/>
        <w:rPr>
          <w:rFonts w:asciiTheme="minorHAnsi" w:hAnsiTheme="minorHAnsi" w:cstheme="minorHAnsi"/>
          <w:sz w:val="22"/>
          <w:szCs w:val="22"/>
          <w:lang w:val="en-AU"/>
        </w:rPr>
      </w:pPr>
      <w:r w:rsidRPr="00D7100C">
        <w:rPr>
          <w:rFonts w:asciiTheme="minorHAnsi" w:hAnsiTheme="minorHAnsi" w:cstheme="minorHAnsi"/>
          <w:noProof/>
          <w:sz w:val="22"/>
          <w:szCs w:val="22"/>
          <w:lang w:val="en-AU"/>
        </w:rPr>
        <w:drawing>
          <wp:anchor distT="0" distB="0" distL="114300" distR="114300" simplePos="0" relativeHeight="251674624" behindDoc="1" locked="0" layoutInCell="1" allowOverlap="1" wp14:anchorId="2B7E6475" wp14:editId="536ECFEE">
            <wp:simplePos x="0" y="0"/>
            <wp:positionH relativeFrom="margin">
              <wp:align>left</wp:align>
            </wp:positionH>
            <wp:positionV relativeFrom="paragraph">
              <wp:posOffset>753110</wp:posOffset>
            </wp:positionV>
            <wp:extent cx="3076575" cy="2536190"/>
            <wp:effectExtent l="0" t="0" r="9525" b="0"/>
            <wp:wrapTight wrapText="bothSides">
              <wp:wrapPolygon edited="0">
                <wp:start x="0" y="0"/>
                <wp:lineTo x="0" y="21416"/>
                <wp:lineTo x="21533" y="21416"/>
                <wp:lineTo x="215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8584" r="7166"/>
                    <a:stretch/>
                  </pic:blipFill>
                  <pic:spPr bwMode="auto">
                    <a:xfrm>
                      <a:off x="0" y="0"/>
                      <a:ext cx="3076575" cy="2536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465B" w:rsidRPr="00D7100C">
        <w:rPr>
          <w:rFonts w:asciiTheme="minorHAnsi" w:hAnsiTheme="minorHAnsi" w:cstheme="minorHAnsi"/>
          <w:i/>
          <w:iCs/>
          <w:sz w:val="22"/>
          <w:szCs w:val="22"/>
          <w:lang w:val="en-AU"/>
        </w:rPr>
        <w:t>Rigid gender roles and stereotyped constructions of masculinity and femininity</w:t>
      </w:r>
      <w:r w:rsidR="0091465B" w:rsidRPr="00D7100C">
        <w:rPr>
          <w:rFonts w:asciiTheme="minorHAnsi" w:hAnsiTheme="minorHAnsi" w:cstheme="minorHAnsi"/>
          <w:sz w:val="22"/>
          <w:szCs w:val="22"/>
          <w:lang w:val="en-AU"/>
        </w:rPr>
        <w:t xml:space="preserve">: men with </w:t>
      </w:r>
      <w:r>
        <w:rPr>
          <w:rFonts w:asciiTheme="minorHAnsi" w:hAnsiTheme="minorHAnsi" w:cstheme="minorHAnsi"/>
          <w:sz w:val="22"/>
          <w:szCs w:val="22"/>
          <w:lang w:val="en-AU"/>
        </w:rPr>
        <w:t>conventional attitudes about the superior status and entitlement of males, and the differing roles of women and men are more likely than others to commit violence against women</w:t>
      </w:r>
      <w:r w:rsidR="0091465B" w:rsidRPr="00D7100C">
        <w:rPr>
          <w:rFonts w:asciiTheme="minorHAnsi" w:hAnsiTheme="minorHAnsi" w:cstheme="minorHAnsi"/>
          <w:sz w:val="22"/>
          <w:szCs w:val="22"/>
          <w:lang w:val="en-AU"/>
        </w:rPr>
        <w:t>. A striking illustration of this connection was supplied by the findings of the 2013 VicHealth Community Attitudes Towards Violence Against Women survey</w:t>
      </w:r>
      <w:r>
        <w:rPr>
          <w:rFonts w:asciiTheme="minorHAnsi" w:hAnsiTheme="minorHAnsi" w:cstheme="minorHAnsi"/>
          <w:sz w:val="22"/>
          <w:szCs w:val="22"/>
          <w:lang w:val="en-AU"/>
        </w:rPr>
        <w:t xml:space="preserve">, of </w:t>
      </w:r>
      <w:r w:rsidR="0091465B" w:rsidRPr="00D7100C">
        <w:rPr>
          <w:rFonts w:asciiTheme="minorHAnsi" w:hAnsiTheme="minorHAnsi" w:cstheme="minorHAnsi"/>
          <w:sz w:val="22"/>
          <w:szCs w:val="22"/>
          <w:lang w:val="en-AU"/>
        </w:rPr>
        <w:t xml:space="preserve">17,500 Australians aged 16 and over. </w:t>
      </w:r>
      <w:r>
        <w:rPr>
          <w:rFonts w:asciiTheme="minorHAnsi" w:hAnsiTheme="minorHAnsi" w:cstheme="minorHAnsi"/>
          <w:sz w:val="22"/>
          <w:szCs w:val="22"/>
          <w:lang w:val="en-AU"/>
        </w:rPr>
        <w:t xml:space="preserve">The survey findings revealed </w:t>
      </w:r>
      <w:r w:rsidR="0091465B" w:rsidRPr="00D7100C">
        <w:rPr>
          <w:rFonts w:asciiTheme="minorHAnsi" w:hAnsiTheme="minorHAnsi" w:cstheme="minorHAnsi"/>
          <w:sz w:val="22"/>
          <w:szCs w:val="22"/>
          <w:lang w:val="en-AU"/>
        </w:rPr>
        <w:t xml:space="preserve">attitudinal support for violence against women </w:t>
      </w:r>
      <w:r>
        <w:rPr>
          <w:rFonts w:asciiTheme="minorHAnsi" w:hAnsiTheme="minorHAnsi" w:cstheme="minorHAnsi"/>
          <w:sz w:val="22"/>
          <w:szCs w:val="22"/>
          <w:lang w:val="en-AU"/>
        </w:rPr>
        <w:t>among</w:t>
      </w:r>
      <w:r w:rsidR="0091465B" w:rsidRPr="00D7100C">
        <w:rPr>
          <w:rFonts w:asciiTheme="minorHAnsi" w:hAnsiTheme="minorHAnsi" w:cstheme="minorHAnsi"/>
          <w:sz w:val="22"/>
          <w:szCs w:val="22"/>
          <w:lang w:val="en-AU"/>
        </w:rPr>
        <w:t xml:space="preserve"> 58% of respondents with low support for gender equity, compared with just 7% of those with high support for gender equity (diagram, left).</w:t>
      </w:r>
    </w:p>
    <w:p w14:paraId="0F1993A9" w14:textId="30540675" w:rsidR="0091465B" w:rsidRPr="00D7100C" w:rsidRDefault="008366C0" w:rsidP="00D36120">
      <w:pPr>
        <w:spacing w:line="360" w:lineRule="auto"/>
        <w:jc w:val="both"/>
        <w:rPr>
          <w:rFonts w:asciiTheme="minorHAnsi" w:hAnsiTheme="minorHAnsi" w:cstheme="minorHAnsi"/>
          <w:sz w:val="22"/>
          <w:szCs w:val="22"/>
          <w:lang w:val="en-AU"/>
        </w:rPr>
      </w:pPr>
      <w:r>
        <w:rPr>
          <w:rFonts w:asciiTheme="minorHAnsi" w:hAnsiTheme="minorHAnsi" w:cstheme="minorHAnsi"/>
          <w:sz w:val="22"/>
          <w:szCs w:val="22"/>
          <w:lang w:val="en-AU"/>
        </w:rPr>
        <w:t xml:space="preserve">The authors of ‘Change the Story’ recommend that efforts be made to encourage all people - especially children and young adults – to repudiate conventional ideas about male superiority, control and status; adopt values and personal identities that embody respect and equality between women and men; and to share domestic and child-rearing responsibilities </w:t>
      </w:r>
      <w:r w:rsidR="0091465B" w:rsidRPr="00D7100C">
        <w:rPr>
          <w:rFonts w:asciiTheme="minorHAnsi" w:hAnsiTheme="minorHAnsi" w:cstheme="minorHAnsi"/>
          <w:sz w:val="22"/>
          <w:szCs w:val="22"/>
          <w:lang w:val="en-AU"/>
        </w:rPr>
        <w:t>(22).</w:t>
      </w:r>
    </w:p>
    <w:p w14:paraId="0A240BA8" w14:textId="1A601C3E" w:rsidR="0091465B" w:rsidRPr="00D7100C" w:rsidRDefault="0091465B" w:rsidP="00D36120">
      <w:pPr>
        <w:spacing w:line="360" w:lineRule="auto"/>
        <w:jc w:val="both"/>
        <w:rPr>
          <w:rFonts w:asciiTheme="minorHAnsi" w:hAnsiTheme="minorHAnsi" w:cstheme="minorHAnsi"/>
          <w:sz w:val="22"/>
          <w:szCs w:val="22"/>
          <w:lang w:val="en-AU"/>
        </w:rPr>
      </w:pPr>
      <w:r w:rsidRPr="00D7100C">
        <w:rPr>
          <w:rFonts w:asciiTheme="minorHAnsi" w:hAnsiTheme="minorHAnsi" w:cstheme="minorHAnsi"/>
          <w:i/>
          <w:iCs/>
          <w:sz w:val="22"/>
          <w:szCs w:val="22"/>
          <w:lang w:val="en-AU"/>
        </w:rPr>
        <w:t>Men’s control of decision-making and limits to women’s independence in public and private life</w:t>
      </w:r>
      <w:r w:rsidRPr="00D7100C">
        <w:rPr>
          <w:rFonts w:asciiTheme="minorHAnsi" w:hAnsiTheme="minorHAnsi" w:cstheme="minorHAnsi"/>
          <w:sz w:val="22"/>
          <w:szCs w:val="22"/>
          <w:lang w:val="en-AU"/>
        </w:rPr>
        <w:t xml:space="preserve">: Men who </w:t>
      </w:r>
      <w:r w:rsidR="008366C0">
        <w:rPr>
          <w:rFonts w:asciiTheme="minorHAnsi" w:hAnsiTheme="minorHAnsi" w:cstheme="minorHAnsi"/>
          <w:sz w:val="22"/>
          <w:szCs w:val="22"/>
          <w:lang w:val="en-AU"/>
        </w:rPr>
        <w:t>feel</w:t>
      </w:r>
      <w:r w:rsidRPr="00D7100C">
        <w:rPr>
          <w:rFonts w:asciiTheme="minorHAnsi" w:hAnsiTheme="minorHAnsi" w:cstheme="minorHAnsi"/>
          <w:sz w:val="22"/>
          <w:szCs w:val="22"/>
          <w:lang w:val="en-AU"/>
        </w:rPr>
        <w:t xml:space="preserve"> entitled to control women </w:t>
      </w:r>
      <w:r w:rsidR="008366C0">
        <w:rPr>
          <w:rFonts w:asciiTheme="minorHAnsi" w:hAnsiTheme="minorHAnsi" w:cstheme="minorHAnsi"/>
          <w:sz w:val="22"/>
          <w:szCs w:val="22"/>
          <w:lang w:val="en-AU"/>
        </w:rPr>
        <w:t>or consider them to be of lower status,</w:t>
      </w:r>
      <w:r w:rsidRPr="00D7100C">
        <w:rPr>
          <w:rFonts w:asciiTheme="minorHAnsi" w:hAnsiTheme="minorHAnsi" w:cstheme="minorHAnsi"/>
          <w:sz w:val="22"/>
          <w:szCs w:val="22"/>
          <w:lang w:val="en-AU"/>
        </w:rPr>
        <w:t xml:space="preserve"> are more likely to inflict violence upon them</w:t>
      </w:r>
      <w:r w:rsidR="008366C0">
        <w:rPr>
          <w:rFonts w:asciiTheme="minorHAnsi" w:hAnsiTheme="minorHAnsi" w:cstheme="minorHAnsi"/>
          <w:sz w:val="22"/>
          <w:szCs w:val="22"/>
          <w:lang w:val="en-AU"/>
        </w:rPr>
        <w:t>, and, where they control women through financial means, fear, isolation or other means, may often do so</w:t>
      </w:r>
      <w:r w:rsidRPr="00D7100C">
        <w:rPr>
          <w:rFonts w:asciiTheme="minorHAnsi" w:hAnsiTheme="minorHAnsi" w:cstheme="minorHAnsi"/>
          <w:sz w:val="22"/>
          <w:szCs w:val="22"/>
          <w:lang w:val="en-AU"/>
        </w:rPr>
        <w:t xml:space="preserve"> with impunity.</w:t>
      </w:r>
      <w:r w:rsidR="008366C0">
        <w:rPr>
          <w:rFonts w:asciiTheme="minorHAnsi" w:hAnsiTheme="minorHAnsi" w:cstheme="minorHAnsi"/>
          <w:sz w:val="22"/>
          <w:szCs w:val="22"/>
          <w:lang w:val="en-AU"/>
        </w:rPr>
        <w:t xml:space="preserve"> The report urges that more women be provided with the means to obtain paid employment, thereby placing financial</w:t>
      </w:r>
      <w:r w:rsidRPr="00D7100C">
        <w:rPr>
          <w:rFonts w:asciiTheme="minorHAnsi" w:hAnsiTheme="minorHAnsi" w:cstheme="minorHAnsi"/>
          <w:sz w:val="22"/>
          <w:szCs w:val="22"/>
          <w:lang w:val="en-AU"/>
        </w:rPr>
        <w:t xml:space="preserve"> security</w:t>
      </w:r>
      <w:r w:rsidR="008366C0">
        <w:rPr>
          <w:rFonts w:asciiTheme="minorHAnsi" w:hAnsiTheme="minorHAnsi" w:cstheme="minorHAnsi"/>
          <w:sz w:val="22"/>
          <w:szCs w:val="22"/>
          <w:lang w:val="en-AU"/>
        </w:rPr>
        <w:t xml:space="preserve"> and</w:t>
      </w:r>
      <w:r w:rsidRPr="00D7100C">
        <w:rPr>
          <w:rFonts w:asciiTheme="minorHAnsi" w:hAnsiTheme="minorHAnsi" w:cstheme="minorHAnsi"/>
          <w:sz w:val="22"/>
          <w:szCs w:val="22"/>
          <w:lang w:val="en-AU"/>
        </w:rPr>
        <w:t xml:space="preserve"> independence</w:t>
      </w:r>
      <w:r w:rsidR="008366C0">
        <w:rPr>
          <w:rFonts w:asciiTheme="minorHAnsi" w:hAnsiTheme="minorHAnsi" w:cstheme="minorHAnsi"/>
          <w:sz w:val="22"/>
          <w:szCs w:val="22"/>
          <w:lang w:val="en-AU"/>
        </w:rPr>
        <w:t xml:space="preserve"> within their reach;</w:t>
      </w:r>
      <w:r w:rsidRPr="00D7100C">
        <w:rPr>
          <w:rFonts w:asciiTheme="minorHAnsi" w:hAnsiTheme="minorHAnsi" w:cstheme="minorHAnsi"/>
          <w:sz w:val="22"/>
          <w:szCs w:val="22"/>
          <w:lang w:val="en-AU"/>
        </w:rPr>
        <w:t xml:space="preserve"> </w:t>
      </w:r>
      <w:r w:rsidR="008366C0">
        <w:rPr>
          <w:rFonts w:asciiTheme="minorHAnsi" w:hAnsiTheme="minorHAnsi" w:cstheme="minorHAnsi"/>
          <w:sz w:val="22"/>
          <w:szCs w:val="22"/>
          <w:lang w:val="en-AU"/>
        </w:rPr>
        <w:t>barriers to their</w:t>
      </w:r>
      <w:r w:rsidRPr="00D7100C">
        <w:rPr>
          <w:rFonts w:asciiTheme="minorHAnsi" w:hAnsiTheme="minorHAnsi" w:cstheme="minorHAnsi"/>
          <w:sz w:val="22"/>
          <w:szCs w:val="22"/>
          <w:lang w:val="en-AU"/>
        </w:rPr>
        <w:t xml:space="preserve"> participation and decision-making in public life</w:t>
      </w:r>
      <w:r w:rsidR="008366C0">
        <w:rPr>
          <w:rFonts w:asciiTheme="minorHAnsi" w:hAnsiTheme="minorHAnsi" w:cstheme="minorHAnsi"/>
          <w:sz w:val="22"/>
          <w:szCs w:val="22"/>
          <w:lang w:val="en-AU"/>
        </w:rPr>
        <w:t xml:space="preserve"> be removed</w:t>
      </w:r>
      <w:r w:rsidRPr="00D7100C">
        <w:rPr>
          <w:rFonts w:asciiTheme="minorHAnsi" w:hAnsiTheme="minorHAnsi" w:cstheme="minorHAnsi"/>
          <w:sz w:val="22"/>
          <w:szCs w:val="22"/>
          <w:lang w:val="en-AU"/>
        </w:rPr>
        <w:t>;</w:t>
      </w:r>
      <w:r w:rsidR="008366C0">
        <w:rPr>
          <w:rFonts w:asciiTheme="minorHAnsi" w:hAnsiTheme="minorHAnsi" w:cstheme="minorHAnsi"/>
          <w:sz w:val="22"/>
          <w:szCs w:val="22"/>
          <w:lang w:val="en-AU"/>
        </w:rPr>
        <w:t xml:space="preserve"> aggressive and dominating behaviour by men at </w:t>
      </w:r>
      <w:r w:rsidR="008366C0">
        <w:rPr>
          <w:rFonts w:asciiTheme="minorHAnsi" w:hAnsiTheme="minorHAnsi" w:cstheme="minorHAnsi"/>
          <w:sz w:val="22"/>
          <w:szCs w:val="22"/>
          <w:lang w:val="en-AU"/>
        </w:rPr>
        <w:lastRenderedPageBreak/>
        <w:t>work and in</w:t>
      </w:r>
      <w:r w:rsidRPr="00D7100C">
        <w:rPr>
          <w:rFonts w:asciiTheme="minorHAnsi" w:hAnsiTheme="minorHAnsi" w:cstheme="minorHAnsi"/>
          <w:sz w:val="22"/>
          <w:szCs w:val="22"/>
          <w:lang w:val="en-AU"/>
        </w:rPr>
        <w:t xml:space="preserve"> relationships</w:t>
      </w:r>
      <w:r w:rsidR="008366C0">
        <w:rPr>
          <w:rFonts w:asciiTheme="minorHAnsi" w:hAnsiTheme="minorHAnsi" w:cstheme="minorHAnsi"/>
          <w:sz w:val="22"/>
          <w:szCs w:val="22"/>
          <w:lang w:val="en-AU"/>
        </w:rPr>
        <w:t xml:space="preserve"> be opposed</w:t>
      </w:r>
      <w:r w:rsidRPr="00D7100C">
        <w:rPr>
          <w:rFonts w:asciiTheme="minorHAnsi" w:hAnsiTheme="minorHAnsi" w:cstheme="minorHAnsi"/>
          <w:sz w:val="22"/>
          <w:szCs w:val="22"/>
          <w:lang w:val="en-AU"/>
        </w:rPr>
        <w:t xml:space="preserve">; </w:t>
      </w:r>
      <w:r w:rsidR="008366C0">
        <w:rPr>
          <w:rFonts w:asciiTheme="minorHAnsi" w:hAnsiTheme="minorHAnsi" w:cstheme="minorHAnsi"/>
          <w:sz w:val="22"/>
          <w:szCs w:val="22"/>
          <w:lang w:val="en-AU"/>
        </w:rPr>
        <w:t xml:space="preserve">and opportunities be fostered for women to </w:t>
      </w:r>
      <w:r w:rsidR="00405976">
        <w:rPr>
          <w:rFonts w:asciiTheme="minorHAnsi" w:hAnsiTheme="minorHAnsi" w:cstheme="minorHAnsi"/>
          <w:sz w:val="22"/>
          <w:szCs w:val="22"/>
          <w:lang w:val="en-AU"/>
        </w:rPr>
        <w:t>come together</w:t>
      </w:r>
      <w:r w:rsidR="008366C0">
        <w:rPr>
          <w:rFonts w:asciiTheme="minorHAnsi" w:hAnsiTheme="minorHAnsi" w:cstheme="minorHAnsi"/>
          <w:sz w:val="22"/>
          <w:szCs w:val="22"/>
          <w:lang w:val="en-AU"/>
        </w:rPr>
        <w:t xml:space="preserve"> to socialise, provide mutual support and advocate for causes of common concern</w:t>
      </w:r>
      <w:r w:rsidRPr="00D7100C">
        <w:rPr>
          <w:rFonts w:asciiTheme="minorHAnsi" w:hAnsiTheme="minorHAnsi" w:cstheme="minorHAnsi"/>
          <w:sz w:val="22"/>
          <w:szCs w:val="22"/>
          <w:lang w:val="en-AU"/>
        </w:rPr>
        <w:t xml:space="preserve"> (22).</w:t>
      </w:r>
    </w:p>
    <w:p w14:paraId="23DFE26E" w14:textId="1EFAD8B8" w:rsidR="0091465B" w:rsidRPr="00D7100C" w:rsidRDefault="0091465B" w:rsidP="00D36120">
      <w:pPr>
        <w:spacing w:line="360" w:lineRule="auto"/>
        <w:jc w:val="both"/>
        <w:rPr>
          <w:rFonts w:asciiTheme="minorHAnsi" w:hAnsiTheme="minorHAnsi" w:cstheme="minorHAnsi"/>
          <w:sz w:val="22"/>
          <w:szCs w:val="22"/>
          <w:lang w:val="en-AU"/>
        </w:rPr>
      </w:pPr>
      <w:r w:rsidRPr="00D7100C">
        <w:rPr>
          <w:rFonts w:asciiTheme="minorHAnsi" w:hAnsiTheme="minorHAnsi" w:cstheme="minorHAnsi"/>
          <w:i/>
          <w:iCs/>
          <w:sz w:val="22"/>
          <w:szCs w:val="22"/>
          <w:lang w:val="en-AU"/>
        </w:rPr>
        <w:t>Male peer relations that emphasize aggression and disrespect towards women</w:t>
      </w:r>
      <w:r w:rsidRPr="00D7100C">
        <w:rPr>
          <w:rFonts w:asciiTheme="minorHAnsi" w:hAnsiTheme="minorHAnsi" w:cstheme="minorHAnsi"/>
          <w:sz w:val="22"/>
          <w:szCs w:val="22"/>
          <w:lang w:val="en-AU"/>
        </w:rPr>
        <w:t>: social interactions among men who disrespect</w:t>
      </w:r>
      <w:r w:rsidR="008366C0">
        <w:rPr>
          <w:rFonts w:asciiTheme="minorHAnsi" w:hAnsiTheme="minorHAnsi" w:cstheme="minorHAnsi"/>
          <w:sz w:val="22"/>
          <w:szCs w:val="22"/>
          <w:lang w:val="en-AU"/>
        </w:rPr>
        <w:t xml:space="preserve">, </w:t>
      </w:r>
      <w:proofErr w:type="gramStart"/>
      <w:r w:rsidR="008366C0">
        <w:rPr>
          <w:rFonts w:asciiTheme="minorHAnsi" w:hAnsiTheme="minorHAnsi" w:cstheme="minorHAnsi"/>
          <w:sz w:val="22"/>
          <w:szCs w:val="22"/>
          <w:lang w:val="en-AU"/>
        </w:rPr>
        <w:t>belittle</w:t>
      </w:r>
      <w:proofErr w:type="gramEnd"/>
      <w:r w:rsidR="008366C0">
        <w:rPr>
          <w:rFonts w:asciiTheme="minorHAnsi" w:hAnsiTheme="minorHAnsi" w:cstheme="minorHAnsi"/>
          <w:sz w:val="22"/>
          <w:szCs w:val="22"/>
          <w:lang w:val="en-AU"/>
        </w:rPr>
        <w:t xml:space="preserve"> and dominate women tend to</w:t>
      </w:r>
      <w:r w:rsidRPr="00D7100C">
        <w:rPr>
          <w:rFonts w:asciiTheme="minorHAnsi" w:hAnsiTheme="minorHAnsi" w:cstheme="minorHAnsi"/>
          <w:sz w:val="22"/>
          <w:szCs w:val="22"/>
          <w:lang w:val="en-AU"/>
        </w:rPr>
        <w:t xml:space="preserve"> </w:t>
      </w:r>
      <w:r w:rsidR="008366C0">
        <w:rPr>
          <w:rFonts w:asciiTheme="minorHAnsi" w:hAnsiTheme="minorHAnsi" w:cstheme="minorHAnsi"/>
          <w:sz w:val="22"/>
          <w:szCs w:val="22"/>
          <w:lang w:val="en-AU"/>
        </w:rPr>
        <w:t>reinforce such patterns of thinking</w:t>
      </w:r>
      <w:r w:rsidRPr="00D7100C">
        <w:rPr>
          <w:rFonts w:asciiTheme="minorHAnsi" w:hAnsiTheme="minorHAnsi" w:cstheme="minorHAnsi"/>
          <w:sz w:val="22"/>
          <w:szCs w:val="22"/>
          <w:lang w:val="en-AU"/>
        </w:rPr>
        <w:t xml:space="preserve"> </w:t>
      </w:r>
      <w:r w:rsidR="008366C0">
        <w:rPr>
          <w:rFonts w:asciiTheme="minorHAnsi" w:hAnsiTheme="minorHAnsi" w:cstheme="minorHAnsi"/>
          <w:sz w:val="22"/>
          <w:szCs w:val="22"/>
          <w:lang w:val="en-AU"/>
        </w:rPr>
        <w:t>and accentuate violence</w:t>
      </w:r>
      <w:r w:rsidRPr="00D7100C">
        <w:rPr>
          <w:rFonts w:asciiTheme="minorHAnsi" w:hAnsiTheme="minorHAnsi" w:cstheme="minorHAnsi"/>
          <w:sz w:val="22"/>
          <w:szCs w:val="22"/>
          <w:lang w:val="en-AU"/>
        </w:rPr>
        <w:t>.</w:t>
      </w:r>
      <w:r w:rsidR="008366C0">
        <w:rPr>
          <w:rFonts w:asciiTheme="minorHAnsi" w:hAnsiTheme="minorHAnsi" w:cstheme="minorHAnsi"/>
          <w:sz w:val="22"/>
          <w:szCs w:val="22"/>
          <w:lang w:val="en-AU"/>
        </w:rPr>
        <w:t xml:space="preserve"> It is </w:t>
      </w:r>
      <w:r w:rsidR="00405976">
        <w:rPr>
          <w:rFonts w:asciiTheme="minorHAnsi" w:hAnsiTheme="minorHAnsi" w:cstheme="minorHAnsi"/>
          <w:sz w:val="22"/>
          <w:szCs w:val="22"/>
          <w:lang w:val="en-AU"/>
        </w:rPr>
        <w:t>proposed</w:t>
      </w:r>
      <w:r w:rsidR="008366C0">
        <w:rPr>
          <w:rFonts w:asciiTheme="minorHAnsi" w:hAnsiTheme="minorHAnsi" w:cstheme="minorHAnsi"/>
          <w:sz w:val="22"/>
          <w:szCs w:val="22"/>
          <w:lang w:val="en-AU"/>
        </w:rPr>
        <w:t xml:space="preserve"> that such beliefs be contested, with boys and men encouraged to adopt attitudes founded upon an </w:t>
      </w:r>
      <w:r w:rsidR="0019655D">
        <w:rPr>
          <w:rFonts w:asciiTheme="minorHAnsi" w:hAnsiTheme="minorHAnsi" w:cstheme="minorHAnsi"/>
          <w:sz w:val="22"/>
          <w:szCs w:val="22"/>
          <w:lang w:val="en-AU"/>
        </w:rPr>
        <w:t>understanding</w:t>
      </w:r>
      <w:r w:rsidR="008366C0">
        <w:rPr>
          <w:rFonts w:asciiTheme="minorHAnsi" w:hAnsiTheme="minorHAnsi" w:cstheme="minorHAnsi"/>
          <w:sz w:val="22"/>
          <w:szCs w:val="22"/>
          <w:lang w:val="en-AU"/>
        </w:rPr>
        <w:t xml:space="preserve"> of the equal status, rights and entitlements of women and men. </w:t>
      </w:r>
    </w:p>
    <w:p w14:paraId="40F0610C" w14:textId="0336F2DE" w:rsidR="0091465B" w:rsidRDefault="0091465B" w:rsidP="00D36120">
      <w:pPr>
        <w:spacing w:line="360" w:lineRule="auto"/>
        <w:jc w:val="both"/>
        <w:rPr>
          <w:rFonts w:asciiTheme="minorHAnsi" w:hAnsiTheme="minorHAnsi" w:cstheme="minorHAnsi"/>
          <w:sz w:val="22"/>
          <w:szCs w:val="22"/>
          <w:lang w:val="en-AU"/>
        </w:rPr>
      </w:pPr>
      <w:r w:rsidRPr="00D7100C">
        <w:rPr>
          <w:rFonts w:asciiTheme="minorHAnsi" w:hAnsiTheme="minorHAnsi" w:cstheme="minorHAnsi"/>
          <w:i/>
          <w:iCs/>
          <w:sz w:val="22"/>
          <w:szCs w:val="22"/>
          <w:lang w:val="en-AU"/>
        </w:rPr>
        <w:t>Excusing or justifying violence against women</w:t>
      </w:r>
      <w:r w:rsidRPr="00D7100C">
        <w:rPr>
          <w:rFonts w:asciiTheme="minorHAnsi" w:hAnsiTheme="minorHAnsi" w:cstheme="minorHAnsi"/>
          <w:sz w:val="22"/>
          <w:szCs w:val="22"/>
          <w:lang w:val="en-AU"/>
        </w:rPr>
        <w:t xml:space="preserve">: </w:t>
      </w:r>
      <w:r w:rsidR="008366C0">
        <w:rPr>
          <w:rFonts w:asciiTheme="minorHAnsi" w:hAnsiTheme="minorHAnsi" w:cstheme="minorHAnsi"/>
          <w:sz w:val="22"/>
          <w:szCs w:val="22"/>
          <w:lang w:val="en-AU"/>
        </w:rPr>
        <w:t xml:space="preserve">beliefs and ideas that support, </w:t>
      </w:r>
      <w:proofErr w:type="gramStart"/>
      <w:r w:rsidR="008366C0">
        <w:rPr>
          <w:rFonts w:asciiTheme="minorHAnsi" w:hAnsiTheme="minorHAnsi" w:cstheme="minorHAnsi"/>
          <w:sz w:val="22"/>
          <w:szCs w:val="22"/>
          <w:lang w:val="en-AU"/>
        </w:rPr>
        <w:t>excuse</w:t>
      </w:r>
      <w:proofErr w:type="gramEnd"/>
      <w:r w:rsidR="008366C0">
        <w:rPr>
          <w:rFonts w:asciiTheme="minorHAnsi" w:hAnsiTheme="minorHAnsi" w:cstheme="minorHAnsi"/>
          <w:sz w:val="22"/>
          <w:szCs w:val="22"/>
          <w:lang w:val="en-AU"/>
        </w:rPr>
        <w:t xml:space="preserve"> or </w:t>
      </w:r>
      <w:r w:rsidR="00405976">
        <w:rPr>
          <w:rFonts w:asciiTheme="minorHAnsi" w:hAnsiTheme="minorHAnsi" w:cstheme="minorHAnsi"/>
          <w:sz w:val="22"/>
          <w:szCs w:val="22"/>
          <w:lang w:val="en-AU"/>
        </w:rPr>
        <w:t>discount</w:t>
      </w:r>
      <w:r w:rsidR="008366C0">
        <w:rPr>
          <w:rFonts w:asciiTheme="minorHAnsi" w:hAnsiTheme="minorHAnsi" w:cstheme="minorHAnsi"/>
          <w:sz w:val="22"/>
          <w:szCs w:val="22"/>
          <w:lang w:val="en-AU"/>
        </w:rPr>
        <w:t xml:space="preserve"> </w:t>
      </w:r>
      <w:r w:rsidRPr="00D7100C">
        <w:rPr>
          <w:rFonts w:asciiTheme="minorHAnsi" w:hAnsiTheme="minorHAnsi" w:cstheme="minorHAnsi"/>
          <w:sz w:val="22"/>
          <w:szCs w:val="22"/>
          <w:lang w:val="en-AU"/>
        </w:rPr>
        <w:t>violence against women</w:t>
      </w:r>
      <w:r w:rsidR="008366C0">
        <w:rPr>
          <w:rFonts w:asciiTheme="minorHAnsi" w:hAnsiTheme="minorHAnsi" w:cstheme="minorHAnsi"/>
          <w:sz w:val="22"/>
          <w:szCs w:val="22"/>
          <w:lang w:val="en-AU"/>
        </w:rPr>
        <w:t xml:space="preserve">. The report recommends strenuous efforts to </w:t>
      </w:r>
      <w:r w:rsidR="00405976">
        <w:rPr>
          <w:rFonts w:asciiTheme="minorHAnsi" w:hAnsiTheme="minorHAnsi" w:cstheme="minorHAnsi"/>
          <w:sz w:val="22"/>
          <w:szCs w:val="22"/>
          <w:lang w:val="en-AU"/>
        </w:rPr>
        <w:t>resist</w:t>
      </w:r>
      <w:r w:rsidR="008366C0">
        <w:rPr>
          <w:rFonts w:asciiTheme="minorHAnsi" w:hAnsiTheme="minorHAnsi" w:cstheme="minorHAnsi"/>
          <w:sz w:val="22"/>
          <w:szCs w:val="22"/>
          <w:lang w:val="en-AU"/>
        </w:rPr>
        <w:t xml:space="preserve"> and </w:t>
      </w:r>
      <w:r w:rsidR="00405976">
        <w:rPr>
          <w:rFonts w:asciiTheme="minorHAnsi" w:hAnsiTheme="minorHAnsi" w:cstheme="minorHAnsi"/>
          <w:sz w:val="22"/>
          <w:szCs w:val="22"/>
          <w:lang w:val="en-AU"/>
        </w:rPr>
        <w:t>refute</w:t>
      </w:r>
      <w:r w:rsidR="008366C0">
        <w:rPr>
          <w:rFonts w:asciiTheme="minorHAnsi" w:hAnsiTheme="minorHAnsi" w:cstheme="minorHAnsi"/>
          <w:sz w:val="22"/>
          <w:szCs w:val="22"/>
          <w:lang w:val="en-AU"/>
        </w:rPr>
        <w:t xml:space="preserve"> such notions</w:t>
      </w:r>
      <w:r w:rsidRPr="00D7100C">
        <w:rPr>
          <w:rFonts w:asciiTheme="minorHAnsi" w:hAnsiTheme="minorHAnsi" w:cstheme="minorHAnsi"/>
          <w:sz w:val="22"/>
          <w:szCs w:val="22"/>
          <w:lang w:val="en-AU"/>
        </w:rPr>
        <w:t xml:space="preserve"> </w:t>
      </w:r>
      <w:r w:rsidR="00214FE1">
        <w:rPr>
          <w:rFonts w:asciiTheme="minorHAnsi" w:hAnsiTheme="minorHAnsi" w:cstheme="minorHAnsi"/>
          <w:sz w:val="22"/>
          <w:szCs w:val="22"/>
          <w:lang w:val="en-AU"/>
        </w:rPr>
        <w:t>(Our Watch, 2015)</w:t>
      </w:r>
    </w:p>
    <w:p w14:paraId="206E1E40" w14:textId="77777777" w:rsidR="00DF5E4C" w:rsidRPr="00C666B3" w:rsidRDefault="00DF5E4C" w:rsidP="00DF5E4C">
      <w:pPr>
        <w:tabs>
          <w:tab w:val="left" w:pos="360"/>
        </w:tabs>
        <w:spacing w:beforeLines="60" w:before="144" w:line="360" w:lineRule="auto"/>
        <w:jc w:val="both"/>
        <w:rPr>
          <w:rFonts w:asciiTheme="minorHAnsi" w:hAnsiTheme="minorHAnsi" w:cstheme="minorHAnsi"/>
          <w:b/>
          <w:bCs/>
          <w:sz w:val="22"/>
          <w:szCs w:val="22"/>
          <w:lang w:val="en-AU"/>
        </w:rPr>
      </w:pPr>
      <w:r w:rsidRPr="00C666B3">
        <w:rPr>
          <w:rFonts w:asciiTheme="minorHAnsi" w:hAnsiTheme="minorHAnsi" w:cstheme="minorHAnsi"/>
          <w:b/>
          <w:bCs/>
          <w:sz w:val="22"/>
          <w:szCs w:val="22"/>
          <w:lang w:val="en-AU"/>
        </w:rPr>
        <w:t>Sexual coercion</w:t>
      </w:r>
    </w:p>
    <w:p w14:paraId="3B8B38F8" w14:textId="007FCE36" w:rsidR="00DF5E4C" w:rsidRPr="00C666B3" w:rsidRDefault="00DF5E4C" w:rsidP="00DF5E4C">
      <w:pPr>
        <w:spacing w:line="336" w:lineRule="auto"/>
        <w:jc w:val="both"/>
        <w:rPr>
          <w:rFonts w:asciiTheme="minorHAnsi" w:hAnsiTheme="minorHAnsi" w:cstheme="minorHAnsi"/>
          <w:sz w:val="22"/>
          <w:szCs w:val="22"/>
          <w:lang w:val="en-AU"/>
        </w:rPr>
      </w:pPr>
      <w:r>
        <w:rPr>
          <w:rFonts w:asciiTheme="minorHAnsi" w:hAnsiTheme="minorHAnsi" w:cstheme="minorHAnsi"/>
          <w:sz w:val="22"/>
          <w:szCs w:val="22"/>
          <w:lang w:val="en-AU"/>
        </w:rPr>
        <w:t xml:space="preserve">A related topic is </w:t>
      </w:r>
      <w:r w:rsidRPr="00C666B3">
        <w:rPr>
          <w:rFonts w:asciiTheme="minorHAnsi" w:hAnsiTheme="minorHAnsi" w:cstheme="minorHAnsi"/>
          <w:sz w:val="22"/>
          <w:szCs w:val="22"/>
          <w:lang w:val="en-AU"/>
        </w:rPr>
        <w:t xml:space="preserve">being compelled or intimidated into participating in sexual activity, </w:t>
      </w:r>
      <w:r>
        <w:rPr>
          <w:rFonts w:asciiTheme="minorHAnsi" w:hAnsiTheme="minorHAnsi" w:cstheme="minorHAnsi"/>
          <w:sz w:val="22"/>
          <w:szCs w:val="22"/>
          <w:lang w:val="en-AU"/>
        </w:rPr>
        <w:t xml:space="preserve">often termed ‘sexual coercion’. </w:t>
      </w:r>
      <w:proofErr w:type="spellStart"/>
      <w:r w:rsidR="00214FE1">
        <w:rPr>
          <w:rFonts w:asciiTheme="minorHAnsi" w:hAnsiTheme="minorHAnsi" w:cstheme="minorHAnsi"/>
          <w:sz w:val="22"/>
          <w:szCs w:val="22"/>
          <w:lang w:val="en-AU"/>
        </w:rPr>
        <w:t>DeVisser</w:t>
      </w:r>
      <w:proofErr w:type="spellEnd"/>
      <w:r w:rsidR="00214FE1">
        <w:rPr>
          <w:rFonts w:asciiTheme="minorHAnsi" w:hAnsiTheme="minorHAnsi" w:cstheme="minorHAnsi"/>
          <w:sz w:val="22"/>
          <w:szCs w:val="22"/>
          <w:lang w:val="en-AU"/>
        </w:rPr>
        <w:t xml:space="preserve"> et al (2003)</w:t>
      </w:r>
      <w:r w:rsidR="00214FE1">
        <w:rPr>
          <w:rStyle w:val="FootnoteReference"/>
          <w:rFonts w:asciiTheme="minorHAnsi" w:hAnsiTheme="minorHAnsi" w:cstheme="minorHAnsi"/>
          <w:sz w:val="22"/>
          <w:szCs w:val="22"/>
          <w:lang w:val="en-AU"/>
        </w:rPr>
        <w:footnoteReference w:id="1"/>
      </w:r>
      <w:r w:rsidRPr="00C666B3">
        <w:rPr>
          <w:rFonts w:asciiTheme="minorHAnsi" w:hAnsiTheme="minorHAnsi" w:cstheme="minorHAnsi"/>
          <w:sz w:val="22"/>
          <w:szCs w:val="22"/>
          <w:lang w:val="en-AU"/>
        </w:rPr>
        <w:t xml:space="preserve"> report on the findings of interviews with a representative sample of </w:t>
      </w:r>
      <w:r w:rsidR="00875CFD">
        <w:rPr>
          <w:rFonts w:asciiTheme="minorHAnsi" w:hAnsiTheme="minorHAnsi" w:cstheme="minorHAnsi"/>
          <w:sz w:val="22"/>
          <w:szCs w:val="22"/>
          <w:lang w:val="en-AU"/>
        </w:rPr>
        <w:t>over 20,000</w:t>
      </w:r>
      <w:r w:rsidRPr="00C666B3">
        <w:rPr>
          <w:rFonts w:asciiTheme="minorHAnsi" w:hAnsiTheme="minorHAnsi" w:cstheme="minorHAnsi"/>
          <w:sz w:val="22"/>
          <w:szCs w:val="22"/>
          <w:lang w:val="en-AU"/>
        </w:rPr>
        <w:t xml:space="preserve"> </w:t>
      </w:r>
      <w:r w:rsidR="00875CFD">
        <w:rPr>
          <w:rFonts w:asciiTheme="minorHAnsi" w:hAnsiTheme="minorHAnsi" w:cstheme="minorHAnsi"/>
          <w:sz w:val="22"/>
          <w:szCs w:val="22"/>
          <w:lang w:val="en-AU"/>
        </w:rPr>
        <w:t>Australians</w:t>
      </w:r>
      <w:r w:rsidRPr="00C666B3">
        <w:rPr>
          <w:rFonts w:asciiTheme="minorHAnsi" w:hAnsiTheme="minorHAnsi" w:cstheme="minorHAnsi"/>
          <w:sz w:val="22"/>
          <w:szCs w:val="22"/>
          <w:lang w:val="en-AU"/>
        </w:rPr>
        <w:t xml:space="preserve"> aged 16–59 years, in which </w:t>
      </w:r>
      <w:r w:rsidR="00875CFD">
        <w:rPr>
          <w:rFonts w:asciiTheme="minorHAnsi" w:hAnsiTheme="minorHAnsi" w:cstheme="minorHAnsi"/>
          <w:sz w:val="22"/>
          <w:szCs w:val="22"/>
          <w:lang w:val="en-AU"/>
        </w:rPr>
        <w:t xml:space="preserve">the experience of </w:t>
      </w:r>
      <w:r w:rsidRPr="00C666B3">
        <w:rPr>
          <w:rFonts w:asciiTheme="minorHAnsi" w:hAnsiTheme="minorHAnsi" w:cstheme="minorHAnsi"/>
          <w:sz w:val="22"/>
          <w:szCs w:val="22"/>
          <w:lang w:val="en-AU"/>
        </w:rPr>
        <w:t xml:space="preserve">sexual coercion </w:t>
      </w:r>
      <w:r w:rsidR="00875CFD" w:rsidRPr="00C666B3">
        <w:rPr>
          <w:rFonts w:asciiTheme="minorHAnsi" w:hAnsiTheme="minorHAnsi" w:cstheme="minorHAnsi"/>
          <w:sz w:val="22"/>
          <w:szCs w:val="22"/>
          <w:lang w:val="en-AU"/>
        </w:rPr>
        <w:t xml:space="preserve">at some time their lifetimes </w:t>
      </w:r>
      <w:r w:rsidRPr="00C666B3">
        <w:rPr>
          <w:rFonts w:asciiTheme="minorHAnsi" w:hAnsiTheme="minorHAnsi" w:cstheme="minorHAnsi"/>
          <w:sz w:val="22"/>
          <w:szCs w:val="22"/>
          <w:lang w:val="en-AU"/>
        </w:rPr>
        <w:t>was reported by 4.8% of men and 2</w:t>
      </w:r>
      <w:r w:rsidR="004C18B3">
        <w:rPr>
          <w:rFonts w:asciiTheme="minorHAnsi" w:hAnsiTheme="minorHAnsi" w:cstheme="minorHAnsi"/>
          <w:sz w:val="22"/>
          <w:szCs w:val="22"/>
          <w:lang w:val="en-AU"/>
        </w:rPr>
        <w:t>2.4</w:t>
      </w:r>
      <w:r w:rsidRPr="00C666B3">
        <w:rPr>
          <w:rFonts w:asciiTheme="minorHAnsi" w:hAnsiTheme="minorHAnsi" w:cstheme="minorHAnsi"/>
          <w:sz w:val="22"/>
          <w:szCs w:val="22"/>
          <w:lang w:val="en-AU"/>
        </w:rPr>
        <w:t>% of women, and by 3% of men and 10% of women at or before the age of 16 years. Consequences of such experienced included psychosocial distress, high levels of anxiety about sex, with few discussing these experiences with a professional.</w:t>
      </w:r>
      <w:r w:rsidR="00875CFD">
        <w:rPr>
          <w:rFonts w:asciiTheme="minorHAnsi" w:hAnsiTheme="minorHAnsi" w:cstheme="minorHAnsi"/>
          <w:sz w:val="22"/>
          <w:szCs w:val="22"/>
          <w:lang w:val="en-AU"/>
        </w:rPr>
        <w:t xml:space="preserve"> These findings are </w:t>
      </w:r>
      <w:proofErr w:type="gramStart"/>
      <w:r w:rsidR="00875CFD">
        <w:rPr>
          <w:rFonts w:asciiTheme="minorHAnsi" w:hAnsiTheme="minorHAnsi" w:cstheme="minorHAnsi"/>
          <w:sz w:val="22"/>
          <w:szCs w:val="22"/>
          <w:lang w:val="en-AU"/>
        </w:rPr>
        <w:t>similar to</w:t>
      </w:r>
      <w:proofErr w:type="gramEnd"/>
      <w:r w:rsidR="00875CFD">
        <w:rPr>
          <w:rFonts w:asciiTheme="minorHAnsi" w:hAnsiTheme="minorHAnsi" w:cstheme="minorHAnsi"/>
          <w:sz w:val="22"/>
          <w:szCs w:val="22"/>
          <w:lang w:val="en-AU"/>
        </w:rPr>
        <w:t xml:space="preserve"> those reported in </w:t>
      </w:r>
      <w:r w:rsidR="00A6344C">
        <w:rPr>
          <w:rFonts w:asciiTheme="minorHAnsi" w:hAnsiTheme="minorHAnsi" w:cstheme="minorHAnsi"/>
          <w:sz w:val="22"/>
          <w:szCs w:val="22"/>
          <w:lang w:val="en-AU"/>
        </w:rPr>
        <w:t>a 2003</w:t>
      </w:r>
      <w:r w:rsidR="00875CFD">
        <w:rPr>
          <w:rFonts w:asciiTheme="minorHAnsi" w:hAnsiTheme="minorHAnsi" w:cstheme="minorHAnsi"/>
          <w:sz w:val="22"/>
          <w:szCs w:val="22"/>
          <w:lang w:val="en-AU"/>
        </w:rPr>
        <w:t xml:space="preserve"> </w:t>
      </w:r>
      <w:r w:rsidR="00A6344C">
        <w:rPr>
          <w:rFonts w:asciiTheme="minorHAnsi" w:hAnsiTheme="minorHAnsi" w:cstheme="minorHAnsi"/>
          <w:sz w:val="22"/>
          <w:szCs w:val="22"/>
          <w:lang w:val="en-AU"/>
        </w:rPr>
        <w:t>inquiry</w:t>
      </w:r>
      <w:r w:rsidR="00875CFD">
        <w:rPr>
          <w:rFonts w:asciiTheme="minorHAnsi" w:hAnsiTheme="minorHAnsi" w:cstheme="minorHAnsi"/>
          <w:sz w:val="22"/>
          <w:szCs w:val="22"/>
          <w:lang w:val="en-AU"/>
        </w:rPr>
        <w:t xml:space="preserve"> by the authors </w:t>
      </w:r>
      <w:r w:rsidR="00214FE1">
        <w:rPr>
          <w:rFonts w:asciiTheme="minorHAnsi" w:hAnsiTheme="minorHAnsi" w:cstheme="minorHAnsi"/>
          <w:sz w:val="22"/>
          <w:szCs w:val="22"/>
          <w:lang w:val="en-AU"/>
        </w:rPr>
        <w:t>(</w:t>
      </w:r>
      <w:proofErr w:type="spellStart"/>
      <w:r w:rsidR="00214FE1">
        <w:rPr>
          <w:rFonts w:asciiTheme="minorHAnsi" w:hAnsiTheme="minorHAnsi" w:cstheme="minorHAnsi"/>
          <w:sz w:val="22"/>
          <w:szCs w:val="22"/>
          <w:lang w:val="en-AU"/>
        </w:rPr>
        <w:t>DeVisser</w:t>
      </w:r>
      <w:proofErr w:type="spellEnd"/>
      <w:r w:rsidR="00214FE1">
        <w:rPr>
          <w:rFonts w:asciiTheme="minorHAnsi" w:hAnsiTheme="minorHAnsi" w:cstheme="minorHAnsi"/>
          <w:sz w:val="22"/>
          <w:szCs w:val="22"/>
          <w:lang w:val="en-AU"/>
        </w:rPr>
        <w:t xml:space="preserve"> et al, 2014)</w:t>
      </w:r>
      <w:r w:rsidR="00214FE1">
        <w:rPr>
          <w:rStyle w:val="FootnoteReference"/>
          <w:rFonts w:asciiTheme="minorHAnsi" w:hAnsiTheme="minorHAnsi" w:cstheme="minorHAnsi"/>
          <w:sz w:val="22"/>
          <w:szCs w:val="22"/>
          <w:lang w:val="en-AU"/>
        </w:rPr>
        <w:footnoteReference w:id="2"/>
      </w:r>
      <w:r w:rsidR="00875CFD">
        <w:rPr>
          <w:rFonts w:asciiTheme="minorHAnsi" w:hAnsiTheme="minorHAnsi" w:cstheme="minorHAnsi"/>
          <w:sz w:val="22"/>
          <w:szCs w:val="22"/>
          <w:lang w:val="en-AU"/>
        </w:rPr>
        <w:t>.</w:t>
      </w:r>
    </w:p>
    <w:p w14:paraId="08FCC1F8" w14:textId="77777777" w:rsidR="0091465B" w:rsidRPr="00D7100C" w:rsidRDefault="0091465B" w:rsidP="00DF5E4C">
      <w:pPr>
        <w:spacing w:beforeLines="60" w:before="144" w:line="360" w:lineRule="auto"/>
        <w:jc w:val="both"/>
        <w:rPr>
          <w:rFonts w:asciiTheme="minorHAnsi" w:hAnsiTheme="minorHAnsi" w:cstheme="minorHAnsi"/>
          <w:b/>
          <w:bCs/>
          <w:sz w:val="22"/>
          <w:szCs w:val="22"/>
          <w:lang w:val="en-AU"/>
        </w:rPr>
      </w:pPr>
      <w:r w:rsidRPr="00D7100C">
        <w:rPr>
          <w:rFonts w:asciiTheme="minorHAnsi" w:hAnsiTheme="minorHAnsi" w:cstheme="minorHAnsi"/>
          <w:b/>
          <w:bCs/>
          <w:sz w:val="22"/>
          <w:szCs w:val="22"/>
          <w:lang w:val="en-AU"/>
        </w:rPr>
        <w:t>Reinforcing factors in family violence</w:t>
      </w:r>
    </w:p>
    <w:p w14:paraId="63A9F912" w14:textId="7E368776" w:rsidR="0091465B" w:rsidRPr="00D7100C" w:rsidRDefault="00405976" w:rsidP="00D7100C">
      <w:pPr>
        <w:spacing w:line="360" w:lineRule="auto"/>
        <w:jc w:val="both"/>
        <w:rPr>
          <w:rFonts w:asciiTheme="minorHAnsi" w:hAnsiTheme="minorHAnsi" w:cstheme="minorHAnsi"/>
          <w:sz w:val="22"/>
          <w:szCs w:val="22"/>
          <w:lang w:val="en-AU"/>
        </w:rPr>
      </w:pPr>
      <w:r>
        <w:rPr>
          <w:rFonts w:asciiTheme="minorHAnsi" w:hAnsiTheme="minorHAnsi" w:cstheme="minorHAnsi"/>
          <w:sz w:val="22"/>
          <w:szCs w:val="22"/>
          <w:lang w:val="en-AU"/>
        </w:rPr>
        <w:t>Our Watch</w:t>
      </w:r>
      <w:r w:rsidR="00214FE1">
        <w:rPr>
          <w:rFonts w:asciiTheme="minorHAnsi" w:hAnsiTheme="minorHAnsi" w:cstheme="minorHAnsi"/>
          <w:sz w:val="22"/>
          <w:szCs w:val="22"/>
          <w:lang w:val="en-AU"/>
        </w:rPr>
        <w:t xml:space="preserve"> (2015)</w:t>
      </w:r>
      <w:r w:rsidR="00214FE1">
        <w:rPr>
          <w:rStyle w:val="FootnoteReference"/>
          <w:rFonts w:asciiTheme="minorHAnsi" w:hAnsiTheme="minorHAnsi" w:cstheme="minorHAnsi"/>
          <w:sz w:val="22"/>
          <w:szCs w:val="22"/>
          <w:lang w:val="en-AU"/>
        </w:rPr>
        <w:footnoteReference w:id="3"/>
      </w:r>
      <w:r>
        <w:rPr>
          <w:rFonts w:asciiTheme="minorHAnsi" w:hAnsiTheme="minorHAnsi" w:cstheme="minorHAnsi"/>
          <w:sz w:val="22"/>
          <w:szCs w:val="22"/>
          <w:lang w:val="en-AU"/>
        </w:rPr>
        <w:t xml:space="preserve"> </w:t>
      </w:r>
      <w:r w:rsidR="0091465B" w:rsidRPr="00D7100C">
        <w:rPr>
          <w:rFonts w:asciiTheme="minorHAnsi" w:hAnsiTheme="minorHAnsi" w:cstheme="minorHAnsi"/>
          <w:sz w:val="22"/>
          <w:szCs w:val="22"/>
          <w:lang w:val="en-AU"/>
        </w:rPr>
        <w:t xml:space="preserve">maintains that other social and political </w:t>
      </w:r>
      <w:r w:rsidR="00891AF7">
        <w:rPr>
          <w:rFonts w:asciiTheme="minorHAnsi" w:hAnsiTheme="minorHAnsi" w:cstheme="minorHAnsi"/>
          <w:sz w:val="22"/>
          <w:szCs w:val="22"/>
          <w:lang w:val="en-AU"/>
        </w:rPr>
        <w:t xml:space="preserve">circumstances </w:t>
      </w:r>
      <w:r w:rsidR="0091465B" w:rsidRPr="00D7100C">
        <w:rPr>
          <w:rFonts w:asciiTheme="minorHAnsi" w:hAnsiTheme="minorHAnsi" w:cstheme="minorHAnsi"/>
          <w:sz w:val="22"/>
          <w:szCs w:val="22"/>
          <w:lang w:val="en-AU"/>
        </w:rPr>
        <w:t xml:space="preserve">influence gender inequality and the frequency, </w:t>
      </w:r>
      <w:proofErr w:type="gramStart"/>
      <w:r w:rsidR="0091465B" w:rsidRPr="00D7100C">
        <w:rPr>
          <w:rFonts w:asciiTheme="minorHAnsi" w:hAnsiTheme="minorHAnsi" w:cstheme="minorHAnsi"/>
          <w:sz w:val="22"/>
          <w:szCs w:val="22"/>
          <w:lang w:val="en-AU"/>
        </w:rPr>
        <w:t>severity</w:t>
      </w:r>
      <w:proofErr w:type="gramEnd"/>
      <w:r w:rsidR="0091465B" w:rsidRPr="00D7100C">
        <w:rPr>
          <w:rFonts w:asciiTheme="minorHAnsi" w:hAnsiTheme="minorHAnsi" w:cstheme="minorHAnsi"/>
          <w:sz w:val="22"/>
          <w:szCs w:val="22"/>
          <w:lang w:val="en-AU"/>
        </w:rPr>
        <w:t xml:space="preserve"> and prevalence of violence against women. Termed ‘reinforcing factors’</w:t>
      </w:r>
      <w:r w:rsidR="0019655D">
        <w:rPr>
          <w:rFonts w:asciiTheme="minorHAnsi" w:hAnsiTheme="minorHAnsi" w:cstheme="minorHAnsi"/>
          <w:sz w:val="22"/>
          <w:szCs w:val="22"/>
          <w:lang w:val="en-AU"/>
        </w:rPr>
        <w:t xml:space="preserve"> by its authors</w:t>
      </w:r>
      <w:r w:rsidR="0091465B" w:rsidRPr="00D7100C">
        <w:rPr>
          <w:rFonts w:asciiTheme="minorHAnsi" w:hAnsiTheme="minorHAnsi" w:cstheme="minorHAnsi"/>
          <w:sz w:val="22"/>
          <w:szCs w:val="22"/>
          <w:lang w:val="en-AU"/>
        </w:rPr>
        <w:t xml:space="preserve">, these include a tendency to commit or excuse violence; aggravation of violence by alcohol and other drugs; and the impact of socioeconomic disadvantage. To negate those conditions which reinforce violence against women, </w:t>
      </w:r>
      <w:proofErr w:type="gramStart"/>
      <w:r w:rsidR="0091465B" w:rsidRPr="00D7100C">
        <w:rPr>
          <w:rFonts w:asciiTheme="minorHAnsi" w:hAnsiTheme="minorHAnsi" w:cstheme="minorHAnsi"/>
          <w:sz w:val="22"/>
          <w:szCs w:val="22"/>
          <w:lang w:val="en-AU"/>
        </w:rPr>
        <w:t>a number of</w:t>
      </w:r>
      <w:proofErr w:type="gramEnd"/>
      <w:r w:rsidR="0091465B" w:rsidRPr="00D7100C">
        <w:rPr>
          <w:rFonts w:asciiTheme="minorHAnsi" w:hAnsiTheme="minorHAnsi" w:cstheme="minorHAnsi"/>
          <w:sz w:val="22"/>
          <w:szCs w:val="22"/>
          <w:lang w:val="en-AU"/>
        </w:rPr>
        <w:t xml:space="preserve"> broad approaches are recommended; among them:</w:t>
      </w:r>
    </w:p>
    <w:p w14:paraId="0AC5074D" w14:textId="3126B1EB" w:rsidR="0091465B" w:rsidRPr="00D7100C" w:rsidRDefault="008366C0" w:rsidP="00D7100C">
      <w:pPr>
        <w:pStyle w:val="ListParagraph"/>
        <w:numPr>
          <w:ilvl w:val="0"/>
          <w:numId w:val="5"/>
        </w:numPr>
        <w:spacing w:line="360" w:lineRule="auto"/>
        <w:ind w:left="426"/>
        <w:jc w:val="both"/>
        <w:rPr>
          <w:rFonts w:asciiTheme="minorHAnsi" w:hAnsiTheme="minorHAnsi" w:cstheme="minorHAnsi"/>
          <w:sz w:val="22"/>
          <w:szCs w:val="22"/>
          <w:lang w:val="en-AU"/>
        </w:rPr>
      </w:pPr>
      <w:r>
        <w:rPr>
          <w:rFonts w:asciiTheme="minorHAnsi" w:hAnsiTheme="minorHAnsi" w:cstheme="minorHAnsi"/>
          <w:sz w:val="22"/>
          <w:szCs w:val="22"/>
          <w:lang w:val="en-AU"/>
        </w:rPr>
        <w:t>Refuting</w:t>
      </w:r>
      <w:r w:rsidR="0091465B" w:rsidRPr="00D7100C">
        <w:rPr>
          <w:rFonts w:asciiTheme="minorHAnsi" w:hAnsiTheme="minorHAnsi" w:cstheme="minorHAnsi"/>
          <w:sz w:val="22"/>
          <w:szCs w:val="22"/>
          <w:lang w:val="en-AU"/>
        </w:rPr>
        <w:t xml:space="preserve"> the </w:t>
      </w:r>
      <w:r>
        <w:rPr>
          <w:rFonts w:asciiTheme="minorHAnsi" w:hAnsiTheme="minorHAnsi" w:cstheme="minorHAnsi"/>
          <w:sz w:val="22"/>
          <w:szCs w:val="22"/>
          <w:lang w:val="en-AU"/>
        </w:rPr>
        <w:t>notion</w:t>
      </w:r>
      <w:r w:rsidR="0091465B" w:rsidRPr="00D7100C">
        <w:rPr>
          <w:rFonts w:asciiTheme="minorHAnsi" w:hAnsiTheme="minorHAnsi" w:cstheme="minorHAnsi"/>
          <w:sz w:val="22"/>
          <w:szCs w:val="22"/>
          <w:lang w:val="en-AU"/>
        </w:rPr>
        <w:t xml:space="preserve"> that men are </w:t>
      </w:r>
      <w:r>
        <w:rPr>
          <w:rFonts w:asciiTheme="minorHAnsi" w:hAnsiTheme="minorHAnsi" w:cstheme="minorHAnsi"/>
          <w:sz w:val="22"/>
          <w:szCs w:val="22"/>
          <w:lang w:val="en-AU"/>
        </w:rPr>
        <w:t xml:space="preserve">inherently aggressive, while cultivating heathy, respectful relationships and </w:t>
      </w:r>
      <w:r w:rsidR="0019655D">
        <w:rPr>
          <w:rFonts w:asciiTheme="minorHAnsi" w:hAnsiTheme="minorHAnsi" w:cstheme="minorHAnsi"/>
          <w:sz w:val="22"/>
          <w:szCs w:val="22"/>
          <w:lang w:val="en-AU"/>
        </w:rPr>
        <w:t>support for respect and equality</w:t>
      </w:r>
      <w:r>
        <w:rPr>
          <w:rFonts w:asciiTheme="minorHAnsi" w:hAnsiTheme="minorHAnsi" w:cstheme="minorHAnsi"/>
          <w:sz w:val="22"/>
          <w:szCs w:val="22"/>
          <w:lang w:val="en-AU"/>
        </w:rPr>
        <w:t xml:space="preserve"> among women and men.</w:t>
      </w:r>
    </w:p>
    <w:p w14:paraId="43B5CDB2" w14:textId="7D3E0F92" w:rsidR="0091465B" w:rsidRPr="00D7100C" w:rsidRDefault="008366C0" w:rsidP="00D7100C">
      <w:pPr>
        <w:pStyle w:val="ListParagraph"/>
        <w:numPr>
          <w:ilvl w:val="0"/>
          <w:numId w:val="5"/>
        </w:numPr>
        <w:spacing w:line="360" w:lineRule="auto"/>
        <w:ind w:left="426"/>
        <w:jc w:val="both"/>
        <w:rPr>
          <w:rFonts w:asciiTheme="minorHAnsi" w:hAnsiTheme="minorHAnsi" w:cstheme="minorHAnsi"/>
          <w:sz w:val="22"/>
          <w:szCs w:val="22"/>
          <w:lang w:val="en-AU"/>
        </w:rPr>
      </w:pPr>
      <w:r>
        <w:rPr>
          <w:rFonts w:asciiTheme="minorHAnsi" w:hAnsiTheme="minorHAnsi" w:cstheme="minorHAnsi"/>
          <w:sz w:val="22"/>
          <w:szCs w:val="22"/>
          <w:lang w:val="en-AU"/>
        </w:rPr>
        <w:t xml:space="preserve">Encouraging parents not to inflict violence upon their children, coupled with the prevention of </w:t>
      </w:r>
      <w:r w:rsidR="0091465B" w:rsidRPr="00D7100C">
        <w:rPr>
          <w:rFonts w:asciiTheme="minorHAnsi" w:hAnsiTheme="minorHAnsi" w:cstheme="minorHAnsi"/>
          <w:sz w:val="22"/>
          <w:szCs w:val="22"/>
          <w:lang w:val="en-AU"/>
        </w:rPr>
        <w:t>child abuse.</w:t>
      </w:r>
    </w:p>
    <w:p w14:paraId="30A0EC66" w14:textId="1F068D4E" w:rsidR="0091465B" w:rsidRPr="00D7100C" w:rsidRDefault="008366C0" w:rsidP="00D7100C">
      <w:pPr>
        <w:pStyle w:val="ListParagraph"/>
        <w:numPr>
          <w:ilvl w:val="0"/>
          <w:numId w:val="5"/>
        </w:numPr>
        <w:spacing w:line="360" w:lineRule="auto"/>
        <w:ind w:left="426"/>
        <w:jc w:val="both"/>
        <w:rPr>
          <w:rFonts w:asciiTheme="minorHAnsi" w:hAnsiTheme="minorHAnsi" w:cstheme="minorHAnsi"/>
          <w:sz w:val="22"/>
          <w:szCs w:val="22"/>
          <w:lang w:val="en-AU"/>
        </w:rPr>
      </w:pPr>
      <w:r>
        <w:rPr>
          <w:rFonts w:asciiTheme="minorHAnsi" w:hAnsiTheme="minorHAnsi" w:cstheme="minorHAnsi"/>
          <w:sz w:val="22"/>
          <w:szCs w:val="22"/>
          <w:lang w:val="en-AU"/>
        </w:rPr>
        <w:t>Contesting</w:t>
      </w:r>
      <w:r w:rsidR="0091465B" w:rsidRPr="00D7100C">
        <w:rPr>
          <w:rFonts w:asciiTheme="minorHAnsi" w:hAnsiTheme="minorHAnsi" w:cstheme="minorHAnsi"/>
          <w:sz w:val="22"/>
          <w:szCs w:val="22"/>
          <w:lang w:val="en-AU"/>
        </w:rPr>
        <w:t xml:space="preserve"> excuses </w:t>
      </w:r>
      <w:r>
        <w:rPr>
          <w:rFonts w:asciiTheme="minorHAnsi" w:hAnsiTheme="minorHAnsi" w:cstheme="minorHAnsi"/>
          <w:sz w:val="22"/>
          <w:szCs w:val="22"/>
          <w:lang w:val="en-AU"/>
        </w:rPr>
        <w:t>offered</w:t>
      </w:r>
      <w:r w:rsidR="0091465B" w:rsidRPr="00D7100C">
        <w:rPr>
          <w:rFonts w:asciiTheme="minorHAnsi" w:hAnsiTheme="minorHAnsi" w:cstheme="minorHAnsi"/>
          <w:sz w:val="22"/>
          <w:szCs w:val="22"/>
          <w:lang w:val="en-AU"/>
        </w:rPr>
        <w:t xml:space="preserve"> </w:t>
      </w:r>
      <w:r>
        <w:rPr>
          <w:rFonts w:asciiTheme="minorHAnsi" w:hAnsiTheme="minorHAnsi" w:cstheme="minorHAnsi"/>
          <w:sz w:val="22"/>
          <w:szCs w:val="22"/>
          <w:lang w:val="en-AU"/>
        </w:rPr>
        <w:t>for</w:t>
      </w:r>
      <w:r w:rsidR="0091465B" w:rsidRPr="00D7100C">
        <w:rPr>
          <w:rFonts w:asciiTheme="minorHAnsi" w:hAnsiTheme="minorHAnsi" w:cstheme="minorHAnsi"/>
          <w:sz w:val="22"/>
          <w:szCs w:val="22"/>
          <w:lang w:val="en-AU"/>
        </w:rPr>
        <w:t xml:space="preserve"> violence</w:t>
      </w:r>
      <w:r>
        <w:rPr>
          <w:rFonts w:asciiTheme="minorHAnsi" w:hAnsiTheme="minorHAnsi" w:cstheme="minorHAnsi"/>
          <w:sz w:val="22"/>
          <w:szCs w:val="22"/>
          <w:lang w:val="en-AU"/>
        </w:rPr>
        <w:t xml:space="preserve"> given by some men</w:t>
      </w:r>
      <w:r w:rsidR="0091465B" w:rsidRPr="00D7100C">
        <w:rPr>
          <w:rFonts w:asciiTheme="minorHAnsi" w:hAnsiTheme="minorHAnsi" w:cstheme="minorHAnsi"/>
          <w:sz w:val="22"/>
          <w:szCs w:val="22"/>
          <w:lang w:val="en-AU"/>
        </w:rPr>
        <w:t>.</w:t>
      </w:r>
    </w:p>
    <w:p w14:paraId="2899CA84" w14:textId="0A3C85CD" w:rsidR="0091465B" w:rsidRPr="00D7100C" w:rsidRDefault="008366C0" w:rsidP="00D7100C">
      <w:pPr>
        <w:pStyle w:val="ListParagraph"/>
        <w:numPr>
          <w:ilvl w:val="0"/>
          <w:numId w:val="5"/>
        </w:numPr>
        <w:spacing w:line="360" w:lineRule="auto"/>
        <w:ind w:left="426"/>
        <w:jc w:val="both"/>
        <w:rPr>
          <w:rFonts w:asciiTheme="minorHAnsi" w:hAnsiTheme="minorHAnsi" w:cstheme="minorHAnsi"/>
          <w:sz w:val="22"/>
          <w:szCs w:val="22"/>
          <w:lang w:val="en-AU"/>
        </w:rPr>
      </w:pPr>
      <w:r>
        <w:rPr>
          <w:rFonts w:asciiTheme="minorHAnsi" w:hAnsiTheme="minorHAnsi" w:cstheme="minorHAnsi"/>
          <w:sz w:val="22"/>
          <w:szCs w:val="22"/>
          <w:lang w:val="en-AU"/>
        </w:rPr>
        <w:t>Fostering resilience within relationships and</w:t>
      </w:r>
      <w:r w:rsidR="0091465B" w:rsidRPr="00D7100C">
        <w:rPr>
          <w:rFonts w:asciiTheme="minorHAnsi" w:hAnsiTheme="minorHAnsi" w:cstheme="minorHAnsi"/>
          <w:sz w:val="22"/>
          <w:szCs w:val="22"/>
          <w:lang w:val="en-AU"/>
        </w:rPr>
        <w:t xml:space="preserve"> communities </w:t>
      </w:r>
      <w:r w:rsidR="00836251">
        <w:rPr>
          <w:rFonts w:asciiTheme="minorHAnsi" w:hAnsiTheme="minorHAnsi" w:cstheme="minorHAnsi"/>
          <w:sz w:val="22"/>
          <w:szCs w:val="22"/>
          <w:lang w:val="en-AU"/>
        </w:rPr>
        <w:t>to enable them to endure disruptive social or economic change</w:t>
      </w:r>
      <w:r w:rsidR="0019655D">
        <w:rPr>
          <w:rFonts w:asciiTheme="minorHAnsi" w:hAnsiTheme="minorHAnsi" w:cstheme="minorHAnsi"/>
          <w:sz w:val="22"/>
          <w:szCs w:val="22"/>
          <w:lang w:val="en-AU"/>
        </w:rPr>
        <w:t xml:space="preserve"> – which otherwise may challenge the sense of personal identity and self-esteem held by many men.</w:t>
      </w:r>
    </w:p>
    <w:p w14:paraId="2EFAEC0B" w14:textId="156EE50D" w:rsidR="0091465B" w:rsidRPr="00D7100C" w:rsidRDefault="0091465B" w:rsidP="00D7100C">
      <w:pPr>
        <w:pStyle w:val="ListParagraph"/>
        <w:numPr>
          <w:ilvl w:val="0"/>
          <w:numId w:val="5"/>
        </w:numPr>
        <w:spacing w:line="360" w:lineRule="auto"/>
        <w:ind w:left="426"/>
        <w:jc w:val="both"/>
        <w:rPr>
          <w:rFonts w:asciiTheme="minorHAnsi" w:hAnsiTheme="minorHAnsi" w:cstheme="minorHAnsi"/>
          <w:sz w:val="22"/>
          <w:szCs w:val="22"/>
          <w:lang w:val="en-AU"/>
        </w:rPr>
      </w:pPr>
      <w:r w:rsidRPr="00D7100C">
        <w:rPr>
          <w:rFonts w:asciiTheme="minorHAnsi" w:hAnsiTheme="minorHAnsi" w:cstheme="minorHAnsi"/>
          <w:sz w:val="22"/>
          <w:szCs w:val="22"/>
          <w:lang w:val="en-AU"/>
        </w:rPr>
        <w:lastRenderedPageBreak/>
        <w:t>Address</w:t>
      </w:r>
      <w:r w:rsidR="008366C0">
        <w:rPr>
          <w:rFonts w:asciiTheme="minorHAnsi" w:hAnsiTheme="minorHAnsi" w:cstheme="minorHAnsi"/>
          <w:sz w:val="22"/>
          <w:szCs w:val="22"/>
          <w:lang w:val="en-AU"/>
        </w:rPr>
        <w:t>ing</w:t>
      </w:r>
      <w:r w:rsidRPr="00D7100C">
        <w:rPr>
          <w:rFonts w:asciiTheme="minorHAnsi" w:hAnsiTheme="minorHAnsi" w:cstheme="minorHAnsi"/>
          <w:sz w:val="22"/>
          <w:szCs w:val="22"/>
          <w:lang w:val="en-AU"/>
        </w:rPr>
        <w:t xml:space="preserve"> poverty</w:t>
      </w:r>
      <w:r w:rsidR="00836251">
        <w:rPr>
          <w:rFonts w:asciiTheme="minorHAnsi" w:hAnsiTheme="minorHAnsi" w:cstheme="minorHAnsi"/>
          <w:sz w:val="22"/>
          <w:szCs w:val="22"/>
          <w:lang w:val="en-AU"/>
        </w:rPr>
        <w:t xml:space="preserve"> and other financial hardship;</w:t>
      </w:r>
      <w:r w:rsidRPr="00D7100C">
        <w:rPr>
          <w:rFonts w:asciiTheme="minorHAnsi" w:hAnsiTheme="minorHAnsi" w:cstheme="minorHAnsi"/>
          <w:sz w:val="22"/>
          <w:szCs w:val="22"/>
          <w:lang w:val="en-AU"/>
        </w:rPr>
        <w:t xml:space="preserve"> racial, cultural</w:t>
      </w:r>
      <w:r w:rsidR="00836251">
        <w:rPr>
          <w:rFonts w:asciiTheme="minorHAnsi" w:hAnsiTheme="minorHAnsi" w:cstheme="minorHAnsi"/>
          <w:sz w:val="22"/>
          <w:szCs w:val="22"/>
          <w:lang w:val="en-AU"/>
        </w:rPr>
        <w:t xml:space="preserve">, </w:t>
      </w:r>
      <w:r w:rsidRPr="00D7100C">
        <w:rPr>
          <w:rFonts w:asciiTheme="minorHAnsi" w:hAnsiTheme="minorHAnsi" w:cstheme="minorHAnsi"/>
          <w:sz w:val="22"/>
          <w:szCs w:val="22"/>
          <w:lang w:val="en-AU"/>
        </w:rPr>
        <w:t>religious</w:t>
      </w:r>
      <w:r w:rsidR="00836251">
        <w:rPr>
          <w:rFonts w:asciiTheme="minorHAnsi" w:hAnsiTheme="minorHAnsi" w:cstheme="minorHAnsi"/>
          <w:sz w:val="22"/>
          <w:szCs w:val="22"/>
          <w:lang w:val="en-AU"/>
        </w:rPr>
        <w:t xml:space="preserve"> or gender identity-based</w:t>
      </w:r>
      <w:r w:rsidRPr="00D7100C">
        <w:rPr>
          <w:rFonts w:asciiTheme="minorHAnsi" w:hAnsiTheme="minorHAnsi" w:cstheme="minorHAnsi"/>
          <w:sz w:val="22"/>
          <w:szCs w:val="22"/>
          <w:lang w:val="en-AU"/>
        </w:rPr>
        <w:t xml:space="preserve"> discrimination</w:t>
      </w:r>
      <w:r w:rsidR="00836251">
        <w:rPr>
          <w:rFonts w:asciiTheme="minorHAnsi" w:hAnsiTheme="minorHAnsi" w:cstheme="minorHAnsi"/>
          <w:sz w:val="22"/>
          <w:szCs w:val="22"/>
          <w:lang w:val="en-AU"/>
        </w:rPr>
        <w:t>;</w:t>
      </w:r>
      <w:r w:rsidRPr="00D7100C">
        <w:rPr>
          <w:rFonts w:asciiTheme="minorHAnsi" w:hAnsiTheme="minorHAnsi" w:cstheme="minorHAnsi"/>
          <w:sz w:val="22"/>
          <w:szCs w:val="22"/>
          <w:lang w:val="en-AU"/>
        </w:rPr>
        <w:t xml:space="preserve"> the challenges of settlement</w:t>
      </w:r>
      <w:r w:rsidR="00836251">
        <w:rPr>
          <w:rFonts w:asciiTheme="minorHAnsi" w:hAnsiTheme="minorHAnsi" w:cstheme="minorHAnsi"/>
          <w:sz w:val="22"/>
          <w:szCs w:val="22"/>
          <w:lang w:val="en-AU"/>
        </w:rPr>
        <w:t>;</w:t>
      </w:r>
      <w:r w:rsidRPr="00D7100C">
        <w:rPr>
          <w:rFonts w:asciiTheme="minorHAnsi" w:hAnsiTheme="minorHAnsi" w:cstheme="minorHAnsi"/>
          <w:sz w:val="22"/>
          <w:szCs w:val="22"/>
          <w:lang w:val="en-AU"/>
        </w:rPr>
        <w:t xml:space="preserve"> single parenthood</w:t>
      </w:r>
      <w:r w:rsidR="00836251">
        <w:rPr>
          <w:rFonts w:asciiTheme="minorHAnsi" w:hAnsiTheme="minorHAnsi" w:cstheme="minorHAnsi"/>
          <w:sz w:val="22"/>
          <w:szCs w:val="22"/>
          <w:lang w:val="en-AU"/>
        </w:rPr>
        <w:t>;</w:t>
      </w:r>
      <w:r w:rsidRPr="00D7100C">
        <w:rPr>
          <w:rFonts w:asciiTheme="minorHAnsi" w:hAnsiTheme="minorHAnsi" w:cstheme="minorHAnsi"/>
          <w:sz w:val="22"/>
          <w:szCs w:val="22"/>
          <w:lang w:val="en-AU"/>
        </w:rPr>
        <w:t xml:space="preserve"> and </w:t>
      </w:r>
      <w:r w:rsidR="00836251">
        <w:rPr>
          <w:rFonts w:asciiTheme="minorHAnsi" w:hAnsiTheme="minorHAnsi" w:cstheme="minorHAnsi"/>
          <w:sz w:val="22"/>
          <w:szCs w:val="22"/>
          <w:lang w:val="en-AU"/>
        </w:rPr>
        <w:t xml:space="preserve">other </w:t>
      </w:r>
      <w:r w:rsidR="008366C0" w:rsidRPr="00D7100C">
        <w:rPr>
          <w:rFonts w:asciiTheme="minorHAnsi" w:hAnsiTheme="minorHAnsi" w:cstheme="minorHAnsi"/>
          <w:sz w:val="22"/>
          <w:szCs w:val="22"/>
          <w:lang w:val="en-AU"/>
        </w:rPr>
        <w:t xml:space="preserve">forms of disadvantage </w:t>
      </w:r>
    </w:p>
    <w:p w14:paraId="4A6D0552" w14:textId="7500132C" w:rsidR="00845F9C" w:rsidRPr="00D7100C" w:rsidRDefault="0091465B" w:rsidP="00D7100C">
      <w:pPr>
        <w:spacing w:line="360" w:lineRule="auto"/>
        <w:jc w:val="both"/>
        <w:rPr>
          <w:rFonts w:asciiTheme="minorHAnsi" w:hAnsiTheme="minorHAnsi" w:cstheme="minorHAnsi"/>
        </w:rPr>
      </w:pPr>
      <w:r w:rsidRPr="00D7100C">
        <w:rPr>
          <w:rFonts w:asciiTheme="minorHAnsi" w:hAnsiTheme="minorHAnsi" w:cstheme="minorHAnsi"/>
          <w:sz w:val="22"/>
          <w:szCs w:val="22"/>
          <w:lang w:val="en-AU"/>
        </w:rPr>
        <w:t xml:space="preserve">The task of addressing the conditions which cause or contribute to violence against women may require persistent effort. As </w:t>
      </w:r>
      <w:r w:rsidR="00214FE1">
        <w:rPr>
          <w:rFonts w:asciiTheme="minorHAnsi" w:hAnsiTheme="minorHAnsi" w:cstheme="minorHAnsi"/>
          <w:sz w:val="22"/>
          <w:szCs w:val="22"/>
          <w:lang w:val="en-AU"/>
        </w:rPr>
        <w:t>Our Watch (2018)</w:t>
      </w:r>
      <w:r w:rsidR="00214FE1">
        <w:rPr>
          <w:rStyle w:val="FootnoteReference"/>
          <w:rFonts w:asciiTheme="minorHAnsi" w:hAnsiTheme="minorHAnsi" w:cstheme="minorHAnsi"/>
          <w:sz w:val="22"/>
          <w:szCs w:val="22"/>
          <w:lang w:val="en-AU"/>
        </w:rPr>
        <w:footnoteReference w:id="4"/>
      </w:r>
      <w:r w:rsidRPr="00D7100C">
        <w:rPr>
          <w:rFonts w:asciiTheme="minorHAnsi" w:hAnsiTheme="minorHAnsi" w:cstheme="minorHAnsi"/>
          <w:sz w:val="22"/>
          <w:szCs w:val="22"/>
          <w:lang w:val="en-AU"/>
        </w:rPr>
        <w:t xml:space="preserve"> explains, “Because we know the underlying drivers of violence are complex, deeply entrenched and exist at all levels of our society, primary prevention also seeks to </w:t>
      </w:r>
      <w:r w:rsidRPr="00891AF7">
        <w:rPr>
          <w:rFonts w:asciiTheme="minorHAnsi" w:hAnsiTheme="minorHAnsi" w:cstheme="minorHAnsi"/>
          <w:sz w:val="22"/>
          <w:szCs w:val="22"/>
          <w:lang w:val="en-AU"/>
        </w:rPr>
        <w:t>work at all levels of society. It is an ambitious, long-term approach, aiming for social transformation</w:t>
      </w:r>
      <w:r w:rsidRPr="00891AF7">
        <w:rPr>
          <w:rFonts w:asciiTheme="minorHAnsi" w:hAnsiTheme="minorHAnsi" w:cstheme="minorHAnsi"/>
          <w:sz w:val="22"/>
          <w:szCs w:val="22"/>
        </w:rPr>
        <w:t xml:space="preserve"> on a scale that will create a safe and equal society for every woman and her children.”</w:t>
      </w:r>
      <w:r w:rsidR="008366C0" w:rsidRPr="00891AF7">
        <w:rPr>
          <w:rFonts w:asciiTheme="minorHAnsi" w:hAnsiTheme="minorHAnsi" w:cstheme="minorHAnsi"/>
          <w:sz w:val="22"/>
          <w:szCs w:val="22"/>
        </w:rPr>
        <w:t>.</w:t>
      </w:r>
    </w:p>
    <w:sectPr w:rsidR="00845F9C" w:rsidRPr="00D7100C" w:rsidSect="008C61EB">
      <w:footerReference w:type="default" r:id="rId1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674A8" w14:textId="77777777" w:rsidR="0053739B" w:rsidRDefault="0053739B" w:rsidP="008C61EB">
      <w:r>
        <w:separator/>
      </w:r>
    </w:p>
  </w:endnote>
  <w:endnote w:type="continuationSeparator" w:id="0">
    <w:p w14:paraId="5975F8FE" w14:textId="77777777" w:rsidR="0053739B" w:rsidRDefault="0053739B" w:rsidP="008C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277877521"/>
      <w:docPartObj>
        <w:docPartGallery w:val="Page Numbers (Bottom of Page)"/>
        <w:docPartUnique/>
      </w:docPartObj>
    </w:sdtPr>
    <w:sdtEndPr>
      <w:rPr>
        <w:color w:val="7F7F7F" w:themeColor="background1" w:themeShade="7F"/>
        <w:spacing w:val="60"/>
      </w:rPr>
    </w:sdtEndPr>
    <w:sdtContent>
      <w:p w14:paraId="438B28D9" w14:textId="05A923A4" w:rsidR="00891AF7" w:rsidRPr="00891AF7" w:rsidRDefault="00891AF7" w:rsidP="00891AF7">
        <w:pPr>
          <w:pStyle w:val="Footer"/>
          <w:pBdr>
            <w:top w:val="single" w:sz="4" w:space="1" w:color="D9D9D9" w:themeColor="background1" w:themeShade="D9"/>
          </w:pBdr>
          <w:rPr>
            <w:rFonts w:asciiTheme="minorHAnsi" w:hAnsiTheme="minorHAnsi" w:cstheme="minorHAnsi"/>
            <w:b/>
            <w:bCs/>
            <w:sz w:val="18"/>
            <w:szCs w:val="18"/>
          </w:rPr>
        </w:pPr>
        <w:r w:rsidRPr="00891AF7">
          <w:rPr>
            <w:rFonts w:asciiTheme="minorHAnsi" w:hAnsiTheme="minorHAnsi" w:cstheme="minorHAnsi"/>
            <w:sz w:val="18"/>
            <w:szCs w:val="18"/>
          </w:rPr>
          <w:fldChar w:fldCharType="begin"/>
        </w:r>
        <w:r w:rsidRPr="00891AF7">
          <w:rPr>
            <w:rFonts w:asciiTheme="minorHAnsi" w:hAnsiTheme="minorHAnsi" w:cstheme="minorHAnsi"/>
            <w:sz w:val="18"/>
            <w:szCs w:val="18"/>
          </w:rPr>
          <w:instrText xml:space="preserve"> PAGE   \* MERGEFORMAT </w:instrText>
        </w:r>
        <w:r w:rsidRPr="00891AF7">
          <w:rPr>
            <w:rFonts w:asciiTheme="minorHAnsi" w:hAnsiTheme="minorHAnsi" w:cstheme="minorHAnsi"/>
            <w:sz w:val="18"/>
            <w:szCs w:val="18"/>
          </w:rPr>
          <w:fldChar w:fldCharType="separate"/>
        </w:r>
        <w:r w:rsidRPr="00891AF7">
          <w:rPr>
            <w:rFonts w:asciiTheme="minorHAnsi" w:hAnsiTheme="minorHAnsi" w:cstheme="minorHAnsi"/>
            <w:b/>
            <w:bCs/>
            <w:noProof/>
            <w:sz w:val="18"/>
            <w:szCs w:val="18"/>
          </w:rPr>
          <w:t>2</w:t>
        </w:r>
        <w:r w:rsidRPr="00891AF7">
          <w:rPr>
            <w:rFonts w:asciiTheme="minorHAnsi" w:hAnsiTheme="minorHAnsi" w:cstheme="minorHAnsi"/>
            <w:b/>
            <w:bCs/>
            <w:noProof/>
            <w:sz w:val="18"/>
            <w:szCs w:val="18"/>
          </w:rPr>
          <w:fldChar w:fldCharType="end"/>
        </w:r>
        <w:r w:rsidRPr="00891AF7">
          <w:rPr>
            <w:rFonts w:asciiTheme="minorHAnsi" w:hAnsiTheme="minorHAnsi" w:cstheme="minorHAnsi"/>
            <w:b/>
            <w:bCs/>
            <w:sz w:val="18"/>
            <w:szCs w:val="18"/>
          </w:rPr>
          <w:t xml:space="preserve"> | </w:t>
        </w:r>
        <w:r w:rsidRPr="00891AF7">
          <w:rPr>
            <w:rFonts w:asciiTheme="minorHAnsi" w:hAnsiTheme="minorHAnsi" w:cstheme="minorHAnsi"/>
            <w:color w:val="7F7F7F" w:themeColor="background1" w:themeShade="7F"/>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DC164" w14:textId="77777777" w:rsidR="0053739B" w:rsidRDefault="0053739B" w:rsidP="008C61EB">
      <w:r>
        <w:separator/>
      </w:r>
    </w:p>
  </w:footnote>
  <w:footnote w:type="continuationSeparator" w:id="0">
    <w:p w14:paraId="638EC984" w14:textId="77777777" w:rsidR="0053739B" w:rsidRDefault="0053739B" w:rsidP="008C61EB">
      <w:r>
        <w:continuationSeparator/>
      </w:r>
    </w:p>
  </w:footnote>
  <w:footnote w:id="1">
    <w:p w14:paraId="17CE6FFF" w14:textId="6A36CB39" w:rsidR="00214FE1" w:rsidRPr="00214FE1" w:rsidRDefault="00214FE1" w:rsidP="00214FE1">
      <w:pPr>
        <w:pStyle w:val="FootnoteText"/>
        <w:spacing w:after="0" w:line="240" w:lineRule="auto"/>
        <w:jc w:val="both"/>
        <w:rPr>
          <w:lang w:val="en-AU"/>
        </w:rPr>
      </w:pPr>
      <w:r>
        <w:rPr>
          <w:rStyle w:val="FootnoteReference"/>
        </w:rPr>
        <w:footnoteRef/>
      </w:r>
      <w:r>
        <w:t xml:space="preserve"> </w:t>
      </w:r>
      <w:proofErr w:type="spellStart"/>
      <w:r w:rsidRPr="00214FE1">
        <w:rPr>
          <w:color w:val="000000" w:themeColor="text1"/>
          <w:sz w:val="16"/>
          <w:szCs w:val="16"/>
        </w:rPr>
        <w:t>deVissier</w:t>
      </w:r>
      <w:proofErr w:type="spellEnd"/>
      <w:r w:rsidRPr="00214FE1">
        <w:rPr>
          <w:color w:val="000000" w:themeColor="text1"/>
          <w:sz w:val="16"/>
          <w:szCs w:val="16"/>
        </w:rPr>
        <w:t xml:space="preserve">, O., Smith, A.M., </w:t>
      </w:r>
      <w:proofErr w:type="spellStart"/>
      <w:r w:rsidRPr="00214FE1">
        <w:rPr>
          <w:color w:val="000000" w:themeColor="text1"/>
          <w:sz w:val="16"/>
          <w:szCs w:val="16"/>
        </w:rPr>
        <w:t>Rissel</w:t>
      </w:r>
      <w:proofErr w:type="spellEnd"/>
      <w:r w:rsidRPr="00214FE1">
        <w:rPr>
          <w:color w:val="000000" w:themeColor="text1"/>
          <w:sz w:val="16"/>
          <w:szCs w:val="16"/>
        </w:rPr>
        <w:t xml:space="preserve">, C.E., </w:t>
      </w:r>
      <w:proofErr w:type="spellStart"/>
      <w:r w:rsidRPr="00214FE1">
        <w:rPr>
          <w:color w:val="000000" w:themeColor="text1"/>
          <w:sz w:val="16"/>
          <w:szCs w:val="16"/>
        </w:rPr>
        <w:t>Richters</w:t>
      </w:r>
      <w:proofErr w:type="spellEnd"/>
      <w:r w:rsidRPr="00214FE1">
        <w:rPr>
          <w:color w:val="000000" w:themeColor="text1"/>
          <w:sz w:val="16"/>
          <w:szCs w:val="16"/>
        </w:rPr>
        <w:t xml:space="preserve">, J. and </w:t>
      </w:r>
      <w:proofErr w:type="spellStart"/>
      <w:r w:rsidRPr="00214FE1">
        <w:rPr>
          <w:color w:val="000000" w:themeColor="text1"/>
          <w:sz w:val="16"/>
          <w:szCs w:val="16"/>
        </w:rPr>
        <w:t>Grulich</w:t>
      </w:r>
      <w:proofErr w:type="spellEnd"/>
      <w:r w:rsidRPr="00214FE1">
        <w:rPr>
          <w:color w:val="000000" w:themeColor="text1"/>
          <w:sz w:val="16"/>
          <w:szCs w:val="16"/>
        </w:rPr>
        <w:t>, A.E. (2003). Sex in Australia: Experiences of Sexual Coercion Among a Representative Sample of Adults. Australia and New Zealand Journal of Public Health 2003. Vol., 27(2), pp. 198-20</w:t>
      </w:r>
    </w:p>
  </w:footnote>
  <w:footnote w:id="2">
    <w:p w14:paraId="421692C8" w14:textId="410916A1" w:rsidR="00214FE1" w:rsidRPr="00214FE1" w:rsidRDefault="00214FE1" w:rsidP="00214FE1">
      <w:pPr>
        <w:pStyle w:val="FootnoteText"/>
        <w:spacing w:after="0" w:line="240" w:lineRule="auto"/>
        <w:jc w:val="both"/>
        <w:rPr>
          <w:lang w:val="en-AU"/>
        </w:rPr>
      </w:pPr>
      <w:r>
        <w:rPr>
          <w:rStyle w:val="FootnoteReference"/>
        </w:rPr>
        <w:footnoteRef/>
      </w:r>
      <w:r>
        <w:t xml:space="preserve"> </w:t>
      </w:r>
      <w:proofErr w:type="spellStart"/>
      <w:r w:rsidRPr="00214FE1">
        <w:rPr>
          <w:color w:val="000000" w:themeColor="text1"/>
          <w:sz w:val="16"/>
          <w:szCs w:val="16"/>
        </w:rPr>
        <w:t>deVissier</w:t>
      </w:r>
      <w:proofErr w:type="spellEnd"/>
      <w:r w:rsidRPr="00214FE1">
        <w:rPr>
          <w:color w:val="000000" w:themeColor="text1"/>
          <w:sz w:val="16"/>
          <w:szCs w:val="16"/>
        </w:rPr>
        <w:t xml:space="preserve">, O., Badcock, P.B., </w:t>
      </w:r>
      <w:proofErr w:type="spellStart"/>
      <w:r w:rsidRPr="00214FE1">
        <w:rPr>
          <w:color w:val="000000" w:themeColor="text1"/>
          <w:sz w:val="16"/>
          <w:szCs w:val="16"/>
        </w:rPr>
        <w:t>Rissel</w:t>
      </w:r>
      <w:proofErr w:type="spellEnd"/>
      <w:r w:rsidRPr="00214FE1">
        <w:rPr>
          <w:color w:val="000000" w:themeColor="text1"/>
          <w:sz w:val="16"/>
          <w:szCs w:val="16"/>
        </w:rPr>
        <w:t xml:space="preserve">, C.E., </w:t>
      </w:r>
      <w:proofErr w:type="spellStart"/>
      <w:r w:rsidRPr="00214FE1">
        <w:rPr>
          <w:color w:val="000000" w:themeColor="text1"/>
          <w:sz w:val="16"/>
          <w:szCs w:val="16"/>
        </w:rPr>
        <w:t>Richters</w:t>
      </w:r>
      <w:proofErr w:type="spellEnd"/>
      <w:r w:rsidRPr="00214FE1">
        <w:rPr>
          <w:color w:val="000000" w:themeColor="text1"/>
          <w:sz w:val="16"/>
          <w:szCs w:val="16"/>
        </w:rPr>
        <w:t xml:space="preserve">, J. Smith, A.M.A., </w:t>
      </w:r>
      <w:proofErr w:type="spellStart"/>
      <w:r w:rsidRPr="00214FE1">
        <w:rPr>
          <w:color w:val="000000" w:themeColor="text1"/>
          <w:sz w:val="16"/>
          <w:szCs w:val="16"/>
        </w:rPr>
        <w:t>Grulich</w:t>
      </w:r>
      <w:proofErr w:type="spellEnd"/>
      <w:r w:rsidRPr="00214FE1">
        <w:rPr>
          <w:color w:val="000000" w:themeColor="text1"/>
          <w:sz w:val="16"/>
          <w:szCs w:val="16"/>
        </w:rPr>
        <w:t xml:space="preserve">, A.E. and Simpson, J.M. (2014). Experiences of sexual coercion in a representative sample of adults: </w:t>
      </w:r>
      <w:proofErr w:type="gramStart"/>
      <w:r w:rsidRPr="00214FE1">
        <w:rPr>
          <w:color w:val="000000" w:themeColor="text1"/>
          <w:sz w:val="16"/>
          <w:szCs w:val="16"/>
        </w:rPr>
        <w:t>the</w:t>
      </w:r>
      <w:proofErr w:type="gramEnd"/>
      <w:r w:rsidRPr="00214FE1">
        <w:rPr>
          <w:color w:val="000000" w:themeColor="text1"/>
          <w:sz w:val="16"/>
          <w:szCs w:val="16"/>
        </w:rPr>
        <w:t xml:space="preserve"> Second Australian Study of Health and Relationships. Sex Health, Nov. Vol. 11, No.5, pp. 472-80</w:t>
      </w:r>
    </w:p>
  </w:footnote>
  <w:footnote w:id="3">
    <w:p w14:paraId="4F208416" w14:textId="32B28DF2" w:rsidR="00214FE1" w:rsidRPr="00214FE1" w:rsidRDefault="00214FE1" w:rsidP="00214FE1">
      <w:pPr>
        <w:pStyle w:val="FootnoteText"/>
        <w:spacing w:after="0" w:line="240" w:lineRule="auto"/>
        <w:jc w:val="both"/>
        <w:rPr>
          <w:lang w:val="en-AU"/>
        </w:rPr>
      </w:pPr>
      <w:r>
        <w:rPr>
          <w:rStyle w:val="FootnoteReference"/>
        </w:rPr>
        <w:footnoteRef/>
      </w:r>
      <w:r>
        <w:t xml:space="preserve"> </w:t>
      </w:r>
      <w:r w:rsidRPr="00214FE1">
        <w:rPr>
          <w:color w:val="000000" w:themeColor="text1"/>
          <w:sz w:val="16"/>
          <w:szCs w:val="16"/>
        </w:rPr>
        <w:t>Our Watch (2015). Change the Story: a shared framework for the primary prevention of violence against women and their children in Australia. Our Watch, VicHealth and ANROWS</w:t>
      </w:r>
    </w:p>
  </w:footnote>
  <w:footnote w:id="4">
    <w:p w14:paraId="40E7AD04" w14:textId="4AD59650" w:rsidR="00214FE1" w:rsidRPr="00214FE1" w:rsidRDefault="00214FE1" w:rsidP="00214FE1">
      <w:pPr>
        <w:pStyle w:val="FootnoteText"/>
        <w:jc w:val="both"/>
        <w:rPr>
          <w:lang w:val="en-AU"/>
        </w:rPr>
      </w:pPr>
      <w:r>
        <w:rPr>
          <w:rStyle w:val="FootnoteReference"/>
        </w:rPr>
        <w:footnoteRef/>
      </w:r>
      <w:r>
        <w:t xml:space="preserve"> </w:t>
      </w:r>
      <w:r w:rsidRPr="00214FE1">
        <w:rPr>
          <w:color w:val="000000" w:themeColor="text1"/>
          <w:sz w:val="16"/>
          <w:szCs w:val="16"/>
        </w:rPr>
        <w:t>Our Watch (2018). Changing the Picture: a national resource to support the prevention of violence against Aboriginal and Torres Strait Islander women and their children. Our Watch, Melbourne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D0348"/>
    <w:multiLevelType w:val="hybridMultilevel"/>
    <w:tmpl w:val="5C9E6E3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C43B07"/>
    <w:multiLevelType w:val="hybridMultilevel"/>
    <w:tmpl w:val="9362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E21F0"/>
    <w:multiLevelType w:val="hybridMultilevel"/>
    <w:tmpl w:val="690E9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217FC3"/>
    <w:multiLevelType w:val="hybridMultilevel"/>
    <w:tmpl w:val="858CC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7E2192"/>
    <w:multiLevelType w:val="hybridMultilevel"/>
    <w:tmpl w:val="DBDC2FF8"/>
    <w:lvl w:ilvl="0" w:tplc="0C090001">
      <w:start w:val="2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EB"/>
    <w:rsid w:val="000415CE"/>
    <w:rsid w:val="000423DD"/>
    <w:rsid w:val="000475A2"/>
    <w:rsid w:val="0004779F"/>
    <w:rsid w:val="00050587"/>
    <w:rsid w:val="000526CD"/>
    <w:rsid w:val="00071BA2"/>
    <w:rsid w:val="0008439E"/>
    <w:rsid w:val="000B777B"/>
    <w:rsid w:val="0010784D"/>
    <w:rsid w:val="00124F38"/>
    <w:rsid w:val="00131F8C"/>
    <w:rsid w:val="00133AC3"/>
    <w:rsid w:val="00134277"/>
    <w:rsid w:val="00150EF4"/>
    <w:rsid w:val="0019655D"/>
    <w:rsid w:val="001A427E"/>
    <w:rsid w:val="001B22D8"/>
    <w:rsid w:val="001B483B"/>
    <w:rsid w:val="001C5A43"/>
    <w:rsid w:val="00214FE1"/>
    <w:rsid w:val="00221BA0"/>
    <w:rsid w:val="002247B0"/>
    <w:rsid w:val="002275EF"/>
    <w:rsid w:val="00283005"/>
    <w:rsid w:val="002935FC"/>
    <w:rsid w:val="002C5FC5"/>
    <w:rsid w:val="00310637"/>
    <w:rsid w:val="003125D6"/>
    <w:rsid w:val="003418DE"/>
    <w:rsid w:val="00354AE2"/>
    <w:rsid w:val="003562F6"/>
    <w:rsid w:val="00377E7A"/>
    <w:rsid w:val="003836C5"/>
    <w:rsid w:val="00394059"/>
    <w:rsid w:val="003F11B9"/>
    <w:rsid w:val="00405976"/>
    <w:rsid w:val="00412A77"/>
    <w:rsid w:val="00424D7C"/>
    <w:rsid w:val="00454F52"/>
    <w:rsid w:val="00457C12"/>
    <w:rsid w:val="00467C0E"/>
    <w:rsid w:val="00482A05"/>
    <w:rsid w:val="004C18B3"/>
    <w:rsid w:val="004E7647"/>
    <w:rsid w:val="00513AF6"/>
    <w:rsid w:val="0053739B"/>
    <w:rsid w:val="005429EF"/>
    <w:rsid w:val="00550005"/>
    <w:rsid w:val="00562732"/>
    <w:rsid w:val="00580797"/>
    <w:rsid w:val="005A1B24"/>
    <w:rsid w:val="006348F5"/>
    <w:rsid w:val="00634F08"/>
    <w:rsid w:val="00642FFE"/>
    <w:rsid w:val="00680641"/>
    <w:rsid w:val="00691DB7"/>
    <w:rsid w:val="0069401B"/>
    <w:rsid w:val="006B7F24"/>
    <w:rsid w:val="006D51DF"/>
    <w:rsid w:val="007031AB"/>
    <w:rsid w:val="00706461"/>
    <w:rsid w:val="00786E3A"/>
    <w:rsid w:val="007A6E8F"/>
    <w:rsid w:val="007B25B3"/>
    <w:rsid w:val="007B5270"/>
    <w:rsid w:val="007B63C2"/>
    <w:rsid w:val="00836251"/>
    <w:rsid w:val="008366C0"/>
    <w:rsid w:val="008451C0"/>
    <w:rsid w:val="00845324"/>
    <w:rsid w:val="00845F9C"/>
    <w:rsid w:val="00863372"/>
    <w:rsid w:val="00875CFD"/>
    <w:rsid w:val="0088278E"/>
    <w:rsid w:val="00891AF7"/>
    <w:rsid w:val="00894B04"/>
    <w:rsid w:val="008C61EB"/>
    <w:rsid w:val="008C6798"/>
    <w:rsid w:val="008F3786"/>
    <w:rsid w:val="0091465B"/>
    <w:rsid w:val="00916BFA"/>
    <w:rsid w:val="00956C93"/>
    <w:rsid w:val="009A139A"/>
    <w:rsid w:val="009A73F4"/>
    <w:rsid w:val="009D5FEF"/>
    <w:rsid w:val="00A61714"/>
    <w:rsid w:val="00A6344C"/>
    <w:rsid w:val="00A82B65"/>
    <w:rsid w:val="00AA52FB"/>
    <w:rsid w:val="00AC5D68"/>
    <w:rsid w:val="00AD5896"/>
    <w:rsid w:val="00AD6A75"/>
    <w:rsid w:val="00AE21B3"/>
    <w:rsid w:val="00B06367"/>
    <w:rsid w:val="00B11385"/>
    <w:rsid w:val="00B163FB"/>
    <w:rsid w:val="00B17DBC"/>
    <w:rsid w:val="00B210D9"/>
    <w:rsid w:val="00B32C63"/>
    <w:rsid w:val="00B50B49"/>
    <w:rsid w:val="00B71B28"/>
    <w:rsid w:val="00B81B12"/>
    <w:rsid w:val="00B920AA"/>
    <w:rsid w:val="00BB48F5"/>
    <w:rsid w:val="00C016DA"/>
    <w:rsid w:val="00C21FE3"/>
    <w:rsid w:val="00C33D36"/>
    <w:rsid w:val="00C478BD"/>
    <w:rsid w:val="00C649A2"/>
    <w:rsid w:val="00C666B3"/>
    <w:rsid w:val="00C95566"/>
    <w:rsid w:val="00CB721D"/>
    <w:rsid w:val="00CD2F55"/>
    <w:rsid w:val="00CF5154"/>
    <w:rsid w:val="00D22EDC"/>
    <w:rsid w:val="00D230D5"/>
    <w:rsid w:val="00D36120"/>
    <w:rsid w:val="00D60F5D"/>
    <w:rsid w:val="00D61372"/>
    <w:rsid w:val="00D675CA"/>
    <w:rsid w:val="00D7100C"/>
    <w:rsid w:val="00D766B9"/>
    <w:rsid w:val="00D875C7"/>
    <w:rsid w:val="00DD518A"/>
    <w:rsid w:val="00DD7046"/>
    <w:rsid w:val="00DE7438"/>
    <w:rsid w:val="00DF2F69"/>
    <w:rsid w:val="00DF5E4C"/>
    <w:rsid w:val="00E12CB3"/>
    <w:rsid w:val="00E571EB"/>
    <w:rsid w:val="00E61864"/>
    <w:rsid w:val="00E911E6"/>
    <w:rsid w:val="00E935FF"/>
    <w:rsid w:val="00EA7D39"/>
    <w:rsid w:val="00EE2EE8"/>
    <w:rsid w:val="00EE5671"/>
    <w:rsid w:val="00EF7111"/>
    <w:rsid w:val="00F01E7D"/>
    <w:rsid w:val="00F1013F"/>
    <w:rsid w:val="00F16258"/>
    <w:rsid w:val="00F2702F"/>
    <w:rsid w:val="00F36531"/>
    <w:rsid w:val="00F945CB"/>
    <w:rsid w:val="00FA14D6"/>
    <w:rsid w:val="00FA5FF9"/>
    <w:rsid w:val="00FC5DC1"/>
    <w:rsid w:val="00FD439D"/>
    <w:rsid w:val="00FF0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1376"/>
  <w15:docId w15:val="{493B9560-7F50-448A-9615-231FC6A7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1EB"/>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C61EB"/>
    <w:rPr>
      <w:vertAlign w:val="superscript"/>
    </w:rPr>
  </w:style>
  <w:style w:type="paragraph" w:styleId="FootnoteText">
    <w:name w:val="footnote text"/>
    <w:basedOn w:val="Normal"/>
    <w:link w:val="FootnoteTextChar"/>
    <w:semiHidden/>
    <w:unhideWhenUsed/>
    <w:rsid w:val="008C61EB"/>
    <w:pPr>
      <w:spacing w:after="200" w:line="276" w:lineRule="auto"/>
    </w:pPr>
    <w:rPr>
      <w:rFonts w:ascii="Calibri" w:eastAsia="Calibri" w:hAnsi="Calibri"/>
      <w:sz w:val="20"/>
      <w:szCs w:val="20"/>
    </w:rPr>
  </w:style>
  <w:style w:type="character" w:customStyle="1" w:styleId="FootnoteTextChar">
    <w:name w:val="Footnote Text Char"/>
    <w:link w:val="FootnoteText"/>
    <w:semiHidden/>
    <w:rsid w:val="008C61EB"/>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8C61EB"/>
    <w:rPr>
      <w:rFonts w:ascii="Tahoma" w:hAnsi="Tahoma" w:cs="Tahoma"/>
      <w:sz w:val="16"/>
      <w:szCs w:val="16"/>
    </w:rPr>
  </w:style>
  <w:style w:type="character" w:customStyle="1" w:styleId="BalloonTextChar">
    <w:name w:val="Balloon Text Char"/>
    <w:link w:val="BalloonText"/>
    <w:uiPriority w:val="99"/>
    <w:semiHidden/>
    <w:rsid w:val="008C61EB"/>
    <w:rPr>
      <w:rFonts w:ascii="Tahoma" w:eastAsia="Times New Roman" w:hAnsi="Tahoma" w:cs="Tahoma"/>
      <w:sz w:val="16"/>
      <w:szCs w:val="16"/>
      <w:lang w:val="en-US"/>
    </w:rPr>
  </w:style>
  <w:style w:type="paragraph" w:styleId="ListParagraph">
    <w:name w:val="List Paragraph"/>
    <w:basedOn w:val="Normal"/>
    <w:uiPriority w:val="34"/>
    <w:qFormat/>
    <w:rsid w:val="007B5270"/>
    <w:pPr>
      <w:ind w:left="720"/>
      <w:contextualSpacing/>
    </w:pPr>
  </w:style>
  <w:style w:type="character" w:styleId="Hyperlink">
    <w:name w:val="Hyperlink"/>
    <w:basedOn w:val="DefaultParagraphFont"/>
    <w:uiPriority w:val="99"/>
    <w:unhideWhenUsed/>
    <w:rsid w:val="00DD518A"/>
    <w:rPr>
      <w:color w:val="0000FF" w:themeColor="hyperlink"/>
      <w:u w:val="single"/>
    </w:rPr>
  </w:style>
  <w:style w:type="paragraph" w:styleId="Header">
    <w:name w:val="header"/>
    <w:basedOn w:val="Normal"/>
    <w:link w:val="HeaderChar"/>
    <w:uiPriority w:val="99"/>
    <w:unhideWhenUsed/>
    <w:rsid w:val="00891AF7"/>
    <w:pPr>
      <w:tabs>
        <w:tab w:val="center" w:pos="4513"/>
        <w:tab w:val="right" w:pos="9026"/>
      </w:tabs>
    </w:pPr>
  </w:style>
  <w:style w:type="character" w:customStyle="1" w:styleId="HeaderChar">
    <w:name w:val="Header Char"/>
    <w:basedOn w:val="DefaultParagraphFont"/>
    <w:link w:val="Header"/>
    <w:uiPriority w:val="99"/>
    <w:rsid w:val="00891AF7"/>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891AF7"/>
    <w:pPr>
      <w:tabs>
        <w:tab w:val="center" w:pos="4513"/>
        <w:tab w:val="right" w:pos="9026"/>
      </w:tabs>
    </w:pPr>
  </w:style>
  <w:style w:type="character" w:customStyle="1" w:styleId="FooterChar">
    <w:name w:val="Footer Char"/>
    <w:basedOn w:val="DefaultParagraphFont"/>
    <w:link w:val="Footer"/>
    <w:uiPriority w:val="99"/>
    <w:rsid w:val="00891AF7"/>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53966">
      <w:bodyDiv w:val="1"/>
      <w:marLeft w:val="0"/>
      <w:marRight w:val="0"/>
      <w:marTop w:val="0"/>
      <w:marBottom w:val="0"/>
      <w:divBdr>
        <w:top w:val="none" w:sz="0" w:space="0" w:color="auto"/>
        <w:left w:val="none" w:sz="0" w:space="0" w:color="auto"/>
        <w:bottom w:val="none" w:sz="0" w:space="0" w:color="auto"/>
        <w:right w:val="none" w:sz="0" w:space="0" w:color="auto"/>
      </w:divBdr>
    </w:div>
    <w:div w:id="463889637">
      <w:bodyDiv w:val="1"/>
      <w:marLeft w:val="0"/>
      <w:marRight w:val="0"/>
      <w:marTop w:val="0"/>
      <w:marBottom w:val="0"/>
      <w:divBdr>
        <w:top w:val="none" w:sz="0" w:space="0" w:color="auto"/>
        <w:left w:val="none" w:sz="0" w:space="0" w:color="auto"/>
        <w:bottom w:val="none" w:sz="0" w:space="0" w:color="auto"/>
        <w:right w:val="none" w:sz="0" w:space="0" w:color="auto"/>
      </w:divBdr>
    </w:div>
    <w:div w:id="1585609595">
      <w:bodyDiv w:val="1"/>
      <w:marLeft w:val="0"/>
      <w:marRight w:val="0"/>
      <w:marTop w:val="0"/>
      <w:marBottom w:val="0"/>
      <w:divBdr>
        <w:top w:val="none" w:sz="0" w:space="0" w:color="auto"/>
        <w:left w:val="none" w:sz="0" w:space="0" w:color="auto"/>
        <w:bottom w:val="none" w:sz="0" w:space="0" w:color="auto"/>
        <w:right w:val="none" w:sz="0" w:space="0" w:color="auto"/>
      </w:divBdr>
    </w:div>
    <w:div w:id="212133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jpe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4.jpe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image" Target="media/image8.emf" Id="rId16" /><Relationship Type="http://schemas.openxmlformats.org/officeDocument/2006/relationships/webSettings" Target="webSettings.xml" Id="rId6" /><Relationship Type="http://schemas.openxmlformats.org/officeDocument/2006/relationships/image" Target="media/image3.jpeg" Id="rId11" /><Relationship Type="http://schemas.openxmlformats.org/officeDocument/2006/relationships/settings" Target="settings.xml" Id="rId5" /><Relationship Type="http://schemas.openxmlformats.org/officeDocument/2006/relationships/image" Target="media/image7.jpeg" Id="rId15" /><Relationship Type="http://schemas.openxmlformats.org/officeDocument/2006/relationships/image" Target="media/image2.jpe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image" Target="media/image6.jpeg" Id="rId14" /><Relationship Type="http://schemas.openxmlformats.org/officeDocument/2006/relationships/customXml" Target="/customXML/item3.xml" Id="Ra11c7fe0fec345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A6823979</value>
    </field>
    <field name="Objective-Title">
      <value order="0">E Personal Safety Survey</value>
    </field>
    <field name="Objective-Description">
      <value order="0"/>
    </field>
    <field name="Objective-CreationStamp">
      <value order="0">2020-09-01T02:18:25Z</value>
    </field>
    <field name="Objective-IsApproved">
      <value order="0">false</value>
    </field>
    <field name="Objective-IsPublished">
      <value order="0">true</value>
    </field>
    <field name="Objective-DatePublished">
      <value order="0">2020-09-01T02:19:15Z</value>
    </field>
    <field name="Objective-ModificationStamp">
      <value order="0">2020-09-07T02:06:26Z</value>
    </field>
    <field name="Objective-Owner">
      <value order="0">Fran McKechnie</value>
    </field>
    <field name="Objective-Path">
      <value order="0">Classified Object:Classified Object:Classified Object:Classified Object:Webpage Stats D Gender</value>
    </field>
    <field name="Objective-Parent">
      <value order="0">Webpage Stats D Gender</value>
    </field>
    <field name="Objective-State">
      <value order="0">Published</value>
    </field>
    <field name="Objective-VersionId">
      <value order="0">vA8902780</value>
    </field>
    <field name="Objective-Version">
      <value order="0">1.0</value>
    </field>
    <field name="Objective-VersionNumber">
      <value order="0">1</value>
    </field>
    <field name="Objective-VersionComment">
      <value order="0">First version</value>
    </field>
    <field name="Objective-FileNumber">
      <value order="0">qA1096</value>
    </field>
    <field name="Objective-Classification">
      <value order="0"/>
    </field>
    <field name="Objective-Caveats">
      <value order="0"/>
    </field>
  </systemFields>
  <catalogues>
    <catalogue name="Document Type Catalogue" type="type" ori="id:cA11">
      <field name="Objective-Business Unit">
        <value order="0">Community Development</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3B2AF7A9-7E71-4A85-92AC-6C0A8B20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hbrown</dc:creator>
  <cp:lastModifiedBy>Hayden Brown</cp:lastModifiedBy>
  <cp:revision>3</cp:revision>
  <cp:lastPrinted>2020-06-16T01:01:00Z</cp:lastPrinted>
  <dcterms:created xsi:type="dcterms:W3CDTF">2020-08-21T00:31:00Z</dcterms:created>
  <dcterms:modified xsi:type="dcterms:W3CDTF">2020-08-21T00:36:00Z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A6823979</vt:lpwstr>
  </property>
  <property fmtid="{D5CDD505-2E9C-101B-9397-08002B2CF9AE}" pid="4" name="Objective-Title">
    <vt:lpwstr>E Personal Safety Survey</vt:lpwstr>
  </property>
  <property fmtid="{D5CDD505-2E9C-101B-9397-08002B2CF9AE}" pid="5" name="Objective-Description">
    <vt:lpwstr/>
  </property>
  <property fmtid="{D5CDD505-2E9C-101B-9397-08002B2CF9AE}" pid="6" name="Objective-CreationStamp">
    <vt:filetime>2020-09-01T02:18:25Z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2020-09-01T02:19:15Z</vt:filetime>
  </property>
  <property fmtid="{D5CDD505-2E9C-101B-9397-08002B2CF9AE}" pid="10" name="Objective-ModificationStamp">
    <vt:filetime>2020-09-07T02:06:26Z</vt:filetime>
  </property>
  <property fmtid="{D5CDD505-2E9C-101B-9397-08002B2CF9AE}" pid="11" name="Objective-Owner">
    <vt:lpwstr>Fran McKechnie</vt:lpwstr>
  </property>
  <property fmtid="{D5CDD505-2E9C-101B-9397-08002B2CF9AE}" pid="12" name="Objective-Path">
    <vt:lpwstr>Classified Object:Classified Object:Classified Object:Classified Object:Webpage Stats D Gender</vt:lpwstr>
  </property>
  <property fmtid="{D5CDD505-2E9C-101B-9397-08002B2CF9AE}" pid="13" name="Objective-Parent">
    <vt:lpwstr>Webpage Stats D Gender</vt:lpwstr>
  </property>
  <property fmtid="{D5CDD505-2E9C-101B-9397-08002B2CF9AE}" pid="14" name="Objective-State">
    <vt:lpwstr>Published</vt:lpwstr>
  </property>
  <property fmtid="{D5CDD505-2E9C-101B-9397-08002B2CF9AE}" pid="15" name="Objective-VersionId">
    <vt:lpwstr>vA8902780</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qA1096</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Community Development</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