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9089" w14:textId="77777777" w:rsidR="00676D87" w:rsidRDefault="00676D87" w:rsidP="00676D87">
      <w:pPr>
        <w:spacing w:after="0" w:line="240" w:lineRule="auto"/>
        <w:jc w:val="center"/>
        <w:rPr>
          <w:color w:val="1F3864" w:themeColor="accent1" w:themeShade="80"/>
          <w:sz w:val="32"/>
          <w:szCs w:val="32"/>
        </w:rPr>
      </w:pPr>
      <w:r>
        <w:rPr>
          <w:noProof/>
        </w:rPr>
        <w:drawing>
          <wp:anchor distT="0" distB="0" distL="114300" distR="114300" simplePos="0" relativeHeight="251675648" behindDoc="0" locked="0" layoutInCell="1" allowOverlap="1" wp14:anchorId="2EEA0AEC" wp14:editId="63B1BC46">
            <wp:simplePos x="0" y="0"/>
            <wp:positionH relativeFrom="margin">
              <wp:posOffset>5780723</wp:posOffset>
            </wp:positionH>
            <wp:positionV relativeFrom="paragraph">
              <wp:posOffset>3810</wp:posOffset>
            </wp:positionV>
            <wp:extent cx="323850" cy="566420"/>
            <wp:effectExtent l="0" t="0" r="0" b="508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23850" cy="566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490C0A4" wp14:editId="303B2D0B">
            <wp:simplePos x="0" y="0"/>
            <wp:positionH relativeFrom="margin">
              <wp:align>left</wp:align>
            </wp:positionH>
            <wp:positionV relativeFrom="paragraph">
              <wp:posOffset>-5715</wp:posOffset>
            </wp:positionV>
            <wp:extent cx="314325" cy="566420"/>
            <wp:effectExtent l="0" t="0" r="9525" b="508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Pr>
          <w:color w:val="1F3864" w:themeColor="accent1" w:themeShade="80"/>
          <w:sz w:val="32"/>
          <w:szCs w:val="32"/>
        </w:rPr>
        <w:t xml:space="preserve">Notes about Gender Equity: </w:t>
      </w:r>
    </w:p>
    <w:p w14:paraId="701889E5" w14:textId="77777777" w:rsidR="00676D87" w:rsidRDefault="00676D87" w:rsidP="00676D87">
      <w:pPr>
        <w:spacing w:after="0" w:line="240" w:lineRule="auto"/>
        <w:jc w:val="center"/>
        <w:rPr>
          <w:b/>
          <w:bCs/>
          <w:color w:val="1F3864" w:themeColor="accent1" w:themeShade="80"/>
          <w:sz w:val="32"/>
          <w:szCs w:val="32"/>
        </w:rPr>
      </w:pPr>
      <w:r>
        <w:rPr>
          <w:b/>
          <w:bCs/>
          <w:color w:val="1F3864" w:themeColor="accent1" w:themeShade="80"/>
          <w:sz w:val="32"/>
          <w:szCs w:val="32"/>
        </w:rPr>
        <w:t>A Summary of Statistical Measures of D</w:t>
      </w:r>
      <w:r w:rsidRPr="005D557B">
        <w:rPr>
          <w:b/>
          <w:bCs/>
          <w:color w:val="1F3864" w:themeColor="accent1" w:themeShade="80"/>
          <w:sz w:val="32"/>
          <w:szCs w:val="32"/>
        </w:rPr>
        <w:t>ifferences in Social and Economic Conditions,</w:t>
      </w:r>
      <w:r>
        <w:rPr>
          <w:b/>
          <w:bCs/>
          <w:color w:val="1F3864" w:themeColor="accent1" w:themeShade="80"/>
          <w:sz w:val="32"/>
          <w:szCs w:val="32"/>
        </w:rPr>
        <w:t xml:space="preserve"> </w:t>
      </w:r>
      <w:r w:rsidRPr="005D557B">
        <w:rPr>
          <w:b/>
          <w:bCs/>
          <w:color w:val="1F3864" w:themeColor="accent1" w:themeShade="80"/>
          <w:sz w:val="32"/>
          <w:szCs w:val="32"/>
        </w:rPr>
        <w:t>between Women and Men</w:t>
      </w:r>
    </w:p>
    <w:p w14:paraId="786F03E2" w14:textId="77777777" w:rsidR="00676D87" w:rsidRPr="0022276A" w:rsidRDefault="00676D87" w:rsidP="00676D87">
      <w:pPr>
        <w:spacing w:after="0" w:line="240" w:lineRule="auto"/>
        <w:jc w:val="center"/>
        <w:rPr>
          <w:color w:val="1F3864" w:themeColor="accent1" w:themeShade="80"/>
          <w:sz w:val="20"/>
          <w:szCs w:val="20"/>
        </w:rPr>
      </w:pPr>
      <w:r w:rsidRPr="0022276A">
        <w:rPr>
          <w:color w:val="1F3864" w:themeColor="accent1" w:themeShade="80"/>
          <w:sz w:val="20"/>
          <w:szCs w:val="20"/>
        </w:rPr>
        <w:t>H.Brown</w:t>
      </w:r>
    </w:p>
    <w:p w14:paraId="55F4F24E" w14:textId="77777777" w:rsidR="00676D87" w:rsidRPr="0047477B" w:rsidRDefault="00676D87" w:rsidP="00676D87">
      <w:pPr>
        <w:spacing w:after="0" w:line="240" w:lineRule="auto"/>
        <w:jc w:val="both"/>
        <w:rPr>
          <w:rFonts w:cstheme="minorHAnsi"/>
          <w:b/>
          <w:color w:val="1F3864" w:themeColor="accent1" w:themeShade="80"/>
          <w:sz w:val="24"/>
          <w:szCs w:val="24"/>
        </w:rPr>
      </w:pPr>
      <w:r>
        <w:rPr>
          <w:noProof/>
        </w:rPr>
        <w:drawing>
          <wp:anchor distT="0" distB="0" distL="114300" distR="114300" simplePos="0" relativeHeight="251660288" behindDoc="0" locked="0" layoutInCell="1" allowOverlap="1" wp14:anchorId="693BD430" wp14:editId="3748236F">
            <wp:simplePos x="0" y="0"/>
            <wp:positionH relativeFrom="margin">
              <wp:posOffset>0</wp:posOffset>
            </wp:positionH>
            <wp:positionV relativeFrom="page">
              <wp:posOffset>1780540</wp:posOffset>
            </wp:positionV>
            <wp:extent cx="575945" cy="395605"/>
            <wp:effectExtent l="0" t="0" r="0" b="4445"/>
            <wp:wrapSquare wrapText="bothSides"/>
            <wp:docPr id="12" name="Picture 11" descr="1209712_turning_pages.jpg">
              <a:extLst xmlns:a="http://schemas.openxmlformats.org/drawingml/2006/main">
                <a:ext uri="{FF2B5EF4-FFF2-40B4-BE49-F238E27FC236}">
                  <a16:creationId xmlns:a16="http://schemas.microsoft.com/office/drawing/2014/main" id="{00000000-0008-0000-0300-00000C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1" descr="1209712_turning_pages.jpg">
                      <a:extLst>
                        <a:ext uri="{FF2B5EF4-FFF2-40B4-BE49-F238E27FC236}">
                          <a16:creationId xmlns:a16="http://schemas.microsoft.com/office/drawing/2014/main" id="{00000000-0008-0000-0300-00000C000000}"/>
                        </a:ext>
                      </a:extLst>
                    </pic:cNvPr>
                    <pic:cNvPicPr>
                      <a:picLocks/>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 cy="395605"/>
                    </a:xfrm>
                    <a:prstGeom prst="rect">
                      <a:avLst/>
                    </a:prstGeom>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Education</w:t>
      </w:r>
    </w:p>
    <w:p w14:paraId="31008842"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Males more often experience attention deficit disorder than females</w:t>
      </w:r>
      <w:r>
        <w:rPr>
          <w:rFonts w:cstheme="minorHAnsi"/>
          <w:color w:val="1F3864" w:themeColor="accent1" w:themeShade="80"/>
          <w:sz w:val="21"/>
          <w:szCs w:val="21"/>
        </w:rPr>
        <w:t>, more often experience developmental delays in childhood,</w:t>
      </w:r>
      <w:r w:rsidRPr="00755982">
        <w:rPr>
          <w:rFonts w:cstheme="minorHAnsi"/>
          <w:color w:val="1F3864" w:themeColor="accent1" w:themeShade="80"/>
          <w:sz w:val="21"/>
          <w:szCs w:val="21"/>
        </w:rPr>
        <w:t xml:space="preserve"> </w:t>
      </w:r>
      <w:r>
        <w:rPr>
          <w:rFonts w:cstheme="minorHAnsi"/>
          <w:color w:val="1F3864" w:themeColor="accent1" w:themeShade="80"/>
          <w:sz w:val="21"/>
          <w:szCs w:val="21"/>
        </w:rPr>
        <w:t>and are less</w:t>
      </w:r>
      <w:r w:rsidRPr="00755982">
        <w:rPr>
          <w:rFonts w:cstheme="minorHAnsi"/>
          <w:color w:val="1F3864" w:themeColor="accent1" w:themeShade="80"/>
          <w:sz w:val="21"/>
          <w:szCs w:val="21"/>
        </w:rPr>
        <w:t xml:space="preserve"> likely to complete secondary school </w:t>
      </w:r>
      <w:r>
        <w:rPr>
          <w:rFonts w:cstheme="minorHAnsi"/>
          <w:color w:val="1F3864" w:themeColor="accent1" w:themeShade="80"/>
          <w:sz w:val="21"/>
          <w:szCs w:val="21"/>
        </w:rPr>
        <w:t>or</w:t>
      </w:r>
      <w:r w:rsidRPr="00755982">
        <w:rPr>
          <w:rFonts w:cstheme="minorHAnsi"/>
          <w:color w:val="1F3864" w:themeColor="accent1" w:themeShade="80"/>
          <w:sz w:val="21"/>
          <w:szCs w:val="21"/>
        </w:rPr>
        <w:t xml:space="preserve"> acquire a degree.</w:t>
      </w:r>
    </w:p>
    <w:p w14:paraId="7C78115B"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Attention deficit-hyperactivity disorder (ADHD) is more common in </w:t>
      </w:r>
      <w:r>
        <w:rPr>
          <w:rFonts w:cstheme="minorHAnsi"/>
          <w:sz w:val="21"/>
          <w:szCs w:val="21"/>
        </w:rPr>
        <w:t>males</w:t>
      </w:r>
      <w:r w:rsidRPr="00D67E48">
        <w:rPr>
          <w:rFonts w:cstheme="minorHAnsi"/>
          <w:sz w:val="21"/>
          <w:szCs w:val="21"/>
        </w:rPr>
        <w:t xml:space="preserve"> than in </w:t>
      </w:r>
      <w:r>
        <w:rPr>
          <w:rFonts w:cstheme="minorHAnsi"/>
          <w:sz w:val="21"/>
          <w:szCs w:val="21"/>
        </w:rPr>
        <w:t>females</w:t>
      </w:r>
      <w:r w:rsidRPr="00D67E48">
        <w:rPr>
          <w:rFonts w:cstheme="minorHAnsi"/>
          <w:sz w:val="21"/>
          <w:szCs w:val="21"/>
        </w:rPr>
        <w:t xml:space="preserve">, with a male-to-female ratio </w:t>
      </w:r>
      <w:r>
        <w:rPr>
          <w:rFonts w:cstheme="minorHAnsi"/>
          <w:sz w:val="21"/>
          <w:szCs w:val="21"/>
        </w:rPr>
        <w:t xml:space="preserve">estimated </w:t>
      </w:r>
      <w:r w:rsidRPr="00D67E48">
        <w:rPr>
          <w:rFonts w:cstheme="minorHAnsi"/>
          <w:sz w:val="21"/>
          <w:szCs w:val="21"/>
        </w:rPr>
        <w:t>from 3:1 to 9:1</w:t>
      </w:r>
      <w:r>
        <w:rPr>
          <w:rFonts w:cstheme="minorHAnsi"/>
          <w:sz w:val="21"/>
          <w:szCs w:val="21"/>
        </w:rPr>
        <w:t xml:space="preserve"> </w:t>
      </w:r>
      <w:r w:rsidRPr="00755982">
        <w:rPr>
          <w:rFonts w:cstheme="minorHAnsi"/>
          <w:sz w:val="16"/>
          <w:szCs w:val="16"/>
        </w:rPr>
        <w:t>(Australian Guidelines on Attention Deficit disorder, Royal Australian college of Physicians, 2009)</w:t>
      </w:r>
      <w:r w:rsidRPr="00D67E48">
        <w:rPr>
          <w:rFonts w:cstheme="minorHAnsi"/>
          <w:sz w:val="21"/>
          <w:szCs w:val="21"/>
        </w:rPr>
        <w:t>.</w:t>
      </w:r>
    </w:p>
    <w:p w14:paraId="253ED7E8" w14:textId="77777777" w:rsidR="00676D87" w:rsidRPr="00E801EB" w:rsidRDefault="00676D87" w:rsidP="00676D87">
      <w:pPr>
        <w:spacing w:before="60" w:after="0" w:line="240" w:lineRule="auto"/>
        <w:jc w:val="both"/>
        <w:rPr>
          <w:rFonts w:cstheme="minorHAnsi"/>
          <w:sz w:val="18"/>
          <w:szCs w:val="18"/>
        </w:rPr>
      </w:pPr>
      <w:r>
        <w:rPr>
          <w:rFonts w:cstheme="minorHAnsi"/>
          <w:sz w:val="21"/>
          <w:szCs w:val="21"/>
        </w:rPr>
        <w:t xml:space="preserve">30% of Victorian boys in prep. and 17% of girls are developmentally vulnerable </w:t>
      </w:r>
      <w:r w:rsidRPr="00E801EB">
        <w:rPr>
          <w:rFonts w:cstheme="minorHAnsi"/>
          <w:sz w:val="18"/>
          <w:szCs w:val="18"/>
        </w:rPr>
        <w:t>(Aust. Early Developmental Index)</w:t>
      </w:r>
    </w:p>
    <w:p w14:paraId="76ED9EE4"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2016, </w:t>
      </w:r>
      <w:r>
        <w:rPr>
          <w:rFonts w:cstheme="minorHAnsi"/>
          <w:sz w:val="21"/>
          <w:szCs w:val="21"/>
        </w:rPr>
        <w:t>8</w:t>
      </w:r>
      <w:r w:rsidRPr="00D67E48">
        <w:rPr>
          <w:rFonts w:cstheme="minorHAnsi"/>
          <w:sz w:val="21"/>
          <w:szCs w:val="21"/>
        </w:rPr>
        <w:t xml:space="preserve">% of 20-24 year-old Victorian females and </w:t>
      </w:r>
      <w:r>
        <w:rPr>
          <w:rFonts w:cstheme="minorHAnsi"/>
          <w:sz w:val="21"/>
          <w:szCs w:val="21"/>
        </w:rPr>
        <w:t>13</w:t>
      </w:r>
      <w:r w:rsidRPr="00D67E48">
        <w:rPr>
          <w:rFonts w:cstheme="minorHAnsi"/>
          <w:sz w:val="21"/>
          <w:szCs w:val="21"/>
        </w:rPr>
        <w:t xml:space="preserve">% of males, had left school before completing year 11 </w:t>
      </w:r>
      <w:r w:rsidRPr="00755982">
        <w:rPr>
          <w:rFonts w:cstheme="minorHAnsi"/>
          <w:sz w:val="16"/>
          <w:szCs w:val="16"/>
        </w:rPr>
        <w:t>(2016 Census, Australian Bureau of Statistics [</w:t>
      </w:r>
      <w:r>
        <w:rPr>
          <w:rFonts w:cstheme="minorHAnsi"/>
          <w:sz w:val="16"/>
          <w:szCs w:val="16"/>
        </w:rPr>
        <w:t>hereafter ‘</w:t>
      </w:r>
      <w:r w:rsidRPr="00755982">
        <w:rPr>
          <w:rFonts w:cstheme="minorHAnsi"/>
          <w:sz w:val="16"/>
          <w:szCs w:val="16"/>
        </w:rPr>
        <w:t>ABS</w:t>
      </w:r>
      <w:r>
        <w:rPr>
          <w:rFonts w:cstheme="minorHAnsi"/>
          <w:sz w:val="16"/>
          <w:szCs w:val="16"/>
        </w:rPr>
        <w:t>’</w:t>
      </w:r>
      <w:r w:rsidRPr="00755982">
        <w:rPr>
          <w:rFonts w:cstheme="minorHAnsi"/>
          <w:sz w:val="16"/>
          <w:szCs w:val="16"/>
        </w:rPr>
        <w:t>]).</w:t>
      </w:r>
    </w:p>
    <w:p w14:paraId="14F59933" w14:textId="77777777" w:rsidR="00676D87" w:rsidRDefault="00676D87" w:rsidP="00676D87">
      <w:pPr>
        <w:spacing w:before="60" w:after="0" w:line="240" w:lineRule="auto"/>
        <w:jc w:val="both"/>
        <w:rPr>
          <w:rFonts w:cstheme="minorHAnsi"/>
          <w:sz w:val="21"/>
          <w:szCs w:val="21"/>
        </w:rPr>
      </w:pPr>
      <w:r w:rsidRPr="0078321A">
        <w:rPr>
          <w:rFonts w:cstheme="minorHAnsi"/>
          <w:sz w:val="21"/>
          <w:szCs w:val="21"/>
        </w:rPr>
        <w:t>In 2016, 8.9% of Victorian women in tertiary education were enrolled in science, information technology or engineering courses, compared with 39% of men.</w:t>
      </w:r>
      <w:r>
        <w:rPr>
          <w:rFonts w:cstheme="minorHAnsi"/>
          <w:sz w:val="21"/>
          <w:szCs w:val="21"/>
        </w:rPr>
        <w:t xml:space="preserve"> </w:t>
      </w:r>
      <w:r w:rsidRPr="00755982">
        <w:rPr>
          <w:rFonts w:cstheme="minorHAnsi"/>
          <w:sz w:val="16"/>
          <w:szCs w:val="16"/>
        </w:rPr>
        <w:t xml:space="preserve">(2016 Census, </w:t>
      </w:r>
      <w:r>
        <w:rPr>
          <w:rFonts w:cstheme="minorHAnsi"/>
          <w:sz w:val="16"/>
          <w:szCs w:val="16"/>
        </w:rPr>
        <w:t>ABS</w:t>
      </w:r>
      <w:r w:rsidRPr="00755982">
        <w:rPr>
          <w:rFonts w:cstheme="minorHAnsi"/>
          <w:sz w:val="16"/>
          <w:szCs w:val="16"/>
        </w:rPr>
        <w:t>).</w:t>
      </w:r>
    </w:p>
    <w:p w14:paraId="2D03037C"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2016, 48% of 25-44 year-old Victorian women and 37% of men, held a </w:t>
      </w:r>
      <w:r>
        <w:rPr>
          <w:rFonts w:cstheme="minorHAnsi"/>
          <w:sz w:val="21"/>
          <w:szCs w:val="21"/>
        </w:rPr>
        <w:t xml:space="preserve">tertiary </w:t>
      </w:r>
      <w:r w:rsidRPr="00D67E48">
        <w:rPr>
          <w:rFonts w:cstheme="minorHAnsi"/>
          <w:sz w:val="21"/>
          <w:szCs w:val="21"/>
        </w:rPr>
        <w:t xml:space="preserve">degree </w:t>
      </w:r>
      <w:r w:rsidRPr="00755982">
        <w:rPr>
          <w:rFonts w:cstheme="minorHAnsi"/>
          <w:sz w:val="16"/>
          <w:szCs w:val="16"/>
        </w:rPr>
        <w:t>(2016 Census, ABS).</w:t>
      </w:r>
    </w:p>
    <w:p w14:paraId="67A96A3C" w14:textId="77777777" w:rsidR="00676D87" w:rsidRPr="0047477B" w:rsidRDefault="00676D87" w:rsidP="00676D87">
      <w:pPr>
        <w:spacing w:before="240" w:after="0" w:line="240" w:lineRule="auto"/>
        <w:jc w:val="both"/>
        <w:rPr>
          <w:rFonts w:cstheme="minorHAnsi"/>
          <w:b/>
          <w:color w:val="1F3864" w:themeColor="accent1" w:themeShade="80"/>
          <w:sz w:val="24"/>
          <w:szCs w:val="24"/>
        </w:rPr>
      </w:pPr>
      <w:r>
        <w:rPr>
          <w:noProof/>
        </w:rPr>
        <w:drawing>
          <wp:anchor distT="0" distB="0" distL="114300" distR="114300" simplePos="0" relativeHeight="251659264" behindDoc="0" locked="0" layoutInCell="1" allowOverlap="1" wp14:anchorId="658425AD" wp14:editId="19A63B36">
            <wp:simplePos x="0" y="0"/>
            <wp:positionH relativeFrom="column">
              <wp:posOffset>22860</wp:posOffset>
            </wp:positionH>
            <wp:positionV relativeFrom="paragraph">
              <wp:posOffset>241935</wp:posOffset>
            </wp:positionV>
            <wp:extent cx="576000" cy="396000"/>
            <wp:effectExtent l="0" t="0" r="0" b="4445"/>
            <wp:wrapSquare wrapText="bothSides"/>
            <wp:docPr id="6" name="Picture 5" descr="7 Spoken languages.jpg">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descr="7 Spoken languages.jpg">
                      <a:extLst>
                        <a:ext uri="{FF2B5EF4-FFF2-40B4-BE49-F238E27FC236}">
                          <a16:creationId xmlns:a16="http://schemas.microsoft.com/office/drawing/2014/main" id="{00000000-0008-0000-0300-000006000000}"/>
                        </a:ext>
                      </a:extLst>
                    </pic:cNvPr>
                    <pic:cNvPicPr>
                      <a:picLock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 cy="396000"/>
                    </a:xfrm>
                    <a:prstGeom prst="rect">
                      <a:avLst/>
                    </a:prstGeom>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Literacy and Fluency in English</w:t>
      </w:r>
    </w:p>
    <w:p w14:paraId="695D76DB" w14:textId="77777777" w:rsidR="00676D87" w:rsidRPr="00755982" w:rsidRDefault="00676D87" w:rsidP="00676D87">
      <w:pPr>
        <w:spacing w:before="60" w:after="0" w:line="240" w:lineRule="auto"/>
        <w:jc w:val="both"/>
        <w:rPr>
          <w:rFonts w:cstheme="minorHAnsi"/>
          <w:color w:val="1F3864" w:themeColor="accent1" w:themeShade="80"/>
          <w:sz w:val="21"/>
          <w:szCs w:val="21"/>
        </w:rPr>
      </w:pPr>
      <w:r>
        <w:rPr>
          <w:rFonts w:cstheme="minorHAnsi"/>
          <w:color w:val="1F3864" w:themeColor="accent1" w:themeShade="80"/>
          <w:sz w:val="21"/>
          <w:szCs w:val="21"/>
        </w:rPr>
        <w:t>Men</w:t>
      </w:r>
      <w:r w:rsidRPr="00755982">
        <w:rPr>
          <w:rFonts w:cstheme="minorHAnsi"/>
          <w:color w:val="1F3864" w:themeColor="accent1" w:themeShade="80"/>
          <w:sz w:val="21"/>
          <w:szCs w:val="21"/>
        </w:rPr>
        <w:t xml:space="preserve"> </w:t>
      </w:r>
      <w:r>
        <w:rPr>
          <w:rFonts w:cstheme="minorHAnsi"/>
          <w:color w:val="1F3864" w:themeColor="accent1" w:themeShade="80"/>
          <w:sz w:val="21"/>
          <w:szCs w:val="21"/>
        </w:rPr>
        <w:t>have lower average levels of English literacy than</w:t>
      </w:r>
      <w:r w:rsidRPr="00755982">
        <w:rPr>
          <w:rFonts w:cstheme="minorHAnsi"/>
          <w:color w:val="1F3864" w:themeColor="accent1" w:themeShade="80"/>
          <w:sz w:val="21"/>
          <w:szCs w:val="21"/>
        </w:rPr>
        <w:t xml:space="preserve"> </w:t>
      </w:r>
      <w:r>
        <w:rPr>
          <w:rFonts w:cstheme="minorHAnsi"/>
          <w:color w:val="1F3864" w:themeColor="accent1" w:themeShade="80"/>
          <w:sz w:val="21"/>
          <w:szCs w:val="21"/>
        </w:rPr>
        <w:t>women</w:t>
      </w:r>
      <w:r w:rsidRPr="00755982">
        <w:rPr>
          <w:rFonts w:cstheme="minorHAnsi"/>
          <w:color w:val="1F3864" w:themeColor="accent1" w:themeShade="80"/>
          <w:sz w:val="21"/>
          <w:szCs w:val="21"/>
        </w:rPr>
        <w:t xml:space="preserve">. On the other hand, slightly more women than men </w:t>
      </w:r>
      <w:r>
        <w:rPr>
          <w:rFonts w:cstheme="minorHAnsi"/>
          <w:color w:val="1F3864" w:themeColor="accent1" w:themeShade="80"/>
          <w:sz w:val="21"/>
          <w:szCs w:val="21"/>
        </w:rPr>
        <w:t>have</w:t>
      </w:r>
      <w:r w:rsidRPr="00755982">
        <w:rPr>
          <w:rFonts w:cstheme="minorHAnsi"/>
          <w:color w:val="1F3864" w:themeColor="accent1" w:themeShade="80"/>
          <w:sz w:val="21"/>
          <w:szCs w:val="21"/>
        </w:rPr>
        <w:t xml:space="preserve"> limited fluency in the use of spoken English.</w:t>
      </w:r>
    </w:p>
    <w:p w14:paraId="41A5A173" w14:textId="77777777" w:rsidR="00676D87" w:rsidRPr="00D67E48" w:rsidRDefault="00676D87" w:rsidP="00676D87">
      <w:pPr>
        <w:spacing w:before="60" w:after="0" w:line="240" w:lineRule="auto"/>
        <w:jc w:val="both"/>
        <w:rPr>
          <w:rFonts w:cstheme="minorHAnsi"/>
          <w:sz w:val="21"/>
          <w:szCs w:val="21"/>
        </w:rPr>
      </w:pPr>
      <w:r>
        <w:rPr>
          <w:rFonts w:cstheme="minorHAnsi"/>
          <w:sz w:val="21"/>
          <w:szCs w:val="21"/>
        </w:rPr>
        <w:t>A</w:t>
      </w:r>
      <w:r w:rsidRPr="00D67E48">
        <w:rPr>
          <w:rFonts w:cstheme="minorHAnsi"/>
          <w:sz w:val="21"/>
          <w:szCs w:val="21"/>
        </w:rPr>
        <w:t xml:space="preserve">mong Australians aged 20-24 years, 12.8% of males and 7.5% of females </w:t>
      </w:r>
      <w:r>
        <w:rPr>
          <w:rFonts w:cstheme="minorHAnsi"/>
          <w:sz w:val="21"/>
          <w:szCs w:val="21"/>
        </w:rPr>
        <w:t>have ‘very limited’</w:t>
      </w:r>
      <w:r w:rsidRPr="00D67E48">
        <w:rPr>
          <w:rFonts w:cstheme="minorHAnsi"/>
          <w:sz w:val="21"/>
          <w:szCs w:val="21"/>
        </w:rPr>
        <w:t xml:space="preserve"> English literacy </w:t>
      </w:r>
      <w:r w:rsidRPr="00755982">
        <w:rPr>
          <w:rFonts w:cstheme="minorHAnsi"/>
          <w:sz w:val="16"/>
          <w:szCs w:val="16"/>
        </w:rPr>
        <w:t>(International Assessment of Adult Competencies, 2013).</w:t>
      </w:r>
    </w:p>
    <w:p w14:paraId="0A2F9637"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2016, 4.2% of Victorian males and 5.3% of females had limited </w:t>
      </w:r>
      <w:r>
        <w:rPr>
          <w:rFonts w:cstheme="minorHAnsi"/>
          <w:sz w:val="21"/>
          <w:szCs w:val="21"/>
        </w:rPr>
        <w:t>English fluency</w:t>
      </w:r>
      <w:r w:rsidRPr="00D67E48">
        <w:rPr>
          <w:rFonts w:cstheme="minorHAnsi"/>
          <w:sz w:val="21"/>
          <w:szCs w:val="21"/>
        </w:rPr>
        <w:t xml:space="preserve"> </w:t>
      </w:r>
      <w:r w:rsidRPr="00755982">
        <w:rPr>
          <w:rFonts w:cstheme="minorHAnsi"/>
          <w:sz w:val="16"/>
          <w:szCs w:val="16"/>
        </w:rPr>
        <w:t>(2016 Census, ABS).</w:t>
      </w:r>
    </w:p>
    <w:p w14:paraId="5EA282DC" w14:textId="77777777" w:rsidR="00676D87" w:rsidRPr="0047477B" w:rsidRDefault="00676D87" w:rsidP="00676D87">
      <w:pPr>
        <w:spacing w:before="240" w:after="0" w:line="240" w:lineRule="auto"/>
        <w:jc w:val="both"/>
        <w:rPr>
          <w:rFonts w:cstheme="minorHAnsi"/>
          <w:b/>
          <w:color w:val="1F3864" w:themeColor="accent1" w:themeShade="80"/>
          <w:sz w:val="24"/>
          <w:szCs w:val="24"/>
        </w:rPr>
      </w:pPr>
      <w:r>
        <w:rPr>
          <w:noProof/>
        </w:rPr>
        <w:drawing>
          <wp:anchor distT="0" distB="0" distL="114300" distR="114300" simplePos="0" relativeHeight="251662336" behindDoc="0" locked="0" layoutInCell="1" allowOverlap="1" wp14:anchorId="193A4689" wp14:editId="6BB0A6EC">
            <wp:simplePos x="0" y="0"/>
            <wp:positionH relativeFrom="margin">
              <wp:align>left</wp:align>
            </wp:positionH>
            <wp:positionV relativeFrom="paragraph">
              <wp:posOffset>223520</wp:posOffset>
            </wp:positionV>
            <wp:extent cx="576000" cy="396000"/>
            <wp:effectExtent l="0" t="0" r="0" b="4445"/>
            <wp:wrapSquare wrapText="bothSides"/>
            <wp:docPr id="23" name="Picture 22" descr="1287061_businessman_in_the_office_1.jpg">
              <a:extLst xmlns:a="http://schemas.openxmlformats.org/drawingml/2006/main">
                <a:ext uri="{FF2B5EF4-FFF2-40B4-BE49-F238E27FC236}">
                  <a16:creationId xmlns:a16="http://schemas.microsoft.com/office/drawing/2014/main" id="{00000000-0008-0000-0300-000017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2" descr="1287061_businessman_in_the_office_1.jpg">
                      <a:extLst>
                        <a:ext uri="{FF2B5EF4-FFF2-40B4-BE49-F238E27FC236}">
                          <a16:creationId xmlns:a16="http://schemas.microsoft.com/office/drawing/2014/main" id="{00000000-0008-0000-0300-000017000000}"/>
                        </a:ext>
                      </a:extLst>
                    </pic:cNvPr>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0" cy="396000"/>
                    </a:xfrm>
                    <a:prstGeom prst="rect">
                      <a:avLst/>
                    </a:prstGeom>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 xml:space="preserve">Paid Work </w:t>
      </w:r>
    </w:p>
    <w:p w14:paraId="1B832BAF"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 xml:space="preserve">Women are less likely than men to hold paid </w:t>
      </w:r>
      <w:r>
        <w:rPr>
          <w:rFonts w:cstheme="minorHAnsi"/>
          <w:color w:val="1F3864" w:themeColor="accent1" w:themeShade="80"/>
          <w:sz w:val="21"/>
          <w:szCs w:val="21"/>
        </w:rPr>
        <w:t>work</w:t>
      </w:r>
      <w:r w:rsidRPr="00755982">
        <w:rPr>
          <w:rFonts w:cstheme="minorHAnsi"/>
          <w:color w:val="1F3864" w:themeColor="accent1" w:themeShade="80"/>
          <w:sz w:val="21"/>
          <w:szCs w:val="21"/>
        </w:rPr>
        <w:t xml:space="preserve">, and </w:t>
      </w:r>
      <w:r>
        <w:rPr>
          <w:rFonts w:cstheme="minorHAnsi"/>
          <w:color w:val="1F3864" w:themeColor="accent1" w:themeShade="80"/>
          <w:sz w:val="21"/>
          <w:szCs w:val="21"/>
        </w:rPr>
        <w:t>fewer of them</w:t>
      </w:r>
      <w:r w:rsidRPr="00755982">
        <w:rPr>
          <w:rFonts w:cstheme="minorHAnsi"/>
          <w:color w:val="1F3864" w:themeColor="accent1" w:themeShade="80"/>
          <w:sz w:val="21"/>
          <w:szCs w:val="21"/>
        </w:rPr>
        <w:t xml:space="preserve"> have full-time jobs. </w:t>
      </w:r>
      <w:r>
        <w:rPr>
          <w:rFonts w:cstheme="minorHAnsi"/>
          <w:color w:val="1F3864" w:themeColor="accent1" w:themeShade="80"/>
          <w:sz w:val="21"/>
          <w:szCs w:val="21"/>
        </w:rPr>
        <w:t>A</w:t>
      </w:r>
      <w:r w:rsidRPr="00755982">
        <w:rPr>
          <w:rFonts w:cstheme="minorHAnsi"/>
          <w:color w:val="1F3864" w:themeColor="accent1" w:themeShade="80"/>
          <w:sz w:val="21"/>
          <w:szCs w:val="21"/>
        </w:rPr>
        <w:t xml:space="preserve"> similar proportion of women and men </w:t>
      </w:r>
      <w:r>
        <w:rPr>
          <w:rFonts w:cstheme="minorHAnsi"/>
          <w:color w:val="1F3864" w:themeColor="accent1" w:themeShade="80"/>
          <w:sz w:val="21"/>
          <w:szCs w:val="21"/>
        </w:rPr>
        <w:t>have</w:t>
      </w:r>
      <w:r w:rsidRPr="00755982">
        <w:rPr>
          <w:rFonts w:cstheme="minorHAnsi"/>
          <w:color w:val="1F3864" w:themeColor="accent1" w:themeShade="80"/>
          <w:sz w:val="21"/>
          <w:szCs w:val="21"/>
        </w:rPr>
        <w:t xml:space="preserve"> professional</w:t>
      </w:r>
      <w:r>
        <w:rPr>
          <w:rFonts w:cstheme="minorHAnsi"/>
          <w:color w:val="1F3864" w:themeColor="accent1" w:themeShade="80"/>
          <w:sz w:val="21"/>
          <w:szCs w:val="21"/>
        </w:rPr>
        <w:t>/</w:t>
      </w:r>
      <w:r w:rsidRPr="00755982">
        <w:rPr>
          <w:rFonts w:cstheme="minorHAnsi"/>
          <w:color w:val="1F3864" w:themeColor="accent1" w:themeShade="80"/>
          <w:sz w:val="21"/>
          <w:szCs w:val="21"/>
        </w:rPr>
        <w:t xml:space="preserve">managerial </w:t>
      </w:r>
      <w:r>
        <w:rPr>
          <w:rFonts w:cstheme="minorHAnsi"/>
          <w:color w:val="1F3864" w:themeColor="accent1" w:themeShade="80"/>
          <w:sz w:val="21"/>
          <w:szCs w:val="21"/>
        </w:rPr>
        <w:t>jobs, more men</w:t>
      </w:r>
      <w:r w:rsidRPr="00755982">
        <w:rPr>
          <w:rFonts w:cstheme="minorHAnsi"/>
          <w:color w:val="1F3864" w:themeColor="accent1" w:themeShade="80"/>
          <w:sz w:val="21"/>
          <w:szCs w:val="21"/>
        </w:rPr>
        <w:t xml:space="preserve"> </w:t>
      </w:r>
      <w:r>
        <w:rPr>
          <w:rFonts w:cstheme="minorHAnsi"/>
          <w:color w:val="1F3864" w:themeColor="accent1" w:themeShade="80"/>
          <w:sz w:val="21"/>
          <w:szCs w:val="21"/>
        </w:rPr>
        <w:t>are labourers</w:t>
      </w:r>
      <w:r w:rsidRPr="00755982">
        <w:rPr>
          <w:rFonts w:cstheme="minorHAnsi"/>
          <w:color w:val="1F3864" w:themeColor="accent1" w:themeShade="80"/>
          <w:sz w:val="21"/>
          <w:szCs w:val="21"/>
        </w:rPr>
        <w:t>.</w:t>
      </w:r>
    </w:p>
    <w:p w14:paraId="122F926C" w14:textId="77777777" w:rsidR="00676D87" w:rsidRPr="00521C59" w:rsidRDefault="00676D87" w:rsidP="00676D87">
      <w:pPr>
        <w:spacing w:before="60" w:after="0" w:line="240" w:lineRule="auto"/>
        <w:jc w:val="both"/>
        <w:rPr>
          <w:rFonts w:cstheme="minorHAnsi"/>
          <w:sz w:val="21"/>
          <w:szCs w:val="21"/>
        </w:rPr>
      </w:pPr>
      <w:r w:rsidRPr="00521C59">
        <w:rPr>
          <w:rFonts w:cstheme="minorHAnsi"/>
          <w:sz w:val="21"/>
          <w:szCs w:val="21"/>
        </w:rPr>
        <w:t>In April 2020</w:t>
      </w:r>
      <w:r>
        <w:rPr>
          <w:rFonts w:cstheme="minorHAnsi"/>
          <w:sz w:val="21"/>
          <w:szCs w:val="21"/>
        </w:rPr>
        <w:t>,</w:t>
      </w:r>
      <w:r w:rsidRPr="00521C59">
        <w:rPr>
          <w:rFonts w:cstheme="minorHAnsi"/>
          <w:sz w:val="21"/>
          <w:szCs w:val="21"/>
        </w:rPr>
        <w:t xml:space="preserve"> 64% of Australian males aged 15+ held paid employment</w:t>
      </w:r>
      <w:r>
        <w:rPr>
          <w:rFonts w:cstheme="minorHAnsi"/>
          <w:sz w:val="21"/>
          <w:szCs w:val="21"/>
        </w:rPr>
        <w:t>,</w:t>
      </w:r>
      <w:r w:rsidRPr="00521C59">
        <w:rPr>
          <w:rFonts w:cstheme="minorHAnsi"/>
          <w:sz w:val="21"/>
          <w:szCs w:val="21"/>
        </w:rPr>
        <w:t xml:space="preserve"> compared with 55% of females</w:t>
      </w:r>
      <w:r>
        <w:rPr>
          <w:rFonts w:cstheme="minorHAnsi"/>
          <w:sz w:val="21"/>
          <w:szCs w:val="21"/>
        </w:rPr>
        <w:t xml:space="preserve"> – though the proportion of females who were in paid work has risen 46% since 1978 </w:t>
      </w:r>
      <w:r w:rsidRPr="000765CC">
        <w:rPr>
          <w:rFonts w:cstheme="minorHAnsi"/>
          <w:sz w:val="16"/>
          <w:szCs w:val="16"/>
        </w:rPr>
        <w:t>(Labour Force Australia, 2020, ABS)</w:t>
      </w:r>
      <w:r w:rsidRPr="00521C59">
        <w:rPr>
          <w:rFonts w:cstheme="minorHAnsi"/>
          <w:sz w:val="21"/>
          <w:szCs w:val="21"/>
        </w:rPr>
        <w:t>.</w:t>
      </w:r>
    </w:p>
    <w:p w14:paraId="4610F567" w14:textId="77777777" w:rsidR="00676D87" w:rsidRPr="00D67E48" w:rsidRDefault="00676D87" w:rsidP="00676D87">
      <w:pPr>
        <w:spacing w:before="60" w:after="0" w:line="240" w:lineRule="auto"/>
        <w:jc w:val="both"/>
        <w:rPr>
          <w:rFonts w:cstheme="minorHAnsi"/>
          <w:sz w:val="21"/>
          <w:szCs w:val="21"/>
        </w:rPr>
      </w:pPr>
      <w:r>
        <w:rPr>
          <w:rFonts w:cstheme="minorHAnsi"/>
          <w:sz w:val="21"/>
          <w:szCs w:val="21"/>
        </w:rPr>
        <w:t xml:space="preserve">In January 2020, 8.4% of women in the labour force (that is, employed or unemployed) were underemployed, compared with 5.9% of men </w:t>
      </w:r>
      <w:r w:rsidRPr="00110EDC">
        <w:rPr>
          <w:rFonts w:cstheme="minorHAnsi"/>
          <w:sz w:val="16"/>
          <w:szCs w:val="16"/>
        </w:rPr>
        <w:t>(Labour force Australia, 20</w:t>
      </w:r>
      <w:r>
        <w:rPr>
          <w:rFonts w:cstheme="minorHAnsi"/>
          <w:sz w:val="16"/>
          <w:szCs w:val="16"/>
        </w:rPr>
        <w:t>20</w:t>
      </w:r>
      <w:r w:rsidRPr="00110EDC">
        <w:rPr>
          <w:rFonts w:cstheme="minorHAnsi"/>
          <w:sz w:val="16"/>
          <w:szCs w:val="16"/>
        </w:rPr>
        <w:t>, ABS)</w:t>
      </w:r>
      <w:r>
        <w:rPr>
          <w:rFonts w:cstheme="minorHAnsi"/>
          <w:sz w:val="21"/>
          <w:szCs w:val="21"/>
        </w:rPr>
        <w:t>.</w:t>
      </w:r>
    </w:p>
    <w:p w14:paraId="13A344CA" w14:textId="77777777" w:rsidR="00676D87" w:rsidRPr="00D67E48" w:rsidRDefault="00676D87" w:rsidP="00676D87">
      <w:pPr>
        <w:spacing w:before="60" w:after="0" w:line="240" w:lineRule="auto"/>
        <w:jc w:val="both"/>
        <w:rPr>
          <w:rFonts w:cstheme="minorHAnsi"/>
          <w:sz w:val="21"/>
          <w:szCs w:val="21"/>
        </w:rPr>
      </w:pPr>
      <w:r w:rsidRPr="00521C59">
        <w:rPr>
          <w:rFonts w:cstheme="minorHAnsi"/>
          <w:sz w:val="21"/>
          <w:szCs w:val="21"/>
        </w:rPr>
        <w:t>In April 2020</w:t>
      </w:r>
      <w:r w:rsidRPr="00D67E48">
        <w:rPr>
          <w:rFonts w:cstheme="minorHAnsi"/>
          <w:sz w:val="21"/>
          <w:szCs w:val="21"/>
        </w:rPr>
        <w:t xml:space="preserve">, </w:t>
      </w:r>
      <w:r>
        <w:rPr>
          <w:rFonts w:cstheme="minorHAnsi"/>
          <w:sz w:val="21"/>
          <w:szCs w:val="21"/>
        </w:rPr>
        <w:t>44</w:t>
      </w:r>
      <w:r w:rsidRPr="00D67E48">
        <w:rPr>
          <w:rFonts w:cstheme="minorHAnsi"/>
          <w:sz w:val="21"/>
          <w:szCs w:val="21"/>
        </w:rPr>
        <w:t xml:space="preserve">% of women and </w:t>
      </w:r>
      <w:r>
        <w:rPr>
          <w:rFonts w:cstheme="minorHAnsi"/>
          <w:sz w:val="21"/>
          <w:szCs w:val="21"/>
        </w:rPr>
        <w:t>18</w:t>
      </w:r>
      <w:r w:rsidRPr="00D67E48">
        <w:rPr>
          <w:rFonts w:cstheme="minorHAnsi"/>
          <w:sz w:val="21"/>
          <w:szCs w:val="21"/>
        </w:rPr>
        <w:t>% of men</w:t>
      </w:r>
      <w:r>
        <w:rPr>
          <w:rFonts w:cstheme="minorHAnsi"/>
          <w:sz w:val="21"/>
          <w:szCs w:val="21"/>
        </w:rPr>
        <w:t xml:space="preserve"> in paid employment worked part-time</w:t>
      </w:r>
      <w:r w:rsidRPr="00D67E48">
        <w:rPr>
          <w:rFonts w:cstheme="minorHAnsi"/>
          <w:sz w:val="21"/>
          <w:szCs w:val="21"/>
        </w:rPr>
        <w:t xml:space="preserve"> </w:t>
      </w:r>
      <w:r w:rsidRPr="00755982">
        <w:rPr>
          <w:rFonts w:cstheme="minorHAnsi"/>
          <w:sz w:val="16"/>
          <w:szCs w:val="16"/>
        </w:rPr>
        <w:t>(</w:t>
      </w:r>
      <w:r w:rsidRPr="00110EDC">
        <w:rPr>
          <w:rFonts w:cstheme="minorHAnsi"/>
          <w:sz w:val="16"/>
          <w:szCs w:val="16"/>
        </w:rPr>
        <w:t>Labour force Australia, 20</w:t>
      </w:r>
      <w:r>
        <w:rPr>
          <w:rFonts w:cstheme="minorHAnsi"/>
          <w:sz w:val="16"/>
          <w:szCs w:val="16"/>
        </w:rPr>
        <w:t>20</w:t>
      </w:r>
      <w:r w:rsidRPr="00110EDC">
        <w:rPr>
          <w:rFonts w:cstheme="minorHAnsi"/>
          <w:sz w:val="16"/>
          <w:szCs w:val="16"/>
        </w:rPr>
        <w:t>, ABS)</w:t>
      </w:r>
      <w:r>
        <w:rPr>
          <w:rFonts w:cstheme="minorHAnsi"/>
          <w:sz w:val="21"/>
          <w:szCs w:val="21"/>
        </w:rPr>
        <w:t>.</w:t>
      </w:r>
    </w:p>
    <w:p w14:paraId="7992C116" w14:textId="77777777" w:rsidR="00676D87" w:rsidRPr="00D67E48" w:rsidRDefault="00676D87" w:rsidP="00676D87">
      <w:pPr>
        <w:spacing w:before="60" w:after="0" w:line="240" w:lineRule="auto"/>
        <w:jc w:val="both"/>
        <w:rPr>
          <w:rFonts w:cstheme="minorHAnsi"/>
          <w:sz w:val="21"/>
          <w:szCs w:val="21"/>
        </w:rPr>
      </w:pPr>
      <w:r>
        <w:rPr>
          <w:rFonts w:cstheme="minorHAnsi"/>
          <w:sz w:val="21"/>
          <w:szCs w:val="21"/>
        </w:rPr>
        <w:t>Of</w:t>
      </w:r>
      <w:r w:rsidRPr="00D67E48">
        <w:rPr>
          <w:rFonts w:cstheme="minorHAnsi"/>
          <w:sz w:val="21"/>
          <w:szCs w:val="21"/>
        </w:rPr>
        <w:t xml:space="preserve"> Victorians in paid employment in 2016, 8% of females and 22% of males </w:t>
      </w:r>
      <w:r>
        <w:rPr>
          <w:rFonts w:cstheme="minorHAnsi"/>
          <w:sz w:val="21"/>
          <w:szCs w:val="21"/>
        </w:rPr>
        <w:t>worked</w:t>
      </w:r>
      <w:r w:rsidRPr="00D67E48">
        <w:rPr>
          <w:rFonts w:cstheme="minorHAnsi"/>
          <w:sz w:val="21"/>
          <w:szCs w:val="21"/>
        </w:rPr>
        <w:t xml:space="preserve"> as labourers or machinery operators, while 37% of males and 38</w:t>
      </w:r>
      <w:r>
        <w:rPr>
          <w:rFonts w:cstheme="minorHAnsi"/>
          <w:sz w:val="21"/>
          <w:szCs w:val="21"/>
        </w:rPr>
        <w:t>%</w:t>
      </w:r>
      <w:r w:rsidRPr="00D67E48">
        <w:rPr>
          <w:rFonts w:cstheme="minorHAnsi"/>
          <w:sz w:val="21"/>
          <w:szCs w:val="21"/>
        </w:rPr>
        <w:t xml:space="preserve"> of females </w:t>
      </w:r>
      <w:r>
        <w:rPr>
          <w:rFonts w:cstheme="minorHAnsi"/>
          <w:sz w:val="21"/>
          <w:szCs w:val="21"/>
        </w:rPr>
        <w:t>were</w:t>
      </w:r>
      <w:r w:rsidRPr="00D67E48">
        <w:rPr>
          <w:rFonts w:cstheme="minorHAnsi"/>
          <w:sz w:val="21"/>
          <w:szCs w:val="21"/>
        </w:rPr>
        <w:t xml:space="preserve"> managers or professionals </w:t>
      </w:r>
      <w:r w:rsidRPr="00755982">
        <w:rPr>
          <w:rFonts w:cstheme="minorHAnsi"/>
          <w:sz w:val="16"/>
          <w:szCs w:val="16"/>
        </w:rPr>
        <w:t>(2016 Census, ABS).</w:t>
      </w:r>
    </w:p>
    <w:p w14:paraId="0E0662AE"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Occupational segregation is pronounced within certain fields of occupation. Among employed Victorians in 2016, jobs with fewer than 2% women included construction workers, plumbers, carpenters, concreters, bricklayers, glaziers, plasterers, motor mechanics, panel beaters, electricians, tr</w:t>
      </w:r>
      <w:r>
        <w:rPr>
          <w:rFonts w:cstheme="minorHAnsi"/>
          <w:sz w:val="21"/>
          <w:szCs w:val="21"/>
        </w:rPr>
        <w:t>u</w:t>
      </w:r>
      <w:r w:rsidRPr="00D67E48">
        <w:rPr>
          <w:rFonts w:cstheme="minorHAnsi"/>
          <w:sz w:val="21"/>
          <w:szCs w:val="21"/>
        </w:rPr>
        <w:t>ck drivers, tilers and cabinetmakers.</w:t>
      </w:r>
    </w:p>
    <w:p w14:paraId="26046017"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 xml:space="preserve">By contrast, occupations with 95% or more women included receptionists, secretaries, personal assistants, midwives, dieticians, veterinary nurses, dental assistants, beauty therapists, child carers and preschool teachers </w:t>
      </w:r>
      <w:r w:rsidRPr="00755982">
        <w:rPr>
          <w:rFonts w:cstheme="minorHAnsi"/>
          <w:sz w:val="16"/>
          <w:szCs w:val="16"/>
        </w:rPr>
        <w:t>(2016 Census, ABS).</w:t>
      </w:r>
    </w:p>
    <w:p w14:paraId="10E712A6" w14:textId="77777777" w:rsidR="00676D87" w:rsidRPr="00D67E48" w:rsidRDefault="00676D87" w:rsidP="00676D87">
      <w:pPr>
        <w:spacing w:before="60" w:after="0" w:line="240" w:lineRule="auto"/>
        <w:jc w:val="both"/>
        <w:rPr>
          <w:rFonts w:cstheme="minorHAnsi"/>
          <w:sz w:val="21"/>
          <w:szCs w:val="21"/>
        </w:rPr>
      </w:pPr>
      <w:r w:rsidRPr="00AD1928">
        <w:rPr>
          <w:rFonts w:cstheme="minorHAnsi"/>
        </w:rPr>
        <w:t xml:space="preserve">In 2018/19 women </w:t>
      </w:r>
      <w:r>
        <w:rPr>
          <w:rFonts w:cstheme="minorHAnsi"/>
        </w:rPr>
        <w:t>accounted</w:t>
      </w:r>
      <w:r w:rsidRPr="00AD1928">
        <w:rPr>
          <w:rFonts w:cstheme="minorHAnsi"/>
        </w:rPr>
        <w:t xml:space="preserve"> for 19% of permanent members of the Australian Defence Force</w:t>
      </w:r>
      <w:r>
        <w:rPr>
          <w:rFonts w:cstheme="minorHAnsi"/>
          <w:sz w:val="16"/>
          <w:szCs w:val="16"/>
        </w:rPr>
        <w:t xml:space="preserve"> (Dept. Defence Annual Report 2018/19)</w:t>
      </w:r>
    </w:p>
    <w:p w14:paraId="0BC317F1" w14:textId="77777777" w:rsidR="00676D87" w:rsidRPr="0047477B" w:rsidRDefault="00676D87" w:rsidP="00676D87">
      <w:pPr>
        <w:spacing w:before="240" w:after="0" w:line="240" w:lineRule="auto"/>
        <w:jc w:val="both"/>
        <w:rPr>
          <w:rFonts w:cstheme="minorHAnsi"/>
          <w:b/>
          <w:color w:val="1F3864" w:themeColor="accent1" w:themeShade="80"/>
          <w:sz w:val="24"/>
          <w:szCs w:val="24"/>
        </w:rPr>
      </w:pPr>
      <w:r>
        <w:rPr>
          <w:rFonts w:cstheme="minorHAnsi"/>
          <w:b/>
          <w:noProof/>
          <w:color w:val="4472C4" w:themeColor="accent1"/>
          <w:sz w:val="24"/>
          <w:szCs w:val="24"/>
        </w:rPr>
        <w:drawing>
          <wp:anchor distT="0" distB="0" distL="114300" distR="114300" simplePos="0" relativeHeight="251664384" behindDoc="0" locked="0" layoutInCell="1" allowOverlap="1" wp14:anchorId="73008B91" wp14:editId="76F71FCD">
            <wp:simplePos x="0" y="0"/>
            <wp:positionH relativeFrom="column">
              <wp:posOffset>3810</wp:posOffset>
            </wp:positionH>
            <wp:positionV relativeFrom="paragraph">
              <wp:posOffset>223520</wp:posOffset>
            </wp:positionV>
            <wp:extent cx="576000" cy="396000"/>
            <wp:effectExtent l="0" t="0" r="0" b="444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Commerce Employment 1.jpg"/>
                    <pic:cNvPicPr/>
                  </pic:nvPicPr>
                  <pic:blipFill rotWithShape="1">
                    <a:blip r:embed="rId9">
                      <a:extLst>
                        <a:ext uri="{28A0092B-C50C-407E-A947-70E740481C1C}">
                          <a14:useLocalDpi xmlns:a14="http://schemas.microsoft.com/office/drawing/2010/main" val="0"/>
                        </a:ext>
                      </a:extLst>
                    </a:blip>
                    <a:srcRect t="31324" b="24558"/>
                    <a:stretch/>
                  </pic:blipFill>
                  <pic:spPr bwMode="auto">
                    <a:xfrm>
                      <a:off x="0" y="0"/>
                      <a:ext cx="576000" cy="39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Business Leadership</w:t>
      </w:r>
    </w:p>
    <w:p w14:paraId="567A1D6A"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 xml:space="preserve">Women account for a minority of CEOs and board members, though their representation in </w:t>
      </w:r>
      <w:r>
        <w:rPr>
          <w:rFonts w:cstheme="minorHAnsi"/>
          <w:color w:val="1F3864" w:themeColor="accent1" w:themeShade="80"/>
          <w:sz w:val="21"/>
          <w:szCs w:val="21"/>
        </w:rPr>
        <w:t xml:space="preserve">such </w:t>
      </w:r>
      <w:r w:rsidRPr="00755982">
        <w:rPr>
          <w:rFonts w:cstheme="minorHAnsi"/>
          <w:color w:val="1F3864" w:themeColor="accent1" w:themeShade="80"/>
          <w:sz w:val="21"/>
          <w:szCs w:val="21"/>
        </w:rPr>
        <w:t>senior positions has risen in recent years.</w:t>
      </w:r>
    </w:p>
    <w:p w14:paraId="25C7536F" w14:textId="77777777" w:rsidR="00676D87" w:rsidRPr="00D67E48" w:rsidRDefault="00676D87" w:rsidP="00676D87">
      <w:pPr>
        <w:spacing w:before="60" w:after="0" w:line="240" w:lineRule="auto"/>
        <w:jc w:val="both"/>
        <w:rPr>
          <w:rFonts w:cstheme="minorHAnsi"/>
          <w:sz w:val="21"/>
          <w:szCs w:val="21"/>
        </w:rPr>
      </w:pPr>
      <w:r>
        <w:rPr>
          <w:rFonts w:cstheme="minorHAnsi"/>
        </w:rPr>
        <w:t>I</w:t>
      </w:r>
      <w:r w:rsidRPr="000F2FDB">
        <w:rPr>
          <w:rFonts w:cstheme="minorHAnsi"/>
        </w:rPr>
        <w:t>n 2018/19, women accounted for 39% of all managers and 44% of all managerial appointments</w:t>
      </w:r>
      <w:r>
        <w:rPr>
          <w:rFonts w:cstheme="minorHAnsi"/>
          <w:sz w:val="16"/>
          <w:szCs w:val="16"/>
        </w:rPr>
        <w:t xml:space="preserve"> (Gender Equality Scorecard, Workplace Gender Equality Agency)</w:t>
      </w:r>
    </w:p>
    <w:p w14:paraId="6AD8A0B0"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In 2017/18</w:t>
      </w:r>
      <w:r>
        <w:rPr>
          <w:rFonts w:cstheme="minorHAnsi"/>
          <w:sz w:val="21"/>
          <w:szCs w:val="21"/>
        </w:rPr>
        <w:t xml:space="preserve">, Australian </w:t>
      </w:r>
      <w:r w:rsidRPr="00D67E48">
        <w:rPr>
          <w:rFonts w:cstheme="minorHAnsi"/>
          <w:sz w:val="21"/>
          <w:szCs w:val="21"/>
        </w:rPr>
        <w:t xml:space="preserve">women accounted for 17% of CEOs of non-public sector </w:t>
      </w:r>
      <w:r>
        <w:rPr>
          <w:rFonts w:cstheme="minorHAnsi"/>
          <w:sz w:val="21"/>
          <w:szCs w:val="21"/>
        </w:rPr>
        <w:t>organisations</w:t>
      </w:r>
      <w:r w:rsidRPr="00D67E48">
        <w:rPr>
          <w:rFonts w:cstheme="minorHAnsi"/>
          <w:sz w:val="21"/>
          <w:szCs w:val="21"/>
        </w:rPr>
        <w:t xml:space="preserve">, 31% of their key management personnel, 26% of directors and 14% of chairpersons </w:t>
      </w:r>
      <w:r w:rsidRPr="00755982">
        <w:rPr>
          <w:rFonts w:cstheme="minorHAnsi"/>
          <w:sz w:val="16"/>
          <w:szCs w:val="16"/>
        </w:rPr>
        <w:t>(</w:t>
      </w:r>
      <w:bookmarkStart w:id="0" w:name="_Hlk52381684"/>
      <w:r w:rsidRPr="00755982">
        <w:rPr>
          <w:rFonts w:cstheme="minorHAnsi"/>
          <w:sz w:val="16"/>
          <w:szCs w:val="16"/>
        </w:rPr>
        <w:t>Gender Indicators Australia, Nov. 2019, ABS</w:t>
      </w:r>
      <w:bookmarkEnd w:id="0"/>
      <w:r w:rsidRPr="00755982">
        <w:rPr>
          <w:rFonts w:cstheme="minorHAnsi"/>
          <w:sz w:val="16"/>
          <w:szCs w:val="16"/>
        </w:rPr>
        <w:t>).</w:t>
      </w:r>
    </w:p>
    <w:p w14:paraId="13997833"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lastRenderedPageBreak/>
        <w:t xml:space="preserve">In 2018, the proportion of women on boards in ASX 200 companies stood at </w:t>
      </w:r>
      <w:r>
        <w:rPr>
          <w:rFonts w:cstheme="minorHAnsi"/>
          <w:sz w:val="21"/>
          <w:szCs w:val="21"/>
        </w:rPr>
        <w:t>28</w:t>
      </w:r>
      <w:r w:rsidRPr="00D67E48">
        <w:rPr>
          <w:rFonts w:cstheme="minorHAnsi"/>
          <w:sz w:val="21"/>
          <w:szCs w:val="21"/>
        </w:rPr>
        <w:t>% (compared with 8% in 2008)</w:t>
      </w:r>
      <w:r>
        <w:rPr>
          <w:rFonts w:cstheme="minorHAnsi"/>
          <w:sz w:val="21"/>
          <w:szCs w:val="21"/>
        </w:rPr>
        <w:t xml:space="preserve"> </w:t>
      </w:r>
      <w:r w:rsidRPr="00C93909">
        <w:rPr>
          <w:rFonts w:cstheme="minorHAnsi"/>
          <w:sz w:val="16"/>
          <w:szCs w:val="16"/>
        </w:rPr>
        <w:t>(Women in STEM. Australian Academy of Science, 2019)</w:t>
      </w:r>
      <w:r>
        <w:rPr>
          <w:rFonts w:cstheme="minorHAnsi"/>
          <w:sz w:val="16"/>
          <w:szCs w:val="16"/>
        </w:rPr>
        <w:t>.</w:t>
      </w:r>
    </w:p>
    <w:p w14:paraId="01A5048A"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In 2018, 19% of 20-64 year-old Australian males and 11% of females, were</w:t>
      </w:r>
      <w:r>
        <w:rPr>
          <w:rFonts w:cstheme="minorHAnsi"/>
          <w:sz w:val="21"/>
          <w:szCs w:val="21"/>
        </w:rPr>
        <w:t xml:space="preserve"> business owners or managers</w:t>
      </w:r>
      <w:r w:rsidRPr="00D67E48">
        <w:rPr>
          <w:rFonts w:cstheme="minorHAnsi"/>
          <w:sz w:val="21"/>
          <w:szCs w:val="21"/>
        </w:rPr>
        <w:t xml:space="preserve"> </w:t>
      </w:r>
      <w:r w:rsidRPr="00755982">
        <w:rPr>
          <w:rFonts w:cstheme="minorHAnsi"/>
          <w:sz w:val="16"/>
          <w:szCs w:val="16"/>
        </w:rPr>
        <w:t>(Characteristics of Employment, Australia, August 2018, cat. 6333.0)</w:t>
      </w:r>
      <w:r>
        <w:rPr>
          <w:rFonts w:cstheme="minorHAnsi"/>
          <w:sz w:val="16"/>
          <w:szCs w:val="16"/>
        </w:rPr>
        <w:t>.</w:t>
      </w:r>
    </w:p>
    <w:p w14:paraId="32ABC49A"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The number of women CEOs of councils in Victoria rose from 11 to </w:t>
      </w:r>
      <w:r>
        <w:rPr>
          <w:rFonts w:cstheme="minorHAnsi"/>
          <w:sz w:val="21"/>
          <w:szCs w:val="21"/>
        </w:rPr>
        <w:t>2</w:t>
      </w:r>
      <w:r w:rsidRPr="00D67E48">
        <w:rPr>
          <w:rFonts w:cstheme="minorHAnsi"/>
          <w:sz w:val="21"/>
          <w:szCs w:val="21"/>
        </w:rPr>
        <w:t>3</w:t>
      </w:r>
      <w:r>
        <w:rPr>
          <w:rFonts w:cstheme="minorHAnsi"/>
          <w:sz w:val="21"/>
          <w:szCs w:val="21"/>
        </w:rPr>
        <w:t>,</w:t>
      </w:r>
      <w:r w:rsidRPr="00D67E48">
        <w:rPr>
          <w:rFonts w:cstheme="minorHAnsi"/>
          <w:sz w:val="21"/>
          <w:szCs w:val="21"/>
        </w:rPr>
        <w:t xml:space="preserve"> between 2000 and 20</w:t>
      </w:r>
      <w:r>
        <w:rPr>
          <w:rFonts w:cstheme="minorHAnsi"/>
          <w:sz w:val="21"/>
          <w:szCs w:val="21"/>
        </w:rPr>
        <w:t xml:space="preserve">20 </w:t>
      </w:r>
      <w:r w:rsidRPr="001F41AF">
        <w:rPr>
          <w:rFonts w:cstheme="minorHAnsi"/>
          <w:sz w:val="16"/>
          <w:szCs w:val="16"/>
        </w:rPr>
        <w:t>(Victorian Govt, 2020).</w:t>
      </w:r>
    </w:p>
    <w:p w14:paraId="02A210B5" w14:textId="77777777" w:rsidR="00676D87" w:rsidRPr="0047477B" w:rsidRDefault="00676D87" w:rsidP="00676D87">
      <w:pPr>
        <w:spacing w:before="240" w:after="0" w:line="240" w:lineRule="auto"/>
        <w:jc w:val="both"/>
        <w:rPr>
          <w:rFonts w:cstheme="minorHAnsi"/>
          <w:b/>
          <w:color w:val="1F3864" w:themeColor="accent1" w:themeShade="80"/>
          <w:sz w:val="24"/>
          <w:szCs w:val="24"/>
        </w:rPr>
      </w:pPr>
      <w:r>
        <w:rPr>
          <w:noProof/>
        </w:rPr>
        <w:drawing>
          <wp:anchor distT="0" distB="0" distL="114300" distR="114300" simplePos="0" relativeHeight="251661312" behindDoc="0" locked="0" layoutInCell="1" allowOverlap="1" wp14:anchorId="018BEB7F" wp14:editId="6FD60987">
            <wp:simplePos x="0" y="0"/>
            <wp:positionH relativeFrom="margin">
              <wp:posOffset>0</wp:posOffset>
            </wp:positionH>
            <wp:positionV relativeFrom="paragraph">
              <wp:posOffset>213360</wp:posOffset>
            </wp:positionV>
            <wp:extent cx="576000" cy="396000"/>
            <wp:effectExtent l="0" t="0" r="0" b="4445"/>
            <wp:wrapSquare wrapText="bothSides"/>
            <wp:docPr id="18" name="Picture 17" descr="1387517_2012_crisis.jpg">
              <a:extLst xmlns:a="http://schemas.openxmlformats.org/drawingml/2006/main">
                <a:ext uri="{FF2B5EF4-FFF2-40B4-BE49-F238E27FC236}">
                  <a16:creationId xmlns:a16="http://schemas.microsoft.com/office/drawing/2014/main" id="{00000000-0008-0000-0300-000012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7" descr="1387517_2012_crisis.jpg">
                      <a:extLst>
                        <a:ext uri="{FF2B5EF4-FFF2-40B4-BE49-F238E27FC236}">
                          <a16:creationId xmlns:a16="http://schemas.microsoft.com/office/drawing/2014/main" id="{00000000-0008-0000-0300-000012000000}"/>
                        </a:ext>
                      </a:extLst>
                    </pic:cNvPr>
                    <pic:cNvPicPr>
                      <a:picLock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0" cy="396000"/>
                    </a:xfrm>
                    <a:prstGeom prst="rect">
                      <a:avLst/>
                    </a:prstGeom>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Incomes</w:t>
      </w:r>
    </w:p>
    <w:p w14:paraId="1E6796AE" w14:textId="77777777" w:rsidR="00676D87" w:rsidRPr="00755982" w:rsidRDefault="00676D87" w:rsidP="00676D87">
      <w:pPr>
        <w:spacing w:before="60" w:after="0" w:line="240" w:lineRule="auto"/>
        <w:jc w:val="both"/>
        <w:rPr>
          <w:rFonts w:cstheme="minorHAnsi"/>
          <w:color w:val="1F3864" w:themeColor="accent1" w:themeShade="80"/>
          <w:sz w:val="21"/>
          <w:szCs w:val="21"/>
        </w:rPr>
      </w:pPr>
      <w:r>
        <w:rPr>
          <w:rFonts w:cstheme="minorHAnsi"/>
          <w:color w:val="1F3864" w:themeColor="accent1" w:themeShade="80"/>
          <w:sz w:val="21"/>
          <w:szCs w:val="21"/>
        </w:rPr>
        <w:t>A</w:t>
      </w:r>
      <w:r w:rsidRPr="00755982">
        <w:rPr>
          <w:rFonts w:cstheme="minorHAnsi"/>
          <w:color w:val="1F3864" w:themeColor="accent1" w:themeShade="80"/>
          <w:sz w:val="21"/>
          <w:szCs w:val="21"/>
        </w:rPr>
        <w:t xml:space="preserve">verage hourly rates of pay among women are </w:t>
      </w:r>
      <w:r>
        <w:rPr>
          <w:rFonts w:cstheme="minorHAnsi"/>
          <w:color w:val="1F3864" w:themeColor="accent1" w:themeShade="80"/>
          <w:sz w:val="21"/>
          <w:szCs w:val="21"/>
        </w:rPr>
        <w:t>between 3% and 11%</w:t>
      </w:r>
      <w:r w:rsidRPr="00755982">
        <w:rPr>
          <w:rFonts w:cstheme="minorHAnsi"/>
          <w:color w:val="1F3864" w:themeColor="accent1" w:themeShade="80"/>
          <w:sz w:val="21"/>
          <w:szCs w:val="21"/>
        </w:rPr>
        <w:t xml:space="preserve"> lower than for men</w:t>
      </w:r>
      <w:r>
        <w:rPr>
          <w:rFonts w:cstheme="minorHAnsi"/>
          <w:color w:val="1F3864" w:themeColor="accent1" w:themeShade="80"/>
          <w:sz w:val="21"/>
          <w:szCs w:val="21"/>
        </w:rPr>
        <w:t>. However,</w:t>
      </w:r>
      <w:r w:rsidRPr="00755982">
        <w:rPr>
          <w:rFonts w:cstheme="minorHAnsi"/>
          <w:color w:val="1F3864" w:themeColor="accent1" w:themeShade="80"/>
          <w:sz w:val="21"/>
          <w:szCs w:val="21"/>
        </w:rPr>
        <w:t xml:space="preserve"> </w:t>
      </w:r>
      <w:r>
        <w:rPr>
          <w:rFonts w:cstheme="minorHAnsi"/>
          <w:color w:val="1F3864" w:themeColor="accent1" w:themeShade="80"/>
          <w:sz w:val="21"/>
          <w:szCs w:val="21"/>
        </w:rPr>
        <w:t xml:space="preserve">on average, </w:t>
      </w:r>
      <w:r w:rsidRPr="00755982">
        <w:rPr>
          <w:rFonts w:cstheme="minorHAnsi"/>
          <w:color w:val="1F3864" w:themeColor="accent1" w:themeShade="80"/>
          <w:sz w:val="21"/>
          <w:szCs w:val="21"/>
        </w:rPr>
        <w:t xml:space="preserve">women receive </w:t>
      </w:r>
      <w:r>
        <w:rPr>
          <w:rFonts w:cstheme="minorHAnsi"/>
          <w:color w:val="1F3864" w:themeColor="accent1" w:themeShade="80"/>
          <w:sz w:val="21"/>
          <w:szCs w:val="21"/>
        </w:rPr>
        <w:t>far</w:t>
      </w:r>
      <w:r w:rsidRPr="00755982">
        <w:rPr>
          <w:rFonts w:cstheme="minorHAnsi"/>
          <w:color w:val="1F3864" w:themeColor="accent1" w:themeShade="80"/>
          <w:sz w:val="21"/>
          <w:szCs w:val="21"/>
        </w:rPr>
        <w:t xml:space="preserve"> lower incomes</w:t>
      </w:r>
      <w:r>
        <w:rPr>
          <w:rFonts w:cstheme="minorHAnsi"/>
          <w:color w:val="1F3864" w:themeColor="accent1" w:themeShade="80"/>
          <w:sz w:val="21"/>
          <w:szCs w:val="21"/>
        </w:rPr>
        <w:t xml:space="preserve"> and accumulate less superannuation</w:t>
      </w:r>
      <w:r w:rsidRPr="001F41AF">
        <w:rPr>
          <w:rFonts w:cstheme="minorHAnsi"/>
          <w:color w:val="1F3864" w:themeColor="accent1" w:themeShade="80"/>
          <w:sz w:val="21"/>
          <w:szCs w:val="21"/>
        </w:rPr>
        <w:t xml:space="preserve"> </w:t>
      </w:r>
      <w:r>
        <w:rPr>
          <w:rFonts w:cstheme="minorHAnsi"/>
          <w:color w:val="1F3864" w:themeColor="accent1" w:themeShade="80"/>
          <w:sz w:val="21"/>
          <w:szCs w:val="21"/>
        </w:rPr>
        <w:t>than men,</w:t>
      </w:r>
      <w:r w:rsidRPr="00755982">
        <w:rPr>
          <w:rFonts w:cstheme="minorHAnsi"/>
          <w:color w:val="1F3864" w:themeColor="accent1" w:themeShade="80"/>
          <w:sz w:val="21"/>
          <w:szCs w:val="21"/>
        </w:rPr>
        <w:t xml:space="preserve"> as they are less likely to hold paid employment, work full-time or work overtime.</w:t>
      </w:r>
    </w:p>
    <w:p w14:paraId="070C65C6" w14:textId="77777777" w:rsidR="00676D87" w:rsidRDefault="00676D87" w:rsidP="00676D87">
      <w:pPr>
        <w:spacing w:before="60" w:after="0" w:line="240" w:lineRule="auto"/>
        <w:jc w:val="both"/>
        <w:rPr>
          <w:rFonts w:cstheme="minorHAnsi"/>
          <w:sz w:val="16"/>
          <w:szCs w:val="16"/>
        </w:rPr>
      </w:pPr>
      <w:r>
        <w:rPr>
          <w:rFonts w:cstheme="minorHAnsi"/>
          <w:sz w:val="21"/>
          <w:szCs w:val="21"/>
        </w:rPr>
        <w:t xml:space="preserve">In 2016, median individual gross incomes in Victoria were 37% lower among women than men overall, 12% lower among those in full-time employment, and 3% lower in hourly rates of pay </w:t>
      </w:r>
      <w:r w:rsidRPr="00755982">
        <w:rPr>
          <w:rFonts w:cstheme="minorHAnsi"/>
          <w:sz w:val="16"/>
          <w:szCs w:val="16"/>
        </w:rPr>
        <w:t>(2016 Census, ABS).</w:t>
      </w:r>
    </w:p>
    <w:p w14:paraId="01A91385" w14:textId="77777777" w:rsidR="00676D87" w:rsidRDefault="00676D87" w:rsidP="00676D87">
      <w:pPr>
        <w:spacing w:before="60" w:after="0" w:line="240" w:lineRule="auto"/>
        <w:jc w:val="both"/>
        <w:rPr>
          <w:rFonts w:cstheme="minorHAnsi"/>
          <w:sz w:val="21"/>
          <w:szCs w:val="21"/>
        </w:rPr>
      </w:pPr>
      <w:r w:rsidRPr="00483464">
        <w:rPr>
          <w:rFonts w:cstheme="minorHAnsi"/>
        </w:rPr>
        <w:t xml:space="preserve">Applying a slightly difference procedure though, the Australian Bureau of Statistics reported that in 2018, the median average </w:t>
      </w:r>
      <w:r w:rsidRPr="00483464">
        <w:rPr>
          <w:rFonts w:cstheme="minorHAnsi"/>
          <w:i/>
        </w:rPr>
        <w:t>hourly</w:t>
      </w:r>
      <w:r w:rsidRPr="00D67E48">
        <w:rPr>
          <w:rFonts w:cstheme="minorHAnsi"/>
          <w:sz w:val="21"/>
          <w:szCs w:val="21"/>
        </w:rPr>
        <w:t xml:space="preserve"> income of women in employment in Australia</w:t>
      </w:r>
      <w:r>
        <w:rPr>
          <w:rFonts w:cstheme="minorHAnsi"/>
          <w:sz w:val="21"/>
          <w:szCs w:val="21"/>
        </w:rPr>
        <w:t xml:space="preserve"> </w:t>
      </w:r>
      <w:r w:rsidRPr="00D67E48">
        <w:rPr>
          <w:rFonts w:cstheme="minorHAnsi"/>
          <w:sz w:val="21"/>
          <w:szCs w:val="21"/>
        </w:rPr>
        <w:t xml:space="preserve">was recorded as 89% that of men in employment - an 11% difference </w:t>
      </w:r>
      <w:r w:rsidRPr="00755982">
        <w:rPr>
          <w:rFonts w:cstheme="minorHAnsi"/>
          <w:sz w:val="16"/>
          <w:szCs w:val="16"/>
        </w:rPr>
        <w:t>(Survey of Employee Earnings and Hours, Australia, August 2018, cat. 6306.0)</w:t>
      </w:r>
      <w:r>
        <w:rPr>
          <w:rFonts w:cstheme="minorHAnsi"/>
          <w:sz w:val="16"/>
          <w:szCs w:val="16"/>
        </w:rPr>
        <w:t>.</w:t>
      </w:r>
    </w:p>
    <w:p w14:paraId="4E5E8216"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 xml:space="preserve">In 2017/18, the median superannuation </w:t>
      </w:r>
      <w:r>
        <w:rPr>
          <w:rFonts w:cstheme="minorHAnsi"/>
          <w:sz w:val="21"/>
          <w:szCs w:val="21"/>
        </w:rPr>
        <w:t xml:space="preserve">account </w:t>
      </w:r>
      <w:r w:rsidRPr="00D67E48">
        <w:rPr>
          <w:rFonts w:cstheme="minorHAnsi"/>
          <w:sz w:val="21"/>
          <w:szCs w:val="21"/>
        </w:rPr>
        <w:t xml:space="preserve">balance among Australians aged </w:t>
      </w:r>
      <w:r>
        <w:rPr>
          <w:rFonts w:cstheme="minorHAnsi"/>
          <w:sz w:val="21"/>
          <w:szCs w:val="21"/>
        </w:rPr>
        <w:t>5</w:t>
      </w:r>
      <w:r w:rsidRPr="00D67E48">
        <w:rPr>
          <w:rFonts w:cstheme="minorHAnsi"/>
          <w:sz w:val="21"/>
          <w:szCs w:val="21"/>
        </w:rPr>
        <w:t>5-6</w:t>
      </w:r>
      <w:r>
        <w:rPr>
          <w:rFonts w:cstheme="minorHAnsi"/>
          <w:sz w:val="21"/>
          <w:szCs w:val="21"/>
        </w:rPr>
        <w:t>4</w:t>
      </w:r>
      <w:r w:rsidRPr="00D67E48">
        <w:rPr>
          <w:rFonts w:cstheme="minorHAnsi"/>
          <w:sz w:val="21"/>
          <w:szCs w:val="21"/>
        </w:rPr>
        <w:t xml:space="preserve"> was $</w:t>
      </w:r>
      <w:r>
        <w:rPr>
          <w:rFonts w:cstheme="minorHAnsi"/>
          <w:sz w:val="21"/>
          <w:szCs w:val="21"/>
        </w:rPr>
        <w:t>183</w:t>
      </w:r>
      <w:r w:rsidRPr="00D67E48">
        <w:rPr>
          <w:rFonts w:cstheme="minorHAnsi"/>
          <w:sz w:val="21"/>
          <w:szCs w:val="21"/>
        </w:rPr>
        <w:t>,000 among men and $</w:t>
      </w:r>
      <w:r>
        <w:rPr>
          <w:rFonts w:cstheme="minorHAnsi"/>
          <w:sz w:val="21"/>
          <w:szCs w:val="21"/>
        </w:rPr>
        <w:t>119</w:t>
      </w:r>
      <w:r w:rsidRPr="00D67E48">
        <w:rPr>
          <w:rFonts w:cstheme="minorHAnsi"/>
          <w:sz w:val="21"/>
          <w:szCs w:val="21"/>
        </w:rPr>
        <w:t>,000 among women</w:t>
      </w:r>
      <w:r>
        <w:rPr>
          <w:rFonts w:cstheme="minorHAnsi"/>
          <w:sz w:val="21"/>
          <w:szCs w:val="21"/>
        </w:rPr>
        <w:t xml:space="preserve"> – 65% of the male average </w:t>
      </w:r>
      <w:r w:rsidRPr="00755982">
        <w:rPr>
          <w:rFonts w:cstheme="minorHAnsi"/>
          <w:sz w:val="16"/>
          <w:szCs w:val="16"/>
        </w:rPr>
        <w:t>(Household Income and Wealth, Australia, 2017–18, cat. 6523.0).</w:t>
      </w:r>
      <w:r>
        <w:rPr>
          <w:rFonts w:cstheme="minorHAnsi"/>
          <w:sz w:val="16"/>
          <w:szCs w:val="16"/>
        </w:rPr>
        <w:t xml:space="preserve"> </w:t>
      </w:r>
      <w:r>
        <w:rPr>
          <w:rFonts w:cstheme="minorHAnsi"/>
        </w:rPr>
        <w:t xml:space="preserve">Overall account balances for all women and men in 2015/16 stood at </w:t>
      </w:r>
      <w:r>
        <w:t xml:space="preserve">$111,853 for men and $68,499 for women. Women’s average balance rose from 54% of men to 61% during the previous two years </w:t>
      </w:r>
      <w:r w:rsidRPr="00137781">
        <w:rPr>
          <w:sz w:val="16"/>
          <w:szCs w:val="16"/>
        </w:rPr>
        <w:t>(Superannuation Account Balances by Age and Gender. Ross Clare, ASFA Research and Resource Centre)</w:t>
      </w:r>
    </w:p>
    <w:p w14:paraId="1AB160FF" w14:textId="77777777" w:rsidR="00676D87" w:rsidRPr="0047477B" w:rsidRDefault="00676D87" w:rsidP="00676D87">
      <w:pPr>
        <w:spacing w:beforeLines="40" w:before="96" w:after="0" w:line="240" w:lineRule="auto"/>
        <w:jc w:val="both"/>
        <w:rPr>
          <w:rFonts w:cstheme="minorHAnsi"/>
          <w:b/>
          <w:color w:val="1F3864" w:themeColor="accent1" w:themeShade="80"/>
          <w:sz w:val="24"/>
          <w:szCs w:val="24"/>
        </w:rPr>
      </w:pPr>
      <w:r>
        <w:rPr>
          <w:noProof/>
        </w:rPr>
        <w:drawing>
          <wp:anchor distT="0" distB="0" distL="114300" distR="114300" simplePos="0" relativeHeight="251663360" behindDoc="0" locked="0" layoutInCell="1" allowOverlap="1" wp14:anchorId="01386833" wp14:editId="6C02179C">
            <wp:simplePos x="0" y="0"/>
            <wp:positionH relativeFrom="column">
              <wp:posOffset>3810</wp:posOffset>
            </wp:positionH>
            <wp:positionV relativeFrom="paragraph">
              <wp:posOffset>122555</wp:posOffset>
            </wp:positionV>
            <wp:extent cx="576000" cy="396000"/>
            <wp:effectExtent l="0" t="0" r="0" b="4445"/>
            <wp:wrapSquare wrapText="bothSides"/>
            <wp:docPr id="9" name="Picture 8" descr="5 Arrived past 18 months.jpg">
              <a:extLst xmlns:a="http://schemas.openxmlformats.org/drawingml/2006/main">
                <a:ext uri="{FF2B5EF4-FFF2-40B4-BE49-F238E27FC236}">
                  <a16:creationId xmlns:a16="http://schemas.microsoft.com/office/drawing/2014/main" id="{00000000-0008-0000-0300-000009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8" descr="5 Arrived past 18 months.jpg">
                      <a:extLst>
                        <a:ext uri="{FF2B5EF4-FFF2-40B4-BE49-F238E27FC236}">
                          <a16:creationId xmlns:a16="http://schemas.microsoft.com/office/drawing/2014/main" id="{00000000-0008-0000-0300-000009000000}"/>
                        </a:ext>
                      </a:extLst>
                    </pic:cNvPr>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0" cy="396000"/>
                    </a:xfrm>
                    <a:prstGeom prst="rect">
                      <a:avLst/>
                    </a:prstGeom>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Families and Households</w:t>
      </w:r>
    </w:p>
    <w:p w14:paraId="21E2D98D"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 xml:space="preserve">Women are </w:t>
      </w:r>
      <w:r>
        <w:rPr>
          <w:rFonts w:cstheme="minorHAnsi"/>
          <w:color w:val="1F3864" w:themeColor="accent1" w:themeShade="80"/>
          <w:sz w:val="21"/>
          <w:szCs w:val="21"/>
        </w:rPr>
        <w:t>more</w:t>
      </w:r>
      <w:r w:rsidRPr="00755982">
        <w:rPr>
          <w:rFonts w:cstheme="minorHAnsi"/>
          <w:color w:val="1F3864" w:themeColor="accent1" w:themeShade="80"/>
          <w:sz w:val="21"/>
          <w:szCs w:val="21"/>
        </w:rPr>
        <w:t xml:space="preserve"> likely than men to marry in early </w:t>
      </w:r>
      <w:r>
        <w:rPr>
          <w:rFonts w:cstheme="minorHAnsi"/>
          <w:color w:val="1F3864" w:themeColor="accent1" w:themeShade="80"/>
          <w:sz w:val="21"/>
          <w:szCs w:val="21"/>
        </w:rPr>
        <w:t>adulthood</w:t>
      </w:r>
      <w:r w:rsidRPr="00755982">
        <w:rPr>
          <w:rFonts w:cstheme="minorHAnsi"/>
          <w:color w:val="1F3864" w:themeColor="accent1" w:themeShade="80"/>
          <w:sz w:val="21"/>
          <w:szCs w:val="21"/>
        </w:rPr>
        <w:t xml:space="preserve">, account for most sole parents, and in older </w:t>
      </w:r>
      <w:r>
        <w:rPr>
          <w:rFonts w:cstheme="minorHAnsi"/>
          <w:color w:val="1F3864" w:themeColor="accent1" w:themeShade="80"/>
          <w:sz w:val="21"/>
          <w:szCs w:val="21"/>
        </w:rPr>
        <w:t>age more often</w:t>
      </w:r>
      <w:r w:rsidRPr="00755982">
        <w:rPr>
          <w:rFonts w:cstheme="minorHAnsi"/>
          <w:color w:val="1F3864" w:themeColor="accent1" w:themeShade="80"/>
          <w:sz w:val="21"/>
          <w:szCs w:val="21"/>
        </w:rPr>
        <w:t xml:space="preserve"> live alone - due largely to their greater longevity.</w:t>
      </w:r>
    </w:p>
    <w:p w14:paraId="16C0B192"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2016, over four-fifths (82%) of sole parents in Victoria were females. Female sole parents </w:t>
      </w:r>
      <w:r>
        <w:rPr>
          <w:rFonts w:cstheme="minorHAnsi"/>
          <w:sz w:val="21"/>
          <w:szCs w:val="21"/>
        </w:rPr>
        <w:t>in Victoria receive</w:t>
      </w:r>
      <w:r w:rsidRPr="00D67E48">
        <w:rPr>
          <w:rFonts w:cstheme="minorHAnsi"/>
          <w:sz w:val="21"/>
          <w:szCs w:val="21"/>
        </w:rPr>
        <w:t xml:space="preserve"> lower </w:t>
      </w:r>
      <w:r>
        <w:rPr>
          <w:rFonts w:cstheme="minorHAnsi"/>
          <w:sz w:val="21"/>
          <w:szCs w:val="21"/>
        </w:rPr>
        <w:t xml:space="preserve">median weekly </w:t>
      </w:r>
      <w:r w:rsidRPr="00D67E48">
        <w:rPr>
          <w:rFonts w:cstheme="minorHAnsi"/>
          <w:sz w:val="21"/>
          <w:szCs w:val="21"/>
        </w:rPr>
        <w:t>incomes</w:t>
      </w:r>
      <w:r>
        <w:rPr>
          <w:rFonts w:cstheme="minorHAnsi"/>
          <w:sz w:val="21"/>
          <w:szCs w:val="21"/>
        </w:rPr>
        <w:t xml:space="preserve"> ($602 compared with $826)</w:t>
      </w:r>
      <w:r w:rsidRPr="00D67E48">
        <w:rPr>
          <w:rFonts w:cstheme="minorHAnsi"/>
          <w:sz w:val="21"/>
          <w:szCs w:val="21"/>
        </w:rPr>
        <w:t xml:space="preserve"> and less likely to be in paid employment</w:t>
      </w:r>
      <w:r>
        <w:rPr>
          <w:rFonts w:cstheme="minorHAnsi"/>
          <w:sz w:val="21"/>
          <w:szCs w:val="21"/>
        </w:rPr>
        <w:t xml:space="preserve"> (52% compared with 61%)</w:t>
      </w:r>
      <w:r w:rsidRPr="00D67E48">
        <w:rPr>
          <w:rFonts w:cstheme="minorHAnsi"/>
          <w:sz w:val="21"/>
          <w:szCs w:val="21"/>
        </w:rPr>
        <w:t xml:space="preserve">, than their male counterparts </w:t>
      </w:r>
      <w:r w:rsidRPr="00755982">
        <w:rPr>
          <w:rFonts w:cstheme="minorHAnsi"/>
          <w:sz w:val="16"/>
          <w:szCs w:val="16"/>
        </w:rPr>
        <w:t>(2016 Census, ABS).</w:t>
      </w:r>
    </w:p>
    <w:p w14:paraId="7968DC1E"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 xml:space="preserve">In 2016, </w:t>
      </w:r>
      <w:r>
        <w:rPr>
          <w:rFonts w:cstheme="minorHAnsi"/>
          <w:sz w:val="21"/>
          <w:szCs w:val="21"/>
        </w:rPr>
        <w:t xml:space="preserve">6.5% </w:t>
      </w:r>
      <w:r w:rsidRPr="00D67E48">
        <w:rPr>
          <w:rFonts w:cstheme="minorHAnsi"/>
          <w:sz w:val="21"/>
          <w:szCs w:val="21"/>
        </w:rPr>
        <w:t>of Victorian women aged 20-24 years</w:t>
      </w:r>
      <w:r>
        <w:rPr>
          <w:rFonts w:cstheme="minorHAnsi"/>
          <w:sz w:val="21"/>
          <w:szCs w:val="21"/>
        </w:rPr>
        <w:t>,</w:t>
      </w:r>
      <w:r w:rsidRPr="00D67E48">
        <w:rPr>
          <w:rFonts w:cstheme="minorHAnsi"/>
          <w:sz w:val="21"/>
          <w:szCs w:val="21"/>
        </w:rPr>
        <w:t xml:space="preserve"> and 2.8% of males</w:t>
      </w:r>
      <w:r>
        <w:rPr>
          <w:rFonts w:cstheme="minorHAnsi"/>
          <w:sz w:val="21"/>
          <w:szCs w:val="21"/>
        </w:rPr>
        <w:t>,</w:t>
      </w:r>
      <w:r w:rsidRPr="00D67E48">
        <w:rPr>
          <w:rFonts w:cstheme="minorHAnsi"/>
          <w:sz w:val="21"/>
          <w:szCs w:val="21"/>
        </w:rPr>
        <w:t xml:space="preserve"> were married</w:t>
      </w:r>
      <w:r>
        <w:rPr>
          <w:rFonts w:cstheme="minorHAnsi"/>
          <w:sz w:val="21"/>
          <w:szCs w:val="21"/>
        </w:rPr>
        <w:t xml:space="preserve"> </w:t>
      </w:r>
      <w:r w:rsidRPr="00755982">
        <w:rPr>
          <w:rFonts w:cstheme="minorHAnsi"/>
          <w:sz w:val="16"/>
          <w:szCs w:val="16"/>
        </w:rPr>
        <w:t>(2016 Census, ABS).</w:t>
      </w:r>
    </w:p>
    <w:p w14:paraId="46D15FF0" w14:textId="77777777" w:rsidR="00676D87" w:rsidRDefault="00676D87" w:rsidP="00676D87">
      <w:pPr>
        <w:spacing w:before="60" w:after="0" w:line="240" w:lineRule="auto"/>
        <w:jc w:val="both"/>
        <w:rPr>
          <w:rFonts w:cstheme="minorHAnsi"/>
          <w:sz w:val="16"/>
          <w:szCs w:val="16"/>
        </w:rPr>
      </w:pPr>
      <w:r w:rsidRPr="00E11B71">
        <w:rPr>
          <w:rFonts w:cstheme="minorHAnsi"/>
          <w:sz w:val="21"/>
          <w:szCs w:val="21"/>
        </w:rPr>
        <w:t>4.6% of Australian two-parent families feature a stay-at-home father and 29% a stay-at-home mother</w:t>
      </w:r>
      <w:r>
        <w:rPr>
          <w:rFonts w:cstheme="minorHAnsi"/>
          <w:sz w:val="16"/>
          <w:szCs w:val="16"/>
        </w:rPr>
        <w:t xml:space="preserve"> (2018, Inst. Family Studies. Stay at home fathers in Australia).</w:t>
      </w:r>
    </w:p>
    <w:p w14:paraId="695A4989" w14:textId="77777777" w:rsidR="00676D87" w:rsidRPr="00D67E48" w:rsidRDefault="00676D87" w:rsidP="00676D87">
      <w:pPr>
        <w:spacing w:before="60" w:after="0" w:line="240" w:lineRule="auto"/>
        <w:jc w:val="both"/>
        <w:rPr>
          <w:rFonts w:cstheme="minorHAnsi"/>
          <w:sz w:val="21"/>
          <w:szCs w:val="21"/>
        </w:rPr>
      </w:pPr>
      <w:r>
        <w:t xml:space="preserve">80% to 95% of women change their name to match that of their husband, while 3% of husbands changed their name to that of their partner </w:t>
      </w:r>
      <w:r w:rsidRPr="006422A1">
        <w:rPr>
          <w:sz w:val="16"/>
          <w:szCs w:val="16"/>
        </w:rPr>
        <w:t>(Victorian Registry of Births, Deaths and Marriages between 2005 and 2010).</w:t>
      </w:r>
    </w:p>
    <w:p w14:paraId="47C3F452"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Among </w:t>
      </w:r>
      <w:r>
        <w:rPr>
          <w:rFonts w:cstheme="minorHAnsi"/>
          <w:sz w:val="21"/>
          <w:szCs w:val="21"/>
        </w:rPr>
        <w:t>Victorian</w:t>
      </w:r>
      <w:r w:rsidRPr="00D67E48">
        <w:rPr>
          <w:rFonts w:cstheme="minorHAnsi"/>
          <w:sz w:val="21"/>
          <w:szCs w:val="21"/>
        </w:rPr>
        <w:t xml:space="preserve"> aged 65</w:t>
      </w:r>
      <w:r>
        <w:rPr>
          <w:rFonts w:cstheme="minorHAnsi"/>
          <w:sz w:val="21"/>
          <w:szCs w:val="21"/>
        </w:rPr>
        <w:t>+</w:t>
      </w:r>
      <w:r w:rsidRPr="00D67E48">
        <w:rPr>
          <w:rFonts w:cstheme="minorHAnsi"/>
          <w:sz w:val="21"/>
          <w:szCs w:val="21"/>
        </w:rPr>
        <w:t xml:space="preserve"> in 2016, 31% of women and 17% of men lived alone </w:t>
      </w:r>
      <w:r w:rsidRPr="00755982">
        <w:rPr>
          <w:rFonts w:cstheme="minorHAnsi"/>
          <w:sz w:val="16"/>
          <w:szCs w:val="16"/>
        </w:rPr>
        <w:t>(2016 Census, ABS).</w:t>
      </w:r>
      <w:r>
        <w:rPr>
          <w:rFonts w:cstheme="minorHAnsi"/>
          <w:sz w:val="16"/>
          <w:szCs w:val="16"/>
        </w:rPr>
        <w:t xml:space="preserve"> </w:t>
      </w:r>
    </w:p>
    <w:p w14:paraId="4380C8AD" w14:textId="77777777" w:rsidR="00676D87" w:rsidRDefault="00676D87" w:rsidP="00676D87">
      <w:pPr>
        <w:spacing w:before="60" w:after="0" w:line="240" w:lineRule="auto"/>
        <w:jc w:val="both"/>
        <w:rPr>
          <w:rFonts w:cstheme="minorHAnsi"/>
          <w:sz w:val="21"/>
          <w:szCs w:val="21"/>
        </w:rPr>
      </w:pPr>
      <w:r w:rsidRPr="00D67E48">
        <w:rPr>
          <w:rFonts w:cstheme="minorHAnsi"/>
          <w:sz w:val="21"/>
          <w:szCs w:val="21"/>
        </w:rPr>
        <w:t>In 2016,</w:t>
      </w:r>
      <w:r>
        <w:rPr>
          <w:rFonts w:cstheme="minorHAnsi"/>
          <w:sz w:val="21"/>
          <w:szCs w:val="21"/>
        </w:rPr>
        <w:t xml:space="preserve"> males accounted for 63% of people living in hostels for the homeless, night shelters, refuges, boarding houses, squats or improvised shelters, and females for 37% </w:t>
      </w:r>
      <w:r w:rsidRPr="004F52F1">
        <w:rPr>
          <w:rFonts w:cstheme="minorHAnsi"/>
          <w:sz w:val="16"/>
          <w:szCs w:val="16"/>
        </w:rPr>
        <w:t>(Census 2016, ABS customised tabulation)</w:t>
      </w:r>
      <w:r>
        <w:rPr>
          <w:rFonts w:cstheme="minorHAnsi"/>
          <w:sz w:val="21"/>
          <w:szCs w:val="21"/>
        </w:rPr>
        <w:t>, while overall, 58%</w:t>
      </w:r>
      <w:r w:rsidRPr="00D67E48">
        <w:rPr>
          <w:rFonts w:cstheme="minorHAnsi"/>
          <w:sz w:val="21"/>
          <w:szCs w:val="21"/>
        </w:rPr>
        <w:t xml:space="preserve"> </w:t>
      </w:r>
      <w:r>
        <w:rPr>
          <w:rFonts w:cstheme="minorHAnsi"/>
          <w:sz w:val="21"/>
          <w:szCs w:val="21"/>
        </w:rPr>
        <w:t xml:space="preserve">of </w:t>
      </w:r>
      <w:r w:rsidRPr="00D67E48">
        <w:rPr>
          <w:rFonts w:cstheme="minorHAnsi"/>
          <w:sz w:val="21"/>
          <w:szCs w:val="21"/>
        </w:rPr>
        <w:t>homeless</w:t>
      </w:r>
      <w:r>
        <w:rPr>
          <w:rFonts w:cstheme="minorHAnsi"/>
          <w:sz w:val="21"/>
          <w:szCs w:val="21"/>
        </w:rPr>
        <w:t xml:space="preserve"> people in Victoria were males </w:t>
      </w:r>
      <w:r w:rsidRPr="00755982">
        <w:rPr>
          <w:rFonts w:cstheme="minorHAnsi"/>
          <w:sz w:val="16"/>
          <w:szCs w:val="16"/>
        </w:rPr>
        <w:t>(ABS, Census of Population and Housing: Estimating homelessness, 2016)</w:t>
      </w:r>
      <w:r w:rsidRPr="00D67E48">
        <w:rPr>
          <w:rFonts w:cstheme="minorHAnsi"/>
          <w:sz w:val="21"/>
          <w:szCs w:val="21"/>
        </w:rPr>
        <w:t>.</w:t>
      </w:r>
    </w:p>
    <w:p w14:paraId="3E9F7B5A"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 xml:space="preserve">Women </w:t>
      </w:r>
      <w:r>
        <w:rPr>
          <w:rFonts w:cstheme="minorHAnsi"/>
          <w:sz w:val="21"/>
          <w:szCs w:val="21"/>
        </w:rPr>
        <w:t>are</w:t>
      </w:r>
      <w:r w:rsidRPr="00D67E48">
        <w:rPr>
          <w:rFonts w:cstheme="minorHAnsi"/>
          <w:sz w:val="21"/>
          <w:szCs w:val="21"/>
        </w:rPr>
        <w:t xml:space="preserve"> more likely to seek assistance for housing crises, with </w:t>
      </w:r>
      <w:r>
        <w:rPr>
          <w:rFonts w:cstheme="minorHAnsi"/>
          <w:sz w:val="21"/>
          <w:szCs w:val="21"/>
        </w:rPr>
        <w:t>57,700</w:t>
      </w:r>
      <w:r w:rsidRPr="00D67E48">
        <w:rPr>
          <w:rFonts w:cstheme="minorHAnsi"/>
          <w:sz w:val="21"/>
          <w:szCs w:val="21"/>
        </w:rPr>
        <w:t xml:space="preserve"> women accessing Victoria’s Specialist Homelessness Service</w:t>
      </w:r>
      <w:r>
        <w:rPr>
          <w:rFonts w:cstheme="minorHAnsi"/>
          <w:sz w:val="21"/>
          <w:szCs w:val="21"/>
        </w:rPr>
        <w:t>s</w:t>
      </w:r>
      <w:r w:rsidRPr="00D67E48">
        <w:rPr>
          <w:rFonts w:cstheme="minorHAnsi"/>
          <w:sz w:val="21"/>
          <w:szCs w:val="21"/>
        </w:rPr>
        <w:t xml:space="preserve"> in 2017/18, compared with </w:t>
      </w:r>
      <w:r>
        <w:rPr>
          <w:rFonts w:cstheme="minorHAnsi"/>
          <w:sz w:val="21"/>
          <w:szCs w:val="21"/>
        </w:rPr>
        <w:t>40,100</w:t>
      </w:r>
      <w:r w:rsidRPr="00D67E48">
        <w:rPr>
          <w:rFonts w:cstheme="minorHAnsi"/>
          <w:sz w:val="21"/>
          <w:szCs w:val="21"/>
        </w:rPr>
        <w:t xml:space="preserve"> men</w:t>
      </w:r>
      <w:r>
        <w:rPr>
          <w:rFonts w:cstheme="minorHAnsi"/>
          <w:sz w:val="21"/>
          <w:szCs w:val="21"/>
        </w:rPr>
        <w:t xml:space="preserve"> </w:t>
      </w:r>
      <w:r w:rsidRPr="007738DE">
        <w:rPr>
          <w:rFonts w:cstheme="minorHAnsi"/>
          <w:sz w:val="16"/>
          <w:szCs w:val="16"/>
        </w:rPr>
        <w:t xml:space="preserve">(Aust Institute of Health and Welfare, Specialist Homeless Service Collection Client Location, </w:t>
      </w:r>
      <w:r>
        <w:rPr>
          <w:rFonts w:cstheme="minorHAnsi"/>
          <w:sz w:val="16"/>
          <w:szCs w:val="16"/>
        </w:rPr>
        <w:t>by</w:t>
      </w:r>
      <w:r w:rsidRPr="007738DE">
        <w:rPr>
          <w:rFonts w:cstheme="minorHAnsi"/>
          <w:sz w:val="16"/>
          <w:szCs w:val="16"/>
        </w:rPr>
        <w:t xml:space="preserve"> Sex).</w:t>
      </w:r>
    </w:p>
    <w:p w14:paraId="074BF1C2" w14:textId="77777777" w:rsidR="00676D87" w:rsidRPr="0047477B" w:rsidRDefault="00676D87" w:rsidP="00676D87">
      <w:pPr>
        <w:spacing w:beforeLines="40" w:before="96" w:after="0" w:line="240" w:lineRule="auto"/>
        <w:jc w:val="both"/>
        <w:rPr>
          <w:rFonts w:cstheme="minorHAnsi"/>
          <w:b/>
          <w:color w:val="1F3864" w:themeColor="accent1" w:themeShade="80"/>
          <w:sz w:val="24"/>
          <w:szCs w:val="24"/>
        </w:rPr>
      </w:pPr>
      <w:r>
        <w:rPr>
          <w:rFonts w:ascii="Calibri" w:hAnsi="Calibri"/>
          <w:noProof/>
          <w:lang w:eastAsia="en-AU"/>
        </w:rPr>
        <w:drawing>
          <wp:anchor distT="0" distB="0" distL="114300" distR="114300" simplePos="0" relativeHeight="251666432" behindDoc="0" locked="0" layoutInCell="1" allowOverlap="1" wp14:anchorId="2750A686" wp14:editId="5C112271">
            <wp:simplePos x="0" y="0"/>
            <wp:positionH relativeFrom="margin">
              <wp:posOffset>3810</wp:posOffset>
            </wp:positionH>
            <wp:positionV relativeFrom="paragraph">
              <wp:posOffset>138430</wp:posOffset>
            </wp:positionV>
            <wp:extent cx="576000" cy="396000"/>
            <wp:effectExtent l="0" t="0" r="0" b="4445"/>
            <wp:wrapSquare wrapText="bothSides"/>
            <wp:docPr id="459" name="Pictur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mmunity Ethnic 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0" cy="396000"/>
                    </a:xfrm>
                    <a:prstGeom prst="rect">
                      <a:avLst/>
                    </a:prstGeom>
                    <a:ln>
                      <a:noFill/>
                    </a:ln>
                    <a:effectLst/>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Civic Engagement</w:t>
      </w:r>
    </w:p>
    <w:p w14:paraId="07864C96"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 xml:space="preserve">Women are under-represented among members of Federal parliament and cabinet, the judiciary, ministers of religion and participants in </w:t>
      </w:r>
      <w:r>
        <w:rPr>
          <w:rFonts w:cstheme="minorHAnsi"/>
          <w:color w:val="1F3864" w:themeColor="accent1" w:themeShade="80"/>
          <w:sz w:val="21"/>
          <w:szCs w:val="21"/>
        </w:rPr>
        <w:t>community support</w:t>
      </w:r>
      <w:r w:rsidRPr="00755982">
        <w:rPr>
          <w:rFonts w:cstheme="minorHAnsi"/>
          <w:color w:val="1F3864" w:themeColor="accent1" w:themeShade="80"/>
          <w:sz w:val="21"/>
          <w:szCs w:val="21"/>
        </w:rPr>
        <w:t xml:space="preserve"> groups.</w:t>
      </w:r>
    </w:p>
    <w:p w14:paraId="4634D74E"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2014, 28% of Australian men and 37% of women were involved in community support groups </w:t>
      </w:r>
      <w:r w:rsidRPr="00755982">
        <w:rPr>
          <w:rFonts w:cstheme="minorHAnsi"/>
          <w:sz w:val="16"/>
          <w:szCs w:val="16"/>
        </w:rPr>
        <w:t>(General Social Survey, Australia, 2014, cat. 4159.0).</w:t>
      </w:r>
    </w:p>
    <w:p w14:paraId="7434A9BE"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In 2016, 19% of</w:t>
      </w:r>
      <w:r>
        <w:rPr>
          <w:rFonts w:cstheme="minorHAnsi"/>
          <w:sz w:val="21"/>
          <w:szCs w:val="21"/>
        </w:rPr>
        <w:t xml:space="preserve"> Victorian</w:t>
      </w:r>
      <w:r w:rsidRPr="00D67E48">
        <w:rPr>
          <w:rFonts w:cstheme="minorHAnsi"/>
          <w:sz w:val="21"/>
          <w:szCs w:val="21"/>
        </w:rPr>
        <w:t xml:space="preserve"> males aged </w:t>
      </w:r>
      <w:r>
        <w:rPr>
          <w:rFonts w:cstheme="minorHAnsi"/>
          <w:sz w:val="21"/>
          <w:szCs w:val="21"/>
        </w:rPr>
        <w:t>over 14 years,</w:t>
      </w:r>
      <w:r w:rsidRPr="00D67E48">
        <w:rPr>
          <w:rFonts w:cstheme="minorHAnsi"/>
          <w:sz w:val="21"/>
          <w:szCs w:val="21"/>
        </w:rPr>
        <w:t xml:space="preserve"> and 22% of females, had volunteered in the previous </w:t>
      </w:r>
      <w:r>
        <w:rPr>
          <w:rFonts w:cstheme="minorHAnsi"/>
          <w:sz w:val="21"/>
          <w:szCs w:val="21"/>
        </w:rPr>
        <w:t>year</w:t>
      </w:r>
      <w:r w:rsidRPr="00D67E48">
        <w:rPr>
          <w:rFonts w:cstheme="minorHAnsi"/>
          <w:sz w:val="21"/>
          <w:szCs w:val="21"/>
        </w:rPr>
        <w:t xml:space="preserve"> </w:t>
      </w:r>
      <w:r w:rsidRPr="00755982">
        <w:rPr>
          <w:rFonts w:cstheme="minorHAnsi"/>
          <w:sz w:val="16"/>
          <w:szCs w:val="16"/>
        </w:rPr>
        <w:t>(2016 Census, ABS).</w:t>
      </w:r>
    </w:p>
    <w:p w14:paraId="2360D922"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The 2016 Census disclosed that 31% of Victorian residents whose occupation was classified as 'minister of religion' were women (up slightly</w:t>
      </w:r>
      <w:r>
        <w:rPr>
          <w:rFonts w:cstheme="minorHAnsi"/>
          <w:sz w:val="21"/>
          <w:szCs w:val="21"/>
        </w:rPr>
        <w:t>,</w:t>
      </w:r>
      <w:r w:rsidRPr="00D67E48">
        <w:rPr>
          <w:rFonts w:cstheme="minorHAnsi"/>
          <w:sz w:val="21"/>
          <w:szCs w:val="21"/>
        </w:rPr>
        <w:t xml:space="preserve"> from 29% in 2011)</w:t>
      </w:r>
      <w:r>
        <w:rPr>
          <w:rFonts w:cstheme="minorHAnsi"/>
          <w:sz w:val="21"/>
          <w:szCs w:val="21"/>
        </w:rPr>
        <w:t xml:space="preserve"> – including none among</w:t>
      </w:r>
      <w:r w:rsidRPr="00D67E48">
        <w:rPr>
          <w:rFonts w:cstheme="minorHAnsi"/>
          <w:sz w:val="21"/>
          <w:szCs w:val="21"/>
        </w:rPr>
        <w:t xml:space="preserve"> those </w:t>
      </w:r>
      <w:r>
        <w:rPr>
          <w:rFonts w:cstheme="minorHAnsi"/>
          <w:sz w:val="21"/>
          <w:szCs w:val="21"/>
        </w:rPr>
        <w:t xml:space="preserve"> </w:t>
      </w:r>
      <w:r w:rsidRPr="00D67E48">
        <w:rPr>
          <w:rFonts w:cstheme="minorHAnsi"/>
          <w:sz w:val="21"/>
          <w:szCs w:val="21"/>
        </w:rPr>
        <w:t>who identif</w:t>
      </w:r>
      <w:r>
        <w:rPr>
          <w:rFonts w:cstheme="minorHAnsi"/>
          <w:sz w:val="21"/>
          <w:szCs w:val="21"/>
        </w:rPr>
        <w:t>y</w:t>
      </w:r>
      <w:r w:rsidRPr="00D67E48">
        <w:rPr>
          <w:rFonts w:cstheme="minorHAnsi"/>
          <w:sz w:val="21"/>
          <w:szCs w:val="21"/>
        </w:rPr>
        <w:t xml:space="preserve"> as Hindus and Muslims, 5% who adhere to Judaism, 31% </w:t>
      </w:r>
      <w:r>
        <w:rPr>
          <w:rFonts w:cstheme="minorHAnsi"/>
          <w:sz w:val="21"/>
          <w:szCs w:val="21"/>
        </w:rPr>
        <w:t xml:space="preserve">of </w:t>
      </w:r>
      <w:r w:rsidRPr="00D67E48">
        <w:rPr>
          <w:rFonts w:cstheme="minorHAnsi"/>
          <w:sz w:val="21"/>
          <w:szCs w:val="21"/>
        </w:rPr>
        <w:t xml:space="preserve">Christians and 40% of Buddhists. </w:t>
      </w:r>
      <w:r w:rsidRPr="00755982">
        <w:rPr>
          <w:rFonts w:cstheme="minorHAnsi"/>
          <w:sz w:val="16"/>
          <w:szCs w:val="16"/>
        </w:rPr>
        <w:t>(2016 Census, ABS).</w:t>
      </w:r>
    </w:p>
    <w:p w14:paraId="5576B19C" w14:textId="77777777" w:rsidR="00676D87" w:rsidRPr="004C0F50" w:rsidRDefault="00676D87" w:rsidP="00676D87">
      <w:pPr>
        <w:spacing w:before="60" w:after="0" w:line="240" w:lineRule="auto"/>
        <w:jc w:val="both"/>
        <w:rPr>
          <w:rFonts w:cstheme="minorHAnsi"/>
          <w:sz w:val="16"/>
          <w:szCs w:val="16"/>
        </w:rPr>
      </w:pPr>
      <w:r w:rsidRPr="00D67E48">
        <w:rPr>
          <w:rFonts w:cstheme="minorHAnsi"/>
          <w:sz w:val="21"/>
          <w:szCs w:val="21"/>
        </w:rPr>
        <w:t xml:space="preserve">In 2019, women accounted for 30% of members of the </w:t>
      </w:r>
      <w:r>
        <w:rPr>
          <w:rFonts w:cstheme="minorHAnsi"/>
          <w:sz w:val="21"/>
          <w:szCs w:val="21"/>
        </w:rPr>
        <w:t>F</w:t>
      </w:r>
      <w:r w:rsidRPr="00D67E48">
        <w:rPr>
          <w:rFonts w:cstheme="minorHAnsi"/>
          <w:sz w:val="21"/>
          <w:szCs w:val="21"/>
        </w:rPr>
        <w:t>ederal House of Representatives (or 45 of 150)</w:t>
      </w:r>
      <w:r>
        <w:rPr>
          <w:rFonts w:cstheme="minorHAnsi"/>
          <w:sz w:val="21"/>
          <w:szCs w:val="21"/>
        </w:rPr>
        <w:t xml:space="preserve">, </w:t>
      </w:r>
      <w:r w:rsidRPr="00D67E48">
        <w:rPr>
          <w:rFonts w:cstheme="minorHAnsi"/>
          <w:sz w:val="21"/>
          <w:szCs w:val="21"/>
        </w:rPr>
        <w:t>40% of Senators (30 of 76</w:t>
      </w:r>
      <w:r>
        <w:rPr>
          <w:rFonts w:cstheme="minorHAnsi"/>
          <w:sz w:val="21"/>
          <w:szCs w:val="21"/>
        </w:rPr>
        <w:t xml:space="preserve">), </w:t>
      </w:r>
      <w:r w:rsidRPr="00D67E48">
        <w:rPr>
          <w:rFonts w:cstheme="minorHAnsi"/>
          <w:sz w:val="21"/>
          <w:szCs w:val="21"/>
        </w:rPr>
        <w:t xml:space="preserve">26% of </w:t>
      </w:r>
      <w:r>
        <w:rPr>
          <w:rFonts w:cstheme="minorHAnsi"/>
          <w:sz w:val="21"/>
          <w:szCs w:val="21"/>
        </w:rPr>
        <w:t>F</w:t>
      </w:r>
      <w:r w:rsidRPr="00D67E48">
        <w:rPr>
          <w:rFonts w:cstheme="minorHAnsi"/>
          <w:sz w:val="21"/>
          <w:szCs w:val="21"/>
        </w:rPr>
        <w:t xml:space="preserve">ederal </w:t>
      </w:r>
      <w:r>
        <w:rPr>
          <w:rFonts w:cstheme="minorHAnsi"/>
          <w:sz w:val="21"/>
          <w:szCs w:val="21"/>
        </w:rPr>
        <w:t>G</w:t>
      </w:r>
      <w:r w:rsidRPr="00D67E48">
        <w:rPr>
          <w:rFonts w:cstheme="minorHAnsi"/>
          <w:sz w:val="21"/>
          <w:szCs w:val="21"/>
        </w:rPr>
        <w:t xml:space="preserve">overnment ministers and 26% of cabinet ministers. </w:t>
      </w:r>
      <w:r w:rsidRPr="00755982">
        <w:rPr>
          <w:rFonts w:cstheme="minorHAnsi"/>
          <w:sz w:val="16"/>
          <w:szCs w:val="16"/>
        </w:rPr>
        <w:t>(Commonwealth Parliamentary Library, Australia, Count of Federal parliamentarians)</w:t>
      </w:r>
      <w:r>
        <w:rPr>
          <w:rFonts w:cstheme="minorHAnsi"/>
          <w:sz w:val="16"/>
          <w:szCs w:val="16"/>
        </w:rPr>
        <w:t xml:space="preserve">. </w:t>
      </w:r>
      <w:r w:rsidRPr="004C0F50">
        <w:rPr>
          <w:rFonts w:cstheme="minorHAnsi"/>
        </w:rPr>
        <w:t>Across the world in 2019</w:t>
      </w:r>
      <w:r w:rsidRPr="004C0F50">
        <w:rPr>
          <w:rFonts w:cstheme="minorHAnsi"/>
          <w:sz w:val="21"/>
          <w:szCs w:val="21"/>
        </w:rPr>
        <w:t xml:space="preserve">, women accounted for 24% of national leaders, compared with 11% in 1995, and for a median of 26% of elected parliamentarians </w:t>
      </w:r>
      <w:r w:rsidRPr="004C0F50">
        <w:rPr>
          <w:rFonts w:cstheme="minorHAnsi"/>
          <w:sz w:val="16"/>
          <w:szCs w:val="16"/>
        </w:rPr>
        <w:t>(UN Women, 2019)</w:t>
      </w:r>
      <w:r>
        <w:rPr>
          <w:rFonts w:cstheme="minorHAnsi"/>
          <w:sz w:val="16"/>
          <w:szCs w:val="16"/>
        </w:rPr>
        <w:t>.</w:t>
      </w:r>
    </w:p>
    <w:p w14:paraId="458899B8"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lastRenderedPageBreak/>
        <w:t>In 2018, 43% of judges in the High Court</w:t>
      </w:r>
      <w:r>
        <w:rPr>
          <w:rFonts w:cstheme="minorHAnsi"/>
          <w:sz w:val="21"/>
          <w:szCs w:val="21"/>
        </w:rPr>
        <w:t xml:space="preserve"> were women</w:t>
      </w:r>
      <w:r w:rsidRPr="00D67E48">
        <w:rPr>
          <w:rFonts w:cstheme="minorHAnsi"/>
          <w:sz w:val="21"/>
          <w:szCs w:val="21"/>
        </w:rPr>
        <w:t xml:space="preserve">, </w:t>
      </w:r>
      <w:r>
        <w:rPr>
          <w:rFonts w:cstheme="minorHAnsi"/>
          <w:sz w:val="21"/>
          <w:szCs w:val="21"/>
        </w:rPr>
        <w:t xml:space="preserve">as well as </w:t>
      </w:r>
      <w:r w:rsidRPr="00D67E48">
        <w:rPr>
          <w:rFonts w:cstheme="minorHAnsi"/>
          <w:sz w:val="21"/>
          <w:szCs w:val="21"/>
        </w:rPr>
        <w:t>26% of those in the Federal Court, 43% of those in the Family Court and 26% of judges in the State Supreme Court</w:t>
      </w:r>
      <w:r>
        <w:rPr>
          <w:rFonts w:cstheme="minorHAnsi"/>
          <w:sz w:val="21"/>
          <w:szCs w:val="21"/>
        </w:rPr>
        <w:t>s</w:t>
      </w:r>
      <w:r w:rsidRPr="00D67E48">
        <w:rPr>
          <w:rFonts w:cstheme="minorHAnsi"/>
          <w:sz w:val="21"/>
          <w:szCs w:val="21"/>
        </w:rPr>
        <w:t xml:space="preserve"> or Court</w:t>
      </w:r>
      <w:r>
        <w:rPr>
          <w:rFonts w:cstheme="minorHAnsi"/>
          <w:sz w:val="21"/>
          <w:szCs w:val="21"/>
        </w:rPr>
        <w:t>s</w:t>
      </w:r>
      <w:r w:rsidRPr="00D67E48">
        <w:rPr>
          <w:rFonts w:cstheme="minorHAnsi"/>
          <w:sz w:val="21"/>
          <w:szCs w:val="21"/>
        </w:rPr>
        <w:t xml:space="preserve"> of Appeal </w:t>
      </w:r>
      <w:r w:rsidRPr="00755982">
        <w:rPr>
          <w:rFonts w:cstheme="minorHAnsi"/>
          <w:sz w:val="16"/>
          <w:szCs w:val="16"/>
        </w:rPr>
        <w:t xml:space="preserve">(Judicial </w:t>
      </w:r>
      <w:r>
        <w:rPr>
          <w:rFonts w:cstheme="minorHAnsi"/>
          <w:sz w:val="16"/>
          <w:szCs w:val="16"/>
        </w:rPr>
        <w:t>G</w:t>
      </w:r>
      <w:r w:rsidRPr="00755982">
        <w:rPr>
          <w:rFonts w:cstheme="minorHAnsi"/>
          <w:sz w:val="16"/>
          <w:szCs w:val="16"/>
        </w:rPr>
        <w:t xml:space="preserve">ender </w:t>
      </w:r>
      <w:r>
        <w:rPr>
          <w:rFonts w:cstheme="minorHAnsi"/>
          <w:sz w:val="16"/>
          <w:szCs w:val="16"/>
        </w:rPr>
        <w:t>S</w:t>
      </w:r>
      <w:r w:rsidRPr="00755982">
        <w:rPr>
          <w:rFonts w:cstheme="minorHAnsi"/>
          <w:sz w:val="16"/>
          <w:szCs w:val="16"/>
        </w:rPr>
        <w:t>tatistics, Australasian Institute of Judicial Administration).</w:t>
      </w:r>
    </w:p>
    <w:p w14:paraId="247DFED6"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 xml:space="preserve">In 2019, women accounted for 46% of appointments to Commonwealth Government boards </w:t>
      </w:r>
      <w:r w:rsidRPr="00755982">
        <w:rPr>
          <w:rFonts w:cstheme="minorHAnsi"/>
          <w:sz w:val="16"/>
          <w:szCs w:val="16"/>
        </w:rPr>
        <w:t>(Gender Indicators Australia, Nov. 2019, ABS)</w:t>
      </w:r>
      <w:r>
        <w:rPr>
          <w:rFonts w:cstheme="minorHAnsi"/>
          <w:sz w:val="16"/>
          <w:szCs w:val="16"/>
        </w:rPr>
        <w:t>.</w:t>
      </w:r>
    </w:p>
    <w:p w14:paraId="10A62D2A" w14:textId="77777777" w:rsidR="00676D87" w:rsidRDefault="00676D87" w:rsidP="00676D87">
      <w:pPr>
        <w:spacing w:before="60" w:after="0" w:line="240" w:lineRule="auto"/>
        <w:jc w:val="both"/>
        <w:rPr>
          <w:color w:val="000000" w:themeColor="text1"/>
          <w:sz w:val="16"/>
          <w:szCs w:val="16"/>
          <w:lang w:val="en"/>
        </w:rPr>
      </w:pPr>
      <w:r w:rsidRPr="00171531">
        <w:rPr>
          <w:rFonts w:cstheme="minorHAnsi"/>
          <w:sz w:val="21"/>
          <w:szCs w:val="21"/>
        </w:rPr>
        <w:t>By early 2018, 53</w:t>
      </w:r>
      <w:r>
        <w:rPr>
          <w:rFonts w:cstheme="minorHAnsi"/>
          <w:sz w:val="21"/>
          <w:szCs w:val="21"/>
        </w:rPr>
        <w:t xml:space="preserve">% </w:t>
      </w:r>
      <w:r w:rsidRPr="00171531">
        <w:rPr>
          <w:rFonts w:cstheme="minorHAnsi"/>
          <w:sz w:val="21"/>
          <w:szCs w:val="21"/>
        </w:rPr>
        <w:t>of paid public board positions in Victoria were held by women</w:t>
      </w:r>
      <w:r>
        <w:rPr>
          <w:rFonts w:ascii="VIC-Regular" w:hAnsi="VIC-Regular" w:cs="Arial"/>
          <w:color w:val="011A3C"/>
          <w:lang w:val="en"/>
        </w:rPr>
        <w:t xml:space="preserve"> </w:t>
      </w:r>
      <w:r w:rsidRPr="00171531">
        <w:rPr>
          <w:rFonts w:ascii="VIC-Regular" w:hAnsi="VIC-Regular" w:cs="Arial"/>
          <w:color w:val="000000" w:themeColor="text1"/>
          <w:sz w:val="16"/>
          <w:szCs w:val="16"/>
          <w:lang w:val="en"/>
        </w:rPr>
        <w:t>(</w:t>
      </w:r>
      <w:r w:rsidRPr="00171531">
        <w:rPr>
          <w:color w:val="000000" w:themeColor="text1"/>
          <w:sz w:val="16"/>
          <w:szCs w:val="16"/>
          <w:lang w:val="en"/>
        </w:rPr>
        <w:t>Safe and Strong: A Victorian Gender Equality Strategy Achievements Report Year One, Victorian Government, 2019).</w:t>
      </w:r>
    </w:p>
    <w:p w14:paraId="521F5A6E" w14:textId="77777777" w:rsidR="00676D87" w:rsidRPr="001F41AF" w:rsidRDefault="00676D87" w:rsidP="00676D87">
      <w:pPr>
        <w:spacing w:before="60" w:after="0" w:line="240" w:lineRule="auto"/>
        <w:jc w:val="both"/>
        <w:rPr>
          <w:rFonts w:cstheme="minorHAnsi"/>
          <w:sz w:val="21"/>
          <w:szCs w:val="21"/>
        </w:rPr>
      </w:pPr>
      <w:r w:rsidRPr="001F41AF">
        <w:rPr>
          <w:rFonts w:cstheme="minorHAnsi"/>
          <w:sz w:val="21"/>
          <w:szCs w:val="21"/>
        </w:rPr>
        <w:t xml:space="preserve">In 2020, there were 36 female mayors in Victoria, representing 46% of </w:t>
      </w:r>
      <w:r>
        <w:rPr>
          <w:rFonts w:cstheme="minorHAnsi"/>
          <w:sz w:val="21"/>
          <w:szCs w:val="21"/>
        </w:rPr>
        <w:t>municipalities</w:t>
      </w:r>
      <w:r w:rsidRPr="001F41AF">
        <w:rPr>
          <w:rFonts w:cstheme="minorHAnsi"/>
          <w:sz w:val="21"/>
          <w:szCs w:val="21"/>
        </w:rPr>
        <w:t xml:space="preserve"> and the highest proportion in Victorian history </w:t>
      </w:r>
      <w:r w:rsidRPr="001F41AF">
        <w:rPr>
          <w:rFonts w:cstheme="minorHAnsi"/>
          <w:sz w:val="16"/>
          <w:szCs w:val="16"/>
        </w:rPr>
        <w:t>(Victorian Govt., 2020)</w:t>
      </w:r>
      <w:r w:rsidRPr="001F41AF">
        <w:rPr>
          <w:rFonts w:cstheme="minorHAnsi"/>
          <w:sz w:val="21"/>
          <w:szCs w:val="21"/>
        </w:rPr>
        <w:t>.</w:t>
      </w:r>
    </w:p>
    <w:p w14:paraId="17DD1451" w14:textId="77777777" w:rsidR="00676D87" w:rsidRDefault="00676D87" w:rsidP="00676D87">
      <w:pPr>
        <w:spacing w:before="60" w:after="0" w:line="240" w:lineRule="auto"/>
        <w:jc w:val="both"/>
        <w:rPr>
          <w:rFonts w:ascii="Segoe UI" w:hAnsi="Segoe UI" w:cs="Segoe UI"/>
          <w:color w:val="313131"/>
          <w:sz w:val="16"/>
          <w:szCs w:val="16"/>
          <w:lang w:val="en"/>
        </w:rPr>
      </w:pPr>
      <w:r w:rsidRPr="009D5B03">
        <w:rPr>
          <w:color w:val="000000" w:themeColor="text1"/>
          <w:lang w:val="en"/>
        </w:rPr>
        <w:t>Women accounted for 42% of the 2020 recipients of Australia Day hono</w:t>
      </w:r>
      <w:r>
        <w:rPr>
          <w:color w:val="000000" w:themeColor="text1"/>
          <w:lang w:val="en"/>
        </w:rPr>
        <w:t>u</w:t>
      </w:r>
      <w:r w:rsidRPr="009D5B03">
        <w:rPr>
          <w:color w:val="000000" w:themeColor="text1"/>
          <w:lang w:val="en"/>
        </w:rPr>
        <w:t>rs</w:t>
      </w:r>
      <w:r>
        <w:rPr>
          <w:color w:val="000000" w:themeColor="text1"/>
          <w:lang w:val="en"/>
        </w:rPr>
        <w:t xml:space="preserve"> </w:t>
      </w:r>
      <w:r w:rsidRPr="009D5B03">
        <w:rPr>
          <w:color w:val="000000" w:themeColor="text1"/>
          <w:sz w:val="16"/>
          <w:szCs w:val="16"/>
          <w:lang w:val="en"/>
        </w:rPr>
        <w:t>(</w:t>
      </w:r>
      <w:r w:rsidRPr="009D5B03">
        <w:rPr>
          <w:rFonts w:ascii="Segoe UI" w:hAnsi="Segoe UI" w:cs="Segoe UI"/>
          <w:color w:val="313131"/>
          <w:sz w:val="16"/>
          <w:szCs w:val="16"/>
          <w:lang w:val="en"/>
        </w:rPr>
        <w:t>Australia Day 2020 Honours List. Governor-General of the Commonwealth of Australia)</w:t>
      </w:r>
    </w:p>
    <w:p w14:paraId="17611F8D" w14:textId="77777777" w:rsidR="00676D87" w:rsidRDefault="00676D87" w:rsidP="00676D87">
      <w:pPr>
        <w:spacing w:before="60" w:after="0" w:line="240" w:lineRule="auto"/>
        <w:jc w:val="both"/>
      </w:pPr>
      <w:r>
        <w:t>Women account for 6% of Nobel prize winners between 1901 and 2019, including 6% of laureates in medicine, 3% in Chemistry, and 1% in physics and economics.</w:t>
      </w:r>
    </w:p>
    <w:p w14:paraId="04041993" w14:textId="77777777" w:rsidR="00676D87" w:rsidRPr="00964FA2" w:rsidRDefault="00676D87" w:rsidP="00676D87">
      <w:pPr>
        <w:spacing w:after="0" w:line="240" w:lineRule="auto"/>
        <w:jc w:val="both"/>
        <w:rPr>
          <w:rFonts w:cstheme="minorHAnsi"/>
          <w:sz w:val="24"/>
          <w:szCs w:val="24"/>
        </w:rPr>
      </w:pPr>
    </w:p>
    <w:p w14:paraId="2C55DC78" w14:textId="77777777" w:rsidR="00676D87" w:rsidRPr="0047477B" w:rsidRDefault="00676D87" w:rsidP="00676D87">
      <w:pPr>
        <w:spacing w:before="40" w:after="0" w:line="240" w:lineRule="auto"/>
        <w:jc w:val="both"/>
        <w:rPr>
          <w:rFonts w:cstheme="minorHAnsi"/>
          <w:b/>
          <w:color w:val="1F3864" w:themeColor="accent1" w:themeShade="80"/>
          <w:sz w:val="24"/>
          <w:szCs w:val="24"/>
        </w:rPr>
      </w:pPr>
      <w:r>
        <w:rPr>
          <w:rFonts w:cstheme="minorHAnsi"/>
          <w:b/>
          <w:noProof/>
          <w:color w:val="4472C4" w:themeColor="accent1"/>
          <w:sz w:val="24"/>
          <w:szCs w:val="24"/>
        </w:rPr>
        <w:drawing>
          <wp:anchor distT="0" distB="0" distL="114300" distR="114300" simplePos="0" relativeHeight="251671552" behindDoc="0" locked="0" layoutInCell="1" allowOverlap="1" wp14:anchorId="186338FF" wp14:editId="318E505A">
            <wp:simplePos x="0" y="0"/>
            <wp:positionH relativeFrom="margin">
              <wp:align>left</wp:align>
            </wp:positionH>
            <wp:positionV relativeFrom="paragraph">
              <wp:posOffset>81915</wp:posOffset>
            </wp:positionV>
            <wp:extent cx="576000" cy="396000"/>
            <wp:effectExtent l="0" t="0" r="0" b="4445"/>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Community Ethnic 2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 cy="396000"/>
                    </a:xfrm>
                    <a:prstGeom prst="rect">
                      <a:avLst/>
                    </a:prstGeom>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Unpaid Work</w:t>
      </w:r>
    </w:p>
    <w:p w14:paraId="74F7A6AE"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 xml:space="preserve">Women perform </w:t>
      </w:r>
      <w:r>
        <w:rPr>
          <w:rFonts w:cstheme="minorHAnsi"/>
          <w:color w:val="1F3864" w:themeColor="accent1" w:themeShade="80"/>
          <w:sz w:val="21"/>
          <w:szCs w:val="21"/>
        </w:rPr>
        <w:t>an average of twice as much</w:t>
      </w:r>
      <w:r w:rsidRPr="00755982">
        <w:rPr>
          <w:rFonts w:cstheme="minorHAnsi"/>
          <w:color w:val="1F3864" w:themeColor="accent1" w:themeShade="80"/>
          <w:sz w:val="21"/>
          <w:szCs w:val="21"/>
        </w:rPr>
        <w:t xml:space="preserve"> </w:t>
      </w:r>
      <w:r>
        <w:rPr>
          <w:rFonts w:cstheme="minorHAnsi"/>
          <w:color w:val="1F3864" w:themeColor="accent1" w:themeShade="80"/>
          <w:sz w:val="21"/>
          <w:szCs w:val="21"/>
        </w:rPr>
        <w:t xml:space="preserve">childcare and other </w:t>
      </w:r>
      <w:r w:rsidRPr="00755982">
        <w:rPr>
          <w:rFonts w:cstheme="minorHAnsi"/>
          <w:color w:val="1F3864" w:themeColor="accent1" w:themeShade="80"/>
          <w:sz w:val="21"/>
          <w:szCs w:val="21"/>
        </w:rPr>
        <w:t>unpaid work at home</w:t>
      </w:r>
      <w:r>
        <w:rPr>
          <w:rFonts w:cstheme="minorHAnsi"/>
          <w:color w:val="1F3864" w:themeColor="accent1" w:themeShade="80"/>
          <w:sz w:val="21"/>
          <w:szCs w:val="21"/>
        </w:rPr>
        <w:t xml:space="preserve"> </w:t>
      </w:r>
      <w:r w:rsidRPr="00755982">
        <w:rPr>
          <w:rFonts w:cstheme="minorHAnsi"/>
          <w:color w:val="1F3864" w:themeColor="accent1" w:themeShade="80"/>
          <w:sz w:val="21"/>
          <w:szCs w:val="21"/>
        </w:rPr>
        <w:t>than men,</w:t>
      </w:r>
      <w:r>
        <w:rPr>
          <w:rFonts w:cstheme="minorHAnsi"/>
          <w:color w:val="1F3864" w:themeColor="accent1" w:themeShade="80"/>
          <w:sz w:val="21"/>
          <w:szCs w:val="21"/>
        </w:rPr>
        <w:t xml:space="preserve"> even where both are</w:t>
      </w:r>
      <w:r w:rsidRPr="00755982">
        <w:rPr>
          <w:rFonts w:cstheme="minorHAnsi"/>
          <w:color w:val="1F3864" w:themeColor="accent1" w:themeShade="80"/>
          <w:sz w:val="21"/>
          <w:szCs w:val="21"/>
        </w:rPr>
        <w:t xml:space="preserve"> in full-time paid employment,</w:t>
      </w:r>
      <w:r>
        <w:rPr>
          <w:rFonts w:cstheme="minorHAnsi"/>
          <w:color w:val="1F3864" w:themeColor="accent1" w:themeShade="80"/>
          <w:sz w:val="21"/>
          <w:szCs w:val="21"/>
        </w:rPr>
        <w:t xml:space="preserve"> </w:t>
      </w:r>
      <w:r w:rsidRPr="00755982">
        <w:rPr>
          <w:rFonts w:cstheme="minorHAnsi"/>
          <w:color w:val="1F3864" w:themeColor="accent1" w:themeShade="80"/>
          <w:sz w:val="21"/>
          <w:szCs w:val="21"/>
        </w:rPr>
        <w:t>and more often provide unpaid care to a person with a disability.</w:t>
      </w:r>
    </w:p>
    <w:p w14:paraId="5BC25F2A" w14:textId="77777777" w:rsidR="00676D87" w:rsidRDefault="00676D87" w:rsidP="00676D87">
      <w:pPr>
        <w:spacing w:before="60" w:after="0" w:line="240" w:lineRule="auto"/>
        <w:jc w:val="both"/>
        <w:rPr>
          <w:rFonts w:cstheme="minorHAnsi"/>
          <w:sz w:val="21"/>
          <w:szCs w:val="21"/>
        </w:rPr>
      </w:pPr>
      <w:r w:rsidRPr="00D67E48">
        <w:rPr>
          <w:rFonts w:cstheme="minorHAnsi"/>
          <w:sz w:val="21"/>
          <w:szCs w:val="21"/>
        </w:rPr>
        <w:t xml:space="preserve">In 2016, Victorian women performed </w:t>
      </w:r>
      <w:r>
        <w:rPr>
          <w:rFonts w:cstheme="minorHAnsi"/>
          <w:sz w:val="21"/>
          <w:szCs w:val="21"/>
        </w:rPr>
        <w:t>an average</w:t>
      </w:r>
      <w:r w:rsidRPr="00D67E48">
        <w:rPr>
          <w:rFonts w:cstheme="minorHAnsi"/>
          <w:sz w:val="21"/>
          <w:szCs w:val="21"/>
        </w:rPr>
        <w:t xml:space="preserve"> of </w:t>
      </w:r>
      <w:r>
        <w:rPr>
          <w:rFonts w:cstheme="minorHAnsi"/>
          <w:sz w:val="21"/>
          <w:szCs w:val="21"/>
        </w:rPr>
        <w:t>15.9 hours</w:t>
      </w:r>
      <w:r w:rsidRPr="00D67E48">
        <w:rPr>
          <w:rFonts w:cstheme="minorHAnsi"/>
          <w:sz w:val="21"/>
          <w:szCs w:val="21"/>
        </w:rPr>
        <w:t xml:space="preserve"> unpaid work at home, compared with </w:t>
      </w:r>
      <w:r>
        <w:rPr>
          <w:rFonts w:cstheme="minorHAnsi"/>
          <w:sz w:val="21"/>
          <w:szCs w:val="21"/>
        </w:rPr>
        <w:t>7.5</w:t>
      </w:r>
      <w:r w:rsidRPr="00D67E48">
        <w:rPr>
          <w:rFonts w:cstheme="minorHAnsi"/>
          <w:sz w:val="21"/>
          <w:szCs w:val="21"/>
        </w:rPr>
        <w:t xml:space="preserve"> </w:t>
      </w:r>
      <w:r>
        <w:rPr>
          <w:rFonts w:cstheme="minorHAnsi"/>
          <w:sz w:val="21"/>
          <w:szCs w:val="21"/>
        </w:rPr>
        <w:t>for</w:t>
      </w:r>
      <w:r w:rsidRPr="00D67E48">
        <w:rPr>
          <w:rFonts w:cstheme="minorHAnsi"/>
          <w:sz w:val="21"/>
          <w:szCs w:val="21"/>
        </w:rPr>
        <w:t xml:space="preserve"> men </w:t>
      </w:r>
      <w:r w:rsidRPr="00755982">
        <w:rPr>
          <w:rFonts w:cstheme="minorHAnsi"/>
          <w:sz w:val="16"/>
          <w:szCs w:val="16"/>
        </w:rPr>
        <w:t>(2016 Census, ABS).</w:t>
      </w:r>
      <w:r>
        <w:rPr>
          <w:rFonts w:cstheme="minorHAnsi"/>
          <w:sz w:val="21"/>
          <w:szCs w:val="21"/>
        </w:rPr>
        <w:t xml:space="preserve"> A wide difference persisted among people in full-time employment, with such women performing an average of 9.1 hours each week in unpaid work at home, compared with 5.8 hours by men.</w:t>
      </w:r>
    </w:p>
    <w:p w14:paraId="4AC9B522"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Among Australian parents in 20</w:t>
      </w:r>
      <w:r>
        <w:rPr>
          <w:rFonts w:cstheme="minorHAnsi"/>
          <w:sz w:val="21"/>
          <w:szCs w:val="21"/>
        </w:rPr>
        <w:t>0</w:t>
      </w:r>
      <w:r w:rsidRPr="00D67E48">
        <w:rPr>
          <w:rFonts w:cstheme="minorHAnsi"/>
          <w:sz w:val="21"/>
          <w:szCs w:val="21"/>
        </w:rPr>
        <w:t xml:space="preserve">6, women spent a daily average of </w:t>
      </w:r>
      <w:r>
        <w:rPr>
          <w:rFonts w:cstheme="minorHAnsi"/>
          <w:sz w:val="21"/>
          <w:szCs w:val="21"/>
        </w:rPr>
        <w:t xml:space="preserve">8.6 hours </w:t>
      </w:r>
      <w:r w:rsidRPr="00D67E48">
        <w:rPr>
          <w:rFonts w:cstheme="minorHAnsi"/>
          <w:sz w:val="21"/>
          <w:szCs w:val="21"/>
        </w:rPr>
        <w:t xml:space="preserve">caring for children, compared with </w:t>
      </w:r>
      <w:r>
        <w:rPr>
          <w:rFonts w:cstheme="minorHAnsi"/>
          <w:sz w:val="21"/>
          <w:szCs w:val="21"/>
        </w:rPr>
        <w:t xml:space="preserve">3.9 hours </w:t>
      </w:r>
      <w:r w:rsidRPr="00D67E48">
        <w:rPr>
          <w:rFonts w:cstheme="minorHAnsi"/>
          <w:sz w:val="21"/>
          <w:szCs w:val="21"/>
        </w:rPr>
        <w:t xml:space="preserve">among men. </w:t>
      </w:r>
      <w:r>
        <w:rPr>
          <w:rFonts w:cstheme="minorHAnsi"/>
          <w:sz w:val="21"/>
          <w:szCs w:val="21"/>
        </w:rPr>
        <w:t>Of</w:t>
      </w:r>
      <w:r w:rsidRPr="00D67E48">
        <w:rPr>
          <w:rFonts w:cstheme="minorHAnsi"/>
          <w:sz w:val="21"/>
          <w:szCs w:val="21"/>
        </w:rPr>
        <w:t xml:space="preserve"> parents in full-time employment, women spen</w:t>
      </w:r>
      <w:r>
        <w:rPr>
          <w:rFonts w:cstheme="minorHAnsi"/>
          <w:sz w:val="21"/>
          <w:szCs w:val="21"/>
        </w:rPr>
        <w:t>t</w:t>
      </w:r>
      <w:r w:rsidRPr="00D67E48">
        <w:rPr>
          <w:rFonts w:cstheme="minorHAnsi"/>
          <w:sz w:val="21"/>
          <w:szCs w:val="21"/>
        </w:rPr>
        <w:t xml:space="preserve"> an average of </w:t>
      </w:r>
      <w:r>
        <w:rPr>
          <w:rFonts w:cstheme="minorHAnsi"/>
          <w:sz w:val="21"/>
          <w:szCs w:val="21"/>
        </w:rPr>
        <w:t>6.7 hours</w:t>
      </w:r>
      <w:r w:rsidRPr="00D67E48">
        <w:rPr>
          <w:rFonts w:cstheme="minorHAnsi"/>
          <w:sz w:val="21"/>
          <w:szCs w:val="21"/>
        </w:rPr>
        <w:t xml:space="preserve"> per day caring for children, compared with </w:t>
      </w:r>
      <w:r>
        <w:rPr>
          <w:rFonts w:cstheme="minorHAnsi"/>
          <w:sz w:val="21"/>
          <w:szCs w:val="21"/>
        </w:rPr>
        <w:t>3.7</w:t>
      </w:r>
      <w:r w:rsidRPr="00D67E48">
        <w:rPr>
          <w:rFonts w:cstheme="minorHAnsi"/>
          <w:sz w:val="21"/>
          <w:szCs w:val="21"/>
        </w:rPr>
        <w:t xml:space="preserve"> among men </w:t>
      </w:r>
      <w:r w:rsidRPr="00755982">
        <w:rPr>
          <w:rFonts w:cstheme="minorHAnsi"/>
          <w:sz w:val="16"/>
          <w:szCs w:val="16"/>
        </w:rPr>
        <w:t>(Time Use Survey, cat. 4153.0</w:t>
      </w:r>
      <w:r>
        <w:rPr>
          <w:rFonts w:cstheme="minorHAnsi"/>
          <w:sz w:val="16"/>
          <w:szCs w:val="16"/>
        </w:rPr>
        <w:t>, ABS</w:t>
      </w:r>
      <w:r w:rsidRPr="00755982">
        <w:rPr>
          <w:rFonts w:cstheme="minorHAnsi"/>
          <w:sz w:val="16"/>
          <w:szCs w:val="16"/>
        </w:rPr>
        <w:t>).</w:t>
      </w:r>
    </w:p>
    <w:p w14:paraId="3736C241" w14:textId="77777777" w:rsidR="00676D87" w:rsidRDefault="00676D87" w:rsidP="00676D87">
      <w:pPr>
        <w:spacing w:before="60" w:after="0"/>
        <w:jc w:val="both"/>
        <w:rPr>
          <w:sz w:val="16"/>
          <w:szCs w:val="16"/>
          <w:lang w:val="en-US"/>
        </w:rPr>
      </w:pPr>
      <w:r>
        <w:rPr>
          <w:lang w:val="en-US"/>
        </w:rPr>
        <w:t xml:space="preserve">72% primary unpaid carers are women </w:t>
      </w:r>
      <w:r w:rsidRPr="00557EB6">
        <w:rPr>
          <w:sz w:val="16"/>
          <w:szCs w:val="16"/>
          <w:lang w:val="en-US"/>
        </w:rPr>
        <w:t>(Disability, Ageing and Carers, Australia 2018)</w:t>
      </w:r>
    </w:p>
    <w:p w14:paraId="4AC6F67A" w14:textId="77777777" w:rsidR="00676D87" w:rsidRPr="00964FA2" w:rsidRDefault="00676D87" w:rsidP="00676D87">
      <w:pPr>
        <w:spacing w:after="0" w:line="240" w:lineRule="auto"/>
        <w:jc w:val="both"/>
        <w:rPr>
          <w:rFonts w:cstheme="minorHAnsi"/>
          <w:sz w:val="24"/>
          <w:szCs w:val="24"/>
        </w:rPr>
      </w:pPr>
    </w:p>
    <w:p w14:paraId="4DEA8F5F" w14:textId="77777777" w:rsidR="00676D87" w:rsidRPr="0047477B" w:rsidRDefault="00676D87" w:rsidP="00676D87">
      <w:pPr>
        <w:spacing w:before="40" w:after="0" w:line="240" w:lineRule="auto"/>
        <w:jc w:val="both"/>
        <w:rPr>
          <w:rFonts w:cstheme="minorHAnsi"/>
          <w:b/>
          <w:color w:val="1F3864" w:themeColor="accent1" w:themeShade="80"/>
          <w:sz w:val="24"/>
          <w:szCs w:val="24"/>
        </w:rPr>
      </w:pPr>
      <w:r>
        <w:rPr>
          <w:rFonts w:ascii="Calibri" w:hAnsi="Calibri"/>
          <w:noProof/>
          <w:lang w:val="en-US"/>
        </w:rPr>
        <w:drawing>
          <wp:anchor distT="0" distB="0" distL="114300" distR="114300" simplePos="0" relativeHeight="251667456" behindDoc="0" locked="0" layoutInCell="1" allowOverlap="1" wp14:anchorId="3BAD4BA3" wp14:editId="023B75E0">
            <wp:simplePos x="0" y="0"/>
            <wp:positionH relativeFrom="margin">
              <wp:posOffset>38100</wp:posOffset>
            </wp:positionH>
            <wp:positionV relativeFrom="paragraph">
              <wp:posOffset>83820</wp:posOffset>
            </wp:positionV>
            <wp:extent cx="576000" cy="396000"/>
            <wp:effectExtent l="0" t="0" r="0" b="4445"/>
            <wp:wrapSquare wrapText="bothSides"/>
            <wp:docPr id="169" name="Picture 1" descr="netball.png"/>
            <wp:cNvGraphicFramePr/>
            <a:graphic xmlns:a="http://schemas.openxmlformats.org/drawingml/2006/main">
              <a:graphicData uri="http://schemas.openxmlformats.org/drawingml/2006/picture">
                <pic:pic xmlns:pic="http://schemas.openxmlformats.org/drawingml/2006/picture">
                  <pic:nvPicPr>
                    <pic:cNvPr id="161" name="Picture 160" descr="netball.png"/>
                    <pic:cNvPicPr>
                      <a:picLocks/>
                    </pic:cNvPicPr>
                  </pic:nvPicPr>
                  <pic:blipFill>
                    <a:blip r:embed="rId14" cstate="print"/>
                    <a:stretch>
                      <a:fillRect/>
                    </a:stretch>
                  </pic:blipFill>
                  <pic:spPr>
                    <a:xfrm>
                      <a:off x="0" y="0"/>
                      <a:ext cx="576000" cy="3960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47477B">
        <w:rPr>
          <w:rFonts w:cstheme="minorHAnsi"/>
          <w:b/>
          <w:color w:val="1F3864" w:themeColor="accent1" w:themeShade="80"/>
          <w:sz w:val="24"/>
          <w:szCs w:val="24"/>
        </w:rPr>
        <w:t>Sport and Physical Recreation</w:t>
      </w:r>
    </w:p>
    <w:p w14:paraId="3A8AFC50"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Women account for</w:t>
      </w:r>
      <w:r>
        <w:rPr>
          <w:rFonts w:cstheme="minorHAnsi"/>
          <w:color w:val="1F3864" w:themeColor="accent1" w:themeShade="80"/>
          <w:sz w:val="21"/>
          <w:szCs w:val="21"/>
        </w:rPr>
        <w:t xml:space="preserve"> a slight majority of participants in sport and physical recreation, including organised sports, </w:t>
      </w:r>
      <w:r w:rsidRPr="00755982">
        <w:rPr>
          <w:rFonts w:cstheme="minorHAnsi"/>
          <w:color w:val="1F3864" w:themeColor="accent1" w:themeShade="80"/>
          <w:sz w:val="21"/>
          <w:szCs w:val="21"/>
        </w:rPr>
        <w:t>but</w:t>
      </w:r>
      <w:r>
        <w:rPr>
          <w:rFonts w:cstheme="minorHAnsi"/>
          <w:color w:val="1F3864" w:themeColor="accent1" w:themeShade="80"/>
          <w:sz w:val="21"/>
          <w:szCs w:val="21"/>
        </w:rPr>
        <w:t xml:space="preserve"> are half as likely to participate at sports clubs as men, and </w:t>
      </w:r>
      <w:r w:rsidRPr="00755982">
        <w:rPr>
          <w:rFonts w:cstheme="minorHAnsi"/>
          <w:color w:val="1F3864" w:themeColor="accent1" w:themeShade="80"/>
          <w:sz w:val="21"/>
          <w:szCs w:val="21"/>
        </w:rPr>
        <w:t>attract far less publicity and funding in elite sports</w:t>
      </w:r>
      <w:r>
        <w:rPr>
          <w:rFonts w:cstheme="minorHAnsi"/>
          <w:color w:val="1F3864" w:themeColor="accent1" w:themeShade="80"/>
          <w:sz w:val="21"/>
          <w:szCs w:val="21"/>
        </w:rPr>
        <w:t>,</w:t>
      </w:r>
      <w:r w:rsidRPr="00755982">
        <w:rPr>
          <w:rFonts w:cstheme="minorHAnsi"/>
          <w:color w:val="1F3864" w:themeColor="accent1" w:themeShade="80"/>
          <w:sz w:val="21"/>
          <w:szCs w:val="21"/>
        </w:rPr>
        <w:t xml:space="preserve"> than men.</w:t>
      </w:r>
    </w:p>
    <w:p w14:paraId="00FE69E0" w14:textId="77777777" w:rsidR="00676D87" w:rsidRDefault="00676D87" w:rsidP="00676D87">
      <w:pPr>
        <w:spacing w:before="60" w:after="0" w:line="240" w:lineRule="auto"/>
        <w:jc w:val="both"/>
        <w:rPr>
          <w:rFonts w:cstheme="minorHAnsi"/>
          <w:sz w:val="16"/>
          <w:szCs w:val="16"/>
        </w:rPr>
      </w:pPr>
      <w:r>
        <w:rPr>
          <w:rFonts w:cstheme="minorHAnsi"/>
          <w:sz w:val="21"/>
          <w:szCs w:val="21"/>
        </w:rPr>
        <w:t xml:space="preserve">85% of Victorian women and 83% of men engage in sport or physical recreation at least once a week, and slightly more women (67%) than men (62%) participate three or more times per week </w:t>
      </w:r>
      <w:r w:rsidRPr="009070BF">
        <w:rPr>
          <w:rFonts w:cstheme="minorHAnsi"/>
          <w:sz w:val="16"/>
          <w:szCs w:val="16"/>
        </w:rPr>
        <w:t>(AusPlay survey results 2018</w:t>
      </w:r>
      <w:r>
        <w:rPr>
          <w:rFonts w:cstheme="minorHAnsi"/>
          <w:sz w:val="16"/>
          <w:szCs w:val="16"/>
        </w:rPr>
        <w:t>/</w:t>
      </w:r>
      <w:r w:rsidRPr="009070BF">
        <w:rPr>
          <w:rFonts w:cstheme="minorHAnsi"/>
          <w:sz w:val="16"/>
          <w:szCs w:val="16"/>
        </w:rPr>
        <w:t>2019).</w:t>
      </w:r>
    </w:p>
    <w:p w14:paraId="3B305D90" w14:textId="77777777" w:rsidR="00676D87" w:rsidRDefault="00676D87" w:rsidP="00676D87">
      <w:pPr>
        <w:spacing w:before="60" w:after="0" w:line="240" w:lineRule="auto"/>
        <w:jc w:val="both"/>
        <w:rPr>
          <w:rFonts w:cstheme="minorHAnsi"/>
          <w:sz w:val="21"/>
          <w:szCs w:val="21"/>
        </w:rPr>
      </w:pPr>
      <w:r>
        <w:rPr>
          <w:rFonts w:cstheme="minorHAnsi"/>
          <w:sz w:val="21"/>
          <w:szCs w:val="21"/>
        </w:rPr>
        <w:t>However, w</w:t>
      </w:r>
      <w:r w:rsidRPr="009070BF">
        <w:rPr>
          <w:rFonts w:cstheme="minorHAnsi"/>
          <w:sz w:val="21"/>
          <w:szCs w:val="21"/>
        </w:rPr>
        <w:t xml:space="preserve">omen </w:t>
      </w:r>
      <w:r>
        <w:rPr>
          <w:rFonts w:cstheme="minorHAnsi"/>
          <w:sz w:val="21"/>
          <w:szCs w:val="21"/>
        </w:rPr>
        <w:t>represent</w:t>
      </w:r>
      <w:r w:rsidRPr="009070BF">
        <w:rPr>
          <w:rFonts w:cstheme="minorHAnsi"/>
          <w:sz w:val="21"/>
          <w:szCs w:val="21"/>
        </w:rPr>
        <w:t xml:space="preserve"> </w:t>
      </w:r>
      <w:r>
        <w:rPr>
          <w:rFonts w:cstheme="minorHAnsi"/>
          <w:sz w:val="21"/>
          <w:szCs w:val="21"/>
        </w:rPr>
        <w:t>only a third (</w:t>
      </w:r>
      <w:r w:rsidRPr="009070BF">
        <w:rPr>
          <w:rFonts w:cstheme="minorHAnsi"/>
          <w:sz w:val="21"/>
          <w:szCs w:val="21"/>
        </w:rPr>
        <w:t>36%</w:t>
      </w:r>
      <w:r>
        <w:rPr>
          <w:rFonts w:cstheme="minorHAnsi"/>
          <w:sz w:val="21"/>
          <w:szCs w:val="21"/>
        </w:rPr>
        <w:t>)</w:t>
      </w:r>
      <w:r w:rsidRPr="009070BF">
        <w:rPr>
          <w:rFonts w:cstheme="minorHAnsi"/>
          <w:sz w:val="21"/>
          <w:szCs w:val="21"/>
        </w:rPr>
        <w:t xml:space="preserve"> of </w:t>
      </w:r>
      <w:r>
        <w:rPr>
          <w:rFonts w:cstheme="minorHAnsi"/>
          <w:sz w:val="21"/>
          <w:szCs w:val="21"/>
        </w:rPr>
        <w:t>people</w:t>
      </w:r>
      <w:r w:rsidRPr="009070BF">
        <w:rPr>
          <w:rFonts w:cstheme="minorHAnsi"/>
          <w:sz w:val="21"/>
          <w:szCs w:val="21"/>
        </w:rPr>
        <w:t xml:space="preserve"> who </w:t>
      </w:r>
      <w:r>
        <w:rPr>
          <w:rFonts w:cstheme="minorHAnsi"/>
          <w:sz w:val="21"/>
          <w:szCs w:val="21"/>
        </w:rPr>
        <w:t>play sports</w:t>
      </w:r>
      <w:r w:rsidRPr="009070BF">
        <w:rPr>
          <w:rFonts w:cstheme="minorHAnsi"/>
          <w:sz w:val="21"/>
          <w:szCs w:val="21"/>
        </w:rPr>
        <w:t xml:space="preserve"> at </w:t>
      </w:r>
      <w:r>
        <w:rPr>
          <w:rFonts w:cstheme="minorHAnsi"/>
          <w:sz w:val="21"/>
          <w:szCs w:val="21"/>
        </w:rPr>
        <w:t>Victorian</w:t>
      </w:r>
      <w:r w:rsidRPr="009070BF">
        <w:rPr>
          <w:rFonts w:cstheme="minorHAnsi"/>
          <w:sz w:val="21"/>
          <w:szCs w:val="21"/>
        </w:rPr>
        <w:t xml:space="preserve"> sports club</w:t>
      </w:r>
      <w:r>
        <w:rPr>
          <w:rFonts w:cstheme="minorHAnsi"/>
          <w:sz w:val="21"/>
          <w:szCs w:val="21"/>
        </w:rPr>
        <w:t>s</w:t>
      </w:r>
      <w:r w:rsidRPr="009070BF">
        <w:rPr>
          <w:rFonts w:cstheme="minorHAnsi"/>
          <w:sz w:val="21"/>
          <w:szCs w:val="21"/>
        </w:rPr>
        <w:t xml:space="preserve"> or association</w:t>
      </w:r>
      <w:r>
        <w:rPr>
          <w:rFonts w:cstheme="minorHAnsi"/>
          <w:sz w:val="21"/>
          <w:szCs w:val="21"/>
        </w:rPr>
        <w:t>s</w:t>
      </w:r>
      <w:r>
        <w:rPr>
          <w:rFonts w:cstheme="minorHAnsi"/>
          <w:sz w:val="16"/>
          <w:szCs w:val="16"/>
        </w:rPr>
        <w:t xml:space="preserve"> </w:t>
      </w:r>
      <w:r w:rsidRPr="009070BF">
        <w:rPr>
          <w:rFonts w:cstheme="minorHAnsi"/>
          <w:sz w:val="16"/>
          <w:szCs w:val="16"/>
        </w:rPr>
        <w:t>(AusPlay survey results 2018</w:t>
      </w:r>
      <w:r>
        <w:rPr>
          <w:rFonts w:cstheme="minorHAnsi"/>
          <w:sz w:val="16"/>
          <w:szCs w:val="16"/>
        </w:rPr>
        <w:t>/</w:t>
      </w:r>
      <w:r w:rsidRPr="009070BF">
        <w:rPr>
          <w:rFonts w:cstheme="minorHAnsi"/>
          <w:sz w:val="16"/>
          <w:szCs w:val="16"/>
        </w:rPr>
        <w:t>2019).</w:t>
      </w:r>
      <w:r>
        <w:rPr>
          <w:rFonts w:cstheme="minorHAnsi"/>
          <w:sz w:val="16"/>
          <w:szCs w:val="16"/>
        </w:rPr>
        <w:t xml:space="preserve"> </w:t>
      </w:r>
    </w:p>
    <w:p w14:paraId="49823714" w14:textId="77777777" w:rsidR="00676D87" w:rsidRPr="00D67E48" w:rsidRDefault="00676D87" w:rsidP="00676D87">
      <w:pPr>
        <w:spacing w:before="60" w:after="0" w:line="240" w:lineRule="auto"/>
        <w:jc w:val="both"/>
        <w:rPr>
          <w:rFonts w:cstheme="minorHAnsi"/>
          <w:sz w:val="21"/>
          <w:szCs w:val="21"/>
        </w:rPr>
      </w:pPr>
      <w:r>
        <w:rPr>
          <w:rFonts w:cstheme="minorHAnsi"/>
          <w:sz w:val="21"/>
          <w:szCs w:val="21"/>
        </w:rPr>
        <w:t>Australian m</w:t>
      </w:r>
      <w:r w:rsidRPr="003A5322">
        <w:rPr>
          <w:rFonts w:cstheme="minorHAnsi"/>
          <w:sz w:val="21"/>
          <w:szCs w:val="21"/>
        </w:rPr>
        <w:t>ales predominate among participants in soccer, golf, cricket, Aus</w:t>
      </w:r>
      <w:r>
        <w:rPr>
          <w:rFonts w:cstheme="minorHAnsi"/>
          <w:sz w:val="21"/>
          <w:szCs w:val="21"/>
        </w:rPr>
        <w:t>sie rules</w:t>
      </w:r>
      <w:r w:rsidRPr="003A5322">
        <w:rPr>
          <w:rFonts w:cstheme="minorHAnsi"/>
          <w:sz w:val="21"/>
          <w:szCs w:val="21"/>
        </w:rPr>
        <w:t xml:space="preserve"> football, motor cycling, surfing, fishing, rugby, martial arts, shooting, fencing, paintball, gridiron, wood chopping, billiards</w:t>
      </w:r>
      <w:r>
        <w:rPr>
          <w:rFonts w:cstheme="minorHAnsi"/>
          <w:sz w:val="21"/>
          <w:szCs w:val="21"/>
        </w:rPr>
        <w:t xml:space="preserve"> and</w:t>
      </w:r>
      <w:r w:rsidRPr="003A5322">
        <w:rPr>
          <w:rFonts w:cstheme="minorHAnsi"/>
          <w:sz w:val="21"/>
          <w:szCs w:val="21"/>
        </w:rPr>
        <w:t xml:space="preserve"> rock climbing</w:t>
      </w:r>
      <w:r>
        <w:rPr>
          <w:rFonts w:cstheme="minorHAnsi"/>
          <w:sz w:val="21"/>
          <w:szCs w:val="21"/>
        </w:rPr>
        <w:t>, while f</w:t>
      </w:r>
      <w:r w:rsidRPr="003A5322">
        <w:rPr>
          <w:rFonts w:cstheme="minorHAnsi"/>
          <w:sz w:val="21"/>
          <w:szCs w:val="21"/>
        </w:rPr>
        <w:t xml:space="preserve">emales </w:t>
      </w:r>
      <w:r>
        <w:rPr>
          <w:rFonts w:cstheme="minorHAnsi"/>
          <w:sz w:val="21"/>
          <w:szCs w:val="21"/>
        </w:rPr>
        <w:t>account for most</w:t>
      </w:r>
      <w:r w:rsidRPr="003A5322">
        <w:rPr>
          <w:rFonts w:cstheme="minorHAnsi"/>
          <w:sz w:val="21"/>
          <w:szCs w:val="21"/>
        </w:rPr>
        <w:t xml:space="preserve"> participants in walking, yoga, Pilates, dance, gymnastics, equestrian, ice skating and netball</w:t>
      </w:r>
      <w:r>
        <w:rPr>
          <w:rFonts w:cstheme="minorHAnsi"/>
          <w:sz w:val="21"/>
          <w:szCs w:val="21"/>
        </w:rPr>
        <w:t xml:space="preserve"> </w:t>
      </w:r>
      <w:r w:rsidRPr="003A5322">
        <w:rPr>
          <w:rFonts w:cstheme="minorHAnsi"/>
          <w:sz w:val="16"/>
          <w:szCs w:val="16"/>
        </w:rPr>
        <w:t xml:space="preserve">(AusPlay survey results </w:t>
      </w:r>
      <w:r w:rsidRPr="009070BF">
        <w:rPr>
          <w:rFonts w:cstheme="minorHAnsi"/>
          <w:sz w:val="16"/>
          <w:szCs w:val="16"/>
        </w:rPr>
        <w:t>2018</w:t>
      </w:r>
      <w:r>
        <w:rPr>
          <w:rFonts w:cstheme="minorHAnsi"/>
          <w:sz w:val="16"/>
          <w:szCs w:val="16"/>
        </w:rPr>
        <w:t>/</w:t>
      </w:r>
      <w:r w:rsidRPr="009070BF">
        <w:rPr>
          <w:rFonts w:cstheme="minorHAnsi"/>
          <w:sz w:val="16"/>
          <w:szCs w:val="16"/>
        </w:rPr>
        <w:t>2019</w:t>
      </w:r>
      <w:r w:rsidRPr="003A5322">
        <w:rPr>
          <w:rFonts w:cstheme="minorHAnsi"/>
          <w:sz w:val="16"/>
          <w:szCs w:val="16"/>
        </w:rPr>
        <w:t>)</w:t>
      </w:r>
      <w:r>
        <w:rPr>
          <w:rFonts w:cstheme="minorHAnsi"/>
          <w:sz w:val="21"/>
          <w:szCs w:val="21"/>
        </w:rPr>
        <w:t>.</w:t>
      </w:r>
    </w:p>
    <w:p w14:paraId="2387D06F" w14:textId="77777777" w:rsidR="00676D87" w:rsidRDefault="00676D87" w:rsidP="00676D87">
      <w:pPr>
        <w:spacing w:before="60" w:after="0" w:line="240" w:lineRule="auto"/>
        <w:jc w:val="both"/>
        <w:rPr>
          <w:rFonts w:cstheme="minorHAnsi"/>
          <w:sz w:val="21"/>
          <w:szCs w:val="21"/>
        </w:rPr>
      </w:pPr>
      <w:r>
        <w:rPr>
          <w:rFonts w:cstheme="minorHAnsi"/>
          <w:sz w:val="21"/>
          <w:szCs w:val="21"/>
        </w:rPr>
        <w:t>W</w:t>
      </w:r>
      <w:r w:rsidRPr="00D67E48">
        <w:rPr>
          <w:rFonts w:cstheme="minorHAnsi"/>
          <w:sz w:val="21"/>
          <w:szCs w:val="21"/>
        </w:rPr>
        <w:t>omen’s sports</w:t>
      </w:r>
      <w:r>
        <w:rPr>
          <w:rFonts w:cstheme="minorHAnsi"/>
          <w:sz w:val="21"/>
          <w:szCs w:val="21"/>
        </w:rPr>
        <w:t xml:space="preserve"> </w:t>
      </w:r>
      <w:r w:rsidRPr="00D67E48">
        <w:rPr>
          <w:rFonts w:cstheme="minorHAnsi"/>
          <w:sz w:val="21"/>
          <w:szCs w:val="21"/>
        </w:rPr>
        <w:t xml:space="preserve">receive </w:t>
      </w:r>
      <w:r>
        <w:rPr>
          <w:rFonts w:cstheme="minorHAnsi"/>
          <w:sz w:val="21"/>
          <w:szCs w:val="21"/>
        </w:rPr>
        <w:t xml:space="preserve">just </w:t>
      </w:r>
      <w:r w:rsidRPr="00D67E48">
        <w:rPr>
          <w:rFonts w:cstheme="minorHAnsi"/>
          <w:sz w:val="21"/>
          <w:szCs w:val="21"/>
        </w:rPr>
        <w:t xml:space="preserve">4% of all </w:t>
      </w:r>
      <w:r>
        <w:rPr>
          <w:rFonts w:cstheme="minorHAnsi"/>
          <w:sz w:val="21"/>
          <w:szCs w:val="21"/>
        </w:rPr>
        <w:t xml:space="preserve">worldwide </w:t>
      </w:r>
      <w:r w:rsidRPr="00D67E48">
        <w:rPr>
          <w:rFonts w:cstheme="minorHAnsi"/>
          <w:sz w:val="21"/>
          <w:szCs w:val="21"/>
        </w:rPr>
        <w:t xml:space="preserve">sports media </w:t>
      </w:r>
      <w:r w:rsidRPr="00755982">
        <w:rPr>
          <w:rFonts w:cstheme="minorHAnsi"/>
          <w:sz w:val="21"/>
          <w:szCs w:val="21"/>
        </w:rPr>
        <w:t>coverage</w:t>
      </w:r>
      <w:r w:rsidRPr="00755982">
        <w:rPr>
          <w:rFonts w:cstheme="minorHAnsi"/>
          <w:sz w:val="16"/>
          <w:szCs w:val="16"/>
        </w:rPr>
        <w:t xml:space="preserve"> (Tucker Centre for Research on Girls and Women in Sport)</w:t>
      </w:r>
      <w:r>
        <w:rPr>
          <w:rFonts w:cstheme="minorHAnsi"/>
          <w:sz w:val="16"/>
          <w:szCs w:val="16"/>
        </w:rPr>
        <w:t xml:space="preserve">, </w:t>
      </w:r>
      <w:r w:rsidRPr="00C37C8B">
        <w:rPr>
          <w:rFonts w:cstheme="minorHAnsi"/>
          <w:sz w:val="21"/>
          <w:szCs w:val="21"/>
        </w:rPr>
        <w:t xml:space="preserve">and in Victoria, </w:t>
      </w:r>
      <w:r w:rsidRPr="007738DE">
        <w:rPr>
          <w:sz w:val="21"/>
          <w:szCs w:val="21"/>
        </w:rPr>
        <w:t>93 per cent of TV sports coverage</w:t>
      </w:r>
      <w:r>
        <w:rPr>
          <w:sz w:val="21"/>
          <w:szCs w:val="21"/>
        </w:rPr>
        <w:t xml:space="preserve"> is about men</w:t>
      </w:r>
      <w:r>
        <w:t xml:space="preserve"> </w:t>
      </w:r>
      <w:r w:rsidRPr="00C37C8B">
        <w:rPr>
          <w:sz w:val="16"/>
          <w:szCs w:val="16"/>
        </w:rPr>
        <w:t>(Victorian Gender Equality Strategy, State Govt.)</w:t>
      </w:r>
      <w:r>
        <w:rPr>
          <w:sz w:val="16"/>
          <w:szCs w:val="16"/>
        </w:rPr>
        <w:t>.</w:t>
      </w:r>
    </w:p>
    <w:p w14:paraId="2C5407D2" w14:textId="77777777" w:rsidR="00676D87" w:rsidRDefault="00676D87" w:rsidP="00676D87">
      <w:pPr>
        <w:spacing w:before="60" w:after="0" w:line="240" w:lineRule="auto"/>
        <w:jc w:val="both"/>
        <w:rPr>
          <w:rFonts w:cstheme="minorHAnsi"/>
          <w:sz w:val="16"/>
          <w:szCs w:val="16"/>
        </w:rPr>
      </w:pPr>
      <w:r>
        <w:rPr>
          <w:rFonts w:cstheme="minorHAnsi"/>
          <w:sz w:val="21"/>
          <w:szCs w:val="21"/>
        </w:rPr>
        <w:t>Moreover, w</w:t>
      </w:r>
      <w:r w:rsidRPr="00D67E48">
        <w:rPr>
          <w:rFonts w:cstheme="minorHAnsi"/>
          <w:sz w:val="21"/>
          <w:szCs w:val="21"/>
        </w:rPr>
        <w:t xml:space="preserve">omen are paid less in professional sport than men: the U.S. Women’s National Team earned $2 million dollars for their 2015 Women’s World Cup Soccer victory, while the U.S. men’s team </w:t>
      </w:r>
      <w:r>
        <w:rPr>
          <w:rFonts w:cstheme="minorHAnsi"/>
          <w:sz w:val="21"/>
          <w:szCs w:val="21"/>
        </w:rPr>
        <w:t xml:space="preserve">– ranking </w:t>
      </w:r>
      <w:r w:rsidRPr="00D67E48">
        <w:rPr>
          <w:rFonts w:cstheme="minorHAnsi"/>
          <w:sz w:val="21"/>
          <w:szCs w:val="21"/>
        </w:rPr>
        <w:t>11th in 2014</w:t>
      </w:r>
      <w:r>
        <w:rPr>
          <w:rFonts w:cstheme="minorHAnsi"/>
          <w:sz w:val="21"/>
          <w:szCs w:val="21"/>
        </w:rPr>
        <w:t xml:space="preserve"> -</w:t>
      </w:r>
      <w:r w:rsidRPr="00D67E48">
        <w:rPr>
          <w:rFonts w:cstheme="minorHAnsi"/>
          <w:sz w:val="21"/>
          <w:szCs w:val="21"/>
        </w:rPr>
        <w:t xml:space="preserve"> collected $9 million. </w:t>
      </w:r>
      <w:r>
        <w:rPr>
          <w:rFonts w:cstheme="minorHAnsi"/>
          <w:sz w:val="21"/>
          <w:szCs w:val="21"/>
        </w:rPr>
        <w:t>And while</w:t>
      </w:r>
      <w:r w:rsidRPr="00D67E48">
        <w:rPr>
          <w:rFonts w:cstheme="minorHAnsi"/>
          <w:sz w:val="21"/>
          <w:szCs w:val="21"/>
        </w:rPr>
        <w:t xml:space="preserve"> tennis is the most lucrative sport for female athletes, Novak Djokovic, the men’s number one, earned twice as much as Serena Williams, the women’s number one </w:t>
      </w:r>
      <w:r w:rsidRPr="00755982">
        <w:rPr>
          <w:rFonts w:cstheme="minorHAnsi"/>
          <w:sz w:val="16"/>
          <w:szCs w:val="16"/>
        </w:rPr>
        <w:t>(Forbes Magazine).</w:t>
      </w:r>
    </w:p>
    <w:p w14:paraId="2EBCC06F" w14:textId="77777777" w:rsidR="00676D87" w:rsidRPr="00BD4ED0" w:rsidRDefault="00676D87" w:rsidP="00676D87">
      <w:pPr>
        <w:spacing w:after="0" w:line="240" w:lineRule="auto"/>
        <w:jc w:val="both"/>
        <w:rPr>
          <w:rFonts w:cstheme="minorHAnsi"/>
          <w:sz w:val="12"/>
          <w:szCs w:val="12"/>
        </w:rPr>
      </w:pPr>
    </w:p>
    <w:p w14:paraId="1A2F1E32" w14:textId="77777777" w:rsidR="00676D87" w:rsidRPr="0047477B" w:rsidRDefault="00676D87" w:rsidP="00676D87">
      <w:pPr>
        <w:spacing w:before="40" w:after="0" w:line="240" w:lineRule="auto"/>
        <w:jc w:val="both"/>
        <w:rPr>
          <w:rFonts w:cstheme="minorHAnsi"/>
          <w:b/>
          <w:color w:val="1F3864" w:themeColor="accent1" w:themeShade="80"/>
          <w:sz w:val="24"/>
          <w:szCs w:val="24"/>
        </w:rPr>
      </w:pPr>
      <w:r>
        <w:rPr>
          <w:rFonts w:ascii="Calibri" w:hAnsi="Calibri"/>
          <w:b/>
          <w:noProof/>
          <w:lang w:eastAsia="en-AU"/>
        </w:rPr>
        <w:drawing>
          <wp:anchor distT="0" distB="0" distL="114300" distR="114300" simplePos="0" relativeHeight="251670528" behindDoc="0" locked="0" layoutInCell="1" allowOverlap="1" wp14:anchorId="3E25B4B1" wp14:editId="4791CB7C">
            <wp:simplePos x="0" y="0"/>
            <wp:positionH relativeFrom="column">
              <wp:posOffset>13335</wp:posOffset>
            </wp:positionH>
            <wp:positionV relativeFrom="paragraph">
              <wp:posOffset>99695</wp:posOffset>
            </wp:positionV>
            <wp:extent cx="576000" cy="396000"/>
            <wp:effectExtent l="0" t="0" r="0" b="4445"/>
            <wp:wrapSquare wrapText="bothSides"/>
            <wp:docPr id="141" name="Picture 51" descr="White ro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White rose"/>
                    <pic:cNvPicPr>
                      <a:picLocks noChangeAspect="1" noChangeArrowheads="1"/>
                    </pic:cNvPicPr>
                  </pic:nvPicPr>
                  <pic:blipFill>
                    <a:blip r:embed="rId15" cstate="print"/>
                    <a:srcRect t="4781" r="9596" b="16675"/>
                    <a:stretch>
                      <a:fillRect/>
                    </a:stretch>
                  </pic:blipFill>
                  <pic:spPr bwMode="auto">
                    <a:xfrm>
                      <a:off x="0" y="0"/>
                      <a:ext cx="576000" cy="3960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47477B">
        <w:rPr>
          <w:rFonts w:cstheme="minorHAnsi"/>
          <w:b/>
          <w:color w:val="1F3864" w:themeColor="accent1" w:themeShade="80"/>
          <w:sz w:val="24"/>
          <w:szCs w:val="24"/>
        </w:rPr>
        <w:t>Health and Mortality</w:t>
      </w:r>
    </w:p>
    <w:p w14:paraId="1CA61CAA"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 xml:space="preserve">Men </w:t>
      </w:r>
      <w:r>
        <w:rPr>
          <w:rFonts w:cstheme="minorHAnsi"/>
          <w:color w:val="1F3864" w:themeColor="accent1" w:themeShade="80"/>
          <w:sz w:val="21"/>
          <w:szCs w:val="21"/>
        </w:rPr>
        <w:t>have a higher mortality rate</w:t>
      </w:r>
      <w:r w:rsidRPr="00755982">
        <w:rPr>
          <w:rFonts w:cstheme="minorHAnsi"/>
          <w:color w:val="1F3864" w:themeColor="accent1" w:themeShade="80"/>
          <w:sz w:val="21"/>
          <w:szCs w:val="21"/>
        </w:rPr>
        <w:t xml:space="preserve"> than women </w:t>
      </w:r>
      <w:r>
        <w:rPr>
          <w:rFonts w:cstheme="minorHAnsi"/>
          <w:color w:val="1F3864" w:themeColor="accent1" w:themeShade="80"/>
          <w:sz w:val="21"/>
          <w:szCs w:val="21"/>
        </w:rPr>
        <w:t>throughout life -</w:t>
      </w:r>
      <w:r w:rsidRPr="00755982">
        <w:rPr>
          <w:rFonts w:cstheme="minorHAnsi"/>
          <w:color w:val="1F3864" w:themeColor="accent1" w:themeShade="80"/>
          <w:sz w:val="21"/>
          <w:szCs w:val="21"/>
        </w:rPr>
        <w:t xml:space="preserve"> experiencing particularly high </w:t>
      </w:r>
      <w:r>
        <w:rPr>
          <w:rFonts w:cstheme="minorHAnsi"/>
          <w:color w:val="1F3864" w:themeColor="accent1" w:themeShade="80"/>
          <w:sz w:val="21"/>
          <w:szCs w:val="21"/>
        </w:rPr>
        <w:t xml:space="preserve">death </w:t>
      </w:r>
      <w:r w:rsidRPr="00755982">
        <w:rPr>
          <w:rFonts w:cstheme="minorHAnsi"/>
          <w:color w:val="1F3864" w:themeColor="accent1" w:themeShade="80"/>
          <w:sz w:val="21"/>
          <w:szCs w:val="21"/>
        </w:rPr>
        <w:t>rates from assault, transport accidents and suicides</w:t>
      </w:r>
      <w:r>
        <w:rPr>
          <w:rFonts w:cstheme="minorHAnsi"/>
          <w:color w:val="1F3864" w:themeColor="accent1" w:themeShade="80"/>
          <w:sz w:val="21"/>
          <w:szCs w:val="21"/>
        </w:rPr>
        <w:t xml:space="preserve"> –</w:t>
      </w:r>
      <w:r w:rsidRPr="00755982">
        <w:rPr>
          <w:rFonts w:cstheme="minorHAnsi"/>
          <w:color w:val="1F3864" w:themeColor="accent1" w:themeShade="80"/>
          <w:sz w:val="21"/>
          <w:szCs w:val="21"/>
        </w:rPr>
        <w:t xml:space="preserve"> </w:t>
      </w:r>
      <w:r>
        <w:rPr>
          <w:rFonts w:cstheme="minorHAnsi"/>
          <w:color w:val="1F3864" w:themeColor="accent1" w:themeShade="80"/>
          <w:sz w:val="21"/>
          <w:szCs w:val="21"/>
        </w:rPr>
        <w:t>resulting in</w:t>
      </w:r>
      <w:r w:rsidRPr="00755982">
        <w:rPr>
          <w:rFonts w:cstheme="minorHAnsi"/>
          <w:color w:val="1F3864" w:themeColor="accent1" w:themeShade="80"/>
          <w:sz w:val="21"/>
          <w:szCs w:val="21"/>
        </w:rPr>
        <w:t xml:space="preserve"> a lower life expectancy.</w:t>
      </w:r>
    </w:p>
    <w:p w14:paraId="2BA65796"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2016, </w:t>
      </w:r>
      <w:r>
        <w:rPr>
          <w:rFonts w:cstheme="minorHAnsi"/>
          <w:sz w:val="21"/>
          <w:szCs w:val="21"/>
        </w:rPr>
        <w:t>a similar proportion of Victorian females (</w:t>
      </w:r>
      <w:r w:rsidRPr="00D67E48">
        <w:rPr>
          <w:rFonts w:cstheme="minorHAnsi"/>
          <w:sz w:val="21"/>
          <w:szCs w:val="21"/>
        </w:rPr>
        <w:t>5.9%</w:t>
      </w:r>
      <w:r>
        <w:rPr>
          <w:rFonts w:cstheme="minorHAnsi"/>
          <w:sz w:val="21"/>
          <w:szCs w:val="21"/>
        </w:rPr>
        <w:t>) and of males (</w:t>
      </w:r>
      <w:r w:rsidRPr="00D67E48">
        <w:rPr>
          <w:rFonts w:cstheme="minorHAnsi"/>
          <w:sz w:val="21"/>
          <w:szCs w:val="21"/>
        </w:rPr>
        <w:t>5.</w:t>
      </w:r>
      <w:r>
        <w:rPr>
          <w:rFonts w:cstheme="minorHAnsi"/>
          <w:sz w:val="21"/>
          <w:szCs w:val="21"/>
        </w:rPr>
        <w:t>4</w:t>
      </w:r>
      <w:r w:rsidRPr="00D67E48">
        <w:rPr>
          <w:rFonts w:cstheme="minorHAnsi"/>
          <w:sz w:val="21"/>
          <w:szCs w:val="21"/>
        </w:rPr>
        <w:t>%</w:t>
      </w:r>
      <w:r>
        <w:rPr>
          <w:rFonts w:cstheme="minorHAnsi"/>
          <w:sz w:val="21"/>
          <w:szCs w:val="21"/>
        </w:rPr>
        <w:t>)</w:t>
      </w:r>
      <w:r w:rsidRPr="00D67E48">
        <w:rPr>
          <w:rFonts w:cstheme="minorHAnsi"/>
          <w:sz w:val="21"/>
          <w:szCs w:val="21"/>
        </w:rPr>
        <w:t xml:space="preserve"> </w:t>
      </w:r>
      <w:r>
        <w:rPr>
          <w:rFonts w:cstheme="minorHAnsi"/>
          <w:sz w:val="21"/>
          <w:szCs w:val="21"/>
        </w:rPr>
        <w:t xml:space="preserve">(age-adjusted) </w:t>
      </w:r>
      <w:r w:rsidRPr="00D67E48">
        <w:rPr>
          <w:rFonts w:cstheme="minorHAnsi"/>
          <w:sz w:val="21"/>
          <w:szCs w:val="21"/>
        </w:rPr>
        <w:t xml:space="preserve">had a disability requiring them to obtain daily assistance with mobility, self-care or communication </w:t>
      </w:r>
      <w:r w:rsidRPr="00755982">
        <w:rPr>
          <w:rFonts w:cstheme="minorHAnsi"/>
          <w:sz w:val="16"/>
          <w:szCs w:val="16"/>
        </w:rPr>
        <w:t>(2016 Census, ABS).</w:t>
      </w:r>
    </w:p>
    <w:p w14:paraId="277AE751"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2018, </w:t>
      </w:r>
      <w:r>
        <w:rPr>
          <w:rFonts w:cstheme="minorHAnsi"/>
          <w:sz w:val="21"/>
          <w:szCs w:val="21"/>
        </w:rPr>
        <w:t>t</w:t>
      </w:r>
      <w:r w:rsidRPr="00D67E48">
        <w:rPr>
          <w:rFonts w:cstheme="minorHAnsi"/>
          <w:sz w:val="21"/>
          <w:szCs w:val="21"/>
        </w:rPr>
        <w:t>he proportion of Australian women and men who assess</w:t>
      </w:r>
      <w:r>
        <w:rPr>
          <w:rFonts w:cstheme="minorHAnsi"/>
          <w:sz w:val="21"/>
          <w:szCs w:val="21"/>
        </w:rPr>
        <w:t>ed</w:t>
      </w:r>
      <w:r w:rsidRPr="00D67E48">
        <w:rPr>
          <w:rFonts w:cstheme="minorHAnsi"/>
          <w:sz w:val="21"/>
          <w:szCs w:val="21"/>
        </w:rPr>
        <w:t xml:space="preserve"> their own health as 'fair' or 'poor' </w:t>
      </w:r>
      <w:r>
        <w:rPr>
          <w:rFonts w:cstheme="minorHAnsi"/>
          <w:sz w:val="21"/>
          <w:szCs w:val="21"/>
        </w:rPr>
        <w:t>also differed little</w:t>
      </w:r>
      <w:r w:rsidRPr="00D67E48">
        <w:rPr>
          <w:rFonts w:cstheme="minorHAnsi"/>
          <w:sz w:val="21"/>
          <w:szCs w:val="21"/>
        </w:rPr>
        <w:t xml:space="preserve">, at </w:t>
      </w:r>
      <w:r>
        <w:rPr>
          <w:rFonts w:cstheme="minorHAnsi"/>
          <w:sz w:val="21"/>
          <w:szCs w:val="21"/>
        </w:rPr>
        <w:t>15</w:t>
      </w:r>
      <w:r w:rsidRPr="00D67E48">
        <w:rPr>
          <w:rFonts w:cstheme="minorHAnsi"/>
          <w:sz w:val="21"/>
          <w:szCs w:val="21"/>
        </w:rPr>
        <w:t xml:space="preserve">% among women and </w:t>
      </w:r>
      <w:r>
        <w:rPr>
          <w:rFonts w:cstheme="minorHAnsi"/>
          <w:sz w:val="21"/>
          <w:szCs w:val="21"/>
        </w:rPr>
        <w:t>16</w:t>
      </w:r>
      <w:r w:rsidRPr="00D67E48">
        <w:rPr>
          <w:rFonts w:cstheme="minorHAnsi"/>
          <w:sz w:val="21"/>
          <w:szCs w:val="21"/>
        </w:rPr>
        <w:t xml:space="preserve">% among </w:t>
      </w:r>
      <w:r w:rsidRPr="00755982">
        <w:rPr>
          <w:rFonts w:cstheme="minorHAnsi"/>
          <w:sz w:val="21"/>
          <w:szCs w:val="21"/>
        </w:rPr>
        <w:t>men</w:t>
      </w:r>
      <w:r w:rsidRPr="00755982">
        <w:rPr>
          <w:rFonts w:cstheme="minorHAnsi"/>
          <w:sz w:val="16"/>
          <w:szCs w:val="16"/>
        </w:rPr>
        <w:t xml:space="preserve"> (2018 National Health Survey).</w:t>
      </w:r>
    </w:p>
    <w:p w14:paraId="3108CF64"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lastRenderedPageBreak/>
        <w:t xml:space="preserve">Mortality rates among Australian males </w:t>
      </w:r>
      <w:r>
        <w:rPr>
          <w:rFonts w:cstheme="minorHAnsi"/>
          <w:sz w:val="21"/>
          <w:szCs w:val="21"/>
        </w:rPr>
        <w:t>are</w:t>
      </w:r>
      <w:r w:rsidRPr="00D67E48">
        <w:rPr>
          <w:rFonts w:cstheme="minorHAnsi"/>
          <w:sz w:val="21"/>
          <w:szCs w:val="21"/>
        </w:rPr>
        <w:t xml:space="preserve"> higher than </w:t>
      </w:r>
      <w:r>
        <w:rPr>
          <w:rFonts w:cstheme="minorHAnsi"/>
          <w:sz w:val="21"/>
          <w:szCs w:val="21"/>
        </w:rPr>
        <w:t>for</w:t>
      </w:r>
      <w:r w:rsidRPr="00D67E48">
        <w:rPr>
          <w:rFonts w:cstheme="minorHAnsi"/>
          <w:sz w:val="21"/>
          <w:szCs w:val="21"/>
        </w:rPr>
        <w:t xml:space="preserve"> females throughout the lifespan. </w:t>
      </w:r>
      <w:r>
        <w:rPr>
          <w:rFonts w:cstheme="minorHAnsi"/>
          <w:sz w:val="21"/>
          <w:szCs w:val="21"/>
        </w:rPr>
        <w:t>In</w:t>
      </w:r>
      <w:r w:rsidRPr="00D67E48">
        <w:rPr>
          <w:rFonts w:cstheme="minorHAnsi"/>
          <w:sz w:val="21"/>
          <w:szCs w:val="21"/>
        </w:rPr>
        <w:t xml:space="preserve"> 201</w:t>
      </w:r>
      <w:r>
        <w:rPr>
          <w:rFonts w:cstheme="minorHAnsi"/>
          <w:sz w:val="21"/>
          <w:szCs w:val="21"/>
        </w:rPr>
        <w:t>8,</w:t>
      </w:r>
      <w:r w:rsidRPr="00D67E48">
        <w:rPr>
          <w:rFonts w:cstheme="minorHAnsi"/>
          <w:sz w:val="21"/>
          <w:szCs w:val="21"/>
        </w:rPr>
        <w:t xml:space="preserve"> the probability of death by 60 years </w:t>
      </w:r>
      <w:r>
        <w:rPr>
          <w:rFonts w:cstheme="minorHAnsi"/>
          <w:sz w:val="21"/>
          <w:szCs w:val="21"/>
        </w:rPr>
        <w:t>was</w:t>
      </w:r>
      <w:r w:rsidRPr="00D67E48">
        <w:rPr>
          <w:rFonts w:cstheme="minorHAnsi"/>
          <w:sz w:val="21"/>
          <w:szCs w:val="21"/>
        </w:rPr>
        <w:t xml:space="preserve"> </w:t>
      </w:r>
      <w:r>
        <w:rPr>
          <w:rFonts w:cstheme="minorHAnsi"/>
          <w:sz w:val="21"/>
          <w:szCs w:val="21"/>
        </w:rPr>
        <w:t>8</w:t>
      </w:r>
      <w:r w:rsidRPr="00D67E48">
        <w:rPr>
          <w:rFonts w:cstheme="minorHAnsi"/>
          <w:sz w:val="21"/>
          <w:szCs w:val="21"/>
        </w:rPr>
        <w:t xml:space="preserve">% </w:t>
      </w:r>
      <w:r>
        <w:rPr>
          <w:rFonts w:cstheme="minorHAnsi"/>
          <w:sz w:val="21"/>
          <w:szCs w:val="21"/>
        </w:rPr>
        <w:t>for</w:t>
      </w:r>
      <w:r w:rsidRPr="00D67E48">
        <w:rPr>
          <w:rFonts w:cstheme="minorHAnsi"/>
          <w:sz w:val="21"/>
          <w:szCs w:val="21"/>
        </w:rPr>
        <w:t xml:space="preserve"> males and 5% </w:t>
      </w:r>
      <w:r>
        <w:rPr>
          <w:rFonts w:cstheme="minorHAnsi"/>
          <w:sz w:val="21"/>
          <w:szCs w:val="21"/>
        </w:rPr>
        <w:t>for</w:t>
      </w:r>
      <w:r w:rsidRPr="00D67E48">
        <w:rPr>
          <w:rFonts w:cstheme="minorHAnsi"/>
          <w:sz w:val="21"/>
          <w:szCs w:val="21"/>
        </w:rPr>
        <w:t xml:space="preserve"> females </w:t>
      </w:r>
      <w:r w:rsidRPr="001820B8">
        <w:rPr>
          <w:rFonts w:cstheme="minorHAnsi"/>
          <w:sz w:val="16"/>
          <w:szCs w:val="16"/>
        </w:rPr>
        <w:t>(Deaths Australia, 201</w:t>
      </w:r>
      <w:r>
        <w:rPr>
          <w:rFonts w:cstheme="minorHAnsi"/>
          <w:sz w:val="16"/>
          <w:szCs w:val="16"/>
        </w:rPr>
        <w:t>8</w:t>
      </w:r>
      <w:r w:rsidRPr="001820B8">
        <w:rPr>
          <w:rFonts w:cstheme="minorHAnsi"/>
          <w:sz w:val="16"/>
          <w:szCs w:val="16"/>
        </w:rPr>
        <w:t>, ABS).</w:t>
      </w:r>
    </w:p>
    <w:p w14:paraId="3A08F550"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2018, 5.7 deaths per 100,000 population </w:t>
      </w:r>
      <w:r>
        <w:rPr>
          <w:rFonts w:cstheme="minorHAnsi"/>
          <w:sz w:val="21"/>
          <w:szCs w:val="21"/>
        </w:rPr>
        <w:t>resulted</w:t>
      </w:r>
      <w:r w:rsidRPr="00D67E48">
        <w:rPr>
          <w:rFonts w:cstheme="minorHAnsi"/>
          <w:sz w:val="21"/>
          <w:szCs w:val="21"/>
        </w:rPr>
        <w:t xml:space="preserve"> from transport accidents among men</w:t>
      </w:r>
      <w:r>
        <w:rPr>
          <w:rFonts w:cstheme="minorHAnsi"/>
          <w:sz w:val="21"/>
          <w:szCs w:val="21"/>
        </w:rPr>
        <w:t>,</w:t>
      </w:r>
      <w:r w:rsidRPr="00D67E48">
        <w:rPr>
          <w:rFonts w:cstheme="minorHAnsi"/>
          <w:sz w:val="21"/>
          <w:szCs w:val="21"/>
        </w:rPr>
        <w:t xml:space="preserve"> compared with 1.9 per 100,000 women; and mortality rates of 7.2 per 100,000 from poisoning were </w:t>
      </w:r>
      <w:r>
        <w:rPr>
          <w:rFonts w:cstheme="minorHAnsi"/>
          <w:sz w:val="21"/>
          <w:szCs w:val="21"/>
        </w:rPr>
        <w:t>recorded</w:t>
      </w:r>
      <w:r w:rsidRPr="00D67E48">
        <w:rPr>
          <w:rFonts w:cstheme="minorHAnsi"/>
          <w:sz w:val="21"/>
          <w:szCs w:val="21"/>
        </w:rPr>
        <w:t xml:space="preserve"> among men, compared with 2.8 among women </w:t>
      </w:r>
      <w:r w:rsidRPr="00755982">
        <w:rPr>
          <w:rFonts w:cstheme="minorHAnsi"/>
          <w:sz w:val="16"/>
          <w:szCs w:val="16"/>
        </w:rPr>
        <w:t>(Deaths Australia 2018, ABS).</w:t>
      </w:r>
    </w:p>
    <w:p w14:paraId="04B7CA91"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In 2016/17, average Australian life expectancies were 80.7</w:t>
      </w:r>
      <w:r>
        <w:rPr>
          <w:rFonts w:cstheme="minorHAnsi"/>
          <w:sz w:val="21"/>
          <w:szCs w:val="21"/>
        </w:rPr>
        <w:t xml:space="preserve"> years</w:t>
      </w:r>
      <w:r w:rsidRPr="00D67E48">
        <w:rPr>
          <w:rFonts w:cstheme="minorHAnsi"/>
          <w:sz w:val="21"/>
          <w:szCs w:val="21"/>
        </w:rPr>
        <w:t xml:space="preserve"> for males and 84.9 for females  </w:t>
      </w:r>
      <w:r w:rsidRPr="00755982">
        <w:rPr>
          <w:rFonts w:cstheme="minorHAnsi"/>
          <w:sz w:val="16"/>
          <w:szCs w:val="16"/>
        </w:rPr>
        <w:t>(Deaths, Australia, 2018 cat. 3302.0).</w:t>
      </w:r>
    </w:p>
    <w:p w14:paraId="19E2E19D" w14:textId="77777777" w:rsidR="00676D87" w:rsidRDefault="00676D87" w:rsidP="00676D87">
      <w:pPr>
        <w:spacing w:before="60" w:after="0" w:line="240" w:lineRule="auto"/>
        <w:jc w:val="both"/>
        <w:rPr>
          <w:rFonts w:cstheme="minorHAnsi"/>
          <w:sz w:val="16"/>
          <w:szCs w:val="16"/>
        </w:rPr>
      </w:pPr>
    </w:p>
    <w:p w14:paraId="2FF5FBB5" w14:textId="77777777" w:rsidR="00676D87" w:rsidRPr="00A85C9F" w:rsidRDefault="00676D87" w:rsidP="00676D87">
      <w:pPr>
        <w:spacing w:after="0" w:line="240" w:lineRule="auto"/>
        <w:jc w:val="both"/>
        <w:rPr>
          <w:rFonts w:cstheme="minorHAnsi"/>
          <w:sz w:val="8"/>
          <w:szCs w:val="8"/>
        </w:rPr>
      </w:pPr>
    </w:p>
    <w:p w14:paraId="0AC62706" w14:textId="77777777" w:rsidR="00676D87" w:rsidRPr="0047477B" w:rsidRDefault="00676D87" w:rsidP="00676D87">
      <w:pPr>
        <w:spacing w:before="40" w:after="0" w:line="240" w:lineRule="auto"/>
        <w:jc w:val="both"/>
        <w:rPr>
          <w:rFonts w:cstheme="minorHAnsi"/>
          <w:b/>
          <w:color w:val="1F3864" w:themeColor="accent1" w:themeShade="80"/>
          <w:sz w:val="24"/>
          <w:szCs w:val="24"/>
        </w:rPr>
      </w:pPr>
      <w:r w:rsidRPr="00AA2034">
        <w:rPr>
          <w:rFonts w:ascii="Calibri" w:hAnsi="Calibri"/>
          <w:noProof/>
          <w:color w:val="000000" w:themeColor="text1"/>
          <w:lang w:val="en-US"/>
        </w:rPr>
        <w:drawing>
          <wp:anchor distT="0" distB="0" distL="114300" distR="114300" simplePos="0" relativeHeight="251673600" behindDoc="0" locked="0" layoutInCell="1" allowOverlap="1" wp14:anchorId="3F383514" wp14:editId="6A5922B8">
            <wp:simplePos x="0" y="0"/>
            <wp:positionH relativeFrom="margin">
              <wp:posOffset>0</wp:posOffset>
            </wp:positionH>
            <wp:positionV relativeFrom="paragraph">
              <wp:posOffset>54610</wp:posOffset>
            </wp:positionV>
            <wp:extent cx="575945" cy="395605"/>
            <wp:effectExtent l="0" t="0" r="0" b="4445"/>
            <wp:wrapSquare wrapText="bothSides"/>
            <wp:docPr id="3" name="Picture 73" descr="obes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obesity 1"/>
                    <pic:cNvPicPr>
                      <a:picLocks noChangeAspect="1" noChangeArrowheads="1"/>
                    </pic:cNvPicPr>
                  </pic:nvPicPr>
                  <pic:blipFill>
                    <a:blip r:embed="rId16" cstate="print"/>
                    <a:srcRect/>
                    <a:stretch>
                      <a:fillRect/>
                    </a:stretch>
                  </pic:blipFill>
                  <pic:spPr bwMode="auto">
                    <a:xfrm>
                      <a:off x="0" y="0"/>
                      <a:ext cx="575945" cy="395605"/>
                    </a:xfrm>
                    <a:prstGeom prst="rect">
                      <a:avLst/>
                    </a:prstGeom>
                    <a:ln>
                      <a:noFill/>
                    </a:ln>
                    <a:effectLst/>
                  </pic:spPr>
                </pic:pic>
              </a:graphicData>
            </a:graphic>
            <wp14:sizeRelH relativeFrom="margin">
              <wp14:pctWidth>0</wp14:pctWidth>
            </wp14:sizeRelH>
            <wp14:sizeRelV relativeFrom="margin">
              <wp14:pctHeight>0</wp14:pctHeight>
            </wp14:sizeRelV>
          </wp:anchor>
        </w:drawing>
      </w:r>
      <w:r>
        <w:rPr>
          <w:rFonts w:cstheme="minorHAnsi"/>
          <w:b/>
          <w:color w:val="1F3864" w:themeColor="accent1" w:themeShade="80"/>
          <w:sz w:val="24"/>
          <w:szCs w:val="24"/>
        </w:rPr>
        <w:t>Lifestyle and Drug Use</w:t>
      </w:r>
    </w:p>
    <w:p w14:paraId="6ED3C39B"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 xml:space="preserve">Men exhibit </w:t>
      </w:r>
      <w:r>
        <w:rPr>
          <w:rFonts w:cstheme="minorHAnsi"/>
          <w:color w:val="1F3864" w:themeColor="accent1" w:themeShade="80"/>
          <w:sz w:val="21"/>
          <w:szCs w:val="21"/>
        </w:rPr>
        <w:t>a greater prevalence of</w:t>
      </w:r>
      <w:r w:rsidRPr="00755982">
        <w:rPr>
          <w:rFonts w:cstheme="minorHAnsi"/>
          <w:color w:val="1F3864" w:themeColor="accent1" w:themeShade="80"/>
          <w:sz w:val="21"/>
          <w:szCs w:val="21"/>
        </w:rPr>
        <w:t xml:space="preserve"> nutritional imbalance, sugary drink consumption, obesity, smoking, excessive drinking and deficiency in exercise, than women.</w:t>
      </w:r>
    </w:p>
    <w:p w14:paraId="4D03F483" w14:textId="77777777" w:rsidR="00676D87" w:rsidRDefault="00676D87" w:rsidP="00676D87">
      <w:pPr>
        <w:spacing w:before="60" w:after="0" w:line="240" w:lineRule="auto"/>
        <w:jc w:val="both"/>
        <w:rPr>
          <w:rFonts w:cstheme="minorHAnsi"/>
          <w:sz w:val="21"/>
          <w:szCs w:val="21"/>
        </w:rPr>
      </w:pPr>
      <w:r>
        <w:t>In 2014,</w:t>
      </w:r>
      <w:r w:rsidRPr="00933BCE">
        <w:t xml:space="preserve"> </w:t>
      </w:r>
      <w:r w:rsidRPr="00110829">
        <w:t xml:space="preserve">3% of </w:t>
      </w:r>
      <w:r>
        <w:t xml:space="preserve">Victorian </w:t>
      </w:r>
      <w:r w:rsidRPr="00110829">
        <w:t>males and 4.</w:t>
      </w:r>
      <w:r>
        <w:t>1% of females had run out of food at some-time and could not afford more – a condition termed ‘</w:t>
      </w:r>
      <w:r w:rsidRPr="00110829">
        <w:t xml:space="preserve">food </w:t>
      </w:r>
      <w:r>
        <w:t xml:space="preserve">insecurity </w:t>
      </w:r>
      <w:r w:rsidRPr="00110829">
        <w:t>with hunger</w:t>
      </w:r>
      <w:r>
        <w:t xml:space="preserve">’ </w:t>
      </w:r>
      <w:r w:rsidRPr="00E739EB">
        <w:rPr>
          <w:sz w:val="16"/>
          <w:szCs w:val="16"/>
        </w:rPr>
        <w:t>(2014 Victorian Population Health Survey)</w:t>
      </w:r>
      <w:r>
        <w:t>.</w:t>
      </w:r>
    </w:p>
    <w:p w14:paraId="2BC83250"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2018, 14% of Australian women and 22% of men consumed less than one serve of fruit per day </w:t>
      </w:r>
      <w:r w:rsidRPr="00755982">
        <w:rPr>
          <w:rFonts w:cstheme="minorHAnsi"/>
          <w:sz w:val="16"/>
          <w:szCs w:val="16"/>
        </w:rPr>
        <w:t>(2018 National Health Survey).</w:t>
      </w:r>
    </w:p>
    <w:p w14:paraId="3A3EF00B"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In 2018, 9.8% of Australian males consumed two or more metric cups per day of sugar-sweetened drinks, more than twice the corresponding proportion of 4% among women. Similarly, 2% of girls and 5.5% of boys consume two or more metric cups of sugar-sweetened drinks per day (</w:t>
      </w:r>
      <w:r w:rsidRPr="00755982">
        <w:rPr>
          <w:rFonts w:cstheme="minorHAnsi"/>
          <w:sz w:val="16"/>
          <w:szCs w:val="16"/>
        </w:rPr>
        <w:t>2018 National Health Survey).</w:t>
      </w:r>
    </w:p>
    <w:p w14:paraId="1B8BACB1" w14:textId="77777777" w:rsidR="00676D87" w:rsidRPr="00D67E48" w:rsidRDefault="00676D87" w:rsidP="00676D87">
      <w:pPr>
        <w:spacing w:before="60" w:after="0" w:line="240" w:lineRule="auto"/>
        <w:jc w:val="both"/>
        <w:rPr>
          <w:rFonts w:cstheme="minorHAnsi"/>
          <w:sz w:val="21"/>
          <w:szCs w:val="21"/>
        </w:rPr>
      </w:pPr>
      <w:r>
        <w:rPr>
          <w:rFonts w:cstheme="minorHAnsi"/>
          <w:sz w:val="21"/>
          <w:szCs w:val="21"/>
        </w:rPr>
        <w:t>O</w:t>
      </w:r>
      <w:r w:rsidRPr="00D67E48">
        <w:rPr>
          <w:rFonts w:cstheme="minorHAnsi"/>
          <w:sz w:val="21"/>
          <w:szCs w:val="21"/>
        </w:rPr>
        <w:t xml:space="preserve">besity </w:t>
      </w:r>
      <w:r>
        <w:rPr>
          <w:rFonts w:cstheme="minorHAnsi"/>
          <w:sz w:val="21"/>
          <w:szCs w:val="21"/>
        </w:rPr>
        <w:t>is</w:t>
      </w:r>
      <w:r w:rsidRPr="00D67E48">
        <w:rPr>
          <w:rFonts w:cstheme="minorHAnsi"/>
          <w:sz w:val="21"/>
          <w:szCs w:val="21"/>
        </w:rPr>
        <w:t xml:space="preserve"> slightly more widespread among Australian males, at 33%, than females, at 30% </w:t>
      </w:r>
      <w:r w:rsidRPr="00755982">
        <w:rPr>
          <w:rFonts w:cstheme="minorHAnsi"/>
          <w:sz w:val="16"/>
          <w:szCs w:val="16"/>
        </w:rPr>
        <w:t>(2018 National Health Survey).</w:t>
      </w:r>
    </w:p>
    <w:p w14:paraId="586CBBD8" w14:textId="77777777" w:rsidR="00676D87" w:rsidRPr="00D67E48" w:rsidRDefault="00676D87" w:rsidP="00676D87">
      <w:pPr>
        <w:spacing w:before="60" w:after="0" w:line="240" w:lineRule="auto"/>
        <w:jc w:val="both"/>
        <w:rPr>
          <w:rFonts w:cstheme="minorHAnsi"/>
          <w:sz w:val="21"/>
          <w:szCs w:val="21"/>
        </w:rPr>
      </w:pPr>
      <w:r>
        <w:rPr>
          <w:rFonts w:cstheme="minorHAnsi"/>
          <w:sz w:val="21"/>
          <w:szCs w:val="21"/>
        </w:rPr>
        <w:t xml:space="preserve">In 2018, </w:t>
      </w:r>
      <w:r w:rsidRPr="00D67E48">
        <w:rPr>
          <w:rFonts w:cstheme="minorHAnsi"/>
          <w:sz w:val="21"/>
          <w:szCs w:val="21"/>
        </w:rPr>
        <w:t>18% of Australian women and 19% of men obtain</w:t>
      </w:r>
      <w:r>
        <w:rPr>
          <w:rFonts w:cstheme="minorHAnsi"/>
          <w:sz w:val="21"/>
          <w:szCs w:val="21"/>
        </w:rPr>
        <w:t>ed</w:t>
      </w:r>
      <w:r w:rsidRPr="00D67E48">
        <w:rPr>
          <w:rFonts w:cstheme="minorHAnsi"/>
          <w:sz w:val="21"/>
          <w:szCs w:val="21"/>
        </w:rPr>
        <w:t xml:space="preserve"> no exercise in a typical week </w:t>
      </w:r>
      <w:r w:rsidRPr="00755982">
        <w:rPr>
          <w:rFonts w:cstheme="minorHAnsi"/>
          <w:sz w:val="16"/>
          <w:szCs w:val="16"/>
        </w:rPr>
        <w:t>(2018 National Health Survey).</w:t>
      </w:r>
    </w:p>
    <w:p w14:paraId="5E6F3A7D"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2018, 12% of women and 18% of men across Australia smoked </w:t>
      </w:r>
      <w:r w:rsidRPr="00755982">
        <w:rPr>
          <w:rFonts w:cstheme="minorHAnsi"/>
          <w:sz w:val="16"/>
          <w:szCs w:val="16"/>
        </w:rPr>
        <w:t>(2018 National Health Survey).</w:t>
      </w:r>
    </w:p>
    <w:p w14:paraId="6C23B243" w14:textId="77777777" w:rsidR="00676D87" w:rsidRDefault="00676D87" w:rsidP="00676D87">
      <w:pPr>
        <w:spacing w:before="40" w:after="60" w:line="240" w:lineRule="auto"/>
        <w:jc w:val="both"/>
        <w:rPr>
          <w:rFonts w:cstheme="minorHAnsi"/>
          <w:sz w:val="16"/>
          <w:szCs w:val="16"/>
        </w:rPr>
      </w:pPr>
      <w:r w:rsidRPr="00D67E48">
        <w:rPr>
          <w:rFonts w:cstheme="minorHAnsi"/>
          <w:sz w:val="21"/>
          <w:szCs w:val="21"/>
        </w:rPr>
        <w:t>In 2018, 24% of Australian males and 9% of females exceed</w:t>
      </w:r>
      <w:r>
        <w:rPr>
          <w:rFonts w:cstheme="minorHAnsi"/>
          <w:sz w:val="21"/>
          <w:szCs w:val="21"/>
        </w:rPr>
        <w:t>ed</w:t>
      </w:r>
      <w:r w:rsidRPr="00D67E48">
        <w:rPr>
          <w:rFonts w:cstheme="minorHAnsi"/>
          <w:sz w:val="21"/>
          <w:szCs w:val="21"/>
        </w:rPr>
        <w:t xml:space="preserve"> national alcohol consumption guidelines </w:t>
      </w:r>
      <w:r w:rsidRPr="00F76CBD">
        <w:rPr>
          <w:rFonts w:cstheme="minorHAnsi"/>
          <w:sz w:val="16"/>
          <w:szCs w:val="16"/>
        </w:rPr>
        <w:t>(2018 National Health Survey).</w:t>
      </w:r>
      <w:r w:rsidRPr="00D67E48">
        <w:rPr>
          <w:rFonts w:cstheme="minorHAnsi"/>
          <w:sz w:val="21"/>
          <w:szCs w:val="21"/>
        </w:rPr>
        <w:t xml:space="preserve"> </w:t>
      </w:r>
      <w:r>
        <w:rPr>
          <w:rFonts w:cstheme="minorHAnsi"/>
          <w:sz w:val="21"/>
          <w:szCs w:val="21"/>
        </w:rPr>
        <w:t xml:space="preserve">An earlier national survey found that harmful alcohol use was three times more prevalent among males than females, at 28% and 10% respectively </w:t>
      </w:r>
      <w:r w:rsidRPr="00B81202">
        <w:rPr>
          <w:rFonts w:cstheme="minorHAnsi"/>
          <w:sz w:val="16"/>
          <w:szCs w:val="16"/>
        </w:rPr>
        <w:t>(National Survey of Mental Health and Wellbeing, 2007</w:t>
      </w:r>
      <w:r>
        <w:rPr>
          <w:rFonts w:cstheme="minorHAnsi"/>
          <w:sz w:val="16"/>
          <w:szCs w:val="16"/>
        </w:rPr>
        <w:t>, ABS</w:t>
      </w:r>
      <w:r w:rsidRPr="00B81202">
        <w:rPr>
          <w:rFonts w:cstheme="minorHAnsi"/>
          <w:sz w:val="16"/>
          <w:szCs w:val="16"/>
        </w:rPr>
        <w:t>)</w:t>
      </w:r>
      <w:r>
        <w:rPr>
          <w:rFonts w:cstheme="minorHAnsi"/>
          <w:sz w:val="16"/>
          <w:szCs w:val="16"/>
        </w:rPr>
        <w:t>.</w:t>
      </w:r>
    </w:p>
    <w:p w14:paraId="307AA0EA" w14:textId="77777777" w:rsidR="00676D87" w:rsidRDefault="00676D87" w:rsidP="00676D87">
      <w:pPr>
        <w:spacing w:before="40" w:after="60" w:line="240" w:lineRule="auto"/>
        <w:jc w:val="both"/>
        <w:rPr>
          <w:rFonts w:cstheme="minorHAnsi"/>
          <w:sz w:val="12"/>
          <w:szCs w:val="12"/>
        </w:rPr>
      </w:pPr>
    </w:p>
    <w:p w14:paraId="6B7BEC20" w14:textId="77777777" w:rsidR="00676D87" w:rsidRPr="0047477B" w:rsidRDefault="00676D87" w:rsidP="00676D87">
      <w:pPr>
        <w:spacing w:before="140" w:after="0" w:line="240" w:lineRule="auto"/>
        <w:jc w:val="both"/>
        <w:rPr>
          <w:rFonts w:cstheme="minorHAnsi"/>
          <w:b/>
          <w:color w:val="1F3864" w:themeColor="accent1" w:themeShade="80"/>
          <w:sz w:val="24"/>
          <w:szCs w:val="24"/>
        </w:rPr>
      </w:pPr>
      <w:r w:rsidRPr="00083A3E">
        <w:rPr>
          <w:rFonts w:ascii="Calibri" w:hAnsi="Calibri"/>
          <w:b/>
          <w:noProof/>
          <w:lang w:val="en-US"/>
        </w:rPr>
        <w:drawing>
          <wp:anchor distT="0" distB="0" distL="114300" distR="114300" simplePos="0" relativeHeight="251668480" behindDoc="0" locked="0" layoutInCell="1" allowOverlap="1" wp14:anchorId="7895E09B" wp14:editId="28D68C80">
            <wp:simplePos x="0" y="0"/>
            <wp:positionH relativeFrom="margin">
              <wp:posOffset>0</wp:posOffset>
            </wp:positionH>
            <wp:positionV relativeFrom="paragraph">
              <wp:posOffset>80010</wp:posOffset>
            </wp:positionV>
            <wp:extent cx="396000" cy="576000"/>
            <wp:effectExtent l="0" t="0" r="4445" b="0"/>
            <wp:wrapSquare wrapText="bothSides"/>
            <wp:docPr id="147"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srcRect/>
                    <a:stretch>
                      <a:fillRect/>
                    </a:stretch>
                  </pic:blipFill>
                  <pic:spPr bwMode="auto">
                    <a:xfrm>
                      <a:off x="0" y="0"/>
                      <a:ext cx="396000" cy="5760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47477B">
        <w:rPr>
          <w:rFonts w:cstheme="minorHAnsi"/>
          <w:b/>
          <w:color w:val="1F3864" w:themeColor="accent1" w:themeShade="80"/>
          <w:sz w:val="24"/>
          <w:szCs w:val="24"/>
        </w:rPr>
        <w:t>Mental Health</w:t>
      </w:r>
    </w:p>
    <w:p w14:paraId="0C1E6D88" w14:textId="77777777" w:rsidR="00676D87" w:rsidRPr="00755982" w:rsidRDefault="00676D87" w:rsidP="00676D87">
      <w:pPr>
        <w:spacing w:before="60" w:after="0" w:line="240" w:lineRule="auto"/>
        <w:jc w:val="both"/>
        <w:rPr>
          <w:rFonts w:cstheme="minorHAnsi"/>
          <w:color w:val="1F3864" w:themeColor="accent1" w:themeShade="80"/>
          <w:sz w:val="21"/>
          <w:szCs w:val="21"/>
        </w:rPr>
      </w:pPr>
      <w:r>
        <w:rPr>
          <w:rFonts w:cstheme="minorHAnsi"/>
          <w:color w:val="1F3864" w:themeColor="accent1" w:themeShade="80"/>
          <w:sz w:val="21"/>
          <w:szCs w:val="21"/>
        </w:rPr>
        <w:t>W</w:t>
      </w:r>
      <w:r w:rsidRPr="00755982">
        <w:rPr>
          <w:rFonts w:cstheme="minorHAnsi"/>
          <w:color w:val="1F3864" w:themeColor="accent1" w:themeShade="80"/>
          <w:sz w:val="21"/>
          <w:szCs w:val="21"/>
        </w:rPr>
        <w:t xml:space="preserve">omen experience </w:t>
      </w:r>
      <w:r>
        <w:rPr>
          <w:rFonts w:cstheme="minorHAnsi"/>
          <w:color w:val="1F3864" w:themeColor="accent1" w:themeShade="80"/>
          <w:sz w:val="21"/>
          <w:szCs w:val="21"/>
        </w:rPr>
        <w:t xml:space="preserve">a markedly </w:t>
      </w:r>
      <w:r w:rsidRPr="00755982">
        <w:rPr>
          <w:rFonts w:cstheme="minorHAnsi"/>
          <w:color w:val="1F3864" w:themeColor="accent1" w:themeShade="80"/>
          <w:sz w:val="21"/>
          <w:szCs w:val="21"/>
        </w:rPr>
        <w:t>higher prevalence of psychological distress</w:t>
      </w:r>
      <w:r>
        <w:rPr>
          <w:rFonts w:cstheme="minorHAnsi"/>
          <w:color w:val="1F3864" w:themeColor="accent1" w:themeShade="80"/>
          <w:sz w:val="21"/>
          <w:szCs w:val="21"/>
        </w:rPr>
        <w:t>, anxiety, depression and post-traumatic disorder</w:t>
      </w:r>
      <w:r w:rsidRPr="00755982">
        <w:rPr>
          <w:rFonts w:cstheme="minorHAnsi"/>
          <w:color w:val="1F3864" w:themeColor="accent1" w:themeShade="80"/>
          <w:sz w:val="21"/>
          <w:szCs w:val="21"/>
        </w:rPr>
        <w:t xml:space="preserve"> than men</w:t>
      </w:r>
      <w:r>
        <w:rPr>
          <w:rFonts w:cstheme="minorHAnsi"/>
          <w:color w:val="1F3864" w:themeColor="accent1" w:themeShade="80"/>
          <w:sz w:val="21"/>
          <w:szCs w:val="21"/>
        </w:rPr>
        <w:t>. However, male</w:t>
      </w:r>
      <w:r w:rsidRPr="00755982">
        <w:rPr>
          <w:rFonts w:cstheme="minorHAnsi"/>
          <w:color w:val="1F3864" w:themeColor="accent1" w:themeShade="80"/>
          <w:sz w:val="21"/>
          <w:szCs w:val="21"/>
        </w:rPr>
        <w:t xml:space="preserve"> suicide rates are three times those of females.</w:t>
      </w:r>
    </w:p>
    <w:p w14:paraId="065CAF16"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the 2018 National Health Survey, 15% of women and 11% of men reported that they experienced ‘high’ or ‘very high’ levels of psychological distress </w:t>
      </w:r>
      <w:r w:rsidRPr="00755982">
        <w:rPr>
          <w:rFonts w:cstheme="minorHAnsi"/>
          <w:sz w:val="16"/>
          <w:szCs w:val="16"/>
        </w:rPr>
        <w:t>(2018 National Health Survey).</w:t>
      </w:r>
    </w:p>
    <w:p w14:paraId="2CB586B5" w14:textId="77777777" w:rsidR="00676D87" w:rsidRDefault="00676D87" w:rsidP="00676D87">
      <w:pPr>
        <w:spacing w:before="60" w:after="0" w:line="240" w:lineRule="auto"/>
        <w:jc w:val="both"/>
        <w:rPr>
          <w:rFonts w:cstheme="minorHAnsi"/>
          <w:sz w:val="16"/>
          <w:szCs w:val="16"/>
        </w:rPr>
      </w:pPr>
      <w:r w:rsidRPr="00B81202">
        <w:rPr>
          <w:rFonts w:cstheme="minorHAnsi"/>
          <w:sz w:val="21"/>
          <w:szCs w:val="21"/>
        </w:rPr>
        <w:t>The prevalence of post-traumatic stress disorder is</w:t>
      </w:r>
      <w:r>
        <w:rPr>
          <w:rFonts w:cstheme="minorHAnsi"/>
          <w:sz w:val="21"/>
          <w:szCs w:val="21"/>
        </w:rPr>
        <w:t xml:space="preserve"> almost</w:t>
      </w:r>
      <w:r w:rsidRPr="00B81202">
        <w:rPr>
          <w:rFonts w:cstheme="minorHAnsi"/>
          <w:sz w:val="21"/>
          <w:szCs w:val="21"/>
        </w:rPr>
        <w:t xml:space="preserve"> twice as high among </w:t>
      </w:r>
      <w:r>
        <w:rPr>
          <w:rFonts w:cstheme="minorHAnsi"/>
          <w:sz w:val="21"/>
          <w:szCs w:val="21"/>
        </w:rPr>
        <w:t xml:space="preserve">Australian </w:t>
      </w:r>
      <w:r w:rsidRPr="00B81202">
        <w:rPr>
          <w:rFonts w:cstheme="minorHAnsi"/>
          <w:sz w:val="21"/>
          <w:szCs w:val="21"/>
        </w:rPr>
        <w:t xml:space="preserve">women (15.8%) as for men (8.6%), while depression </w:t>
      </w:r>
      <w:r>
        <w:rPr>
          <w:rFonts w:cstheme="minorHAnsi"/>
          <w:sz w:val="21"/>
          <w:szCs w:val="21"/>
        </w:rPr>
        <w:t>(</w:t>
      </w:r>
      <w:r w:rsidRPr="00B81202">
        <w:rPr>
          <w:rFonts w:cstheme="minorHAnsi"/>
          <w:sz w:val="21"/>
          <w:szCs w:val="21"/>
        </w:rPr>
        <w:t>at 14.5% among women and 8.</w:t>
      </w:r>
      <w:r>
        <w:rPr>
          <w:rFonts w:cstheme="minorHAnsi"/>
          <w:sz w:val="21"/>
          <w:szCs w:val="21"/>
        </w:rPr>
        <w:t>6</w:t>
      </w:r>
      <w:r w:rsidRPr="00B81202">
        <w:rPr>
          <w:rFonts w:cstheme="minorHAnsi"/>
          <w:sz w:val="21"/>
          <w:szCs w:val="21"/>
        </w:rPr>
        <w:t xml:space="preserve">% among men), social phobia (12.8% </w:t>
      </w:r>
      <w:r>
        <w:rPr>
          <w:rFonts w:cstheme="minorHAnsi"/>
          <w:sz w:val="21"/>
          <w:szCs w:val="21"/>
        </w:rPr>
        <w:t>and</w:t>
      </w:r>
      <w:r w:rsidRPr="00B81202">
        <w:rPr>
          <w:rFonts w:cstheme="minorHAnsi"/>
          <w:sz w:val="21"/>
          <w:szCs w:val="21"/>
        </w:rPr>
        <w:t xml:space="preserve"> 8.4%</w:t>
      </w:r>
      <w:r>
        <w:rPr>
          <w:rFonts w:cstheme="minorHAnsi"/>
          <w:sz w:val="21"/>
          <w:szCs w:val="21"/>
        </w:rPr>
        <w:t xml:space="preserve"> respectively</w:t>
      </w:r>
      <w:r w:rsidRPr="00B81202">
        <w:rPr>
          <w:rFonts w:cstheme="minorHAnsi"/>
          <w:sz w:val="21"/>
          <w:szCs w:val="21"/>
        </w:rPr>
        <w:t xml:space="preserve">) and generalised anxiety disorder (7.3% vs. 4.4%) are also </w:t>
      </w:r>
      <w:r>
        <w:rPr>
          <w:rFonts w:cstheme="minorHAnsi"/>
          <w:sz w:val="21"/>
          <w:szCs w:val="21"/>
        </w:rPr>
        <w:t>more widespread</w:t>
      </w:r>
      <w:r w:rsidRPr="00B81202">
        <w:rPr>
          <w:rFonts w:cstheme="minorHAnsi"/>
          <w:sz w:val="21"/>
          <w:szCs w:val="21"/>
        </w:rPr>
        <w:t xml:space="preserve"> among women</w:t>
      </w:r>
      <w:r>
        <w:rPr>
          <w:rFonts w:cstheme="minorHAnsi"/>
          <w:sz w:val="21"/>
          <w:szCs w:val="21"/>
        </w:rPr>
        <w:t xml:space="preserve"> </w:t>
      </w:r>
      <w:r w:rsidRPr="00B81202">
        <w:rPr>
          <w:rFonts w:cstheme="minorHAnsi"/>
          <w:sz w:val="16"/>
          <w:szCs w:val="16"/>
        </w:rPr>
        <w:t>(National Survey of Mental Health and Wellbeing, 2007</w:t>
      </w:r>
      <w:r>
        <w:rPr>
          <w:rFonts w:cstheme="minorHAnsi"/>
          <w:sz w:val="16"/>
          <w:szCs w:val="16"/>
        </w:rPr>
        <w:t>, ABS</w:t>
      </w:r>
      <w:r w:rsidRPr="00B81202">
        <w:rPr>
          <w:rFonts w:cstheme="minorHAnsi"/>
          <w:sz w:val="16"/>
          <w:szCs w:val="16"/>
        </w:rPr>
        <w:t>)</w:t>
      </w:r>
      <w:r>
        <w:rPr>
          <w:rFonts w:cstheme="minorHAnsi"/>
          <w:sz w:val="16"/>
          <w:szCs w:val="16"/>
        </w:rPr>
        <w:t>.</w:t>
      </w:r>
    </w:p>
    <w:p w14:paraId="4AFD8B92" w14:textId="77777777" w:rsidR="00676D87" w:rsidRPr="005F323B" w:rsidRDefault="00676D87" w:rsidP="00676D87">
      <w:pPr>
        <w:spacing w:before="60" w:after="0" w:line="240" w:lineRule="auto"/>
        <w:rPr>
          <w:sz w:val="16"/>
          <w:szCs w:val="16"/>
        </w:rPr>
      </w:pPr>
      <w:r w:rsidRPr="005F323B">
        <w:rPr>
          <w:rFonts w:cstheme="minorHAnsi"/>
          <w:sz w:val="21"/>
          <w:szCs w:val="21"/>
        </w:rPr>
        <w:t xml:space="preserve">Males are approximately four times more likely to be diagnosed with autism spectrum disorder as females </w:t>
      </w:r>
      <w:r w:rsidRPr="005F323B">
        <w:rPr>
          <w:rFonts w:cstheme="minorHAnsi"/>
          <w:sz w:val="16"/>
          <w:szCs w:val="16"/>
        </w:rPr>
        <w:t>(</w:t>
      </w:r>
      <w:r w:rsidRPr="005F323B">
        <w:rPr>
          <w:sz w:val="16"/>
          <w:szCs w:val="16"/>
        </w:rPr>
        <w:t xml:space="preserve">Morbidity and mortality weekly report: </w:t>
      </w:r>
      <w:r w:rsidRPr="005F323B">
        <w:rPr>
          <w:rStyle w:val="Emphasis"/>
          <w:sz w:val="16"/>
          <w:szCs w:val="16"/>
          <w:lang w:val="en-US"/>
        </w:rPr>
        <w:t>Surveillance Summaries</w:t>
      </w:r>
      <w:r w:rsidRPr="005F323B">
        <w:rPr>
          <w:sz w:val="16"/>
          <w:szCs w:val="16"/>
          <w:lang w:val="en-US"/>
        </w:rPr>
        <w:t xml:space="preserve"> / April 27, 2018 / 67(6);1–23</w:t>
      </w:r>
      <w:r w:rsidRPr="005F323B">
        <w:rPr>
          <w:sz w:val="16"/>
          <w:szCs w:val="16"/>
        </w:rPr>
        <w:t>)</w:t>
      </w:r>
    </w:p>
    <w:p w14:paraId="7BE03441" w14:textId="77777777" w:rsidR="00676D87" w:rsidRDefault="00676D87" w:rsidP="00676D87">
      <w:pPr>
        <w:spacing w:before="60" w:after="0" w:line="240" w:lineRule="auto"/>
        <w:jc w:val="both"/>
        <w:rPr>
          <w:color w:val="252525"/>
        </w:rPr>
      </w:pPr>
      <w:r w:rsidRPr="00FF7CA3">
        <w:rPr>
          <w:sz w:val="21"/>
          <w:szCs w:val="21"/>
        </w:rPr>
        <w:t xml:space="preserve">A 2018 survey of a national sample of 500 Australian adults detected </w:t>
      </w:r>
      <w:r w:rsidRPr="00FF7CA3">
        <w:rPr>
          <w:color w:val="252525"/>
          <w:sz w:val="21"/>
          <w:szCs w:val="21"/>
        </w:rPr>
        <w:t xml:space="preserve">no differences in loneliness by gender </w:t>
      </w:r>
      <w:r w:rsidRPr="00FF7CA3">
        <w:rPr>
          <w:color w:val="000000" w:themeColor="text1"/>
          <w:sz w:val="21"/>
          <w:szCs w:val="21"/>
        </w:rPr>
        <w:t>Australian Psychological Society.</w:t>
      </w:r>
      <w:r>
        <w:rPr>
          <w:color w:val="000000" w:themeColor="text1"/>
        </w:rPr>
        <w:t xml:space="preserve"> </w:t>
      </w:r>
      <w:r w:rsidRPr="004D1096">
        <w:rPr>
          <w:bCs/>
          <w:color w:val="000000" w:themeColor="text1"/>
          <w:sz w:val="16"/>
          <w:szCs w:val="16"/>
        </w:rPr>
        <w:t>Australian Loneliness Report: A survey exploring the loneliness levels of Australians and the impact on their health and wellbeing.</w:t>
      </w:r>
    </w:p>
    <w:p w14:paraId="6341A81C"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 xml:space="preserve">In 2018, the suicide rate among Victorians was 13.6 per 10,000 persons among males and 4.7 per 10,000 among females – reflecting a long-standing disparity </w:t>
      </w:r>
      <w:r w:rsidRPr="00755982">
        <w:rPr>
          <w:rFonts w:cstheme="minorHAnsi"/>
          <w:sz w:val="16"/>
          <w:szCs w:val="16"/>
        </w:rPr>
        <w:t>(Causes of Death Australia, 2018. ABS).</w:t>
      </w:r>
    </w:p>
    <w:p w14:paraId="68DB15CF" w14:textId="77777777" w:rsidR="00676D87" w:rsidRPr="00D556A7" w:rsidRDefault="00676D87" w:rsidP="00676D87">
      <w:pPr>
        <w:spacing w:before="60" w:after="0"/>
        <w:rPr>
          <w:lang w:val="en-GB"/>
        </w:rPr>
      </w:pPr>
      <w:r>
        <w:rPr>
          <w:lang w:val="en-GB"/>
        </w:rPr>
        <w:t xml:space="preserve">In 2019, 4.4% of Victorian men and 1.9% of women were found to be moderate-risk or problem gamblers </w:t>
      </w:r>
      <w:r w:rsidRPr="00D556A7">
        <w:rPr>
          <w:sz w:val="16"/>
          <w:szCs w:val="16"/>
          <w:lang w:val="en-GB"/>
        </w:rPr>
        <w:t>(Victorian Population Gambling and Health Study 2018/19)</w:t>
      </w:r>
    </w:p>
    <w:p w14:paraId="37E085A9" w14:textId="77777777" w:rsidR="00676D87" w:rsidRPr="00A85C9F" w:rsidRDefault="00676D87" w:rsidP="00676D87">
      <w:pPr>
        <w:spacing w:before="40" w:after="0" w:line="240" w:lineRule="auto"/>
        <w:jc w:val="both"/>
        <w:rPr>
          <w:rFonts w:cstheme="minorHAnsi"/>
          <w:sz w:val="12"/>
          <w:szCs w:val="12"/>
        </w:rPr>
      </w:pPr>
    </w:p>
    <w:p w14:paraId="3B74679B" w14:textId="77777777" w:rsidR="00676D87" w:rsidRPr="0047477B" w:rsidRDefault="00676D87" w:rsidP="00676D87">
      <w:pPr>
        <w:spacing w:before="40" w:after="0" w:line="240" w:lineRule="auto"/>
        <w:jc w:val="both"/>
        <w:rPr>
          <w:rFonts w:cstheme="minorHAnsi"/>
          <w:b/>
          <w:color w:val="1F3864" w:themeColor="accent1" w:themeShade="80"/>
          <w:sz w:val="24"/>
          <w:szCs w:val="24"/>
        </w:rPr>
      </w:pPr>
      <w:r>
        <w:rPr>
          <w:noProof/>
          <w:color w:val="000000"/>
          <w:lang w:eastAsia="en-AU"/>
        </w:rPr>
        <w:drawing>
          <wp:anchor distT="0" distB="0" distL="114300" distR="114300" simplePos="0" relativeHeight="251669504" behindDoc="0" locked="0" layoutInCell="1" allowOverlap="1" wp14:anchorId="49D8DD72" wp14:editId="1FB43B2D">
            <wp:simplePos x="0" y="0"/>
            <wp:positionH relativeFrom="column">
              <wp:posOffset>3810</wp:posOffset>
            </wp:positionH>
            <wp:positionV relativeFrom="paragraph">
              <wp:posOffset>86995</wp:posOffset>
            </wp:positionV>
            <wp:extent cx="575945" cy="395605"/>
            <wp:effectExtent l="0" t="0" r="0" b="4445"/>
            <wp:wrapSquare wrapText="bothSides"/>
            <wp:docPr id="293" name="Pictur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mmunity Older 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5" cy="395605"/>
                    </a:xfrm>
                    <a:prstGeom prst="rect">
                      <a:avLst/>
                    </a:prstGeom>
                    <a:ln>
                      <a:noFill/>
                    </a:ln>
                    <a:effectLst/>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Attitudes to Gender Equity and Equality</w:t>
      </w:r>
    </w:p>
    <w:p w14:paraId="7BB77C86"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The proportion of people who do not support gender equity is highe</w:t>
      </w:r>
      <w:r>
        <w:rPr>
          <w:rFonts w:cstheme="minorHAnsi"/>
          <w:color w:val="1F3864" w:themeColor="accent1" w:themeShade="80"/>
          <w:sz w:val="21"/>
          <w:szCs w:val="21"/>
        </w:rPr>
        <w:t>st</w:t>
      </w:r>
      <w:r w:rsidRPr="00755982">
        <w:rPr>
          <w:rFonts w:cstheme="minorHAnsi"/>
          <w:color w:val="1F3864" w:themeColor="accent1" w:themeShade="80"/>
          <w:sz w:val="21"/>
          <w:szCs w:val="21"/>
        </w:rPr>
        <w:t xml:space="preserve"> among men, younger people, those with limited formal education and unemployed people.</w:t>
      </w:r>
    </w:p>
    <w:p w14:paraId="49310B01"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The 2015 VicHealth Indicators Survey measure</w:t>
      </w:r>
      <w:r>
        <w:rPr>
          <w:rFonts w:cstheme="minorHAnsi"/>
          <w:sz w:val="21"/>
          <w:szCs w:val="21"/>
        </w:rPr>
        <w:t>d</w:t>
      </w:r>
      <w:r w:rsidRPr="00D67E48">
        <w:rPr>
          <w:rFonts w:cstheme="minorHAnsi"/>
          <w:sz w:val="21"/>
          <w:szCs w:val="21"/>
        </w:rPr>
        <w:t xml:space="preserve"> support for gender equality, </w:t>
      </w:r>
      <w:r>
        <w:rPr>
          <w:rFonts w:cstheme="minorHAnsi"/>
          <w:sz w:val="21"/>
          <w:szCs w:val="21"/>
        </w:rPr>
        <w:t>based upon</w:t>
      </w:r>
      <w:r w:rsidRPr="00D67E48">
        <w:rPr>
          <w:rFonts w:cstheme="minorHAnsi"/>
          <w:sz w:val="21"/>
          <w:szCs w:val="21"/>
        </w:rPr>
        <w:t xml:space="preserve"> the level of agreement among respondents </w:t>
      </w:r>
      <w:r>
        <w:rPr>
          <w:rFonts w:cstheme="minorHAnsi"/>
          <w:sz w:val="21"/>
          <w:szCs w:val="21"/>
        </w:rPr>
        <w:t>with</w:t>
      </w:r>
      <w:r w:rsidRPr="00D67E48">
        <w:rPr>
          <w:rFonts w:cstheme="minorHAnsi"/>
          <w:sz w:val="21"/>
          <w:szCs w:val="21"/>
        </w:rPr>
        <w:t xml:space="preserve"> two statements:</w:t>
      </w:r>
      <w:r w:rsidRPr="00D67E48">
        <w:rPr>
          <w:rFonts w:cstheme="minorHAnsi"/>
          <w:sz w:val="21"/>
          <w:szCs w:val="21"/>
        </w:rPr>
        <w:tab/>
      </w:r>
      <w:r>
        <w:rPr>
          <w:rFonts w:cstheme="minorHAnsi"/>
          <w:sz w:val="21"/>
          <w:szCs w:val="21"/>
        </w:rPr>
        <w:t>‘</w:t>
      </w:r>
      <w:r w:rsidRPr="00D67E48">
        <w:rPr>
          <w:rFonts w:cstheme="minorHAnsi"/>
          <w:sz w:val="21"/>
          <w:szCs w:val="21"/>
        </w:rPr>
        <w:t>Men should take control in relationships and be head of the household</w:t>
      </w:r>
      <w:r>
        <w:rPr>
          <w:rFonts w:cstheme="minorHAnsi"/>
          <w:sz w:val="21"/>
          <w:szCs w:val="21"/>
        </w:rPr>
        <w:t>’ and ‘</w:t>
      </w:r>
      <w:r w:rsidRPr="00D67E48">
        <w:rPr>
          <w:rFonts w:cstheme="minorHAnsi"/>
          <w:sz w:val="21"/>
          <w:szCs w:val="21"/>
        </w:rPr>
        <w:t>Women prefer a man to be in charge in a relationship</w:t>
      </w:r>
      <w:r>
        <w:rPr>
          <w:rFonts w:cstheme="minorHAnsi"/>
          <w:sz w:val="21"/>
          <w:szCs w:val="21"/>
        </w:rPr>
        <w:t>’.</w:t>
      </w:r>
    </w:p>
    <w:p w14:paraId="797FF59C"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lastRenderedPageBreak/>
        <w:t xml:space="preserve">Segments of the community which expressed the </w:t>
      </w:r>
      <w:r w:rsidRPr="009227E0">
        <w:rPr>
          <w:rFonts w:cstheme="minorHAnsi"/>
          <w:i/>
          <w:sz w:val="21"/>
          <w:szCs w:val="21"/>
        </w:rPr>
        <w:t>lowest</w:t>
      </w:r>
      <w:r w:rsidRPr="00D67E48">
        <w:rPr>
          <w:rFonts w:cstheme="minorHAnsi"/>
          <w:sz w:val="21"/>
          <w:szCs w:val="21"/>
        </w:rPr>
        <w:t xml:space="preserve"> support for gender equality included younger people, men, people with limited education, unemployed </w:t>
      </w:r>
      <w:r>
        <w:rPr>
          <w:rFonts w:cstheme="minorHAnsi"/>
          <w:sz w:val="21"/>
          <w:szCs w:val="21"/>
        </w:rPr>
        <w:t>people</w:t>
      </w:r>
      <w:r w:rsidRPr="00D67E48">
        <w:rPr>
          <w:rFonts w:cstheme="minorHAnsi"/>
          <w:sz w:val="21"/>
          <w:szCs w:val="21"/>
        </w:rPr>
        <w:t xml:space="preserve">, those from non-English-speaking countries and people living in outer-metropolitan localities </w:t>
      </w:r>
      <w:r w:rsidRPr="00022830">
        <w:rPr>
          <w:rFonts w:cstheme="minorHAnsi"/>
          <w:sz w:val="16"/>
          <w:szCs w:val="16"/>
        </w:rPr>
        <w:t>(2015 VicHealth Indicators Survey).</w:t>
      </w:r>
    </w:p>
    <w:p w14:paraId="3CFE501E"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Among young Australian men, surveyed in 2018:</w:t>
      </w:r>
    </w:p>
    <w:p w14:paraId="03545EDA"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 13% </w:t>
      </w:r>
      <w:r>
        <w:rPr>
          <w:rFonts w:cstheme="minorHAnsi"/>
          <w:sz w:val="21"/>
          <w:szCs w:val="21"/>
        </w:rPr>
        <w:t>expressed the opinion</w:t>
      </w:r>
      <w:r w:rsidRPr="00D67E48">
        <w:rPr>
          <w:rFonts w:cstheme="minorHAnsi"/>
          <w:sz w:val="21"/>
          <w:szCs w:val="21"/>
        </w:rPr>
        <w:t xml:space="preserve"> that men</w:t>
      </w:r>
      <w:r>
        <w:rPr>
          <w:rFonts w:cstheme="minorHAnsi"/>
          <w:sz w:val="21"/>
          <w:szCs w:val="21"/>
        </w:rPr>
        <w:t>,</w:t>
      </w:r>
      <w:r w:rsidRPr="00D67E48">
        <w:rPr>
          <w:rFonts w:cstheme="minorHAnsi"/>
          <w:sz w:val="21"/>
          <w:szCs w:val="21"/>
        </w:rPr>
        <w:t xml:space="preserve"> not women</w:t>
      </w:r>
      <w:r>
        <w:rPr>
          <w:rFonts w:cstheme="minorHAnsi"/>
          <w:sz w:val="21"/>
          <w:szCs w:val="21"/>
        </w:rPr>
        <w:t>,</w:t>
      </w:r>
      <w:r w:rsidRPr="00D67E48">
        <w:rPr>
          <w:rFonts w:cstheme="minorHAnsi"/>
          <w:sz w:val="21"/>
          <w:szCs w:val="21"/>
        </w:rPr>
        <w:t xml:space="preserve"> should bring money home for their families</w:t>
      </w:r>
      <w:r>
        <w:rPr>
          <w:rFonts w:cstheme="minorHAnsi"/>
          <w:sz w:val="21"/>
          <w:szCs w:val="21"/>
        </w:rPr>
        <w:t>.</w:t>
      </w:r>
    </w:p>
    <w:p w14:paraId="56C77D67"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19% believe</w:t>
      </w:r>
      <w:r>
        <w:rPr>
          <w:rFonts w:cstheme="minorHAnsi"/>
          <w:sz w:val="21"/>
          <w:szCs w:val="21"/>
        </w:rPr>
        <w:t>d</w:t>
      </w:r>
      <w:r w:rsidRPr="00D67E48">
        <w:rPr>
          <w:rFonts w:cstheme="minorHAnsi"/>
          <w:sz w:val="21"/>
          <w:szCs w:val="21"/>
        </w:rPr>
        <w:t xml:space="preserve"> that a man shouldn’t have to do household chores</w:t>
      </w:r>
      <w:r>
        <w:rPr>
          <w:rFonts w:cstheme="minorHAnsi"/>
          <w:sz w:val="21"/>
          <w:szCs w:val="21"/>
        </w:rPr>
        <w:t>.</w:t>
      </w:r>
    </w:p>
    <w:p w14:paraId="3E22B8B4"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27% h</w:t>
      </w:r>
      <w:r>
        <w:rPr>
          <w:rFonts w:cstheme="minorHAnsi"/>
          <w:sz w:val="21"/>
          <w:szCs w:val="21"/>
        </w:rPr>
        <w:t>e</w:t>
      </w:r>
      <w:r w:rsidRPr="00D67E48">
        <w:rPr>
          <w:rFonts w:cstheme="minorHAnsi"/>
          <w:sz w:val="21"/>
          <w:szCs w:val="21"/>
        </w:rPr>
        <w:t>ld the view that a man should always have the final say about decisions in his relationship or marriage</w:t>
      </w:r>
      <w:r>
        <w:rPr>
          <w:rFonts w:cstheme="minorHAnsi"/>
          <w:sz w:val="21"/>
          <w:szCs w:val="21"/>
        </w:rPr>
        <w:t>.</w:t>
      </w:r>
    </w:p>
    <w:p w14:paraId="5514AB87"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37% maintain</w:t>
      </w:r>
      <w:r>
        <w:rPr>
          <w:rFonts w:cstheme="minorHAnsi"/>
          <w:sz w:val="21"/>
          <w:szCs w:val="21"/>
        </w:rPr>
        <w:t>ed</w:t>
      </w:r>
      <w:r w:rsidRPr="00D67E48">
        <w:rPr>
          <w:rFonts w:cstheme="minorHAnsi"/>
          <w:sz w:val="21"/>
          <w:szCs w:val="21"/>
        </w:rPr>
        <w:t xml:space="preserve"> that if a </w:t>
      </w:r>
      <w:r>
        <w:rPr>
          <w:rFonts w:cstheme="minorHAnsi"/>
          <w:sz w:val="21"/>
          <w:szCs w:val="21"/>
        </w:rPr>
        <w:t>man</w:t>
      </w:r>
      <w:r w:rsidRPr="00D67E48">
        <w:rPr>
          <w:rFonts w:cstheme="minorHAnsi"/>
          <w:sz w:val="21"/>
          <w:szCs w:val="21"/>
        </w:rPr>
        <w:t xml:space="preserve"> has a girlfriend or wife, he deserves to know where she is all the time</w:t>
      </w:r>
      <w:r>
        <w:rPr>
          <w:rFonts w:cstheme="minorHAnsi"/>
          <w:sz w:val="21"/>
          <w:szCs w:val="21"/>
        </w:rPr>
        <w:t>.</w:t>
      </w:r>
    </w:p>
    <w:p w14:paraId="15054797" w14:textId="77777777" w:rsidR="00676D87" w:rsidRDefault="00676D87" w:rsidP="00676D87">
      <w:pPr>
        <w:spacing w:before="60" w:after="0" w:line="240" w:lineRule="auto"/>
        <w:jc w:val="both"/>
        <w:rPr>
          <w:rFonts w:cstheme="minorHAnsi"/>
          <w:sz w:val="16"/>
          <w:szCs w:val="16"/>
        </w:rPr>
      </w:pPr>
      <w:r w:rsidRPr="00022830">
        <w:rPr>
          <w:rFonts w:cstheme="minorHAnsi"/>
          <w:sz w:val="16"/>
          <w:szCs w:val="16"/>
        </w:rPr>
        <w:t>(The Man Box: a study on being a young man in Australia’, by The Men’s Project and Flood, M. (2018). Jesuit Social Services).</w:t>
      </w:r>
    </w:p>
    <w:p w14:paraId="069834C4" w14:textId="77777777" w:rsidR="00676D87" w:rsidRPr="00BD4ED0" w:rsidRDefault="00676D87" w:rsidP="00676D87">
      <w:pPr>
        <w:spacing w:before="40" w:after="0" w:line="240" w:lineRule="auto"/>
        <w:jc w:val="both"/>
        <w:rPr>
          <w:rFonts w:cstheme="minorHAnsi"/>
          <w:b/>
          <w:color w:val="1F3864" w:themeColor="accent1" w:themeShade="80"/>
          <w:sz w:val="12"/>
          <w:szCs w:val="12"/>
        </w:rPr>
      </w:pPr>
    </w:p>
    <w:p w14:paraId="182CEC91" w14:textId="77777777" w:rsidR="00676D87" w:rsidRPr="0047477B" w:rsidRDefault="00676D87" w:rsidP="00676D87">
      <w:pPr>
        <w:spacing w:before="40" w:after="0" w:line="240" w:lineRule="auto"/>
        <w:jc w:val="both"/>
        <w:rPr>
          <w:rFonts w:cstheme="minorHAnsi"/>
          <w:b/>
          <w:color w:val="1F3864" w:themeColor="accent1" w:themeShade="80"/>
          <w:sz w:val="24"/>
          <w:szCs w:val="24"/>
        </w:rPr>
      </w:pPr>
      <w:r>
        <w:rPr>
          <w:rFonts w:ascii="Calibri" w:hAnsi="Calibri"/>
          <w:noProof/>
          <w:lang w:eastAsia="en-AU"/>
        </w:rPr>
        <w:drawing>
          <wp:anchor distT="0" distB="0" distL="114300" distR="114300" simplePos="0" relativeHeight="251674624" behindDoc="0" locked="0" layoutInCell="1" allowOverlap="1" wp14:anchorId="604F023D" wp14:editId="5215D6A5">
            <wp:simplePos x="0" y="0"/>
            <wp:positionH relativeFrom="margin">
              <wp:align>left</wp:align>
            </wp:positionH>
            <wp:positionV relativeFrom="paragraph">
              <wp:posOffset>56515</wp:posOffset>
            </wp:positionV>
            <wp:extent cx="575945" cy="395605"/>
            <wp:effectExtent l="0" t="0" r="0" b="4445"/>
            <wp:wrapSquare wrapText="bothSides"/>
            <wp:docPr id="351" name="Pictur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mmerce Employment 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945" cy="395605"/>
                    </a:xfrm>
                    <a:prstGeom prst="rect">
                      <a:avLst/>
                    </a:prstGeom>
                    <a:ln>
                      <a:noFill/>
                    </a:ln>
                    <a:effectLst/>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 xml:space="preserve">Workplace </w:t>
      </w:r>
      <w:r>
        <w:rPr>
          <w:rFonts w:cstheme="minorHAnsi"/>
          <w:b/>
          <w:color w:val="1F3864" w:themeColor="accent1" w:themeShade="80"/>
          <w:sz w:val="24"/>
          <w:szCs w:val="24"/>
        </w:rPr>
        <w:t xml:space="preserve">&amp; Street </w:t>
      </w:r>
      <w:r w:rsidRPr="0047477B">
        <w:rPr>
          <w:rFonts w:cstheme="minorHAnsi"/>
          <w:b/>
          <w:color w:val="1F3864" w:themeColor="accent1" w:themeShade="80"/>
          <w:sz w:val="24"/>
          <w:szCs w:val="24"/>
        </w:rPr>
        <w:t>Harassment</w:t>
      </w:r>
    </w:p>
    <w:p w14:paraId="0E7C3458"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 xml:space="preserve">A substantial proportion of women and men experience sexual harassment at work, while many </w:t>
      </w:r>
      <w:r>
        <w:rPr>
          <w:rFonts w:cstheme="minorHAnsi"/>
          <w:color w:val="1F3864" w:themeColor="accent1" w:themeShade="80"/>
          <w:sz w:val="21"/>
          <w:szCs w:val="21"/>
        </w:rPr>
        <w:t>women endure</w:t>
      </w:r>
      <w:r w:rsidRPr="00755982">
        <w:rPr>
          <w:rFonts w:cstheme="minorHAnsi"/>
          <w:color w:val="1F3864" w:themeColor="accent1" w:themeShade="80"/>
          <w:sz w:val="21"/>
          <w:szCs w:val="21"/>
        </w:rPr>
        <w:t xml:space="preserve"> discrimination associated with pregnancy or return to work after caring for children.</w:t>
      </w:r>
    </w:p>
    <w:p w14:paraId="4DF0DA40"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In 2019, 20% of employed Australian</w:t>
      </w:r>
      <w:r>
        <w:rPr>
          <w:rFonts w:cstheme="minorHAnsi"/>
          <w:sz w:val="21"/>
          <w:szCs w:val="21"/>
        </w:rPr>
        <w:t xml:space="preserve">s, </w:t>
      </w:r>
      <w:r w:rsidRPr="00D67E48">
        <w:rPr>
          <w:rFonts w:cstheme="minorHAnsi"/>
          <w:sz w:val="21"/>
          <w:szCs w:val="21"/>
        </w:rPr>
        <w:t>including 23% of females and 16% of males</w:t>
      </w:r>
      <w:r>
        <w:rPr>
          <w:rFonts w:cstheme="minorHAnsi"/>
          <w:sz w:val="21"/>
          <w:szCs w:val="21"/>
        </w:rPr>
        <w:t>,</w:t>
      </w:r>
      <w:r w:rsidRPr="00D67E48">
        <w:rPr>
          <w:rFonts w:cstheme="minorHAnsi"/>
          <w:sz w:val="21"/>
          <w:szCs w:val="21"/>
        </w:rPr>
        <w:t xml:space="preserve"> had been sexually harassed at the workplace in the previous 12 months</w:t>
      </w:r>
      <w:r>
        <w:rPr>
          <w:rFonts w:cstheme="minorHAnsi"/>
          <w:sz w:val="21"/>
          <w:szCs w:val="21"/>
        </w:rPr>
        <w:t xml:space="preserve"> </w:t>
      </w:r>
      <w:r w:rsidRPr="00022830">
        <w:rPr>
          <w:rFonts w:cstheme="minorHAnsi"/>
          <w:sz w:val="16"/>
          <w:szCs w:val="16"/>
        </w:rPr>
        <w:t>(2018 Australian Human Rights Commission national survey).</w:t>
      </w:r>
    </w:p>
    <w:p w14:paraId="2BF1B1A0" w14:textId="77777777" w:rsidR="00676D87" w:rsidRDefault="00676D87" w:rsidP="00676D87">
      <w:pPr>
        <w:spacing w:before="60" w:after="0" w:line="240" w:lineRule="auto"/>
        <w:jc w:val="both"/>
        <w:rPr>
          <w:rFonts w:cstheme="minorHAnsi"/>
          <w:sz w:val="21"/>
          <w:szCs w:val="21"/>
        </w:rPr>
      </w:pPr>
      <w:r w:rsidRPr="00D67E48">
        <w:rPr>
          <w:rFonts w:cstheme="minorHAnsi"/>
          <w:sz w:val="21"/>
          <w:szCs w:val="21"/>
        </w:rPr>
        <w:t>In 2014, half of all</w:t>
      </w:r>
      <w:r>
        <w:rPr>
          <w:rFonts w:cstheme="minorHAnsi"/>
          <w:sz w:val="21"/>
          <w:szCs w:val="21"/>
        </w:rPr>
        <w:t xml:space="preserve"> employed</w:t>
      </w:r>
      <w:r w:rsidRPr="00D67E48">
        <w:rPr>
          <w:rFonts w:cstheme="minorHAnsi"/>
          <w:sz w:val="21"/>
          <w:szCs w:val="21"/>
        </w:rPr>
        <w:t xml:space="preserve"> mothers </w:t>
      </w:r>
      <w:r>
        <w:rPr>
          <w:rFonts w:cstheme="minorHAnsi"/>
          <w:sz w:val="21"/>
          <w:szCs w:val="21"/>
        </w:rPr>
        <w:t>had experienced</w:t>
      </w:r>
      <w:r w:rsidRPr="00D67E48">
        <w:rPr>
          <w:rFonts w:cstheme="minorHAnsi"/>
          <w:sz w:val="21"/>
          <w:szCs w:val="21"/>
        </w:rPr>
        <w:t xml:space="preserve"> discrimination in the workplace in relation to pregnancy or returning work. Among them, 32% sought another job or resigned </w:t>
      </w:r>
      <w:r w:rsidRPr="00022830">
        <w:rPr>
          <w:rFonts w:cstheme="minorHAnsi"/>
          <w:sz w:val="16"/>
          <w:szCs w:val="16"/>
        </w:rPr>
        <w:t>(</w:t>
      </w:r>
      <w:r w:rsidRPr="00483464">
        <w:rPr>
          <w:rFonts w:cstheme="minorHAnsi"/>
          <w:sz w:val="16"/>
          <w:szCs w:val="16"/>
        </w:rPr>
        <w:t>Australian Human Rights Commission. Supporting</w:t>
      </w:r>
      <w:r w:rsidRPr="00022830">
        <w:rPr>
          <w:rFonts w:cstheme="minorHAnsi"/>
          <w:sz w:val="16"/>
          <w:szCs w:val="16"/>
        </w:rPr>
        <w:t xml:space="preserve"> Working Parents: pregnancy and return to work national review report, 2014)</w:t>
      </w:r>
      <w:r>
        <w:rPr>
          <w:rFonts w:cstheme="minorHAnsi"/>
          <w:sz w:val="21"/>
          <w:szCs w:val="21"/>
        </w:rPr>
        <w:t>.</w:t>
      </w:r>
    </w:p>
    <w:p w14:paraId="723821EF" w14:textId="77777777" w:rsidR="00676D87" w:rsidRDefault="00676D87" w:rsidP="00676D87">
      <w:pPr>
        <w:spacing w:before="60" w:after="0" w:line="240" w:lineRule="auto"/>
        <w:jc w:val="both"/>
        <w:rPr>
          <w:sz w:val="16"/>
          <w:szCs w:val="16"/>
          <w:lang w:val="en-GB"/>
        </w:rPr>
      </w:pPr>
      <w:r>
        <w:rPr>
          <w:lang w:val="en-GB"/>
        </w:rPr>
        <w:t xml:space="preserve">84% of women had experienced some form of non-physical harassment during their lives, including honking, wolf-whistling, leering, vulgar gestures, lewd or sexist comments or repeated, unwelcome sexual advances. Men are the perpetrators in 87% of harassment of women on the street </w:t>
      </w:r>
      <w:r w:rsidRPr="00D556A7">
        <w:rPr>
          <w:sz w:val="16"/>
          <w:szCs w:val="16"/>
          <w:lang w:val="en-GB"/>
        </w:rPr>
        <w:t>(Everyday Sexism, Aust. Institute, 2015)</w:t>
      </w:r>
      <w:r>
        <w:rPr>
          <w:sz w:val="16"/>
          <w:szCs w:val="16"/>
          <w:lang w:val="en-GB"/>
        </w:rPr>
        <w:t>.</w:t>
      </w:r>
    </w:p>
    <w:p w14:paraId="6E7AD3B8" w14:textId="77777777" w:rsidR="00676D87" w:rsidRDefault="00676D87" w:rsidP="00676D87">
      <w:pPr>
        <w:spacing w:before="60" w:after="0" w:line="240" w:lineRule="auto"/>
        <w:jc w:val="both"/>
        <w:rPr>
          <w:sz w:val="16"/>
          <w:szCs w:val="16"/>
          <w:lang w:val="en-GB"/>
        </w:rPr>
      </w:pPr>
    </w:p>
    <w:p w14:paraId="79192A75" w14:textId="77777777" w:rsidR="00676D87" w:rsidRPr="0047477B" w:rsidRDefault="00676D87" w:rsidP="00676D87">
      <w:pPr>
        <w:spacing w:after="0" w:line="240" w:lineRule="auto"/>
        <w:jc w:val="both"/>
        <w:rPr>
          <w:rFonts w:cstheme="minorHAnsi"/>
          <w:b/>
          <w:color w:val="1F3864" w:themeColor="accent1" w:themeShade="80"/>
          <w:sz w:val="24"/>
          <w:szCs w:val="24"/>
        </w:rPr>
      </w:pPr>
      <w:r w:rsidRPr="00985697">
        <w:rPr>
          <w:b/>
          <w:noProof/>
          <w:color w:val="000000" w:themeColor="text1"/>
        </w:rPr>
        <w:drawing>
          <wp:anchor distT="0" distB="0" distL="114300" distR="114300" simplePos="0" relativeHeight="251665408" behindDoc="0" locked="0" layoutInCell="1" allowOverlap="1" wp14:anchorId="2AD854C7" wp14:editId="48393228">
            <wp:simplePos x="0" y="0"/>
            <wp:positionH relativeFrom="margin">
              <wp:posOffset>0</wp:posOffset>
            </wp:positionH>
            <wp:positionV relativeFrom="paragraph">
              <wp:posOffset>218440</wp:posOffset>
            </wp:positionV>
            <wp:extent cx="576000" cy="396000"/>
            <wp:effectExtent l="0" t="0" r="0" b="4445"/>
            <wp:wrapSquare wrapText="bothSides"/>
            <wp:docPr id="453" name="Picture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amily 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396000"/>
                    </a:xfrm>
                    <a:prstGeom prst="rect">
                      <a:avLst/>
                    </a:prstGeom>
                    <a:ln>
                      <a:noFill/>
                    </a:ln>
                    <a:effectLst/>
                  </pic:spPr>
                </pic:pic>
              </a:graphicData>
            </a:graphic>
            <wp14:sizeRelH relativeFrom="page">
              <wp14:pctWidth>0</wp14:pctWidth>
            </wp14:sizeRelH>
            <wp14:sizeRelV relativeFrom="page">
              <wp14:pctHeight>0</wp14:pctHeight>
            </wp14:sizeRelV>
          </wp:anchor>
        </w:drawing>
      </w:r>
      <w:r w:rsidRPr="0047477B">
        <w:rPr>
          <w:rFonts w:cstheme="minorHAnsi"/>
          <w:b/>
          <w:color w:val="1F3864" w:themeColor="accent1" w:themeShade="80"/>
          <w:sz w:val="24"/>
          <w:szCs w:val="24"/>
        </w:rPr>
        <w:t>Violence and Abuse</w:t>
      </w:r>
    </w:p>
    <w:p w14:paraId="557ECB01" w14:textId="77777777" w:rsidR="00676D87" w:rsidRPr="00755982" w:rsidRDefault="00676D87" w:rsidP="00676D87">
      <w:pPr>
        <w:spacing w:before="60" w:after="0" w:line="240" w:lineRule="auto"/>
        <w:jc w:val="both"/>
        <w:rPr>
          <w:rFonts w:cstheme="minorHAnsi"/>
          <w:color w:val="1F3864" w:themeColor="accent1" w:themeShade="80"/>
          <w:sz w:val="21"/>
          <w:szCs w:val="21"/>
        </w:rPr>
      </w:pPr>
      <w:r w:rsidRPr="00755982">
        <w:rPr>
          <w:rFonts w:cstheme="minorHAnsi"/>
          <w:color w:val="1F3864" w:themeColor="accent1" w:themeShade="80"/>
          <w:sz w:val="21"/>
          <w:szCs w:val="21"/>
        </w:rPr>
        <w:t xml:space="preserve">While a similar proportion of women and men have been assaulted, women are three times more likely to be </w:t>
      </w:r>
      <w:r>
        <w:rPr>
          <w:rFonts w:cstheme="minorHAnsi"/>
          <w:color w:val="1F3864" w:themeColor="accent1" w:themeShade="80"/>
          <w:sz w:val="21"/>
          <w:szCs w:val="21"/>
        </w:rPr>
        <w:t xml:space="preserve">physically </w:t>
      </w:r>
      <w:r w:rsidRPr="00755982">
        <w:rPr>
          <w:rFonts w:cstheme="minorHAnsi"/>
          <w:color w:val="1F3864" w:themeColor="accent1" w:themeShade="80"/>
          <w:sz w:val="21"/>
          <w:szCs w:val="21"/>
        </w:rPr>
        <w:t>assaulted</w:t>
      </w:r>
      <w:r>
        <w:rPr>
          <w:rFonts w:cstheme="minorHAnsi"/>
          <w:color w:val="1F3864" w:themeColor="accent1" w:themeShade="80"/>
          <w:sz w:val="21"/>
          <w:szCs w:val="21"/>
        </w:rPr>
        <w:t xml:space="preserve"> or murdered</w:t>
      </w:r>
      <w:r w:rsidRPr="00755982">
        <w:rPr>
          <w:rFonts w:cstheme="minorHAnsi"/>
          <w:color w:val="1F3864" w:themeColor="accent1" w:themeShade="80"/>
          <w:sz w:val="21"/>
          <w:szCs w:val="21"/>
        </w:rPr>
        <w:t xml:space="preserve"> by a partner, four </w:t>
      </w:r>
      <w:r>
        <w:rPr>
          <w:rFonts w:cstheme="minorHAnsi"/>
          <w:color w:val="1F3864" w:themeColor="accent1" w:themeShade="80"/>
          <w:sz w:val="21"/>
          <w:szCs w:val="21"/>
        </w:rPr>
        <w:t xml:space="preserve">times </w:t>
      </w:r>
      <w:r w:rsidRPr="00755982">
        <w:rPr>
          <w:rFonts w:cstheme="minorHAnsi"/>
          <w:color w:val="1F3864" w:themeColor="accent1" w:themeShade="80"/>
          <w:sz w:val="21"/>
          <w:szCs w:val="21"/>
        </w:rPr>
        <w:t>more likely to be sexually assaulted</w:t>
      </w:r>
      <w:r>
        <w:rPr>
          <w:rFonts w:cstheme="minorHAnsi"/>
          <w:color w:val="1F3864" w:themeColor="accent1" w:themeShade="80"/>
          <w:sz w:val="21"/>
          <w:szCs w:val="21"/>
        </w:rPr>
        <w:t xml:space="preserve">, </w:t>
      </w:r>
      <w:r w:rsidRPr="00755982">
        <w:rPr>
          <w:rFonts w:cstheme="minorHAnsi"/>
          <w:color w:val="1F3864" w:themeColor="accent1" w:themeShade="80"/>
          <w:sz w:val="21"/>
          <w:szCs w:val="21"/>
        </w:rPr>
        <w:t xml:space="preserve">twice as likely to be stalked, </w:t>
      </w:r>
      <w:r>
        <w:rPr>
          <w:rFonts w:cstheme="minorHAnsi"/>
          <w:color w:val="1F3864" w:themeColor="accent1" w:themeShade="80"/>
          <w:sz w:val="21"/>
          <w:szCs w:val="21"/>
        </w:rPr>
        <w:t xml:space="preserve">and </w:t>
      </w:r>
      <w:r w:rsidRPr="00755982">
        <w:rPr>
          <w:rFonts w:cstheme="minorHAnsi"/>
          <w:color w:val="1F3864" w:themeColor="accent1" w:themeShade="80"/>
          <w:sz w:val="21"/>
          <w:szCs w:val="21"/>
        </w:rPr>
        <w:t>more than twice as likely as men to feel concerned for their personal safety alone outdoors at night</w:t>
      </w:r>
      <w:r>
        <w:rPr>
          <w:rFonts w:cstheme="minorHAnsi"/>
          <w:color w:val="1F3864" w:themeColor="accent1" w:themeShade="80"/>
          <w:sz w:val="21"/>
          <w:szCs w:val="21"/>
        </w:rPr>
        <w:t>, as</w:t>
      </w:r>
      <w:r w:rsidRPr="00755982">
        <w:rPr>
          <w:rFonts w:cstheme="minorHAnsi"/>
          <w:color w:val="1F3864" w:themeColor="accent1" w:themeShade="80"/>
          <w:sz w:val="21"/>
          <w:szCs w:val="21"/>
        </w:rPr>
        <w:t xml:space="preserve"> men. Men on the other hand, </w:t>
      </w:r>
      <w:r>
        <w:rPr>
          <w:rFonts w:cstheme="minorHAnsi"/>
          <w:color w:val="1F3864" w:themeColor="accent1" w:themeShade="80"/>
          <w:sz w:val="21"/>
          <w:szCs w:val="21"/>
        </w:rPr>
        <w:t>account for</w:t>
      </w:r>
      <w:r w:rsidRPr="00755982">
        <w:rPr>
          <w:rFonts w:cstheme="minorHAnsi"/>
          <w:color w:val="1F3864" w:themeColor="accent1" w:themeShade="80"/>
          <w:sz w:val="21"/>
          <w:szCs w:val="21"/>
        </w:rPr>
        <w:t xml:space="preserve"> </w:t>
      </w:r>
      <w:r>
        <w:rPr>
          <w:rFonts w:cstheme="minorHAnsi"/>
          <w:color w:val="1F3864" w:themeColor="accent1" w:themeShade="80"/>
          <w:sz w:val="21"/>
          <w:szCs w:val="21"/>
        </w:rPr>
        <w:t>most</w:t>
      </w:r>
      <w:r w:rsidRPr="00755982">
        <w:rPr>
          <w:rFonts w:cstheme="minorHAnsi"/>
          <w:color w:val="1F3864" w:themeColor="accent1" w:themeShade="80"/>
          <w:sz w:val="21"/>
          <w:szCs w:val="21"/>
        </w:rPr>
        <w:t xml:space="preserve"> </w:t>
      </w:r>
      <w:r>
        <w:rPr>
          <w:rFonts w:cstheme="minorHAnsi"/>
          <w:color w:val="1F3864" w:themeColor="accent1" w:themeShade="80"/>
          <w:sz w:val="21"/>
          <w:szCs w:val="21"/>
        </w:rPr>
        <w:t>perpetrators of assault, stalking and crime</w:t>
      </w:r>
      <w:r w:rsidRPr="00755982">
        <w:rPr>
          <w:rFonts w:cstheme="minorHAnsi"/>
          <w:color w:val="1F3864" w:themeColor="accent1" w:themeShade="80"/>
          <w:sz w:val="21"/>
          <w:szCs w:val="21"/>
        </w:rPr>
        <w:t>.</w:t>
      </w:r>
    </w:p>
    <w:p w14:paraId="7C3ED2FB" w14:textId="77777777" w:rsidR="00676D87" w:rsidRPr="0059797D" w:rsidRDefault="00676D87" w:rsidP="00676D87">
      <w:pPr>
        <w:spacing w:before="120" w:after="40" w:line="240" w:lineRule="auto"/>
        <w:jc w:val="both"/>
        <w:rPr>
          <w:rFonts w:cstheme="minorHAnsi"/>
          <w:b/>
          <w:sz w:val="21"/>
          <w:szCs w:val="21"/>
        </w:rPr>
      </w:pPr>
      <w:r w:rsidRPr="0059797D">
        <w:rPr>
          <w:rFonts w:cstheme="minorHAnsi"/>
          <w:b/>
          <w:sz w:val="21"/>
          <w:szCs w:val="21"/>
        </w:rPr>
        <w:t>Assault</w:t>
      </w:r>
    </w:p>
    <w:p w14:paraId="1130DD6C"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Approximately a third of Australian adults, including 34% of women and 36% of men, have been assaulted since the age of 15, while 3.7% of women and 4% of men </w:t>
      </w:r>
      <w:r>
        <w:rPr>
          <w:rFonts w:cstheme="minorHAnsi"/>
          <w:sz w:val="21"/>
          <w:szCs w:val="21"/>
        </w:rPr>
        <w:t>are</w:t>
      </w:r>
      <w:r w:rsidRPr="00D67E48">
        <w:rPr>
          <w:rFonts w:cstheme="minorHAnsi"/>
          <w:sz w:val="21"/>
          <w:szCs w:val="21"/>
        </w:rPr>
        <w:t xml:space="preserve"> assaulted </w:t>
      </w:r>
      <w:r>
        <w:rPr>
          <w:rFonts w:cstheme="minorHAnsi"/>
          <w:sz w:val="21"/>
          <w:szCs w:val="21"/>
        </w:rPr>
        <w:t>each year</w:t>
      </w:r>
      <w:r w:rsidRPr="00D67E48">
        <w:rPr>
          <w:rFonts w:cstheme="minorHAnsi"/>
          <w:sz w:val="21"/>
          <w:szCs w:val="21"/>
        </w:rPr>
        <w:t xml:space="preserve"> </w:t>
      </w:r>
      <w:r w:rsidRPr="00022830">
        <w:rPr>
          <w:rFonts w:cstheme="minorHAnsi"/>
          <w:sz w:val="16"/>
          <w:szCs w:val="16"/>
        </w:rPr>
        <w:t>(Personal Safety, Australia, 2016).</w:t>
      </w:r>
    </w:p>
    <w:p w14:paraId="1AAB43FD" w14:textId="77777777" w:rsidR="00676D87" w:rsidRPr="00ED278A" w:rsidRDefault="00676D87" w:rsidP="00676D87">
      <w:pPr>
        <w:spacing w:before="60" w:after="0" w:line="240" w:lineRule="auto"/>
        <w:jc w:val="both"/>
      </w:pPr>
      <w:r w:rsidRPr="00ED278A">
        <w:t>Approximately one</w:t>
      </w:r>
      <w:r>
        <w:t>-</w:t>
      </w:r>
      <w:r w:rsidRPr="00ED278A">
        <w:t>quarter (27%) of women and a third (34%) of men, ha</w:t>
      </w:r>
      <w:r>
        <w:t>ve</w:t>
      </w:r>
      <w:r w:rsidRPr="00ED278A">
        <w:t xml:space="preserve"> been </w:t>
      </w:r>
      <w:r w:rsidRPr="0070238A">
        <w:rPr>
          <w:i/>
        </w:rPr>
        <w:t>physically</w:t>
      </w:r>
      <w:r w:rsidRPr="00ED278A">
        <w:t xml:space="preserve"> assaulted since age 15, </w:t>
      </w:r>
      <w:r>
        <w:t>and</w:t>
      </w:r>
      <w:r w:rsidRPr="00ED278A">
        <w:t xml:space="preserve"> 3.4% of males and 2.7% of females </w:t>
      </w:r>
      <w:r>
        <w:t>are</w:t>
      </w:r>
      <w:r w:rsidRPr="00ED278A">
        <w:t xml:space="preserve"> physically assaulted </w:t>
      </w:r>
      <w:r>
        <w:t>each</w:t>
      </w:r>
      <w:r w:rsidRPr="00ED278A">
        <w:t xml:space="preserve"> </w:t>
      </w:r>
      <w:r w:rsidRPr="0070238A">
        <w:t>year</w:t>
      </w:r>
      <w:r w:rsidRPr="00ED278A">
        <w:rPr>
          <w:sz w:val="16"/>
          <w:szCs w:val="16"/>
        </w:rPr>
        <w:t xml:space="preserve"> (Personal Safety, Australia, 2016).</w:t>
      </w:r>
    </w:p>
    <w:p w14:paraId="375C0CE3" w14:textId="77777777" w:rsidR="00676D87" w:rsidRPr="00D67E48" w:rsidRDefault="00676D87" w:rsidP="00676D87">
      <w:pPr>
        <w:spacing w:before="60" w:after="0" w:line="240" w:lineRule="auto"/>
        <w:jc w:val="both"/>
        <w:rPr>
          <w:rFonts w:cstheme="minorHAnsi"/>
          <w:sz w:val="21"/>
          <w:szCs w:val="21"/>
        </w:rPr>
      </w:pPr>
      <w:r>
        <w:t xml:space="preserve">One in six women (17%) and one in twenty-five men (4.3%) have been </w:t>
      </w:r>
      <w:r w:rsidRPr="001148D6">
        <w:rPr>
          <w:i/>
        </w:rPr>
        <w:t>sexually assaulted</w:t>
      </w:r>
      <w:r>
        <w:t xml:space="preserve"> since age 15, and 1.6% of women and 0.6% of men in a 12-month period </w:t>
      </w:r>
      <w:r w:rsidRPr="00022830">
        <w:rPr>
          <w:rFonts w:cstheme="minorHAnsi"/>
          <w:sz w:val="16"/>
          <w:szCs w:val="16"/>
        </w:rPr>
        <w:t>(Personal Safety, Australia, 2016).</w:t>
      </w:r>
    </w:p>
    <w:p w14:paraId="61674158" w14:textId="77777777" w:rsidR="00676D87" w:rsidRPr="0059797D" w:rsidRDefault="00676D87" w:rsidP="00676D87">
      <w:pPr>
        <w:spacing w:before="120" w:after="40" w:line="240" w:lineRule="auto"/>
        <w:jc w:val="both"/>
        <w:rPr>
          <w:rFonts w:cstheme="minorHAnsi"/>
          <w:b/>
          <w:sz w:val="21"/>
          <w:szCs w:val="21"/>
        </w:rPr>
      </w:pPr>
      <w:r>
        <w:rPr>
          <w:rFonts w:cstheme="minorHAnsi"/>
          <w:b/>
          <w:sz w:val="21"/>
          <w:szCs w:val="21"/>
        </w:rPr>
        <w:t>Intimate-partner violence</w:t>
      </w:r>
    </w:p>
    <w:p w14:paraId="5142C7DA" w14:textId="77777777" w:rsidR="00676D87" w:rsidRDefault="00676D87" w:rsidP="00676D87">
      <w:pPr>
        <w:spacing w:before="60" w:after="0" w:line="240" w:lineRule="auto"/>
        <w:jc w:val="both"/>
        <w:rPr>
          <w:rFonts w:cstheme="minorHAnsi"/>
          <w:sz w:val="16"/>
          <w:szCs w:val="16"/>
        </w:rPr>
      </w:pPr>
      <w:r w:rsidRPr="00BC7D40">
        <w:t xml:space="preserve">22% of </w:t>
      </w:r>
      <w:r w:rsidRPr="00D67E48">
        <w:rPr>
          <w:rFonts w:cstheme="minorHAnsi"/>
          <w:sz w:val="21"/>
          <w:szCs w:val="21"/>
        </w:rPr>
        <w:t xml:space="preserve">Australian </w:t>
      </w:r>
      <w:r w:rsidRPr="00BC7D40">
        <w:t xml:space="preserve">women and 7% of men </w:t>
      </w:r>
      <w:r>
        <w:t xml:space="preserve">have been </w:t>
      </w:r>
      <w:r w:rsidRPr="00BC7D40">
        <w:t>assaulted by a partner since 15</w:t>
      </w:r>
      <w:r>
        <w:t xml:space="preserve"> </w:t>
      </w:r>
      <w:r w:rsidRPr="00022830">
        <w:rPr>
          <w:rFonts w:cstheme="minorHAnsi"/>
          <w:sz w:val="16"/>
          <w:szCs w:val="16"/>
        </w:rPr>
        <w:t>(Personal Safety, Australia, 2016).</w:t>
      </w:r>
    </w:p>
    <w:p w14:paraId="09F9CBD8" w14:textId="77777777" w:rsidR="00676D87" w:rsidRDefault="00676D87" w:rsidP="00676D87">
      <w:pPr>
        <w:spacing w:before="60" w:after="0" w:line="240" w:lineRule="auto"/>
        <w:jc w:val="both"/>
        <w:rPr>
          <w:rFonts w:cstheme="minorHAnsi"/>
          <w:sz w:val="16"/>
          <w:szCs w:val="16"/>
        </w:rPr>
      </w:pPr>
      <w:r>
        <w:t xml:space="preserve">2% cent of women and 1.1% of men are assaulted by an intimate partner in a 12-month period – almost all by perpetrators of the opposite sex </w:t>
      </w:r>
      <w:r w:rsidRPr="00022830">
        <w:rPr>
          <w:rFonts w:cstheme="minorHAnsi"/>
          <w:sz w:val="16"/>
          <w:szCs w:val="16"/>
        </w:rPr>
        <w:t>(Personal Safety, Australia, 2016).</w:t>
      </w:r>
    </w:p>
    <w:p w14:paraId="4F0DC22F" w14:textId="77777777" w:rsidR="00676D87" w:rsidRPr="00D67E48" w:rsidRDefault="00676D87" w:rsidP="00676D87">
      <w:pPr>
        <w:spacing w:before="60" w:after="0" w:line="240" w:lineRule="auto"/>
        <w:jc w:val="both"/>
        <w:rPr>
          <w:rFonts w:cstheme="minorHAnsi"/>
          <w:sz w:val="21"/>
          <w:szCs w:val="21"/>
        </w:rPr>
      </w:pPr>
      <w:r w:rsidRPr="009F030C">
        <w:rPr>
          <w:rFonts w:cstheme="minorHAnsi"/>
          <w:sz w:val="21"/>
          <w:szCs w:val="21"/>
        </w:rPr>
        <w:t xml:space="preserve">Indigenous adults were 32 times as likely to be hospitalized for family violence as non-Indigenous adults </w:t>
      </w:r>
      <w:r w:rsidRPr="009F030C">
        <w:rPr>
          <w:rFonts w:cstheme="minorHAnsi"/>
          <w:sz w:val="16"/>
          <w:szCs w:val="16"/>
        </w:rPr>
        <w:t>(AIHW analysis of National Hospital Morbidity Database).</w:t>
      </w:r>
    </w:p>
    <w:p w14:paraId="5DDF5F10"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In 2018/19 in Victoria, females accounted for three</w:t>
      </w:r>
      <w:r>
        <w:rPr>
          <w:rFonts w:cstheme="minorHAnsi"/>
          <w:sz w:val="21"/>
          <w:szCs w:val="21"/>
        </w:rPr>
        <w:t>-</w:t>
      </w:r>
      <w:r w:rsidRPr="00D67E48">
        <w:rPr>
          <w:rFonts w:cstheme="minorHAnsi"/>
          <w:sz w:val="21"/>
          <w:szCs w:val="21"/>
        </w:rPr>
        <w:t xml:space="preserve">quarters (75%) of victim reports in incidents of </w:t>
      </w:r>
      <w:r>
        <w:rPr>
          <w:rFonts w:cstheme="minorHAnsi"/>
          <w:sz w:val="21"/>
          <w:szCs w:val="21"/>
        </w:rPr>
        <w:t xml:space="preserve">alleged </w:t>
      </w:r>
      <w:r w:rsidRPr="00D67E48">
        <w:rPr>
          <w:rFonts w:cstheme="minorHAnsi"/>
          <w:sz w:val="21"/>
          <w:szCs w:val="21"/>
        </w:rPr>
        <w:t xml:space="preserve">family violence recorded by Victoria Police </w:t>
      </w:r>
      <w:r w:rsidRPr="00022830">
        <w:rPr>
          <w:rFonts w:cstheme="minorHAnsi"/>
          <w:sz w:val="16"/>
          <w:szCs w:val="16"/>
        </w:rPr>
        <w:t>(Crime Statistics Agency, customised tabulation, 2019).</w:t>
      </w:r>
    </w:p>
    <w:p w14:paraId="5D4EC86B" w14:textId="77777777" w:rsidR="00676D87" w:rsidRPr="00D67E48" w:rsidRDefault="00676D87" w:rsidP="00676D87">
      <w:pPr>
        <w:spacing w:before="60" w:after="0" w:line="240" w:lineRule="auto"/>
        <w:jc w:val="both"/>
        <w:rPr>
          <w:rFonts w:cstheme="minorHAnsi"/>
          <w:sz w:val="21"/>
          <w:szCs w:val="21"/>
        </w:rPr>
      </w:pPr>
      <w:r>
        <w:t xml:space="preserve">Women are five times more likely than men to require medical attention or hospitalization, and five times more likely to report fearing for their lives, due to intimate partner violence </w:t>
      </w:r>
      <w:r w:rsidRPr="00BA1321">
        <w:rPr>
          <w:sz w:val="16"/>
          <w:szCs w:val="16"/>
        </w:rPr>
        <w:t xml:space="preserve">(Source: Mouzos, </w:t>
      </w:r>
      <w:r>
        <w:rPr>
          <w:sz w:val="16"/>
          <w:szCs w:val="16"/>
        </w:rPr>
        <w:t>J</w:t>
      </w:r>
      <w:r w:rsidRPr="00BA1321">
        <w:rPr>
          <w:sz w:val="16"/>
          <w:szCs w:val="16"/>
        </w:rPr>
        <w:t>. 1999. Feticide: and overview of major findings. No 124 Australian Institute of Criminology. Canberra</w:t>
      </w:r>
      <w:r>
        <w:rPr>
          <w:sz w:val="16"/>
          <w:szCs w:val="16"/>
        </w:rPr>
        <w:t>).</w:t>
      </w:r>
    </w:p>
    <w:p w14:paraId="326BA862"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Between 1989/90 and 2015/16</w:t>
      </w:r>
      <w:r>
        <w:rPr>
          <w:rFonts w:cstheme="minorHAnsi"/>
          <w:sz w:val="21"/>
          <w:szCs w:val="21"/>
        </w:rPr>
        <w:t xml:space="preserve"> in Australia</w:t>
      </w:r>
      <w:r w:rsidRPr="00D67E48">
        <w:rPr>
          <w:rFonts w:cstheme="minorHAnsi"/>
          <w:sz w:val="21"/>
          <w:szCs w:val="21"/>
        </w:rPr>
        <w:t xml:space="preserve">, there were 1,460 intimate partner homicides featuring a female victim, equivalent to 56 such </w:t>
      </w:r>
      <w:r>
        <w:rPr>
          <w:rFonts w:cstheme="minorHAnsi"/>
          <w:sz w:val="21"/>
          <w:szCs w:val="21"/>
        </w:rPr>
        <w:t>incidents</w:t>
      </w:r>
      <w:r w:rsidRPr="00D67E48">
        <w:rPr>
          <w:rFonts w:cstheme="minorHAnsi"/>
          <w:sz w:val="21"/>
          <w:szCs w:val="21"/>
        </w:rPr>
        <w:t xml:space="preserve"> each year, compared with</w:t>
      </w:r>
      <w:r>
        <w:rPr>
          <w:rFonts w:cstheme="minorHAnsi"/>
          <w:sz w:val="21"/>
          <w:szCs w:val="21"/>
        </w:rPr>
        <w:t xml:space="preserve"> an average of</w:t>
      </w:r>
      <w:r w:rsidRPr="00D67E48">
        <w:rPr>
          <w:rFonts w:cstheme="minorHAnsi"/>
          <w:sz w:val="21"/>
          <w:szCs w:val="21"/>
        </w:rPr>
        <w:t xml:space="preserve"> 18 male victims</w:t>
      </w:r>
      <w:r>
        <w:rPr>
          <w:rFonts w:cstheme="minorHAnsi"/>
          <w:sz w:val="21"/>
          <w:szCs w:val="21"/>
        </w:rPr>
        <w:t xml:space="preserve"> </w:t>
      </w:r>
      <w:r w:rsidRPr="00D67E48">
        <w:rPr>
          <w:rFonts w:cstheme="minorHAnsi"/>
          <w:sz w:val="21"/>
          <w:szCs w:val="21"/>
        </w:rPr>
        <w:t xml:space="preserve">per annum </w:t>
      </w:r>
      <w:r>
        <w:rPr>
          <w:rFonts w:cstheme="minorHAnsi"/>
          <w:sz w:val="21"/>
          <w:szCs w:val="21"/>
        </w:rPr>
        <w:t>in</w:t>
      </w:r>
      <w:r w:rsidRPr="00D67E48">
        <w:rPr>
          <w:rFonts w:cstheme="minorHAnsi"/>
          <w:sz w:val="21"/>
          <w:szCs w:val="21"/>
        </w:rPr>
        <w:t xml:space="preserve"> </w:t>
      </w:r>
      <w:r>
        <w:rPr>
          <w:rFonts w:cstheme="minorHAnsi"/>
          <w:sz w:val="21"/>
          <w:szCs w:val="21"/>
        </w:rPr>
        <w:t>the same</w:t>
      </w:r>
      <w:r w:rsidRPr="00D67E48">
        <w:rPr>
          <w:rFonts w:cstheme="minorHAnsi"/>
          <w:sz w:val="21"/>
          <w:szCs w:val="21"/>
        </w:rPr>
        <w:t xml:space="preserve"> period</w:t>
      </w:r>
      <w:r>
        <w:rPr>
          <w:rFonts w:cstheme="minorHAnsi"/>
          <w:sz w:val="21"/>
          <w:szCs w:val="21"/>
        </w:rPr>
        <w:t xml:space="preserve"> (representing 24% of intimate partner homicides)</w:t>
      </w:r>
      <w:r w:rsidRPr="00D67E48">
        <w:rPr>
          <w:rFonts w:cstheme="minorHAnsi"/>
          <w:sz w:val="21"/>
          <w:szCs w:val="21"/>
        </w:rPr>
        <w:t xml:space="preserve"> </w:t>
      </w:r>
      <w:r w:rsidRPr="00022830">
        <w:rPr>
          <w:rFonts w:cstheme="minorHAnsi"/>
          <w:sz w:val="16"/>
          <w:szCs w:val="16"/>
        </w:rPr>
        <w:t>(Brichnell, S. (2019). Homicide in Australia 2015/16).</w:t>
      </w:r>
    </w:p>
    <w:p w14:paraId="67278693" w14:textId="77777777" w:rsidR="00676D87" w:rsidRDefault="00676D87" w:rsidP="00676D87">
      <w:pPr>
        <w:spacing w:before="60" w:after="0" w:line="240" w:lineRule="auto"/>
        <w:jc w:val="both"/>
        <w:rPr>
          <w:lang w:val="en-US"/>
        </w:rPr>
      </w:pPr>
      <w:r>
        <w:rPr>
          <w:lang w:val="en-US"/>
        </w:rPr>
        <w:lastRenderedPageBreak/>
        <w:t xml:space="preserve">In 2017/18, there were 33 female victims and 13 male victims of intimate partner homicide. Females therefore represented 71% of the victims in intimate partner homicides, while in the same year, males accounted for 71% of perpetrators of such crimes </w:t>
      </w:r>
      <w:r w:rsidRPr="008C2E65">
        <w:rPr>
          <w:sz w:val="16"/>
          <w:szCs w:val="16"/>
          <w:lang w:val="en-US"/>
        </w:rPr>
        <w:t>(Homicide in Australia 2017/18 Samantha Bricknell, Aus. Institute of Criminology)</w:t>
      </w:r>
    </w:p>
    <w:p w14:paraId="7262A079" w14:textId="77777777" w:rsidR="00676D87" w:rsidRDefault="00676D87" w:rsidP="00676D87">
      <w:pPr>
        <w:spacing w:before="60" w:after="0" w:line="240" w:lineRule="auto"/>
        <w:jc w:val="both"/>
        <w:rPr>
          <w:rFonts w:cstheme="minorHAnsi"/>
          <w:sz w:val="16"/>
          <w:szCs w:val="16"/>
        </w:rPr>
      </w:pPr>
      <w:r w:rsidRPr="00035DDE">
        <w:rPr>
          <w:rFonts w:cstheme="minorHAnsi"/>
          <w:sz w:val="21"/>
          <w:szCs w:val="21"/>
        </w:rPr>
        <w:t xml:space="preserve">4.8% of men and 21.1% of women have experienced sexual coercion, i.e. being forced or frightened into unwanted sexual activity. </w:t>
      </w:r>
      <w:r w:rsidRPr="00035DDE">
        <w:rPr>
          <w:rFonts w:cstheme="minorHAnsi"/>
          <w:sz w:val="16"/>
          <w:szCs w:val="16"/>
        </w:rPr>
        <w:t>(Sex in Australia: experiences of sexual coercion among a representative sample of adults. Australia and New Zealand Journal of Public Health. Vol. 27(2):198-203</w:t>
      </w:r>
      <w:r>
        <w:rPr>
          <w:rFonts w:cstheme="minorHAnsi"/>
          <w:sz w:val="16"/>
          <w:szCs w:val="16"/>
        </w:rPr>
        <w:t>, 2003</w:t>
      </w:r>
      <w:r w:rsidRPr="00035DDE">
        <w:rPr>
          <w:rFonts w:cstheme="minorHAnsi"/>
          <w:sz w:val="16"/>
          <w:szCs w:val="16"/>
        </w:rPr>
        <w:t>)</w:t>
      </w:r>
      <w:r>
        <w:rPr>
          <w:rFonts w:cstheme="minorHAnsi"/>
          <w:sz w:val="16"/>
          <w:szCs w:val="16"/>
        </w:rPr>
        <w:t>.</w:t>
      </w:r>
    </w:p>
    <w:p w14:paraId="4CB33173" w14:textId="77777777" w:rsidR="00676D87" w:rsidRDefault="00676D87" w:rsidP="00676D87">
      <w:pPr>
        <w:spacing w:before="60" w:after="0" w:line="240" w:lineRule="auto"/>
        <w:jc w:val="both"/>
        <w:rPr>
          <w:rFonts w:cstheme="minorHAnsi"/>
          <w:sz w:val="16"/>
          <w:szCs w:val="16"/>
        </w:rPr>
      </w:pPr>
    </w:p>
    <w:p w14:paraId="117CED69" w14:textId="77777777" w:rsidR="00676D87" w:rsidRPr="0059797D" w:rsidRDefault="00676D87" w:rsidP="00676D87">
      <w:pPr>
        <w:spacing w:before="120" w:after="40" w:line="240" w:lineRule="auto"/>
        <w:jc w:val="both"/>
        <w:rPr>
          <w:rFonts w:cstheme="minorHAnsi"/>
          <w:b/>
          <w:sz w:val="21"/>
          <w:szCs w:val="21"/>
        </w:rPr>
      </w:pPr>
      <w:r>
        <w:rPr>
          <w:rFonts w:cstheme="minorHAnsi"/>
          <w:b/>
          <w:sz w:val="21"/>
          <w:szCs w:val="21"/>
        </w:rPr>
        <w:t>Stalking and perceptions of safety</w:t>
      </w:r>
    </w:p>
    <w:p w14:paraId="00AC8674" w14:textId="77777777" w:rsidR="00676D87" w:rsidRPr="00D67E48" w:rsidRDefault="00676D87" w:rsidP="00676D87">
      <w:pPr>
        <w:spacing w:before="60" w:after="0" w:line="240" w:lineRule="auto"/>
        <w:jc w:val="both"/>
        <w:rPr>
          <w:rFonts w:cstheme="minorHAnsi"/>
          <w:sz w:val="21"/>
          <w:szCs w:val="21"/>
        </w:rPr>
      </w:pPr>
      <w:r w:rsidRPr="00D67E48">
        <w:rPr>
          <w:rFonts w:cstheme="minorHAnsi"/>
          <w:sz w:val="21"/>
          <w:szCs w:val="21"/>
        </w:rPr>
        <w:t xml:space="preserve">In 2016, 3.4% of </w:t>
      </w:r>
      <w:r>
        <w:rPr>
          <w:rFonts w:cstheme="minorHAnsi"/>
          <w:sz w:val="21"/>
          <w:szCs w:val="21"/>
        </w:rPr>
        <w:t>Australian women</w:t>
      </w:r>
      <w:r w:rsidRPr="00D67E48">
        <w:rPr>
          <w:rFonts w:cstheme="minorHAnsi"/>
          <w:sz w:val="21"/>
          <w:szCs w:val="21"/>
        </w:rPr>
        <w:t xml:space="preserve"> had </w:t>
      </w:r>
      <w:r>
        <w:rPr>
          <w:rFonts w:cstheme="minorHAnsi"/>
          <w:sz w:val="21"/>
          <w:szCs w:val="21"/>
        </w:rPr>
        <w:t>been stalked</w:t>
      </w:r>
      <w:r w:rsidRPr="00D67E48">
        <w:rPr>
          <w:rFonts w:cstheme="minorHAnsi"/>
          <w:sz w:val="21"/>
          <w:szCs w:val="21"/>
        </w:rPr>
        <w:t xml:space="preserve"> in the previous 12 months - twice the corresponding proportion of 1.7%</w:t>
      </w:r>
      <w:r>
        <w:rPr>
          <w:rFonts w:cstheme="minorHAnsi"/>
          <w:sz w:val="21"/>
          <w:szCs w:val="21"/>
        </w:rPr>
        <w:t>,</w:t>
      </w:r>
      <w:r w:rsidRPr="00D67E48">
        <w:rPr>
          <w:rFonts w:cstheme="minorHAnsi"/>
          <w:sz w:val="21"/>
          <w:szCs w:val="21"/>
        </w:rPr>
        <w:t xml:space="preserve"> among men </w:t>
      </w:r>
      <w:r w:rsidRPr="00022830">
        <w:rPr>
          <w:rFonts w:cstheme="minorHAnsi"/>
          <w:sz w:val="16"/>
          <w:szCs w:val="16"/>
        </w:rPr>
        <w:t>(Personal Safety, Australia, 2016</w:t>
      </w:r>
      <w:r>
        <w:rPr>
          <w:rFonts w:cstheme="minorHAnsi"/>
          <w:sz w:val="16"/>
          <w:szCs w:val="16"/>
        </w:rPr>
        <w:t>, ABS</w:t>
      </w:r>
      <w:r w:rsidRPr="00022830">
        <w:rPr>
          <w:rFonts w:cstheme="minorHAnsi"/>
          <w:sz w:val="16"/>
          <w:szCs w:val="16"/>
        </w:rPr>
        <w:t>).</w:t>
      </w:r>
    </w:p>
    <w:p w14:paraId="75AEB12E" w14:textId="77777777" w:rsidR="00676D87" w:rsidRPr="003C30F7" w:rsidRDefault="00676D87" w:rsidP="00676D87">
      <w:pPr>
        <w:spacing w:before="60" w:after="0" w:line="240" w:lineRule="auto"/>
        <w:jc w:val="both"/>
        <w:rPr>
          <w:rFonts w:cstheme="minorHAnsi"/>
          <w:sz w:val="16"/>
          <w:szCs w:val="16"/>
        </w:rPr>
      </w:pPr>
      <w:r w:rsidRPr="00D67E48">
        <w:rPr>
          <w:rFonts w:cstheme="minorHAnsi"/>
          <w:sz w:val="21"/>
          <w:szCs w:val="21"/>
        </w:rPr>
        <w:t xml:space="preserve">In 2015, nearly two-thirds (61%) of </w:t>
      </w:r>
      <w:r>
        <w:rPr>
          <w:rFonts w:cstheme="minorHAnsi"/>
          <w:sz w:val="21"/>
          <w:szCs w:val="21"/>
        </w:rPr>
        <w:t xml:space="preserve">Victorian </w:t>
      </w:r>
      <w:r w:rsidRPr="00D67E48">
        <w:rPr>
          <w:rFonts w:cstheme="minorHAnsi"/>
          <w:sz w:val="21"/>
          <w:szCs w:val="21"/>
        </w:rPr>
        <w:t xml:space="preserve">women and about a quarter (26%) of </w:t>
      </w:r>
      <w:r>
        <w:rPr>
          <w:rFonts w:cstheme="minorHAnsi"/>
          <w:sz w:val="21"/>
          <w:szCs w:val="21"/>
        </w:rPr>
        <w:t>men</w:t>
      </w:r>
      <w:r w:rsidRPr="00D67E48">
        <w:rPr>
          <w:rFonts w:cstheme="minorHAnsi"/>
          <w:sz w:val="21"/>
          <w:szCs w:val="21"/>
        </w:rPr>
        <w:t xml:space="preserve"> </w:t>
      </w:r>
      <w:r>
        <w:rPr>
          <w:rFonts w:cstheme="minorHAnsi"/>
          <w:sz w:val="21"/>
          <w:szCs w:val="21"/>
        </w:rPr>
        <w:t xml:space="preserve">reported that they </w:t>
      </w:r>
      <w:r w:rsidRPr="00D67E48">
        <w:rPr>
          <w:rFonts w:cstheme="minorHAnsi"/>
          <w:sz w:val="21"/>
          <w:szCs w:val="21"/>
        </w:rPr>
        <w:t xml:space="preserve">felt unsafe while walking alone at night </w:t>
      </w:r>
      <w:r w:rsidRPr="007734D7">
        <w:rPr>
          <w:rFonts w:cstheme="minorHAnsi"/>
          <w:i/>
          <w:sz w:val="21"/>
          <w:szCs w:val="21"/>
        </w:rPr>
        <w:t>in their neighbourhood</w:t>
      </w:r>
      <w:r w:rsidRPr="00D67E48">
        <w:rPr>
          <w:rFonts w:cstheme="minorHAnsi"/>
          <w:sz w:val="21"/>
          <w:szCs w:val="21"/>
        </w:rPr>
        <w:t xml:space="preserve"> </w:t>
      </w:r>
      <w:r w:rsidRPr="00022830">
        <w:rPr>
          <w:rFonts w:cstheme="minorHAnsi"/>
          <w:sz w:val="16"/>
          <w:szCs w:val="16"/>
        </w:rPr>
        <w:t>(2015 VicHealth Indicators Survey).</w:t>
      </w:r>
      <w:r>
        <w:rPr>
          <w:rFonts w:cstheme="minorHAnsi"/>
          <w:sz w:val="16"/>
          <w:szCs w:val="16"/>
        </w:rPr>
        <w:t xml:space="preserve"> </w:t>
      </w:r>
      <w:r>
        <w:rPr>
          <w:rFonts w:cstheme="minorHAnsi"/>
          <w:sz w:val="21"/>
          <w:szCs w:val="21"/>
        </w:rPr>
        <w:t>Moreover</w:t>
      </w:r>
      <w:r w:rsidRPr="000621B9">
        <w:rPr>
          <w:rFonts w:cstheme="minorHAnsi"/>
          <w:sz w:val="21"/>
          <w:szCs w:val="21"/>
        </w:rPr>
        <w:t xml:space="preserve">, women are </w:t>
      </w:r>
      <w:r>
        <w:rPr>
          <w:rFonts w:cstheme="minorHAnsi"/>
          <w:sz w:val="21"/>
          <w:szCs w:val="21"/>
        </w:rPr>
        <w:t>nearly</w:t>
      </w:r>
      <w:r w:rsidRPr="000621B9">
        <w:rPr>
          <w:rFonts w:cstheme="minorHAnsi"/>
          <w:sz w:val="21"/>
          <w:szCs w:val="21"/>
        </w:rPr>
        <w:t xml:space="preserve"> five times more likely to feel unsafe </w:t>
      </w:r>
      <w:r w:rsidRPr="00C2157A">
        <w:rPr>
          <w:rFonts w:cstheme="minorHAnsi"/>
          <w:sz w:val="21"/>
          <w:szCs w:val="21"/>
        </w:rPr>
        <w:t>alone</w:t>
      </w:r>
      <w:r>
        <w:rPr>
          <w:rFonts w:cstheme="minorHAnsi"/>
          <w:sz w:val="21"/>
          <w:szCs w:val="21"/>
        </w:rPr>
        <w:t xml:space="preserve"> </w:t>
      </w:r>
      <w:r w:rsidRPr="000621B9">
        <w:rPr>
          <w:rFonts w:cstheme="minorHAnsi"/>
          <w:sz w:val="21"/>
          <w:szCs w:val="21"/>
        </w:rPr>
        <w:t>at night</w:t>
      </w:r>
      <w:r w:rsidRPr="007734D7">
        <w:rPr>
          <w:rFonts w:cstheme="minorHAnsi"/>
          <w:i/>
          <w:sz w:val="21"/>
          <w:szCs w:val="21"/>
        </w:rPr>
        <w:t xml:space="preserve"> </w:t>
      </w:r>
      <w:r>
        <w:rPr>
          <w:rFonts w:cstheme="minorHAnsi"/>
          <w:i/>
          <w:sz w:val="21"/>
          <w:szCs w:val="21"/>
        </w:rPr>
        <w:t>in their</w:t>
      </w:r>
      <w:r w:rsidRPr="007734D7">
        <w:rPr>
          <w:rFonts w:cstheme="minorHAnsi"/>
          <w:i/>
          <w:sz w:val="21"/>
          <w:szCs w:val="21"/>
        </w:rPr>
        <w:t xml:space="preserve"> home</w:t>
      </w:r>
      <w:r w:rsidRPr="000621B9">
        <w:rPr>
          <w:rFonts w:cstheme="minorHAnsi"/>
          <w:sz w:val="21"/>
          <w:szCs w:val="21"/>
        </w:rPr>
        <w:t xml:space="preserve">, with 10.8% feeling </w:t>
      </w:r>
      <w:r>
        <w:rPr>
          <w:rFonts w:cstheme="minorHAnsi"/>
          <w:sz w:val="21"/>
          <w:szCs w:val="21"/>
        </w:rPr>
        <w:t>un</w:t>
      </w:r>
      <w:r w:rsidRPr="000621B9">
        <w:rPr>
          <w:rFonts w:cstheme="minorHAnsi"/>
          <w:sz w:val="21"/>
          <w:szCs w:val="21"/>
        </w:rPr>
        <w:t>safe under these circumstances, compared with 2.3% of men</w:t>
      </w:r>
      <w:r>
        <w:rPr>
          <w:rFonts w:cstheme="minorHAnsi"/>
          <w:sz w:val="16"/>
          <w:szCs w:val="16"/>
        </w:rPr>
        <w:t xml:space="preserve"> (General Social Survey, 2010, ABS).</w:t>
      </w:r>
    </w:p>
    <w:p w14:paraId="49D035E3" w14:textId="77777777" w:rsidR="00676D87" w:rsidRPr="0059797D" w:rsidRDefault="00676D87" w:rsidP="00676D87">
      <w:pPr>
        <w:spacing w:before="120" w:after="40" w:line="240" w:lineRule="auto"/>
        <w:jc w:val="both"/>
        <w:rPr>
          <w:rFonts w:cstheme="minorHAnsi"/>
          <w:b/>
          <w:sz w:val="21"/>
          <w:szCs w:val="21"/>
        </w:rPr>
      </w:pPr>
      <w:r>
        <w:rPr>
          <w:rFonts w:cstheme="minorHAnsi"/>
          <w:b/>
          <w:sz w:val="21"/>
          <w:szCs w:val="21"/>
        </w:rPr>
        <w:t>Perpetrators of violence</w:t>
      </w:r>
    </w:p>
    <w:p w14:paraId="53B0145D" w14:textId="77777777" w:rsidR="00676D87" w:rsidRPr="00D67E48" w:rsidRDefault="00676D87" w:rsidP="00676D87">
      <w:pPr>
        <w:spacing w:before="60" w:after="0" w:line="240" w:lineRule="auto"/>
        <w:jc w:val="both"/>
        <w:rPr>
          <w:rFonts w:cstheme="minorHAnsi"/>
          <w:sz w:val="21"/>
          <w:szCs w:val="21"/>
        </w:rPr>
      </w:pPr>
      <w:r>
        <w:rPr>
          <w:rFonts w:cstheme="minorHAnsi"/>
          <w:sz w:val="21"/>
          <w:szCs w:val="21"/>
        </w:rPr>
        <w:t>Males are responsible for most violence in Australia</w:t>
      </w:r>
      <w:r w:rsidRPr="00D67E48">
        <w:rPr>
          <w:rFonts w:cstheme="minorHAnsi"/>
          <w:sz w:val="21"/>
          <w:szCs w:val="21"/>
        </w:rPr>
        <w:t>, with 36% of adults report</w:t>
      </w:r>
      <w:r>
        <w:rPr>
          <w:rFonts w:cstheme="minorHAnsi"/>
          <w:sz w:val="21"/>
          <w:szCs w:val="21"/>
        </w:rPr>
        <w:t>ing</w:t>
      </w:r>
      <w:r w:rsidRPr="00D67E48">
        <w:rPr>
          <w:rFonts w:cstheme="minorHAnsi"/>
          <w:sz w:val="21"/>
          <w:szCs w:val="21"/>
        </w:rPr>
        <w:t xml:space="preserve"> that they had</w:t>
      </w:r>
      <w:r>
        <w:rPr>
          <w:rFonts w:cstheme="minorHAnsi"/>
          <w:sz w:val="21"/>
          <w:szCs w:val="21"/>
        </w:rPr>
        <w:t xml:space="preserve"> ever</w:t>
      </w:r>
      <w:r w:rsidRPr="00D67E48">
        <w:rPr>
          <w:rFonts w:cstheme="minorHAnsi"/>
          <w:sz w:val="21"/>
          <w:szCs w:val="21"/>
        </w:rPr>
        <w:t xml:space="preserve"> experienced violence from a male</w:t>
      </w:r>
      <w:r>
        <w:rPr>
          <w:rFonts w:cstheme="minorHAnsi"/>
          <w:sz w:val="21"/>
          <w:szCs w:val="21"/>
        </w:rPr>
        <w:t>,</w:t>
      </w:r>
      <w:r w:rsidRPr="00D67E48">
        <w:rPr>
          <w:rFonts w:cstheme="minorHAnsi"/>
          <w:sz w:val="21"/>
          <w:szCs w:val="21"/>
        </w:rPr>
        <w:t xml:space="preserve"> and 11% by a female </w:t>
      </w:r>
      <w:r w:rsidRPr="00022830">
        <w:rPr>
          <w:rFonts w:cstheme="minorHAnsi"/>
          <w:sz w:val="16"/>
          <w:szCs w:val="16"/>
        </w:rPr>
        <w:t>(2017 Personal Safety Survey, ABS).</w:t>
      </w:r>
    </w:p>
    <w:p w14:paraId="250A17E4" w14:textId="77777777" w:rsidR="00676D87" w:rsidRPr="00022830" w:rsidRDefault="00676D87" w:rsidP="00676D87">
      <w:pPr>
        <w:spacing w:before="60" w:after="0" w:line="240" w:lineRule="auto"/>
        <w:jc w:val="both"/>
        <w:rPr>
          <w:rFonts w:cstheme="minorHAnsi"/>
          <w:sz w:val="16"/>
          <w:szCs w:val="16"/>
        </w:rPr>
      </w:pPr>
      <w:r w:rsidRPr="00D67E48">
        <w:rPr>
          <w:rFonts w:cstheme="minorHAnsi"/>
          <w:sz w:val="21"/>
          <w:szCs w:val="21"/>
        </w:rPr>
        <w:t xml:space="preserve">In the year ending September 2019 in Victoria, males accounted for </w:t>
      </w:r>
      <w:r>
        <w:rPr>
          <w:rFonts w:cstheme="minorHAnsi"/>
          <w:sz w:val="21"/>
          <w:szCs w:val="21"/>
        </w:rPr>
        <w:t>78</w:t>
      </w:r>
      <w:r w:rsidRPr="00D67E48">
        <w:rPr>
          <w:rFonts w:cstheme="minorHAnsi"/>
          <w:sz w:val="21"/>
          <w:szCs w:val="21"/>
        </w:rPr>
        <w:t xml:space="preserve">% of offenders recorded by Victoria Police </w:t>
      </w:r>
      <w:r w:rsidRPr="00022830">
        <w:rPr>
          <w:rFonts w:cstheme="minorHAnsi"/>
          <w:sz w:val="16"/>
          <w:szCs w:val="16"/>
        </w:rPr>
        <w:t>(Victorian Crime Statistics Agency).</w:t>
      </w:r>
    </w:p>
    <w:p w14:paraId="0F435315" w14:textId="77777777" w:rsidR="00676D87" w:rsidRDefault="00676D87" w:rsidP="00676D87">
      <w:pPr>
        <w:spacing w:before="60" w:after="0" w:line="240" w:lineRule="auto"/>
        <w:jc w:val="both"/>
        <w:rPr>
          <w:lang w:val="en-US"/>
        </w:rPr>
      </w:pPr>
      <w:r w:rsidRPr="00D67E48">
        <w:rPr>
          <w:rFonts w:cstheme="minorHAnsi"/>
          <w:sz w:val="21"/>
          <w:szCs w:val="21"/>
        </w:rPr>
        <w:t>Across Australia in 201</w:t>
      </w:r>
      <w:r>
        <w:rPr>
          <w:rFonts w:cstheme="minorHAnsi"/>
          <w:sz w:val="21"/>
          <w:szCs w:val="21"/>
        </w:rPr>
        <w:t>7</w:t>
      </w:r>
      <w:r w:rsidRPr="00D67E48">
        <w:rPr>
          <w:rFonts w:cstheme="minorHAnsi"/>
          <w:sz w:val="21"/>
          <w:szCs w:val="21"/>
        </w:rPr>
        <w:t>/1</w:t>
      </w:r>
      <w:r>
        <w:rPr>
          <w:rFonts w:cstheme="minorHAnsi"/>
          <w:sz w:val="21"/>
          <w:szCs w:val="21"/>
        </w:rPr>
        <w:t>8</w:t>
      </w:r>
      <w:r w:rsidRPr="00D67E48">
        <w:rPr>
          <w:rFonts w:cstheme="minorHAnsi"/>
          <w:sz w:val="21"/>
          <w:szCs w:val="21"/>
        </w:rPr>
        <w:t xml:space="preserve">, males were </w:t>
      </w:r>
      <w:r>
        <w:rPr>
          <w:rFonts w:cstheme="minorHAnsi"/>
          <w:sz w:val="21"/>
          <w:szCs w:val="21"/>
        </w:rPr>
        <w:t>four</w:t>
      </w:r>
      <w:r w:rsidRPr="00D67E48">
        <w:rPr>
          <w:rFonts w:cstheme="minorHAnsi"/>
          <w:sz w:val="21"/>
          <w:szCs w:val="21"/>
        </w:rPr>
        <w:t xml:space="preserve"> times more likely as women to commit </w:t>
      </w:r>
      <w:r>
        <w:rPr>
          <w:rFonts w:cstheme="minorHAnsi"/>
          <w:sz w:val="21"/>
          <w:szCs w:val="21"/>
        </w:rPr>
        <w:t xml:space="preserve">physical </w:t>
      </w:r>
      <w:r w:rsidRPr="00D67E48">
        <w:rPr>
          <w:rFonts w:cstheme="minorHAnsi"/>
          <w:sz w:val="21"/>
          <w:szCs w:val="21"/>
        </w:rPr>
        <w:t xml:space="preserve">assault, </w:t>
      </w:r>
      <w:r>
        <w:rPr>
          <w:rFonts w:cstheme="minorHAnsi"/>
          <w:sz w:val="21"/>
          <w:szCs w:val="21"/>
        </w:rPr>
        <w:t xml:space="preserve">16 </w:t>
      </w:r>
      <w:r w:rsidRPr="00D67E48">
        <w:rPr>
          <w:rFonts w:cstheme="minorHAnsi"/>
          <w:sz w:val="21"/>
          <w:szCs w:val="21"/>
        </w:rPr>
        <w:t>times more likely to commit sexual assault</w:t>
      </w:r>
      <w:r>
        <w:rPr>
          <w:rFonts w:cstheme="minorHAnsi"/>
          <w:sz w:val="21"/>
          <w:szCs w:val="21"/>
        </w:rPr>
        <w:t xml:space="preserve"> and five</w:t>
      </w:r>
      <w:r w:rsidRPr="00D67E48">
        <w:rPr>
          <w:rFonts w:cstheme="minorHAnsi"/>
          <w:sz w:val="21"/>
          <w:szCs w:val="21"/>
        </w:rPr>
        <w:t xml:space="preserve"> times more likely to commit murder </w:t>
      </w:r>
      <w:r w:rsidRPr="00010086">
        <w:rPr>
          <w:rFonts w:cstheme="minorHAnsi"/>
          <w:sz w:val="16"/>
          <w:szCs w:val="16"/>
        </w:rPr>
        <w:t>(Recorded Crime – Offenders, 2017–18 Australian Bureau of Statistics</w:t>
      </w:r>
      <w:r w:rsidRPr="007738DE">
        <w:rPr>
          <w:rFonts w:cstheme="minorHAnsi"/>
          <w:sz w:val="21"/>
          <w:szCs w:val="21"/>
        </w:rPr>
        <w:t>), and four times more likely to sexually harass work colleagues (79% vs. 21%)</w:t>
      </w:r>
      <w:r>
        <w:rPr>
          <w:rFonts w:cstheme="minorHAnsi"/>
          <w:sz w:val="16"/>
          <w:szCs w:val="16"/>
        </w:rPr>
        <w:t xml:space="preserve"> (Australian Human Rights Commission National Survey 2018)</w:t>
      </w:r>
      <w:r>
        <w:rPr>
          <w:rFonts w:cstheme="minorHAnsi"/>
          <w:sz w:val="21"/>
          <w:szCs w:val="21"/>
        </w:rPr>
        <w:t xml:space="preserve">. In addition, </w:t>
      </w:r>
      <w:r>
        <w:rPr>
          <w:lang w:val="en-US"/>
        </w:rPr>
        <w:t>men accounted for 84 percent (n=178) of identified homicide offenders in 2017/18.</w:t>
      </w:r>
    </w:p>
    <w:p w14:paraId="24D70A86" w14:textId="77777777" w:rsidR="00676D87" w:rsidRDefault="00676D87" w:rsidP="00676D87">
      <w:pPr>
        <w:spacing w:before="60" w:after="0" w:line="240" w:lineRule="auto"/>
        <w:jc w:val="both"/>
        <w:rPr>
          <w:rFonts w:cstheme="minorHAnsi"/>
          <w:sz w:val="16"/>
          <w:szCs w:val="16"/>
        </w:rPr>
      </w:pPr>
      <w:r w:rsidRPr="00D67E48">
        <w:rPr>
          <w:rFonts w:cstheme="minorHAnsi"/>
          <w:sz w:val="21"/>
          <w:szCs w:val="21"/>
        </w:rPr>
        <w:t>In 201</w:t>
      </w:r>
      <w:r>
        <w:rPr>
          <w:rFonts w:cstheme="minorHAnsi"/>
          <w:sz w:val="21"/>
          <w:szCs w:val="21"/>
        </w:rPr>
        <w:t>9</w:t>
      </w:r>
      <w:r w:rsidRPr="00D67E48">
        <w:rPr>
          <w:rFonts w:cstheme="minorHAnsi"/>
          <w:sz w:val="21"/>
          <w:szCs w:val="21"/>
        </w:rPr>
        <w:t>, 9</w:t>
      </w:r>
      <w:r>
        <w:rPr>
          <w:rFonts w:cstheme="minorHAnsi"/>
          <w:sz w:val="21"/>
          <w:szCs w:val="21"/>
        </w:rPr>
        <w:t>3</w:t>
      </w:r>
      <w:r w:rsidRPr="00D67E48">
        <w:rPr>
          <w:rFonts w:cstheme="minorHAnsi"/>
          <w:sz w:val="21"/>
          <w:szCs w:val="21"/>
        </w:rPr>
        <w:t xml:space="preserve">% of </w:t>
      </w:r>
      <w:r>
        <w:rPr>
          <w:rFonts w:cstheme="minorHAnsi"/>
          <w:sz w:val="21"/>
          <w:szCs w:val="21"/>
        </w:rPr>
        <w:t xml:space="preserve">Victorian </w:t>
      </w:r>
      <w:r w:rsidRPr="00D67E48">
        <w:rPr>
          <w:rFonts w:cstheme="minorHAnsi"/>
          <w:sz w:val="21"/>
          <w:szCs w:val="21"/>
        </w:rPr>
        <w:t>prisoners</w:t>
      </w:r>
      <w:r>
        <w:rPr>
          <w:rFonts w:cstheme="minorHAnsi"/>
          <w:sz w:val="21"/>
          <w:szCs w:val="21"/>
        </w:rPr>
        <w:t xml:space="preserve"> were males and 7% female</w:t>
      </w:r>
      <w:r w:rsidRPr="00D67E48">
        <w:rPr>
          <w:rFonts w:cstheme="minorHAnsi"/>
          <w:sz w:val="21"/>
          <w:szCs w:val="21"/>
        </w:rPr>
        <w:t xml:space="preserve"> </w:t>
      </w:r>
      <w:r w:rsidRPr="00022830">
        <w:rPr>
          <w:rFonts w:cstheme="minorHAnsi"/>
          <w:sz w:val="16"/>
          <w:szCs w:val="16"/>
        </w:rPr>
        <w:t>(</w:t>
      </w:r>
      <w:r w:rsidRPr="00C225F1">
        <w:rPr>
          <w:rFonts w:cstheme="minorHAnsi"/>
          <w:sz w:val="16"/>
          <w:szCs w:val="16"/>
        </w:rPr>
        <w:t>Annual Prisoner Statistical Profile</w:t>
      </w:r>
      <w:r>
        <w:rPr>
          <w:rFonts w:cstheme="minorHAnsi"/>
          <w:sz w:val="16"/>
          <w:szCs w:val="16"/>
        </w:rPr>
        <w:t>,</w:t>
      </w:r>
      <w:r w:rsidRPr="00C225F1">
        <w:rPr>
          <w:rFonts w:cstheme="minorHAnsi"/>
          <w:sz w:val="16"/>
          <w:szCs w:val="16"/>
        </w:rPr>
        <w:t xml:space="preserve"> 2006-07 to 2018-19</w:t>
      </w:r>
      <w:r>
        <w:rPr>
          <w:rFonts w:cstheme="minorHAnsi"/>
          <w:sz w:val="16"/>
          <w:szCs w:val="16"/>
        </w:rPr>
        <w:t>. Vic. Dep Corrections</w:t>
      </w:r>
      <w:r w:rsidRPr="00022830">
        <w:rPr>
          <w:rFonts w:cstheme="minorHAnsi"/>
          <w:sz w:val="16"/>
          <w:szCs w:val="16"/>
        </w:rPr>
        <w:t>).</w:t>
      </w:r>
    </w:p>
    <w:p w14:paraId="68BB6B81" w14:textId="77777777" w:rsidR="00676D87" w:rsidRPr="0059797D" w:rsidRDefault="00676D87" w:rsidP="00676D87">
      <w:pPr>
        <w:spacing w:before="120" w:after="40" w:line="240" w:lineRule="auto"/>
        <w:jc w:val="both"/>
        <w:rPr>
          <w:rFonts w:cstheme="minorHAnsi"/>
          <w:b/>
          <w:sz w:val="21"/>
          <w:szCs w:val="21"/>
        </w:rPr>
      </w:pPr>
      <w:r>
        <w:rPr>
          <w:rFonts w:cstheme="minorHAnsi"/>
          <w:b/>
          <w:sz w:val="21"/>
          <w:szCs w:val="21"/>
        </w:rPr>
        <w:t>Elder Abuse</w:t>
      </w:r>
    </w:p>
    <w:p w14:paraId="79180FDF" w14:textId="77777777" w:rsidR="00676D87" w:rsidRPr="004B6682" w:rsidRDefault="00676D87" w:rsidP="00676D87">
      <w:pPr>
        <w:spacing w:before="60" w:after="0"/>
        <w:rPr>
          <w:color w:val="000000" w:themeColor="text1"/>
        </w:rPr>
      </w:pPr>
      <w:r w:rsidRPr="004B6682">
        <w:rPr>
          <w:color w:val="000000" w:themeColor="text1"/>
        </w:rPr>
        <w:t>72% of 2,385 calls to the S</w:t>
      </w:r>
      <w:bookmarkStart w:id="1" w:name="_GoBack"/>
      <w:bookmarkEnd w:id="1"/>
      <w:r w:rsidRPr="004B6682">
        <w:rPr>
          <w:color w:val="000000" w:themeColor="text1"/>
        </w:rPr>
        <w:t xml:space="preserve">eniors Rights Victoria state-wide helpline were by women and 28% men. </w:t>
      </w:r>
    </w:p>
    <w:p w14:paraId="2B25E050" w14:textId="77777777" w:rsidR="00676D87" w:rsidRPr="004B6682" w:rsidRDefault="00676D87" w:rsidP="00676D87">
      <w:pPr>
        <w:spacing w:before="60" w:after="0"/>
      </w:pPr>
      <w:r w:rsidRPr="004B6682">
        <w:t xml:space="preserve">54% of perpetrators were men and 46% women </w:t>
      </w:r>
      <w:r>
        <w:t xml:space="preserve"> </w:t>
      </w:r>
      <w:r w:rsidRPr="004B6682">
        <w:rPr>
          <w:color w:val="000000" w:themeColor="text1"/>
          <w:sz w:val="16"/>
          <w:szCs w:val="16"/>
        </w:rPr>
        <w:t>(Jooston, M., Cartalla, P., Feldman, P. Brijanth, B., Dow, B. (2020). Seven Years of Elder Abuse Data in Victoria. National Ageing Research Institute)</w:t>
      </w:r>
    </w:p>
    <w:p w14:paraId="671B321B" w14:textId="77777777" w:rsidR="00676D87" w:rsidRPr="0047477B" w:rsidRDefault="00676D87" w:rsidP="00676D87">
      <w:pPr>
        <w:spacing w:before="240" w:after="0" w:line="240" w:lineRule="auto"/>
        <w:jc w:val="both"/>
        <w:rPr>
          <w:rFonts w:cstheme="minorHAnsi"/>
          <w:b/>
          <w:color w:val="1F3864" w:themeColor="accent1" w:themeShade="80"/>
          <w:sz w:val="24"/>
          <w:szCs w:val="24"/>
        </w:rPr>
      </w:pPr>
      <w:r>
        <w:rPr>
          <w:rFonts w:cstheme="minorHAnsi"/>
          <w:b/>
          <w:noProof/>
          <w:color w:val="1F3864" w:themeColor="accent1" w:themeShade="80"/>
          <w:sz w:val="24"/>
          <w:szCs w:val="24"/>
        </w:rPr>
        <w:drawing>
          <wp:inline distT="0" distB="0" distL="0" distR="0" wp14:anchorId="5545F688" wp14:editId="780F9C9D">
            <wp:extent cx="396000" cy="396000"/>
            <wp:effectExtent l="0" t="0" r="4445" b="4445"/>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ommunity Ethnic 17.jpg"/>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396000" cy="396000"/>
                    </a:xfrm>
                    <a:prstGeom prst="rect">
                      <a:avLst/>
                    </a:prstGeom>
                  </pic:spPr>
                </pic:pic>
              </a:graphicData>
            </a:graphic>
          </wp:inline>
        </w:drawing>
      </w:r>
      <w:r>
        <w:rPr>
          <w:rFonts w:cstheme="minorHAnsi"/>
          <w:b/>
          <w:color w:val="1F3864" w:themeColor="accent1" w:themeShade="80"/>
          <w:sz w:val="24"/>
          <w:szCs w:val="24"/>
        </w:rPr>
        <w:t>International Conditions</w:t>
      </w:r>
    </w:p>
    <w:p w14:paraId="195E15DF" w14:textId="77777777" w:rsidR="00676D87" w:rsidRPr="00FC4ABE" w:rsidRDefault="00676D87" w:rsidP="00676D87">
      <w:pPr>
        <w:spacing w:before="60" w:after="0" w:line="240" w:lineRule="auto"/>
        <w:jc w:val="both"/>
        <w:rPr>
          <w:rFonts w:cstheme="minorHAnsi"/>
          <w:sz w:val="21"/>
          <w:szCs w:val="21"/>
        </w:rPr>
      </w:pPr>
      <w:r w:rsidRPr="00FC4ABE">
        <w:rPr>
          <w:rFonts w:cstheme="minorHAnsi"/>
          <w:sz w:val="21"/>
          <w:szCs w:val="21"/>
        </w:rPr>
        <w:t>Girls in the developing world are less likely to go to school or receive adequate food or health care, and more likely to die in their early adulthood, be forced to marry in their childhood, and experience sexual and domestic violence</w:t>
      </w:r>
      <w:r>
        <w:rPr>
          <w:rFonts w:cstheme="minorHAnsi"/>
          <w:sz w:val="21"/>
          <w:szCs w:val="21"/>
        </w:rPr>
        <w:t xml:space="preserve"> </w:t>
      </w:r>
      <w:r w:rsidRPr="00FC4ABE">
        <w:rPr>
          <w:rFonts w:cstheme="minorHAnsi"/>
          <w:sz w:val="16"/>
          <w:szCs w:val="16"/>
        </w:rPr>
        <w:t>(Various sources)</w:t>
      </w:r>
      <w:r>
        <w:rPr>
          <w:rFonts w:cstheme="minorHAnsi"/>
          <w:sz w:val="16"/>
          <w:szCs w:val="16"/>
        </w:rPr>
        <w:t>.</w:t>
      </w:r>
    </w:p>
    <w:p w14:paraId="4979BA3E" w14:textId="77777777" w:rsidR="00676D87" w:rsidRPr="00FC4ABE" w:rsidRDefault="00676D87" w:rsidP="00676D87">
      <w:pPr>
        <w:spacing w:before="60" w:after="0" w:line="240" w:lineRule="auto"/>
        <w:jc w:val="both"/>
        <w:rPr>
          <w:rFonts w:cstheme="minorHAnsi"/>
          <w:color w:val="000000" w:themeColor="text1"/>
          <w:sz w:val="16"/>
          <w:szCs w:val="16"/>
        </w:rPr>
      </w:pPr>
      <w:r w:rsidRPr="00FC4ABE">
        <w:rPr>
          <w:rFonts w:cstheme="minorHAnsi"/>
          <w:sz w:val="21"/>
          <w:szCs w:val="21"/>
        </w:rPr>
        <w:t>Genital mutilation is practised in 28 countries of the world, with an estimated 140 million women having endured this procedure</w:t>
      </w:r>
      <w:r>
        <w:rPr>
          <w:rFonts w:cstheme="minorHAnsi"/>
          <w:sz w:val="21"/>
          <w:szCs w:val="21"/>
        </w:rPr>
        <w:t xml:space="preserve"> </w:t>
      </w:r>
      <w:r w:rsidRPr="00FC4ABE">
        <w:rPr>
          <w:rFonts w:cstheme="minorHAnsi"/>
          <w:sz w:val="16"/>
          <w:szCs w:val="16"/>
        </w:rPr>
        <w:t>(</w:t>
      </w:r>
      <w:r w:rsidRPr="00FC4ABE">
        <w:rPr>
          <w:rFonts w:cstheme="minorHAnsi"/>
          <w:color w:val="000000" w:themeColor="text1"/>
          <w:sz w:val="16"/>
          <w:szCs w:val="16"/>
        </w:rPr>
        <w:t>Female Genital Mutilation, WHO, Sexual and Reproductive Health)</w:t>
      </w:r>
      <w:r>
        <w:rPr>
          <w:rFonts w:cstheme="minorHAnsi"/>
          <w:color w:val="000000" w:themeColor="text1"/>
          <w:sz w:val="16"/>
          <w:szCs w:val="16"/>
        </w:rPr>
        <w:t>.</w:t>
      </w:r>
    </w:p>
    <w:p w14:paraId="5DEAB922" w14:textId="77777777" w:rsidR="00676D87" w:rsidRPr="00FC4ABE" w:rsidRDefault="00676D87" w:rsidP="00676D87">
      <w:pPr>
        <w:spacing w:before="60" w:after="0" w:line="240" w:lineRule="auto"/>
        <w:jc w:val="both"/>
        <w:rPr>
          <w:rFonts w:cstheme="minorHAnsi"/>
          <w:sz w:val="21"/>
          <w:szCs w:val="21"/>
        </w:rPr>
      </w:pPr>
      <w:r w:rsidRPr="00FC4ABE">
        <w:rPr>
          <w:rFonts w:cstheme="minorHAnsi"/>
          <w:sz w:val="21"/>
          <w:szCs w:val="21"/>
        </w:rPr>
        <w:t xml:space="preserve">In many developing countries, boys are valued more than girls. In one nation alone, an estimated 39 million and girls are “missing” due to infanticide and sex-selective abortions </w:t>
      </w:r>
      <w:r w:rsidRPr="00FC4ABE">
        <w:rPr>
          <w:rFonts w:cstheme="minorHAnsi"/>
          <w:sz w:val="16"/>
          <w:szCs w:val="16"/>
        </w:rPr>
        <w:t xml:space="preserve">(United Nations, </w:t>
      </w:r>
      <w:r w:rsidRPr="00FC4ABE">
        <w:rPr>
          <w:sz w:val="16"/>
          <w:szCs w:val="16"/>
        </w:rPr>
        <w:t>Report of the International Workshop on Skewed Sex Ratios at Birth, 2011)</w:t>
      </w:r>
      <w:r>
        <w:rPr>
          <w:sz w:val="16"/>
          <w:szCs w:val="16"/>
        </w:rPr>
        <w:t>.</w:t>
      </w:r>
    </w:p>
    <w:p w14:paraId="10CD3AAD" w14:textId="77777777" w:rsidR="00676D87" w:rsidRPr="00FC4ABE" w:rsidRDefault="00676D87" w:rsidP="00676D87">
      <w:pPr>
        <w:spacing w:before="60" w:after="0" w:line="240" w:lineRule="auto"/>
        <w:jc w:val="both"/>
        <w:rPr>
          <w:rFonts w:cstheme="minorHAnsi"/>
          <w:sz w:val="21"/>
          <w:szCs w:val="21"/>
        </w:rPr>
      </w:pPr>
      <w:r w:rsidRPr="00FC4ABE">
        <w:rPr>
          <w:rFonts w:cstheme="minorHAnsi"/>
          <w:sz w:val="21"/>
          <w:szCs w:val="21"/>
        </w:rPr>
        <w:t>Women perform 66% of the world’s work but receive only 11% of its income and own 1% of all land</w:t>
      </w:r>
      <w:r>
        <w:rPr>
          <w:rFonts w:cstheme="minorHAnsi"/>
          <w:sz w:val="21"/>
          <w:szCs w:val="21"/>
        </w:rPr>
        <w:t xml:space="preserve"> </w:t>
      </w:r>
      <w:r w:rsidRPr="00BC69ED">
        <w:rPr>
          <w:rFonts w:cstheme="minorHAnsi"/>
          <w:sz w:val="16"/>
          <w:szCs w:val="16"/>
        </w:rPr>
        <w:t>(Various sources)</w:t>
      </w:r>
      <w:r>
        <w:rPr>
          <w:rFonts w:cstheme="minorHAnsi"/>
          <w:sz w:val="16"/>
          <w:szCs w:val="16"/>
        </w:rPr>
        <w:t>.</w:t>
      </w:r>
    </w:p>
    <w:p w14:paraId="2C50B2D9" w14:textId="77777777" w:rsidR="00676D87" w:rsidRPr="004B6682" w:rsidRDefault="00676D87" w:rsidP="00676D87">
      <w:pPr>
        <w:spacing w:before="60" w:after="0" w:line="240" w:lineRule="auto"/>
        <w:jc w:val="both"/>
        <w:rPr>
          <w:rFonts w:cstheme="minorHAnsi"/>
          <w:sz w:val="21"/>
          <w:szCs w:val="21"/>
        </w:rPr>
      </w:pPr>
      <w:r w:rsidRPr="00FC4ABE">
        <w:rPr>
          <w:rFonts w:cstheme="minorHAnsi"/>
          <w:sz w:val="21"/>
          <w:szCs w:val="21"/>
        </w:rPr>
        <w:t>As former UN Secretary-General Kofi Anan explains: “No tool for development is more powerful than the empowerment of women.”</w:t>
      </w:r>
      <w:r>
        <w:rPr>
          <w:rFonts w:cstheme="minorHAnsi"/>
          <w:sz w:val="21"/>
          <w:szCs w:val="21"/>
        </w:rPr>
        <w:t xml:space="preserve"> </w:t>
      </w:r>
      <w:r w:rsidRPr="00FC4ABE">
        <w:rPr>
          <w:rFonts w:cstheme="minorHAnsi"/>
          <w:sz w:val="16"/>
          <w:szCs w:val="16"/>
        </w:rPr>
        <w:t>(United Nations, Women’s Commission, 2005)</w:t>
      </w:r>
      <w:r>
        <w:rPr>
          <w:rFonts w:cstheme="minorHAnsi"/>
          <w:sz w:val="16"/>
          <w:szCs w:val="16"/>
        </w:rPr>
        <w:t>.</w:t>
      </w:r>
    </w:p>
    <w:p w14:paraId="60FD48A6" w14:textId="0ADFC475" w:rsidR="00FC4ABE" w:rsidRPr="00676D87" w:rsidRDefault="00FC4ABE" w:rsidP="00676D87"/>
    <w:sectPr w:rsidR="00FC4ABE" w:rsidRPr="00676D87" w:rsidSect="008429F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F1"/>
    <w:rsid w:val="00000166"/>
    <w:rsid w:val="00010086"/>
    <w:rsid w:val="00022830"/>
    <w:rsid w:val="00035DDE"/>
    <w:rsid w:val="00057F89"/>
    <w:rsid w:val="000621B9"/>
    <w:rsid w:val="00065575"/>
    <w:rsid w:val="00066256"/>
    <w:rsid w:val="0007493D"/>
    <w:rsid w:val="00077CD0"/>
    <w:rsid w:val="000823CD"/>
    <w:rsid w:val="00096E30"/>
    <w:rsid w:val="000B340B"/>
    <w:rsid w:val="000C6EA9"/>
    <w:rsid w:val="00110EDC"/>
    <w:rsid w:val="00134F41"/>
    <w:rsid w:val="001506AD"/>
    <w:rsid w:val="00157E48"/>
    <w:rsid w:val="00171531"/>
    <w:rsid w:val="001820B8"/>
    <w:rsid w:val="001A176E"/>
    <w:rsid w:val="001D3F82"/>
    <w:rsid w:val="002109D8"/>
    <w:rsid w:val="00223E99"/>
    <w:rsid w:val="00241A1E"/>
    <w:rsid w:val="00270CF1"/>
    <w:rsid w:val="00282BB5"/>
    <w:rsid w:val="00317AE2"/>
    <w:rsid w:val="0037560B"/>
    <w:rsid w:val="003A5322"/>
    <w:rsid w:val="003A7088"/>
    <w:rsid w:val="004064D3"/>
    <w:rsid w:val="0047477B"/>
    <w:rsid w:val="00483464"/>
    <w:rsid w:val="00491E6A"/>
    <w:rsid w:val="004C0F50"/>
    <w:rsid w:val="004D0DAC"/>
    <w:rsid w:val="004D1096"/>
    <w:rsid w:val="004F52F1"/>
    <w:rsid w:val="00521C59"/>
    <w:rsid w:val="00557EB6"/>
    <w:rsid w:val="0057196D"/>
    <w:rsid w:val="00581763"/>
    <w:rsid w:val="0059797D"/>
    <w:rsid w:val="005D557B"/>
    <w:rsid w:val="005F323B"/>
    <w:rsid w:val="00624EA7"/>
    <w:rsid w:val="0063436D"/>
    <w:rsid w:val="0067057D"/>
    <w:rsid w:val="00676D87"/>
    <w:rsid w:val="006B4233"/>
    <w:rsid w:val="006D101C"/>
    <w:rsid w:val="006E3E32"/>
    <w:rsid w:val="0070238A"/>
    <w:rsid w:val="007307BA"/>
    <w:rsid w:val="00755982"/>
    <w:rsid w:val="007734D7"/>
    <w:rsid w:val="007738DE"/>
    <w:rsid w:val="0078321A"/>
    <w:rsid w:val="00794358"/>
    <w:rsid w:val="007B0895"/>
    <w:rsid w:val="007B1787"/>
    <w:rsid w:val="007E3EC2"/>
    <w:rsid w:val="008029C7"/>
    <w:rsid w:val="00812D19"/>
    <w:rsid w:val="00831B29"/>
    <w:rsid w:val="00836886"/>
    <w:rsid w:val="00841E46"/>
    <w:rsid w:val="008429F1"/>
    <w:rsid w:val="008A4963"/>
    <w:rsid w:val="008B77B5"/>
    <w:rsid w:val="008D398D"/>
    <w:rsid w:val="008D5E90"/>
    <w:rsid w:val="008F3A33"/>
    <w:rsid w:val="009070BF"/>
    <w:rsid w:val="009227E0"/>
    <w:rsid w:val="00952A51"/>
    <w:rsid w:val="009559CA"/>
    <w:rsid w:val="00964FA2"/>
    <w:rsid w:val="009D5B03"/>
    <w:rsid w:val="009D62DE"/>
    <w:rsid w:val="00A21F27"/>
    <w:rsid w:val="00A703D6"/>
    <w:rsid w:val="00A949EE"/>
    <w:rsid w:val="00AC1B72"/>
    <w:rsid w:val="00AD1928"/>
    <w:rsid w:val="00AD7676"/>
    <w:rsid w:val="00B27BBD"/>
    <w:rsid w:val="00B47A62"/>
    <w:rsid w:val="00B66C65"/>
    <w:rsid w:val="00B81202"/>
    <w:rsid w:val="00BA1321"/>
    <w:rsid w:val="00BA4401"/>
    <w:rsid w:val="00BC69ED"/>
    <w:rsid w:val="00BF2798"/>
    <w:rsid w:val="00BF3305"/>
    <w:rsid w:val="00C008A4"/>
    <w:rsid w:val="00C2157A"/>
    <w:rsid w:val="00C37C8B"/>
    <w:rsid w:val="00C66A5B"/>
    <w:rsid w:val="00C80CEA"/>
    <w:rsid w:val="00C8250D"/>
    <w:rsid w:val="00C93601"/>
    <w:rsid w:val="00C93909"/>
    <w:rsid w:val="00CB4251"/>
    <w:rsid w:val="00CE5F86"/>
    <w:rsid w:val="00D556A7"/>
    <w:rsid w:val="00D67E48"/>
    <w:rsid w:val="00DB4283"/>
    <w:rsid w:val="00DC24F0"/>
    <w:rsid w:val="00DC37FE"/>
    <w:rsid w:val="00E0238E"/>
    <w:rsid w:val="00E0513F"/>
    <w:rsid w:val="00E11EDC"/>
    <w:rsid w:val="00E739EB"/>
    <w:rsid w:val="00E801EB"/>
    <w:rsid w:val="00EB244E"/>
    <w:rsid w:val="00EB2E48"/>
    <w:rsid w:val="00ED278A"/>
    <w:rsid w:val="00EE03B4"/>
    <w:rsid w:val="00F164DD"/>
    <w:rsid w:val="00F22469"/>
    <w:rsid w:val="00F32144"/>
    <w:rsid w:val="00F651B2"/>
    <w:rsid w:val="00F76838"/>
    <w:rsid w:val="00F76CBD"/>
    <w:rsid w:val="00FC4ABE"/>
    <w:rsid w:val="00FD754C"/>
    <w:rsid w:val="00FF6C99"/>
    <w:rsid w:val="00FF7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F7B2"/>
  <w15:chartTrackingRefBased/>
  <w15:docId w15:val="{D6B541EA-0EF0-4D5D-B465-0D07B496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6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83"/>
    <w:rPr>
      <w:rFonts w:ascii="Segoe UI" w:hAnsi="Segoe UI" w:cs="Segoe UI"/>
      <w:sz w:val="18"/>
      <w:szCs w:val="18"/>
    </w:rPr>
  </w:style>
  <w:style w:type="character" w:styleId="Emphasis">
    <w:name w:val="Emphasis"/>
    <w:basedOn w:val="DefaultParagraphFont"/>
    <w:uiPriority w:val="20"/>
    <w:qFormat/>
    <w:rsid w:val="005F3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36825">
      <w:bodyDiv w:val="1"/>
      <w:marLeft w:val="0"/>
      <w:marRight w:val="0"/>
      <w:marTop w:val="0"/>
      <w:marBottom w:val="0"/>
      <w:divBdr>
        <w:top w:val="none" w:sz="0" w:space="0" w:color="auto"/>
        <w:left w:val="none" w:sz="0" w:space="0" w:color="auto"/>
        <w:bottom w:val="none" w:sz="0" w:space="0" w:color="auto"/>
        <w:right w:val="none" w:sz="0" w:space="0" w:color="auto"/>
      </w:divBdr>
    </w:div>
    <w:div w:id="1317416970">
      <w:bodyDiv w:val="1"/>
      <w:marLeft w:val="0"/>
      <w:marRight w:val="0"/>
      <w:marTop w:val="0"/>
      <w:marBottom w:val="0"/>
      <w:divBdr>
        <w:top w:val="none" w:sz="0" w:space="0" w:color="auto"/>
        <w:left w:val="none" w:sz="0" w:space="0" w:color="auto"/>
        <w:bottom w:val="none" w:sz="0" w:space="0" w:color="auto"/>
        <w:right w:val="none" w:sz="0" w:space="0" w:color="auto"/>
      </w:divBdr>
    </w:div>
    <w:div w:id="1379865177">
      <w:bodyDiv w:val="1"/>
      <w:marLeft w:val="0"/>
      <w:marRight w:val="0"/>
      <w:marTop w:val="0"/>
      <w:marBottom w:val="0"/>
      <w:divBdr>
        <w:top w:val="none" w:sz="0" w:space="0" w:color="auto"/>
        <w:left w:val="none" w:sz="0" w:space="0" w:color="auto"/>
        <w:bottom w:val="none" w:sz="0" w:space="0" w:color="auto"/>
        <w:right w:val="none" w:sz="0" w:space="0" w:color="auto"/>
      </w:divBdr>
    </w:div>
    <w:div w:id="1729915803">
      <w:bodyDiv w:val="1"/>
      <w:marLeft w:val="0"/>
      <w:marRight w:val="0"/>
      <w:marTop w:val="0"/>
      <w:marBottom w:val="0"/>
      <w:divBdr>
        <w:top w:val="none" w:sz="0" w:space="0" w:color="auto"/>
        <w:left w:val="none" w:sz="0" w:space="0" w:color="auto"/>
        <w:bottom w:val="none" w:sz="0" w:space="0" w:color="auto"/>
        <w:right w:val="none" w:sz="0" w:space="0" w:color="auto"/>
      </w:divBdr>
    </w:div>
    <w:div w:id="1821342414">
      <w:bodyDiv w:val="1"/>
      <w:marLeft w:val="0"/>
      <w:marRight w:val="0"/>
      <w:marTop w:val="0"/>
      <w:marBottom w:val="0"/>
      <w:divBdr>
        <w:top w:val="none" w:sz="0" w:space="0" w:color="auto"/>
        <w:left w:val="none" w:sz="0" w:space="0" w:color="auto"/>
        <w:bottom w:val="none" w:sz="0" w:space="0" w:color="auto"/>
        <w:right w:val="none" w:sz="0" w:space="0" w:color="auto"/>
      </w:divBdr>
    </w:div>
    <w:div w:id="19017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image" Target="media/image9.jpeg" Id="rId13" /><Relationship Type="http://schemas.openxmlformats.org/officeDocument/2006/relationships/image" Target="media/image14.jpeg" Id="rId18" /><Relationship Type="http://schemas.openxmlformats.org/officeDocument/2006/relationships/settings" Target="settings.xml" Id="rId3" /><Relationship Type="http://schemas.openxmlformats.org/officeDocument/2006/relationships/image" Target="media/image17.jpeg" Id="rId21" /><Relationship Type="http://schemas.openxmlformats.org/officeDocument/2006/relationships/image" Target="media/image3.jpeg" Id="rId7" /><Relationship Type="http://schemas.openxmlformats.org/officeDocument/2006/relationships/image" Target="media/image8.jpeg" Id="rId12" /><Relationship Type="http://schemas.openxmlformats.org/officeDocument/2006/relationships/image" Target="media/image13.png" Id="rId17" /><Relationship Type="http://schemas.openxmlformats.org/officeDocument/2006/relationships/styles" Target="styles.xml" Id="rId2" /><Relationship Type="http://schemas.openxmlformats.org/officeDocument/2006/relationships/image" Target="media/image12.jpeg" Id="rId16" /><Relationship Type="http://schemas.openxmlformats.org/officeDocument/2006/relationships/image" Target="media/image16.jpeg" Id="rId20" /><Relationship Type="http://schemas.openxmlformats.org/officeDocument/2006/relationships/image" Target="media/image2.jpeg" Id="rId6" /><Relationship Type="http://schemas.openxmlformats.org/officeDocument/2006/relationships/image" Target="media/image7.jpeg" Id="rId11" /><Relationship Type="http://schemas.openxmlformats.org/officeDocument/2006/relationships/image" Target="media/image1.jpeg" Id="rId5" /><Relationship Type="http://schemas.openxmlformats.org/officeDocument/2006/relationships/image" Target="media/image11.jpeg" Id="rId15" /><Relationship Type="http://schemas.openxmlformats.org/officeDocument/2006/relationships/theme" Target="theme/theme1.xml" Id="rId23" /><Relationship Type="http://schemas.openxmlformats.org/officeDocument/2006/relationships/image" Target="media/image6.jpeg" Id="rId10" /><Relationship Type="http://schemas.openxmlformats.org/officeDocument/2006/relationships/image" Target="media/image15.jpg" Id="rId19" /><Relationship Type="http://schemas.openxmlformats.org/officeDocument/2006/relationships/webSettings" Target="webSettings.xml" Id="rId4" /><Relationship Type="http://schemas.openxmlformats.org/officeDocument/2006/relationships/image" Target="media/image5.jpg" Id="rId9" /><Relationship Type="http://schemas.openxmlformats.org/officeDocument/2006/relationships/image" Target="media/image10.png" Id="rId14" /><Relationship Type="http://schemas.openxmlformats.org/officeDocument/2006/relationships/fontTable" Target="fontTable.xml" Id="rId22" /><Relationship Type="http://schemas.openxmlformats.org/officeDocument/2006/relationships/customXml" Target="/customXML/item2.xml" Id="R2772e087f0934b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A6823981</value>
    </field>
    <field name="Objective-Title">
      <value order="0">C Aspects of gender inequity and supporting evidence</value>
    </field>
    <field name="Objective-Description">
      <value order="0"/>
    </field>
    <field name="Objective-CreationStamp">
      <value order="0">2020-09-01T02:18:27Z</value>
    </field>
    <field name="Objective-IsApproved">
      <value order="0">false</value>
    </field>
    <field name="Objective-IsPublished">
      <value order="0">true</value>
    </field>
    <field name="Objective-DatePublished">
      <value order="0">2020-11-25T00:03:36Z</value>
    </field>
    <field name="Objective-ModificationStamp">
      <value order="0">2020-11-25T00:03:36Z</value>
    </field>
    <field name="Objective-Owner">
      <value order="0">Fran McKechnie</value>
    </field>
    <field name="Objective-Path">
      <value order="0">Classified Object:Classified Object:Classified Object:Classified Object:Webpage Stats D Gender</value>
    </field>
    <field name="Objective-Parent">
      <value order="0">Webpage Stats D Gender</value>
    </field>
    <field name="Objective-State">
      <value order="0">Published</value>
    </field>
    <field name="Objective-VersionId">
      <value order="0">vA9185732</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3</cp:revision>
  <cp:lastPrinted>2020-01-06T01:07:00Z</cp:lastPrinted>
  <dcterms:created xsi:type="dcterms:W3CDTF">2020-08-21T00:28:00Z</dcterms:created>
  <dcterms:modified xsi:type="dcterms:W3CDTF">2020-11-24T23:03:00Z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A6823981</vt:lpwstr>
  </property>
  <property fmtid="{D5CDD505-2E9C-101B-9397-08002B2CF9AE}" pid="4" name="Objective-Title">
    <vt:lpwstr>C Aspects of gender inequity and supporting evidence</vt:lpwstr>
  </property>
  <property fmtid="{D5CDD505-2E9C-101B-9397-08002B2CF9AE}" pid="5" name="Objective-Description">
    <vt:lpwstr/>
  </property>
  <property fmtid="{D5CDD505-2E9C-101B-9397-08002B2CF9AE}" pid="6" name="Objective-CreationStamp">
    <vt:filetime>2020-09-01T02:18:27Z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2020-11-25T00:03:36Z</vt:filetime>
  </property>
  <property fmtid="{D5CDD505-2E9C-101B-9397-08002B2CF9AE}" pid="10" name="Objective-ModificationStamp">
    <vt:filetime>2020-11-25T00:03:36Z</vt:filetime>
  </property>
  <property fmtid="{D5CDD505-2E9C-101B-9397-08002B2CF9AE}" pid="11" name="Objective-Owner">
    <vt:lpwstr>Fran McKechnie</vt:lpwstr>
  </property>
  <property fmtid="{D5CDD505-2E9C-101B-9397-08002B2CF9AE}" pid="12" name="Objective-Path">
    <vt:lpwstr>Classified Object:Classified Object:Classified Object:Classified Object:Webpage Stats D Gender</vt:lpwstr>
  </property>
  <property fmtid="{D5CDD505-2E9C-101B-9397-08002B2CF9AE}" pid="13" name="Objective-Parent">
    <vt:lpwstr>Webpage Stats D Gender</vt:lpwstr>
  </property>
  <property fmtid="{D5CDD505-2E9C-101B-9397-08002B2CF9AE}" pid="14" name="Objective-State">
    <vt:lpwstr>Published</vt:lpwstr>
  </property>
  <property fmtid="{D5CDD505-2E9C-101B-9397-08002B2CF9AE}" pid="15" name="Objective-VersionId">
    <vt:lpwstr>vA9185732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qA1096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