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DC641E" w14:textId="77777777" w:rsidR="00C8393D" w:rsidRPr="00915803" w:rsidRDefault="00C8393D" w:rsidP="00C8393D">
      <w:pPr>
        <w:pBdr>
          <w:top w:val="single" w:sz="4" w:space="1" w:color="auto"/>
          <w:bottom w:val="single" w:sz="4" w:space="1" w:color="auto"/>
        </w:pBdr>
        <w:tabs>
          <w:tab w:val="center" w:pos="4678"/>
        </w:tabs>
        <w:jc w:val="center"/>
        <w:rPr>
          <w:rFonts w:ascii="Calibri" w:hAnsi="Calibri"/>
          <w:sz w:val="32"/>
          <w:szCs w:val="32"/>
        </w:rPr>
      </w:pPr>
      <w:r w:rsidRPr="00915803">
        <w:rPr>
          <w:rFonts w:ascii="Calibri" w:hAnsi="Calibri"/>
          <w:noProof/>
          <w:sz w:val="32"/>
          <w:szCs w:val="32"/>
        </w:rPr>
        <w:t>Disability</w:t>
      </w:r>
    </w:p>
    <w:p w14:paraId="27F9A3F9" w14:textId="77777777" w:rsidR="00C8393D" w:rsidRPr="00A3683D" w:rsidRDefault="00C8393D" w:rsidP="00C8393D">
      <w:pPr>
        <w:spacing w:line="360" w:lineRule="auto"/>
      </w:pPr>
    </w:p>
    <w:p w14:paraId="2F144F77" w14:textId="77777777" w:rsidR="00C8393D" w:rsidRDefault="00C8393D" w:rsidP="00C8393D">
      <w:pPr>
        <w:spacing w:line="360" w:lineRule="auto"/>
        <w:jc w:val="both"/>
        <w:rPr>
          <w:noProof/>
          <w:sz w:val="12"/>
          <w:szCs w:val="12"/>
          <w:lang w:eastAsia="en-AU"/>
        </w:rPr>
      </w:pPr>
      <w:r>
        <w:rPr>
          <w:rFonts w:ascii="Calibri" w:hAnsi="Calibri"/>
          <w:sz w:val="22"/>
          <w:szCs w:val="22"/>
        </w:rPr>
        <w:t>The 2016 Census inquired as to whether respondents had a severe or profound disability requiring them to obtain daily assistance with mobility, communication or personal care. Such individuals were considered to have severe or profound disabilities. Within Greater Dandenong, 9,645 residents, or 6.8% of the population, recorded that they had a severe or profound disability. This percentage is slightly higher than the level of 6.0%, recorded ten years earlier in the 2006 Census.</w:t>
      </w:r>
      <w:r w:rsidRPr="00797407">
        <w:rPr>
          <w:noProof/>
          <w:sz w:val="12"/>
          <w:szCs w:val="12"/>
          <w:lang w:eastAsia="en-AU"/>
        </w:rPr>
        <w:t xml:space="preserve"> </w:t>
      </w:r>
    </w:p>
    <w:p w14:paraId="39395110" w14:textId="77777777" w:rsidR="00C8393D" w:rsidRDefault="00C8393D" w:rsidP="00C8393D">
      <w:pPr>
        <w:spacing w:line="360" w:lineRule="auto"/>
        <w:jc w:val="both"/>
        <w:rPr>
          <w:rFonts w:ascii="Calibri" w:hAnsi="Calibri"/>
          <w:sz w:val="22"/>
          <w:szCs w:val="22"/>
        </w:rPr>
      </w:pPr>
      <w:r w:rsidRPr="00627614">
        <w:rPr>
          <w:rFonts w:ascii="Calibri" w:hAnsi="Calibri"/>
          <w:sz w:val="22"/>
          <w:szCs w:val="22"/>
        </w:rPr>
        <w:t xml:space="preserve">Notably, </w:t>
      </w:r>
      <w:r>
        <w:rPr>
          <w:rFonts w:ascii="Calibri" w:hAnsi="Calibri"/>
          <w:sz w:val="22"/>
          <w:szCs w:val="22"/>
        </w:rPr>
        <w:t>the 5.5% of Australians recorded by the 2016 Census as having a disability that required them to obtain daily assistance, represented approximately a third of the 18% of Australians found to have a mild, moderate, severe or profound disability, in the 2015 National Survey of Ageing and Disability (ABS, 2017).</w:t>
      </w:r>
    </w:p>
    <w:p w14:paraId="66E79B91" w14:textId="77777777" w:rsidR="00C8393D" w:rsidRPr="00E27010" w:rsidRDefault="00C8393D" w:rsidP="00C8393D">
      <w:pPr>
        <w:spacing w:line="360" w:lineRule="auto"/>
        <w:jc w:val="both"/>
        <w:rPr>
          <w:rFonts w:ascii="Calibri" w:hAnsi="Calibri"/>
          <w:b/>
          <w:sz w:val="22"/>
          <w:szCs w:val="22"/>
        </w:rPr>
      </w:pPr>
      <w:r w:rsidRPr="00E27010">
        <w:rPr>
          <w:rFonts w:ascii="Calibri" w:hAnsi="Calibri"/>
          <w:b/>
          <w:sz w:val="22"/>
          <w:szCs w:val="22"/>
        </w:rPr>
        <w:t>Overview</w:t>
      </w:r>
    </w:p>
    <w:p w14:paraId="5E47F1D3" w14:textId="77777777" w:rsidR="00C8393D" w:rsidRDefault="00C8393D" w:rsidP="00C8393D">
      <w:pPr>
        <w:spacing w:line="360" w:lineRule="auto"/>
        <w:jc w:val="both"/>
        <w:rPr>
          <w:rFonts w:ascii="Calibri" w:hAnsi="Calibri"/>
          <w:sz w:val="22"/>
          <w:szCs w:val="22"/>
        </w:rPr>
      </w:pPr>
      <w:r>
        <w:rPr>
          <w:rFonts w:ascii="Calibri" w:hAnsi="Calibri"/>
          <w:sz w:val="22"/>
          <w:szCs w:val="22"/>
        </w:rPr>
        <w:t>The table below presents an overview of the number and proportion of severely or profoundly disabled residents in Greater Dandenong, by gender, age, birthplace and type of accommodation.</w:t>
      </w:r>
    </w:p>
    <w:p w14:paraId="091517ED" w14:textId="77777777" w:rsidR="00C8393D" w:rsidRDefault="00C8393D" w:rsidP="00C8393D">
      <w:pPr>
        <w:spacing w:line="360" w:lineRule="auto"/>
        <w:jc w:val="center"/>
        <w:rPr>
          <w:szCs w:val="22"/>
        </w:rPr>
      </w:pPr>
      <w:r w:rsidRPr="006A2F93">
        <w:rPr>
          <w:noProof/>
          <w:lang w:val="en-AU" w:eastAsia="en-AU"/>
        </w:rPr>
        <w:drawing>
          <wp:inline distT="0" distB="0" distL="0" distR="0" wp14:anchorId="41237EC1" wp14:editId="09C293E6">
            <wp:extent cx="5698744" cy="5867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98744" cy="5867400"/>
                    </a:xfrm>
                    <a:prstGeom prst="rect">
                      <a:avLst/>
                    </a:prstGeom>
                    <a:noFill/>
                    <a:ln>
                      <a:noFill/>
                    </a:ln>
                  </pic:spPr>
                </pic:pic>
              </a:graphicData>
            </a:graphic>
          </wp:inline>
        </w:drawing>
      </w:r>
    </w:p>
    <w:p w14:paraId="0943A4A3" w14:textId="77777777" w:rsidR="00C8393D" w:rsidRPr="00094216" w:rsidRDefault="00C8393D" w:rsidP="00C8393D">
      <w:pPr>
        <w:tabs>
          <w:tab w:val="left" w:pos="4536"/>
        </w:tabs>
        <w:spacing w:line="360" w:lineRule="auto"/>
        <w:jc w:val="both"/>
        <w:rPr>
          <w:rFonts w:ascii="Calibri" w:hAnsi="Calibri"/>
          <w:color w:val="7F7F7F"/>
        </w:rPr>
      </w:pPr>
      <w:r>
        <w:rPr>
          <w:rFonts w:ascii="Calibri" w:hAnsi="Calibri"/>
          <w:noProof/>
          <w:sz w:val="22"/>
          <w:szCs w:val="22"/>
          <w:lang w:val="en-AU" w:eastAsia="en-AU"/>
        </w:rPr>
        <w:lastRenderedPageBreak/>
        <w:drawing>
          <wp:anchor distT="0" distB="0" distL="114300" distR="114300" simplePos="0" relativeHeight="251659264" behindDoc="1" locked="0" layoutInCell="1" allowOverlap="1" wp14:anchorId="08B0939C" wp14:editId="791B6BDC">
            <wp:simplePos x="0" y="0"/>
            <wp:positionH relativeFrom="column">
              <wp:posOffset>2175510</wp:posOffset>
            </wp:positionH>
            <wp:positionV relativeFrom="paragraph">
              <wp:posOffset>184785</wp:posOffset>
            </wp:positionV>
            <wp:extent cx="3876675" cy="2838450"/>
            <wp:effectExtent l="0" t="0" r="9525" b="0"/>
            <wp:wrapTight wrapText="bothSides">
              <wp:wrapPolygon edited="0">
                <wp:start x="0" y="0"/>
                <wp:lineTo x="0" y="21455"/>
                <wp:lineTo x="21547" y="21455"/>
                <wp:lineTo x="21547"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76675" cy="2838450"/>
                    </a:xfrm>
                    <a:prstGeom prst="rect">
                      <a:avLst/>
                    </a:prstGeom>
                    <a:noFill/>
                  </pic:spPr>
                </pic:pic>
              </a:graphicData>
            </a:graphic>
            <wp14:sizeRelH relativeFrom="page">
              <wp14:pctWidth>0</wp14:pctWidth>
            </wp14:sizeRelH>
            <wp14:sizeRelV relativeFrom="page">
              <wp14:pctHeight>0</wp14:pctHeight>
            </wp14:sizeRelV>
          </wp:anchor>
        </w:drawing>
      </w:r>
      <w:r w:rsidRPr="00512570">
        <w:rPr>
          <w:rFonts w:ascii="Calibri" w:hAnsi="Calibri"/>
          <w:b/>
          <w:color w:val="000000"/>
          <w:sz w:val="22"/>
          <w:szCs w:val="22"/>
        </w:rPr>
        <w:t>Age</w:t>
      </w:r>
      <w:r>
        <w:rPr>
          <w:rFonts w:ascii="Calibri" w:hAnsi="Calibri"/>
          <w:b/>
          <w:color w:val="000000"/>
          <w:sz w:val="22"/>
          <w:szCs w:val="22"/>
        </w:rPr>
        <w:t xml:space="preserve">                        </w:t>
      </w:r>
      <w:r w:rsidRPr="00094216">
        <w:rPr>
          <w:rFonts w:ascii="Calibri" w:hAnsi="Calibri"/>
          <w:color w:val="7F7F7F"/>
        </w:rPr>
        <w:t>Prevalence of Disability by Age: Greater Dandenong and metropolitan Melbourne, 201</w:t>
      </w:r>
      <w:r>
        <w:rPr>
          <w:rFonts w:ascii="Calibri" w:hAnsi="Calibri"/>
          <w:color w:val="7F7F7F"/>
        </w:rPr>
        <w:t>6</w:t>
      </w:r>
    </w:p>
    <w:p w14:paraId="030FA3E9" w14:textId="77777777" w:rsidR="00C8393D" w:rsidRDefault="00C8393D" w:rsidP="00C8393D">
      <w:pPr>
        <w:spacing w:line="360" w:lineRule="auto"/>
        <w:jc w:val="both"/>
        <w:rPr>
          <w:rFonts w:ascii="Calibri" w:hAnsi="Calibri"/>
          <w:sz w:val="22"/>
          <w:szCs w:val="22"/>
        </w:rPr>
      </w:pPr>
      <w:r>
        <w:rPr>
          <w:rFonts w:ascii="Calibri" w:hAnsi="Calibri"/>
          <w:sz w:val="22"/>
          <w:szCs w:val="22"/>
        </w:rPr>
        <w:t xml:space="preserve">The prevalence of severe or profound disability rises markedly with age, from less than 2% among residents aged up to 24 years, to 4.6% among those aged 25-64, then 13% of those aged 65-69, and 71% of those over 90. </w:t>
      </w:r>
    </w:p>
    <w:p w14:paraId="0A0FD8F2" w14:textId="77777777" w:rsidR="00C8393D" w:rsidRDefault="00C8393D" w:rsidP="00C8393D">
      <w:pPr>
        <w:spacing w:line="360" w:lineRule="auto"/>
        <w:jc w:val="both"/>
        <w:rPr>
          <w:rFonts w:ascii="Calibri" w:hAnsi="Calibri"/>
          <w:sz w:val="22"/>
          <w:szCs w:val="22"/>
        </w:rPr>
      </w:pPr>
    </w:p>
    <w:p w14:paraId="1D027158" w14:textId="77777777" w:rsidR="00C8393D" w:rsidRDefault="00C8393D" w:rsidP="00C8393D">
      <w:pPr>
        <w:spacing w:line="360" w:lineRule="auto"/>
        <w:jc w:val="both"/>
        <w:rPr>
          <w:rFonts w:ascii="Calibri" w:hAnsi="Calibri"/>
          <w:sz w:val="22"/>
          <w:szCs w:val="22"/>
        </w:rPr>
      </w:pPr>
    </w:p>
    <w:p w14:paraId="01C2F4A3" w14:textId="77777777" w:rsidR="00C8393D" w:rsidRDefault="00C8393D" w:rsidP="00C8393D">
      <w:pPr>
        <w:spacing w:line="360" w:lineRule="auto"/>
        <w:jc w:val="both"/>
        <w:rPr>
          <w:rFonts w:ascii="Calibri" w:hAnsi="Calibri"/>
          <w:sz w:val="22"/>
          <w:szCs w:val="22"/>
        </w:rPr>
      </w:pPr>
    </w:p>
    <w:p w14:paraId="2F2FB3DF" w14:textId="77777777" w:rsidR="00C8393D" w:rsidRDefault="00C8393D" w:rsidP="00C8393D">
      <w:pPr>
        <w:spacing w:line="360" w:lineRule="auto"/>
        <w:jc w:val="both"/>
        <w:rPr>
          <w:rFonts w:ascii="Calibri" w:hAnsi="Calibri"/>
          <w:sz w:val="22"/>
          <w:szCs w:val="22"/>
        </w:rPr>
      </w:pPr>
    </w:p>
    <w:p w14:paraId="54143902" w14:textId="77777777" w:rsidR="00C8393D" w:rsidRPr="00512570" w:rsidRDefault="00C8393D" w:rsidP="00C8393D">
      <w:pPr>
        <w:tabs>
          <w:tab w:val="left" w:pos="4536"/>
        </w:tabs>
        <w:jc w:val="both"/>
        <w:rPr>
          <w:rFonts w:ascii="Calibri" w:hAnsi="Calibri"/>
          <w:b/>
          <w:color w:val="7F7F7F"/>
          <w:sz w:val="22"/>
          <w:szCs w:val="22"/>
        </w:rPr>
      </w:pPr>
      <w:r>
        <w:rPr>
          <w:rFonts w:ascii="Calibri" w:hAnsi="Calibri"/>
          <w:b/>
          <w:sz w:val="22"/>
          <w:szCs w:val="22"/>
        </w:rPr>
        <w:tab/>
      </w:r>
      <w:r w:rsidRPr="00094216">
        <w:rPr>
          <w:rFonts w:ascii="Calibri" w:hAnsi="Calibri"/>
          <w:color w:val="7F7F7F"/>
        </w:rPr>
        <w:t>Number of Persons with a Disability, by Gender:</w:t>
      </w:r>
      <w:r w:rsidRPr="00512570">
        <w:rPr>
          <w:rFonts w:ascii="Calibri" w:hAnsi="Calibri"/>
          <w:b/>
          <w:color w:val="7F7F7F"/>
          <w:sz w:val="22"/>
          <w:szCs w:val="22"/>
        </w:rPr>
        <w:t xml:space="preserve"> </w:t>
      </w:r>
    </w:p>
    <w:p w14:paraId="26DBE366" w14:textId="77777777" w:rsidR="00C8393D" w:rsidRPr="00094216" w:rsidRDefault="00C8393D" w:rsidP="00C8393D">
      <w:pPr>
        <w:tabs>
          <w:tab w:val="left" w:pos="4536"/>
        </w:tabs>
        <w:jc w:val="both"/>
        <w:rPr>
          <w:rFonts w:ascii="Calibri" w:hAnsi="Calibri"/>
          <w:color w:val="7F7F7F"/>
        </w:rPr>
      </w:pPr>
      <w:r w:rsidRPr="00E27010">
        <w:rPr>
          <w:rFonts w:ascii="Calibri" w:hAnsi="Calibri"/>
          <w:b/>
          <w:sz w:val="22"/>
          <w:szCs w:val="22"/>
        </w:rPr>
        <w:t>Gender</w:t>
      </w:r>
      <w:r w:rsidRPr="00512570">
        <w:rPr>
          <w:rFonts w:ascii="Calibri" w:hAnsi="Calibri"/>
          <w:b/>
          <w:color w:val="7F7F7F"/>
          <w:sz w:val="22"/>
          <w:szCs w:val="22"/>
        </w:rPr>
        <w:tab/>
      </w:r>
      <w:r w:rsidRPr="00094216">
        <w:rPr>
          <w:rFonts w:ascii="Calibri" w:hAnsi="Calibri"/>
          <w:color w:val="7F7F7F"/>
        </w:rPr>
        <w:t>Greater Dandenong, 201</w:t>
      </w:r>
      <w:r>
        <w:rPr>
          <w:rFonts w:ascii="Calibri" w:hAnsi="Calibri"/>
          <w:color w:val="7F7F7F"/>
        </w:rPr>
        <w:t>6</w:t>
      </w:r>
    </w:p>
    <w:p w14:paraId="5CAF7DCB" w14:textId="77777777" w:rsidR="00C8393D" w:rsidRDefault="00C8393D" w:rsidP="00C8393D">
      <w:pPr>
        <w:spacing w:line="360" w:lineRule="auto"/>
        <w:jc w:val="both"/>
        <w:rPr>
          <w:rFonts w:ascii="Calibri" w:hAnsi="Calibri"/>
          <w:sz w:val="22"/>
          <w:szCs w:val="22"/>
        </w:rPr>
      </w:pPr>
      <w:r>
        <w:rPr>
          <w:rFonts w:ascii="Calibri" w:hAnsi="Calibri"/>
          <w:noProof/>
          <w:sz w:val="22"/>
          <w:szCs w:val="22"/>
          <w:lang w:val="en-AU" w:eastAsia="en-AU"/>
        </w:rPr>
        <w:drawing>
          <wp:anchor distT="0" distB="0" distL="114300" distR="114300" simplePos="0" relativeHeight="251660288" behindDoc="0" locked="0" layoutInCell="1" allowOverlap="1" wp14:anchorId="2C05CCDC" wp14:editId="7590EA29">
            <wp:simplePos x="0" y="0"/>
            <wp:positionH relativeFrom="column">
              <wp:posOffset>2175510</wp:posOffset>
            </wp:positionH>
            <wp:positionV relativeFrom="paragraph">
              <wp:posOffset>56515</wp:posOffset>
            </wp:positionV>
            <wp:extent cx="3943350" cy="2933700"/>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43350" cy="293370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sz w:val="22"/>
          <w:szCs w:val="22"/>
        </w:rPr>
        <w:t xml:space="preserve">Females account for 56% of Greater Dandenong residents with a severe or profound disability and males for the balance, of 44%. For younger residents, males predominate among those with a disability, while among people aged over 75 years, women form a majority, due to their greater longevity. </w:t>
      </w:r>
    </w:p>
    <w:p w14:paraId="5379C85C" w14:textId="77777777" w:rsidR="00C8393D" w:rsidRDefault="00C8393D" w:rsidP="00C8393D">
      <w:pPr>
        <w:spacing w:line="360" w:lineRule="auto"/>
        <w:jc w:val="both"/>
        <w:rPr>
          <w:rFonts w:ascii="Calibri" w:hAnsi="Calibri"/>
          <w:sz w:val="22"/>
          <w:szCs w:val="22"/>
        </w:rPr>
      </w:pPr>
    </w:p>
    <w:p w14:paraId="020855AE" w14:textId="77777777" w:rsidR="00C8393D" w:rsidRPr="00634EC8" w:rsidRDefault="00C8393D" w:rsidP="00C8393D">
      <w:pPr>
        <w:tabs>
          <w:tab w:val="left" w:pos="5670"/>
        </w:tabs>
        <w:jc w:val="both"/>
        <w:rPr>
          <w:rFonts w:ascii="Calibri" w:hAnsi="Calibri"/>
          <w:b/>
          <w:color w:val="7F7F7F"/>
          <w:sz w:val="22"/>
          <w:szCs w:val="22"/>
        </w:rPr>
      </w:pPr>
    </w:p>
    <w:p w14:paraId="14CBA90A" w14:textId="77777777" w:rsidR="00C8393D" w:rsidRDefault="00C8393D" w:rsidP="00C8393D">
      <w:pPr>
        <w:jc w:val="both"/>
        <w:rPr>
          <w:rFonts w:ascii="Calibri" w:hAnsi="Calibri"/>
          <w:color w:val="7F7F7F"/>
        </w:rPr>
      </w:pPr>
      <w:r w:rsidRPr="00094216">
        <w:rPr>
          <w:rFonts w:ascii="Calibri" w:hAnsi="Calibri"/>
          <w:color w:val="7F7F7F"/>
        </w:rPr>
        <w:t xml:space="preserve">Number of Persons with a Disability, </w:t>
      </w:r>
    </w:p>
    <w:p w14:paraId="64209A48" w14:textId="77777777" w:rsidR="00C8393D" w:rsidRDefault="00C8393D" w:rsidP="00C8393D">
      <w:pPr>
        <w:tabs>
          <w:tab w:val="left" w:pos="5670"/>
        </w:tabs>
        <w:jc w:val="both"/>
        <w:rPr>
          <w:rFonts w:ascii="Calibri" w:hAnsi="Calibri"/>
          <w:b/>
          <w:color w:val="000000"/>
          <w:sz w:val="22"/>
          <w:szCs w:val="22"/>
        </w:rPr>
      </w:pPr>
      <w:r w:rsidRPr="00094216">
        <w:rPr>
          <w:rFonts w:ascii="Calibri" w:hAnsi="Calibri"/>
          <w:color w:val="7F7F7F"/>
        </w:rPr>
        <w:t>by Birthplace: Greater Dandenong, 201</w:t>
      </w:r>
      <w:r>
        <w:rPr>
          <w:rFonts w:ascii="Calibri" w:hAnsi="Calibri"/>
          <w:color w:val="7F7F7F"/>
        </w:rPr>
        <w:t>6</w:t>
      </w:r>
    </w:p>
    <w:p w14:paraId="51CBAF18" w14:textId="77777777" w:rsidR="00C8393D" w:rsidRDefault="00C8393D" w:rsidP="00C8393D">
      <w:pPr>
        <w:tabs>
          <w:tab w:val="left" w:pos="5670"/>
        </w:tabs>
        <w:jc w:val="both"/>
        <w:rPr>
          <w:rFonts w:ascii="Calibri" w:hAnsi="Calibri"/>
          <w:b/>
          <w:color w:val="000000"/>
          <w:sz w:val="22"/>
          <w:szCs w:val="22"/>
        </w:rPr>
      </w:pPr>
      <w:r>
        <w:rPr>
          <w:rFonts w:ascii="Calibri" w:hAnsi="Calibri"/>
          <w:noProof/>
          <w:sz w:val="22"/>
          <w:szCs w:val="22"/>
          <w:lang w:val="en-AU" w:eastAsia="en-AU"/>
        </w:rPr>
        <w:drawing>
          <wp:anchor distT="0" distB="0" distL="114300" distR="114300" simplePos="0" relativeHeight="251664384" behindDoc="0" locked="0" layoutInCell="1" allowOverlap="1" wp14:anchorId="537429B8" wp14:editId="2A715761">
            <wp:simplePos x="0" y="0"/>
            <wp:positionH relativeFrom="column">
              <wp:posOffset>-43815</wp:posOffset>
            </wp:positionH>
            <wp:positionV relativeFrom="paragraph">
              <wp:posOffset>38735</wp:posOffset>
            </wp:positionV>
            <wp:extent cx="3538855" cy="2562225"/>
            <wp:effectExtent l="0" t="0" r="4445" b="952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38855" cy="2562225"/>
                    </a:xfrm>
                    <a:prstGeom prst="rect">
                      <a:avLst/>
                    </a:prstGeom>
                    <a:noFill/>
                  </pic:spPr>
                </pic:pic>
              </a:graphicData>
            </a:graphic>
            <wp14:sizeRelH relativeFrom="page">
              <wp14:pctWidth>0</wp14:pctWidth>
            </wp14:sizeRelH>
            <wp14:sizeRelV relativeFrom="page">
              <wp14:pctHeight>0</wp14:pctHeight>
            </wp14:sizeRelV>
          </wp:anchor>
        </w:drawing>
      </w:r>
    </w:p>
    <w:p w14:paraId="0E091DFD" w14:textId="77777777" w:rsidR="00C8393D" w:rsidRPr="00094216" w:rsidRDefault="00C8393D" w:rsidP="00C8393D">
      <w:pPr>
        <w:tabs>
          <w:tab w:val="left" w:pos="5670"/>
        </w:tabs>
        <w:jc w:val="both"/>
        <w:rPr>
          <w:rFonts w:ascii="Calibri" w:hAnsi="Calibri"/>
          <w:color w:val="7F7F7F"/>
        </w:rPr>
      </w:pPr>
      <w:r w:rsidRPr="00A664AB">
        <w:rPr>
          <w:rFonts w:ascii="Calibri" w:hAnsi="Calibri"/>
          <w:b/>
          <w:color w:val="000000"/>
          <w:sz w:val="22"/>
          <w:szCs w:val="22"/>
        </w:rPr>
        <w:t>Birthplaces</w:t>
      </w:r>
    </w:p>
    <w:p w14:paraId="0ED02677" w14:textId="77777777" w:rsidR="00C8393D" w:rsidRPr="00A664AB" w:rsidRDefault="00C8393D" w:rsidP="00C8393D">
      <w:pPr>
        <w:tabs>
          <w:tab w:val="left" w:pos="5954"/>
        </w:tabs>
        <w:spacing w:line="360" w:lineRule="auto"/>
        <w:jc w:val="both"/>
        <w:rPr>
          <w:rFonts w:ascii="Calibri" w:hAnsi="Calibri"/>
          <w:b/>
          <w:sz w:val="22"/>
          <w:szCs w:val="22"/>
        </w:rPr>
      </w:pPr>
      <w:r>
        <w:rPr>
          <w:rFonts w:ascii="Calibri" w:hAnsi="Calibri"/>
          <w:sz w:val="22"/>
          <w:szCs w:val="22"/>
        </w:rPr>
        <w:t xml:space="preserve">The number of people of each birthplace who have a severe or profound disability largely reflects the overall mix of birthplaces in Greater Dandenong and the age profile of residents of each birthplace. </w:t>
      </w:r>
    </w:p>
    <w:p w14:paraId="62605581" w14:textId="77777777" w:rsidR="00C8393D" w:rsidRDefault="00C8393D" w:rsidP="00C8393D">
      <w:pPr>
        <w:spacing w:line="360" w:lineRule="auto"/>
        <w:jc w:val="both"/>
        <w:rPr>
          <w:rFonts w:ascii="Calibri" w:hAnsi="Calibri"/>
          <w:sz w:val="22"/>
          <w:szCs w:val="22"/>
        </w:rPr>
      </w:pPr>
      <w:r>
        <w:rPr>
          <w:rFonts w:ascii="Calibri" w:hAnsi="Calibri"/>
          <w:sz w:val="22"/>
          <w:szCs w:val="22"/>
        </w:rPr>
        <w:t xml:space="preserve">Among severely or profoundly disabled residents in Greater Dandenong, 28% were born in Australia, 9% in Vietnam, 5% in Italy, 4.5% in Cambodia and 4% in China. </w:t>
      </w:r>
    </w:p>
    <w:p w14:paraId="24BD317F" w14:textId="77777777" w:rsidR="00C8393D" w:rsidRPr="00E604F4" w:rsidRDefault="00C8393D" w:rsidP="00C8393D">
      <w:pPr>
        <w:spacing w:line="360" w:lineRule="auto"/>
        <w:jc w:val="both"/>
        <w:rPr>
          <w:rFonts w:ascii="Calibri" w:hAnsi="Calibri"/>
          <w:sz w:val="8"/>
          <w:szCs w:val="8"/>
        </w:rPr>
      </w:pPr>
    </w:p>
    <w:p w14:paraId="0920A3BD" w14:textId="77777777" w:rsidR="00C8393D" w:rsidRPr="00094216" w:rsidRDefault="00C8393D" w:rsidP="00C8393D">
      <w:pPr>
        <w:ind w:left="3686"/>
        <w:jc w:val="both"/>
        <w:rPr>
          <w:rFonts w:ascii="Calibri" w:hAnsi="Calibri"/>
          <w:color w:val="7F7F7F"/>
        </w:rPr>
      </w:pPr>
      <w:r w:rsidRPr="00094216">
        <w:rPr>
          <w:rFonts w:ascii="Calibri" w:hAnsi="Calibri"/>
          <w:color w:val="7F7F7F"/>
        </w:rPr>
        <w:lastRenderedPageBreak/>
        <w:t xml:space="preserve">Disabled Persons in non- Private Accommodation, by Type of Dwelling: </w:t>
      </w:r>
    </w:p>
    <w:p w14:paraId="443651E4" w14:textId="77777777" w:rsidR="00C8393D" w:rsidRPr="00094216" w:rsidRDefault="00C8393D" w:rsidP="00C8393D">
      <w:pPr>
        <w:ind w:left="3686"/>
        <w:jc w:val="both"/>
        <w:rPr>
          <w:rFonts w:ascii="Calibri" w:hAnsi="Calibri"/>
          <w:color w:val="7F7F7F"/>
        </w:rPr>
      </w:pPr>
      <w:r w:rsidRPr="00094216">
        <w:rPr>
          <w:rFonts w:ascii="Calibri" w:hAnsi="Calibri"/>
          <w:color w:val="7F7F7F"/>
        </w:rPr>
        <w:t>Greater Dandenong, 201</w:t>
      </w:r>
      <w:r>
        <w:rPr>
          <w:rFonts w:ascii="Calibri" w:hAnsi="Calibri"/>
          <w:color w:val="7F7F7F"/>
        </w:rPr>
        <w:t>6</w:t>
      </w:r>
    </w:p>
    <w:p w14:paraId="72F07590" w14:textId="77777777" w:rsidR="00C8393D" w:rsidRPr="00E27010" w:rsidRDefault="00C8393D" w:rsidP="00C8393D">
      <w:pPr>
        <w:spacing w:line="360" w:lineRule="auto"/>
        <w:jc w:val="both"/>
        <w:rPr>
          <w:rFonts w:ascii="Calibri" w:hAnsi="Calibri"/>
          <w:b/>
          <w:sz w:val="22"/>
          <w:szCs w:val="22"/>
        </w:rPr>
      </w:pPr>
      <w:r>
        <w:rPr>
          <w:rFonts w:ascii="Calibri" w:hAnsi="Calibri"/>
          <w:b/>
          <w:noProof/>
          <w:sz w:val="22"/>
          <w:szCs w:val="22"/>
          <w:lang w:val="en-AU" w:eastAsia="en-AU"/>
        </w:rPr>
        <w:drawing>
          <wp:anchor distT="0" distB="0" distL="114300" distR="114300" simplePos="0" relativeHeight="251663360" behindDoc="0" locked="0" layoutInCell="1" allowOverlap="1" wp14:anchorId="5931EE6B" wp14:editId="6B9451F7">
            <wp:simplePos x="0" y="0"/>
            <wp:positionH relativeFrom="column">
              <wp:posOffset>2204085</wp:posOffset>
            </wp:positionH>
            <wp:positionV relativeFrom="paragraph">
              <wp:posOffset>7620</wp:posOffset>
            </wp:positionV>
            <wp:extent cx="3914775" cy="2924175"/>
            <wp:effectExtent l="0" t="0" r="9525" b="952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14775" cy="2924175"/>
                    </a:xfrm>
                    <a:prstGeom prst="rect">
                      <a:avLst/>
                    </a:prstGeom>
                    <a:noFill/>
                  </pic:spPr>
                </pic:pic>
              </a:graphicData>
            </a:graphic>
            <wp14:sizeRelH relativeFrom="page">
              <wp14:pctWidth>0</wp14:pctWidth>
            </wp14:sizeRelH>
            <wp14:sizeRelV relativeFrom="page">
              <wp14:pctHeight>0</wp14:pctHeight>
            </wp14:sizeRelV>
          </wp:anchor>
        </w:drawing>
      </w:r>
      <w:r w:rsidRPr="00E27010">
        <w:rPr>
          <w:rFonts w:ascii="Calibri" w:hAnsi="Calibri"/>
          <w:b/>
          <w:sz w:val="22"/>
          <w:szCs w:val="22"/>
        </w:rPr>
        <w:t>Living at Home</w:t>
      </w:r>
    </w:p>
    <w:p w14:paraId="0DDAF812" w14:textId="77777777" w:rsidR="00C8393D" w:rsidRDefault="00C8393D" w:rsidP="00C8393D">
      <w:pPr>
        <w:spacing w:line="360" w:lineRule="auto"/>
        <w:jc w:val="both"/>
        <w:rPr>
          <w:rFonts w:ascii="Calibri" w:hAnsi="Calibri"/>
          <w:sz w:val="22"/>
          <w:szCs w:val="22"/>
        </w:rPr>
      </w:pPr>
      <w:r>
        <w:rPr>
          <w:rFonts w:ascii="Calibri" w:hAnsi="Calibri"/>
          <w:sz w:val="22"/>
          <w:szCs w:val="22"/>
        </w:rPr>
        <w:t xml:space="preserve">Of all persons with a severe or profound disability in Greater Dandenong, 85% reside in private dwellings and 15% in non-private settings such as a nursing home or other age accommodation. </w:t>
      </w:r>
    </w:p>
    <w:p w14:paraId="246B8D9A" w14:textId="77777777" w:rsidR="00C8393D" w:rsidRDefault="00C8393D" w:rsidP="00C8393D">
      <w:pPr>
        <w:spacing w:line="360" w:lineRule="auto"/>
        <w:jc w:val="both"/>
        <w:rPr>
          <w:rFonts w:ascii="Calibri" w:hAnsi="Calibri"/>
          <w:sz w:val="22"/>
          <w:szCs w:val="22"/>
        </w:rPr>
      </w:pPr>
      <w:r>
        <w:rPr>
          <w:rFonts w:ascii="Calibri" w:hAnsi="Calibri"/>
          <w:sz w:val="22"/>
          <w:szCs w:val="22"/>
        </w:rPr>
        <w:t xml:space="preserve">Of those living at home, 14% or 1,165, live alone. </w:t>
      </w:r>
    </w:p>
    <w:p w14:paraId="4D24163A" w14:textId="77777777" w:rsidR="00C8393D" w:rsidRDefault="00C8393D" w:rsidP="00C8393D">
      <w:pPr>
        <w:spacing w:line="360" w:lineRule="auto"/>
        <w:jc w:val="both"/>
        <w:rPr>
          <w:rFonts w:ascii="Calibri" w:hAnsi="Calibri"/>
          <w:sz w:val="22"/>
          <w:szCs w:val="22"/>
        </w:rPr>
      </w:pPr>
    </w:p>
    <w:p w14:paraId="7C757B45" w14:textId="77777777" w:rsidR="00C8393D" w:rsidRDefault="00C8393D" w:rsidP="00C8393D">
      <w:pPr>
        <w:spacing w:line="360" w:lineRule="auto"/>
        <w:jc w:val="both"/>
        <w:rPr>
          <w:rFonts w:ascii="Calibri" w:hAnsi="Calibri"/>
          <w:sz w:val="22"/>
          <w:szCs w:val="22"/>
        </w:rPr>
      </w:pPr>
    </w:p>
    <w:p w14:paraId="4206FBDB" w14:textId="77777777" w:rsidR="00C8393D" w:rsidRPr="00F43BC5" w:rsidRDefault="00C8393D" w:rsidP="00C8393D">
      <w:pPr>
        <w:jc w:val="both"/>
        <w:rPr>
          <w:rFonts w:ascii="Calibri" w:hAnsi="Calibri"/>
          <w:sz w:val="10"/>
          <w:szCs w:val="10"/>
        </w:rPr>
      </w:pPr>
    </w:p>
    <w:p w14:paraId="20F8C8B7" w14:textId="77777777" w:rsidR="00C8393D" w:rsidRPr="00F43BC5" w:rsidRDefault="00C8393D" w:rsidP="00C8393D">
      <w:pPr>
        <w:spacing w:line="360" w:lineRule="auto"/>
        <w:jc w:val="both"/>
        <w:rPr>
          <w:rFonts w:ascii="Calibri" w:hAnsi="Calibri"/>
          <w:b/>
          <w:sz w:val="22"/>
          <w:szCs w:val="22"/>
        </w:rPr>
      </w:pPr>
      <w:r w:rsidRPr="00F43BC5">
        <w:rPr>
          <w:rFonts w:ascii="Calibri" w:hAnsi="Calibri"/>
          <w:b/>
          <w:sz w:val="22"/>
          <w:szCs w:val="22"/>
        </w:rPr>
        <w:t>Education</w:t>
      </w:r>
    </w:p>
    <w:p w14:paraId="0338EB40" w14:textId="77777777" w:rsidR="00C8393D" w:rsidRDefault="00C8393D" w:rsidP="00C8393D">
      <w:pPr>
        <w:jc w:val="both"/>
        <w:rPr>
          <w:rFonts w:ascii="Calibri" w:hAnsi="Calibri"/>
          <w:color w:val="7F7F7F"/>
        </w:rPr>
      </w:pPr>
      <w:r>
        <w:rPr>
          <w:rFonts w:ascii="Calibri" w:hAnsi="Calibri"/>
          <w:noProof/>
          <w:color w:val="7F7F7F"/>
        </w:rPr>
        <w:drawing>
          <wp:anchor distT="0" distB="0" distL="114300" distR="114300" simplePos="0" relativeHeight="251661312" behindDoc="0" locked="0" layoutInCell="1" allowOverlap="1" wp14:anchorId="34195B6E" wp14:editId="4BD5579D">
            <wp:simplePos x="0" y="0"/>
            <wp:positionH relativeFrom="margin">
              <wp:posOffset>3810</wp:posOffset>
            </wp:positionH>
            <wp:positionV relativeFrom="paragraph">
              <wp:posOffset>23495</wp:posOffset>
            </wp:positionV>
            <wp:extent cx="4004945" cy="2426335"/>
            <wp:effectExtent l="0" t="0" r="0" b="0"/>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l="3951" t="17468" b="13024"/>
                    <a:stretch/>
                  </pic:blipFill>
                  <pic:spPr bwMode="auto">
                    <a:xfrm>
                      <a:off x="0" y="0"/>
                      <a:ext cx="4004945" cy="24263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C01BB">
        <w:rPr>
          <w:rFonts w:ascii="Calibri" w:hAnsi="Calibri"/>
          <w:color w:val="7F7F7F"/>
        </w:rPr>
        <w:t>Year of School Leaving by Disability Status: Metro Melbourne, 2016</w:t>
      </w:r>
    </w:p>
    <w:p w14:paraId="39A5B6C4" w14:textId="77777777" w:rsidR="00C8393D" w:rsidRPr="003C01BB" w:rsidRDefault="00C8393D" w:rsidP="00C8393D">
      <w:pPr>
        <w:jc w:val="both"/>
        <w:rPr>
          <w:rFonts w:ascii="Calibri" w:hAnsi="Calibri"/>
          <w:color w:val="7F7F7F"/>
        </w:rPr>
      </w:pPr>
    </w:p>
    <w:p w14:paraId="25613FBE" w14:textId="77777777" w:rsidR="00C8393D" w:rsidRDefault="00C8393D" w:rsidP="00C8393D">
      <w:pPr>
        <w:spacing w:line="360" w:lineRule="auto"/>
        <w:jc w:val="both"/>
        <w:rPr>
          <w:rFonts w:ascii="Calibri" w:hAnsi="Calibri"/>
        </w:rPr>
      </w:pPr>
      <w:r>
        <w:rPr>
          <w:rFonts w:ascii="Calibri" w:hAnsi="Calibri"/>
        </w:rPr>
        <w:t>About half (51%) of Greater Dandenong residents aged 25-54 years, with severe or profound disabilities, had left school before completing year 11, compared with approximately a quarter (24%) of others the same age (diagram left).</w:t>
      </w:r>
    </w:p>
    <w:p w14:paraId="1ED731E5" w14:textId="77777777" w:rsidR="00C8393D" w:rsidRDefault="00C8393D" w:rsidP="00C8393D">
      <w:pPr>
        <w:ind w:left="851"/>
        <w:jc w:val="both"/>
        <w:rPr>
          <w:rFonts w:ascii="Calibri" w:hAnsi="Calibri"/>
        </w:rPr>
      </w:pPr>
    </w:p>
    <w:p w14:paraId="40A1D7D0" w14:textId="77777777" w:rsidR="00C8393D" w:rsidRDefault="00C8393D" w:rsidP="00C8393D">
      <w:pPr>
        <w:ind w:left="851"/>
        <w:jc w:val="both"/>
        <w:rPr>
          <w:rFonts w:ascii="Calibri" w:hAnsi="Calibri"/>
        </w:rPr>
      </w:pPr>
    </w:p>
    <w:p w14:paraId="1BE11431" w14:textId="77777777" w:rsidR="00C8393D" w:rsidRDefault="00C8393D" w:rsidP="00C8393D">
      <w:pPr>
        <w:ind w:left="851"/>
        <w:jc w:val="both"/>
        <w:rPr>
          <w:rFonts w:ascii="Calibri" w:hAnsi="Calibri"/>
        </w:rPr>
      </w:pPr>
    </w:p>
    <w:p w14:paraId="24D0562C" w14:textId="77777777" w:rsidR="00C8393D" w:rsidRPr="00E51D5D" w:rsidRDefault="00C8393D" w:rsidP="00C8393D">
      <w:pPr>
        <w:ind w:left="3969"/>
        <w:jc w:val="both"/>
        <w:rPr>
          <w:rFonts w:ascii="Calibri" w:hAnsi="Calibri"/>
          <w:color w:val="7F7F7F"/>
        </w:rPr>
      </w:pPr>
      <w:r w:rsidRPr="00094216">
        <w:rPr>
          <w:rFonts w:ascii="Calibri" w:hAnsi="Calibri"/>
          <w:color w:val="7F7F7F"/>
        </w:rPr>
        <w:t xml:space="preserve">Employment by Disability Status: </w:t>
      </w:r>
      <w:r>
        <w:rPr>
          <w:rFonts w:ascii="Calibri" w:hAnsi="Calibri"/>
          <w:color w:val="7F7F7F"/>
        </w:rPr>
        <w:t xml:space="preserve">persons 20-445, </w:t>
      </w:r>
      <w:r w:rsidRPr="00094216">
        <w:rPr>
          <w:rFonts w:ascii="Calibri" w:hAnsi="Calibri"/>
          <w:color w:val="7F7F7F"/>
        </w:rPr>
        <w:t>Greater Dandenong, 201</w:t>
      </w:r>
      <w:r>
        <w:rPr>
          <w:rFonts w:ascii="Calibri" w:hAnsi="Calibri"/>
          <w:color w:val="7F7F7F"/>
        </w:rPr>
        <w:t>6</w:t>
      </w:r>
    </w:p>
    <w:p w14:paraId="67869C91" w14:textId="77777777" w:rsidR="00C8393D" w:rsidRPr="00212BC1" w:rsidRDefault="00C8393D" w:rsidP="00C8393D">
      <w:pPr>
        <w:spacing w:line="360" w:lineRule="auto"/>
        <w:jc w:val="both"/>
        <w:rPr>
          <w:rFonts w:ascii="Calibri" w:hAnsi="Calibri"/>
          <w:b/>
          <w:sz w:val="22"/>
          <w:szCs w:val="22"/>
        </w:rPr>
      </w:pPr>
      <w:r>
        <w:rPr>
          <w:rFonts w:ascii="Calibri" w:hAnsi="Calibri"/>
          <w:noProof/>
          <w:sz w:val="22"/>
          <w:szCs w:val="22"/>
          <w:lang w:val="en-AU" w:eastAsia="en-AU"/>
        </w:rPr>
        <w:drawing>
          <wp:anchor distT="0" distB="0" distL="114300" distR="114300" simplePos="0" relativeHeight="251665408" behindDoc="0" locked="0" layoutInCell="1" allowOverlap="1" wp14:anchorId="528EF4E8" wp14:editId="51563E13">
            <wp:simplePos x="0" y="0"/>
            <wp:positionH relativeFrom="column">
              <wp:posOffset>2313305</wp:posOffset>
            </wp:positionH>
            <wp:positionV relativeFrom="paragraph">
              <wp:posOffset>170180</wp:posOffset>
            </wp:positionV>
            <wp:extent cx="3863340" cy="2687955"/>
            <wp:effectExtent l="0" t="0" r="381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324" t="18042" r="4433"/>
                    <a:stretch/>
                  </pic:blipFill>
                  <pic:spPr bwMode="auto">
                    <a:xfrm>
                      <a:off x="0" y="0"/>
                      <a:ext cx="3863340" cy="26879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12BC1">
        <w:rPr>
          <w:rFonts w:ascii="Calibri" w:hAnsi="Calibri"/>
          <w:b/>
          <w:sz w:val="22"/>
          <w:szCs w:val="22"/>
        </w:rPr>
        <w:t>Employment</w:t>
      </w:r>
    </w:p>
    <w:p w14:paraId="32314490" w14:textId="77777777" w:rsidR="00C8393D" w:rsidRDefault="00C8393D" w:rsidP="00C8393D">
      <w:pPr>
        <w:spacing w:line="360" w:lineRule="auto"/>
        <w:jc w:val="both"/>
        <w:rPr>
          <w:rFonts w:ascii="Calibri" w:hAnsi="Calibri"/>
          <w:sz w:val="22"/>
          <w:szCs w:val="22"/>
        </w:rPr>
      </w:pPr>
      <w:r>
        <w:rPr>
          <w:rFonts w:ascii="Calibri" w:hAnsi="Calibri"/>
          <w:sz w:val="22"/>
          <w:szCs w:val="22"/>
        </w:rPr>
        <w:t xml:space="preserve">The findings of the 2016 Census reveal that 20% of disabled people in Greater Dandenong, aged 20-44 were in paid employment, compared with 71% of residents of the same age, without a disability. </w:t>
      </w:r>
    </w:p>
    <w:p w14:paraId="272012A5" w14:textId="77777777" w:rsidR="00C8393D" w:rsidRDefault="00C8393D" w:rsidP="00C8393D">
      <w:pPr>
        <w:spacing w:line="360" w:lineRule="auto"/>
        <w:jc w:val="both"/>
        <w:rPr>
          <w:rFonts w:ascii="Calibri" w:hAnsi="Calibri"/>
          <w:sz w:val="22"/>
          <w:szCs w:val="22"/>
        </w:rPr>
      </w:pPr>
    </w:p>
    <w:p w14:paraId="1477FE9D" w14:textId="77777777" w:rsidR="00C8393D" w:rsidRDefault="00C8393D" w:rsidP="00C8393D">
      <w:pPr>
        <w:spacing w:line="360" w:lineRule="auto"/>
        <w:jc w:val="both"/>
        <w:rPr>
          <w:rFonts w:ascii="Calibri" w:hAnsi="Calibri"/>
          <w:sz w:val="22"/>
          <w:szCs w:val="22"/>
        </w:rPr>
      </w:pPr>
    </w:p>
    <w:p w14:paraId="5A6F8920" w14:textId="77777777" w:rsidR="00C8393D" w:rsidRDefault="00C8393D" w:rsidP="00C8393D">
      <w:pPr>
        <w:spacing w:line="360" w:lineRule="auto"/>
        <w:jc w:val="both"/>
        <w:rPr>
          <w:rFonts w:ascii="Calibri" w:hAnsi="Calibri"/>
          <w:sz w:val="22"/>
          <w:szCs w:val="22"/>
        </w:rPr>
      </w:pPr>
    </w:p>
    <w:p w14:paraId="03EC8465" w14:textId="77777777" w:rsidR="00C8393D" w:rsidRDefault="00C8393D" w:rsidP="00C8393D">
      <w:pPr>
        <w:spacing w:line="360" w:lineRule="auto"/>
        <w:jc w:val="both"/>
        <w:rPr>
          <w:rFonts w:ascii="Calibri" w:hAnsi="Calibri"/>
          <w:sz w:val="22"/>
          <w:szCs w:val="22"/>
        </w:rPr>
      </w:pPr>
    </w:p>
    <w:p w14:paraId="239FBC28" w14:textId="77777777" w:rsidR="00C8393D" w:rsidRPr="001D7759" w:rsidRDefault="00C8393D" w:rsidP="00C8393D">
      <w:pPr>
        <w:spacing w:line="360" w:lineRule="auto"/>
        <w:jc w:val="both"/>
        <w:rPr>
          <w:rFonts w:ascii="Calibri" w:hAnsi="Calibri"/>
          <w:b/>
          <w:sz w:val="22"/>
          <w:szCs w:val="22"/>
        </w:rPr>
      </w:pPr>
      <w:r>
        <w:rPr>
          <w:rFonts w:ascii="Calibri" w:hAnsi="Calibri"/>
          <w:b/>
          <w:sz w:val="22"/>
          <w:szCs w:val="22"/>
        </w:rPr>
        <w:lastRenderedPageBreak/>
        <w:t>Disability and Cultural Diversity</w:t>
      </w:r>
    </w:p>
    <w:p w14:paraId="42021D7A" w14:textId="77777777" w:rsidR="00C8393D" w:rsidRPr="00D72E6B" w:rsidRDefault="00C8393D" w:rsidP="00C8393D">
      <w:pPr>
        <w:spacing w:line="360" w:lineRule="auto"/>
        <w:jc w:val="both"/>
        <w:rPr>
          <w:rFonts w:ascii="Calibri" w:hAnsi="Calibri"/>
          <w:i/>
          <w:sz w:val="22"/>
          <w:szCs w:val="22"/>
        </w:rPr>
      </w:pPr>
      <w:r w:rsidRPr="00D72E6B">
        <w:rPr>
          <w:rFonts w:ascii="Calibri" w:hAnsi="Calibri"/>
          <w:i/>
          <w:sz w:val="22"/>
          <w:szCs w:val="22"/>
        </w:rPr>
        <w:t>Aboriginal and Torres Strait Islanders</w:t>
      </w:r>
    </w:p>
    <w:p w14:paraId="6631AE14" w14:textId="77777777" w:rsidR="00C8393D" w:rsidRDefault="00C8393D" w:rsidP="00C8393D">
      <w:pPr>
        <w:spacing w:line="360" w:lineRule="auto"/>
        <w:jc w:val="both"/>
        <w:rPr>
          <w:rFonts w:ascii="Calibri" w:hAnsi="Calibri"/>
          <w:sz w:val="22"/>
          <w:szCs w:val="22"/>
        </w:rPr>
      </w:pPr>
      <w:r>
        <w:rPr>
          <w:rFonts w:ascii="Calibri" w:hAnsi="Calibri"/>
          <w:noProof/>
          <w:color w:val="7F7F7F"/>
          <w:lang w:val="en-AU" w:eastAsia="en-AU"/>
        </w:rPr>
        <w:drawing>
          <wp:anchor distT="0" distB="0" distL="114300" distR="114300" simplePos="0" relativeHeight="251662336" behindDoc="0" locked="0" layoutInCell="1" allowOverlap="1" wp14:anchorId="749837EA" wp14:editId="0EA6041F">
            <wp:simplePos x="0" y="0"/>
            <wp:positionH relativeFrom="column">
              <wp:posOffset>1506220</wp:posOffset>
            </wp:positionH>
            <wp:positionV relativeFrom="paragraph">
              <wp:posOffset>210185</wp:posOffset>
            </wp:positionV>
            <wp:extent cx="4659630" cy="7768590"/>
            <wp:effectExtent l="0" t="0" r="7620" b="381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
                      <a:extLst>
                        <a:ext uri="{28A0092B-C50C-407E-A947-70E740481C1C}">
                          <a14:useLocalDpi xmlns:a14="http://schemas.microsoft.com/office/drawing/2010/main" val="0"/>
                        </a:ext>
                      </a:extLst>
                    </a:blip>
                    <a:srcRect b="1215"/>
                    <a:stretch>
                      <a:fillRect/>
                    </a:stretch>
                  </pic:blipFill>
                  <pic:spPr bwMode="auto">
                    <a:xfrm>
                      <a:off x="0" y="0"/>
                      <a:ext cx="4659630" cy="776859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sz w:val="22"/>
          <w:szCs w:val="22"/>
        </w:rPr>
        <w:t>Among Aboriginal and Torres Strait Islanders aged 20 to 65 years in Victoria in 2016, 9.7% had a severe or profound disability, compared with 3.1% of non-indigenous residents. This is a pattern repeated in most municipalities.</w:t>
      </w:r>
    </w:p>
    <w:p w14:paraId="1AF03086" w14:textId="77777777" w:rsidR="00C8393D" w:rsidRPr="00D72E6B" w:rsidRDefault="00C8393D" w:rsidP="00C8393D">
      <w:pPr>
        <w:spacing w:line="360" w:lineRule="auto"/>
        <w:jc w:val="both"/>
        <w:rPr>
          <w:rFonts w:ascii="Calibri" w:hAnsi="Calibri"/>
          <w:i/>
          <w:sz w:val="22"/>
          <w:szCs w:val="22"/>
        </w:rPr>
      </w:pPr>
      <w:r w:rsidRPr="00D72E6B">
        <w:rPr>
          <w:rFonts w:ascii="Calibri" w:hAnsi="Calibri"/>
          <w:i/>
          <w:sz w:val="22"/>
          <w:szCs w:val="22"/>
        </w:rPr>
        <w:t>Cultural Diversity</w:t>
      </w:r>
    </w:p>
    <w:p w14:paraId="0B8256CE" w14:textId="77777777" w:rsidR="00C8393D" w:rsidRPr="00634EC8" w:rsidRDefault="00C8393D" w:rsidP="00C8393D">
      <w:pPr>
        <w:spacing w:line="360" w:lineRule="auto"/>
        <w:jc w:val="both"/>
        <w:rPr>
          <w:rFonts w:ascii="Calibri" w:hAnsi="Calibri"/>
          <w:sz w:val="22"/>
          <w:szCs w:val="22"/>
        </w:rPr>
      </w:pPr>
      <w:r>
        <w:rPr>
          <w:rFonts w:ascii="Calibri" w:hAnsi="Calibri"/>
          <w:sz w:val="22"/>
          <w:szCs w:val="22"/>
        </w:rPr>
        <w:t>The prevalence of disability also varies among people of different birthplaces. In Greater Dandenong, the proportion of those aged 20 to 65 years who had a severe or profound disability ranged from over 10 per cent among those from Iraq, Turkey, Egypt, Bosnia, Serbia and Lebanon, to about 1% of residents from India and Malaysia.</w:t>
      </w:r>
    </w:p>
    <w:p w14:paraId="2248D350" w14:textId="77777777" w:rsidR="00C8393D" w:rsidRPr="00D72E6B" w:rsidRDefault="00C8393D" w:rsidP="00C8393D">
      <w:pPr>
        <w:jc w:val="both"/>
        <w:rPr>
          <w:rFonts w:ascii="Calibri" w:hAnsi="Calibri"/>
          <w:color w:val="7F7F7F"/>
        </w:rPr>
      </w:pPr>
      <w:r w:rsidRPr="00D72E6B">
        <w:rPr>
          <w:rFonts w:ascii="Calibri" w:hAnsi="Calibri"/>
          <w:color w:val="7F7F7F"/>
        </w:rPr>
        <w:t xml:space="preserve">Prevalence of Disability by </w:t>
      </w:r>
      <w:r>
        <w:rPr>
          <w:rFonts w:ascii="Calibri" w:hAnsi="Calibri"/>
          <w:color w:val="7F7F7F"/>
        </w:rPr>
        <w:t>among persons aged 20 to 65 years, and from selected birthplaces: Greater Dandenong 2016</w:t>
      </w:r>
    </w:p>
    <w:p w14:paraId="5EDF598F" w14:textId="77777777" w:rsidR="00C8393D" w:rsidRDefault="00C8393D" w:rsidP="00C8393D">
      <w:pPr>
        <w:spacing w:line="360" w:lineRule="auto"/>
        <w:jc w:val="both"/>
        <w:rPr>
          <w:rFonts w:ascii="Calibri" w:hAnsi="Calibri"/>
          <w:sz w:val="22"/>
          <w:szCs w:val="22"/>
        </w:rPr>
      </w:pPr>
    </w:p>
    <w:p w14:paraId="397BB750" w14:textId="77777777" w:rsidR="00C8393D" w:rsidRDefault="00C8393D" w:rsidP="00C8393D">
      <w:pPr>
        <w:spacing w:line="360" w:lineRule="auto"/>
        <w:jc w:val="both"/>
        <w:rPr>
          <w:rFonts w:ascii="Calibri" w:hAnsi="Calibri"/>
          <w:sz w:val="22"/>
          <w:szCs w:val="22"/>
        </w:rPr>
      </w:pPr>
    </w:p>
    <w:p w14:paraId="5A345546" w14:textId="77777777" w:rsidR="00C8393D" w:rsidRDefault="00C8393D" w:rsidP="00C8393D">
      <w:pPr>
        <w:spacing w:line="360" w:lineRule="auto"/>
        <w:jc w:val="both"/>
        <w:rPr>
          <w:rFonts w:ascii="Calibri" w:hAnsi="Calibri"/>
          <w:sz w:val="22"/>
          <w:szCs w:val="22"/>
        </w:rPr>
      </w:pPr>
    </w:p>
    <w:p w14:paraId="24B836C6" w14:textId="77777777" w:rsidR="00C8393D" w:rsidRDefault="00C8393D" w:rsidP="00C8393D">
      <w:pPr>
        <w:rPr>
          <w:rFonts w:ascii="Calibri" w:hAnsi="Calibri"/>
          <w:sz w:val="22"/>
          <w:szCs w:val="22"/>
        </w:rPr>
      </w:pPr>
      <w:r>
        <w:rPr>
          <w:rFonts w:ascii="Calibri" w:hAnsi="Calibri"/>
          <w:sz w:val="22"/>
          <w:szCs w:val="22"/>
        </w:rPr>
        <w:br w:type="page"/>
      </w:r>
    </w:p>
    <w:p w14:paraId="4A1A0353" w14:textId="77777777" w:rsidR="00C8393D" w:rsidRDefault="00C8393D" w:rsidP="00C8393D">
      <w:pPr>
        <w:spacing w:line="360" w:lineRule="auto"/>
        <w:jc w:val="both"/>
        <w:rPr>
          <w:rFonts w:ascii="Calibri" w:hAnsi="Calibri"/>
          <w:sz w:val="22"/>
          <w:szCs w:val="22"/>
        </w:rPr>
      </w:pPr>
      <w:r>
        <w:rPr>
          <w:rFonts w:ascii="Calibri" w:hAnsi="Calibri"/>
          <w:sz w:val="22"/>
          <w:szCs w:val="22"/>
        </w:rPr>
        <w:lastRenderedPageBreak/>
        <w:t xml:space="preserve">An examination of the findings of the 2016 Census, show that the prevalence of disability tends to be higher in parts of the middle and outer metropolitan area, including Greater Dandenong – with the exception of south </w:t>
      </w:r>
      <w:proofErr w:type="spellStart"/>
      <w:r>
        <w:rPr>
          <w:rFonts w:ascii="Calibri" w:hAnsi="Calibri"/>
          <w:sz w:val="22"/>
          <w:szCs w:val="22"/>
        </w:rPr>
        <w:t>Keysborough</w:t>
      </w:r>
      <w:proofErr w:type="spellEnd"/>
      <w:r>
        <w:rPr>
          <w:rFonts w:ascii="Calibri" w:hAnsi="Calibri"/>
          <w:sz w:val="22"/>
          <w:szCs w:val="22"/>
        </w:rPr>
        <w:t>, and parts of Moreland, Brimbank, Whittlesea and portions of Wyndham.</w:t>
      </w:r>
    </w:p>
    <w:p w14:paraId="62FE663C" w14:textId="77777777" w:rsidR="00C8393D" w:rsidRPr="00960323" w:rsidRDefault="00C8393D" w:rsidP="00C8393D">
      <w:pPr>
        <w:spacing w:line="360" w:lineRule="auto"/>
        <w:jc w:val="both"/>
        <w:rPr>
          <w:rFonts w:ascii="Calibri" w:hAnsi="Calibri"/>
          <w:sz w:val="8"/>
          <w:szCs w:val="8"/>
        </w:rPr>
      </w:pPr>
    </w:p>
    <w:p w14:paraId="54A4F8E4" w14:textId="77777777" w:rsidR="00C8393D" w:rsidRPr="007D5DBE" w:rsidRDefault="00C8393D" w:rsidP="00C8393D">
      <w:pPr>
        <w:spacing w:line="360" w:lineRule="auto"/>
        <w:jc w:val="both"/>
        <w:rPr>
          <w:rFonts w:ascii="Calibri" w:hAnsi="Calibri"/>
          <w:color w:val="7F7F7F"/>
        </w:rPr>
      </w:pPr>
      <w:r w:rsidRPr="007D5DBE">
        <w:rPr>
          <w:rFonts w:ascii="Calibri" w:hAnsi="Calibri"/>
          <w:color w:val="7F7F7F"/>
        </w:rPr>
        <w:t>Per cent of Persons with a Severe or Profound Disability: inner and middle-metropolitan Melbourne, 2016</w:t>
      </w:r>
    </w:p>
    <w:p w14:paraId="57ED2EA6" w14:textId="77777777" w:rsidR="00C8393D" w:rsidRPr="00634EC8" w:rsidRDefault="00C8393D" w:rsidP="00C8393D">
      <w:pPr>
        <w:spacing w:line="360" w:lineRule="auto"/>
        <w:jc w:val="center"/>
        <w:rPr>
          <w:rFonts w:ascii="Calibri" w:hAnsi="Calibri"/>
          <w:sz w:val="22"/>
          <w:szCs w:val="22"/>
        </w:rPr>
      </w:pPr>
      <w:r>
        <w:rPr>
          <w:rFonts w:ascii="Calibri" w:hAnsi="Calibri"/>
          <w:noProof/>
          <w:sz w:val="22"/>
          <w:szCs w:val="22"/>
          <w:lang w:val="en-AU" w:eastAsia="en-AU"/>
        </w:rPr>
        <w:drawing>
          <wp:inline distT="0" distB="0" distL="0" distR="0" wp14:anchorId="11F8D356" wp14:editId="11D034F4">
            <wp:extent cx="6018481" cy="6781800"/>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 Disability 15+ (%).jpg"/>
                    <pic:cNvPicPr/>
                  </pic:nvPicPr>
                  <pic:blipFill rotWithShape="1">
                    <a:blip r:embed="rId15" cstate="print">
                      <a:extLst>
                        <a:ext uri="{28A0092B-C50C-407E-A947-70E740481C1C}">
                          <a14:useLocalDpi xmlns:a14="http://schemas.microsoft.com/office/drawing/2010/main" val="0"/>
                        </a:ext>
                      </a:extLst>
                    </a:blip>
                    <a:srcRect l="2490" t="17070" r="1795" b="6608"/>
                    <a:stretch/>
                  </pic:blipFill>
                  <pic:spPr bwMode="auto">
                    <a:xfrm>
                      <a:off x="0" y="0"/>
                      <a:ext cx="6018481" cy="6781800"/>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39FB4B4C" w14:textId="77777777" w:rsidR="00486A4E" w:rsidRPr="00C8393D" w:rsidRDefault="00486A4E" w:rsidP="00C8393D">
      <w:bookmarkStart w:id="0" w:name="_GoBack"/>
      <w:bookmarkEnd w:id="0"/>
    </w:p>
    <w:sectPr w:rsidR="00486A4E" w:rsidRPr="00C8393D" w:rsidSect="00C55E9F">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8A1AE1" w14:textId="77777777" w:rsidR="00E67096" w:rsidRDefault="00E67096" w:rsidP="003D00EA">
      <w:r>
        <w:separator/>
      </w:r>
    </w:p>
  </w:endnote>
  <w:endnote w:type="continuationSeparator" w:id="0">
    <w:p w14:paraId="318CAFF9" w14:textId="77777777" w:rsidR="00E67096" w:rsidRDefault="00E67096" w:rsidP="003D0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E543E6" w14:textId="77777777" w:rsidR="00E67096" w:rsidRDefault="00E67096" w:rsidP="003D00EA">
      <w:r>
        <w:separator/>
      </w:r>
    </w:p>
  </w:footnote>
  <w:footnote w:type="continuationSeparator" w:id="0">
    <w:p w14:paraId="4BFC5CB2" w14:textId="77777777" w:rsidR="00E67096" w:rsidRDefault="00E67096" w:rsidP="003D00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E9F"/>
    <w:rsid w:val="000526CD"/>
    <w:rsid w:val="0005715F"/>
    <w:rsid w:val="00071BA2"/>
    <w:rsid w:val="00094216"/>
    <w:rsid w:val="000A7459"/>
    <w:rsid w:val="000B3C1A"/>
    <w:rsid w:val="000F4137"/>
    <w:rsid w:val="00106C04"/>
    <w:rsid w:val="00124CFF"/>
    <w:rsid w:val="00147034"/>
    <w:rsid w:val="00151E9B"/>
    <w:rsid w:val="00167953"/>
    <w:rsid w:val="001A3600"/>
    <w:rsid w:val="001D7759"/>
    <w:rsid w:val="00212BC1"/>
    <w:rsid w:val="00221274"/>
    <w:rsid w:val="0027301A"/>
    <w:rsid w:val="00286E4C"/>
    <w:rsid w:val="002A0863"/>
    <w:rsid w:val="002A7B27"/>
    <w:rsid w:val="002C3247"/>
    <w:rsid w:val="002D69AC"/>
    <w:rsid w:val="002E2324"/>
    <w:rsid w:val="002F41F8"/>
    <w:rsid w:val="002F5171"/>
    <w:rsid w:val="002F6195"/>
    <w:rsid w:val="00337052"/>
    <w:rsid w:val="003431C9"/>
    <w:rsid w:val="00354F09"/>
    <w:rsid w:val="003562F6"/>
    <w:rsid w:val="003A3CFA"/>
    <w:rsid w:val="003B1AAE"/>
    <w:rsid w:val="003B67F2"/>
    <w:rsid w:val="003D00EA"/>
    <w:rsid w:val="003D39C2"/>
    <w:rsid w:val="00422D57"/>
    <w:rsid w:val="004428B4"/>
    <w:rsid w:val="004433A4"/>
    <w:rsid w:val="004471CC"/>
    <w:rsid w:val="004631DD"/>
    <w:rsid w:val="00486A4E"/>
    <w:rsid w:val="00495368"/>
    <w:rsid w:val="004B6C9A"/>
    <w:rsid w:val="00501F7A"/>
    <w:rsid w:val="00512570"/>
    <w:rsid w:val="0056258E"/>
    <w:rsid w:val="005736ED"/>
    <w:rsid w:val="0058098E"/>
    <w:rsid w:val="005827A8"/>
    <w:rsid w:val="005B0B68"/>
    <w:rsid w:val="005B4522"/>
    <w:rsid w:val="005D0C3B"/>
    <w:rsid w:val="00604726"/>
    <w:rsid w:val="00627614"/>
    <w:rsid w:val="00627E0E"/>
    <w:rsid w:val="00635E06"/>
    <w:rsid w:val="0068260B"/>
    <w:rsid w:val="006A2F93"/>
    <w:rsid w:val="006B3DE0"/>
    <w:rsid w:val="006C270E"/>
    <w:rsid w:val="006E2AA9"/>
    <w:rsid w:val="006E3FF5"/>
    <w:rsid w:val="00701A0C"/>
    <w:rsid w:val="00705239"/>
    <w:rsid w:val="00716CA0"/>
    <w:rsid w:val="0072092B"/>
    <w:rsid w:val="00752674"/>
    <w:rsid w:val="00755980"/>
    <w:rsid w:val="0077544A"/>
    <w:rsid w:val="00794E40"/>
    <w:rsid w:val="00797407"/>
    <w:rsid w:val="007C15B6"/>
    <w:rsid w:val="007D5DBE"/>
    <w:rsid w:val="007F3AB6"/>
    <w:rsid w:val="0082642A"/>
    <w:rsid w:val="00845908"/>
    <w:rsid w:val="00875C0C"/>
    <w:rsid w:val="008A6AD0"/>
    <w:rsid w:val="008D027A"/>
    <w:rsid w:val="00911D24"/>
    <w:rsid w:val="00915803"/>
    <w:rsid w:val="0092688F"/>
    <w:rsid w:val="009413E1"/>
    <w:rsid w:val="00943A63"/>
    <w:rsid w:val="00957BB2"/>
    <w:rsid w:val="00971E55"/>
    <w:rsid w:val="00980502"/>
    <w:rsid w:val="00990D1A"/>
    <w:rsid w:val="009941BC"/>
    <w:rsid w:val="00996DB9"/>
    <w:rsid w:val="009A6A3F"/>
    <w:rsid w:val="009B0302"/>
    <w:rsid w:val="00A01DB4"/>
    <w:rsid w:val="00A33822"/>
    <w:rsid w:val="00A3683D"/>
    <w:rsid w:val="00A43424"/>
    <w:rsid w:val="00A664AB"/>
    <w:rsid w:val="00A816E8"/>
    <w:rsid w:val="00B31CA2"/>
    <w:rsid w:val="00B3658B"/>
    <w:rsid w:val="00B53E7C"/>
    <w:rsid w:val="00B6579D"/>
    <w:rsid w:val="00B81DD2"/>
    <w:rsid w:val="00B85713"/>
    <w:rsid w:val="00BB1C19"/>
    <w:rsid w:val="00BB2A55"/>
    <w:rsid w:val="00C15AC3"/>
    <w:rsid w:val="00C173FA"/>
    <w:rsid w:val="00C26566"/>
    <w:rsid w:val="00C55E9F"/>
    <w:rsid w:val="00C563C0"/>
    <w:rsid w:val="00C70EAC"/>
    <w:rsid w:val="00C733ED"/>
    <w:rsid w:val="00C8393D"/>
    <w:rsid w:val="00C9279D"/>
    <w:rsid w:val="00C968B0"/>
    <w:rsid w:val="00CA06E0"/>
    <w:rsid w:val="00CD37DD"/>
    <w:rsid w:val="00CF4A7E"/>
    <w:rsid w:val="00D0697C"/>
    <w:rsid w:val="00D209C1"/>
    <w:rsid w:val="00D3594C"/>
    <w:rsid w:val="00D72E6B"/>
    <w:rsid w:val="00D834AC"/>
    <w:rsid w:val="00DB3E39"/>
    <w:rsid w:val="00DC310B"/>
    <w:rsid w:val="00DC33B9"/>
    <w:rsid w:val="00DE1438"/>
    <w:rsid w:val="00E00732"/>
    <w:rsid w:val="00E20125"/>
    <w:rsid w:val="00E27010"/>
    <w:rsid w:val="00E4197F"/>
    <w:rsid w:val="00E51D5D"/>
    <w:rsid w:val="00E604F4"/>
    <w:rsid w:val="00E67096"/>
    <w:rsid w:val="00E7190C"/>
    <w:rsid w:val="00E96AA3"/>
    <w:rsid w:val="00E970D6"/>
    <w:rsid w:val="00EA539C"/>
    <w:rsid w:val="00EC653B"/>
    <w:rsid w:val="00EC73BE"/>
    <w:rsid w:val="00ED3058"/>
    <w:rsid w:val="00EF2E34"/>
    <w:rsid w:val="00EF4E66"/>
    <w:rsid w:val="00F126CC"/>
    <w:rsid w:val="00F43BC5"/>
    <w:rsid w:val="00F51CE3"/>
    <w:rsid w:val="00F52B97"/>
    <w:rsid w:val="00F8662C"/>
    <w:rsid w:val="00F90C0A"/>
    <w:rsid w:val="00FA5C0C"/>
    <w:rsid w:val="00FA5FF9"/>
    <w:rsid w:val="00FB6F3F"/>
    <w:rsid w:val="00FC22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17CC9"/>
  <w15:docId w15:val="{493B9560-7F50-448A-9615-231FC6A7D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en-AU" w:eastAsia="en-A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55E9F"/>
    <w:rPr>
      <w:rFonts w:ascii="Times New Roman" w:eastAsia="Times New Roman" w:hAnsi="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00EA"/>
    <w:pPr>
      <w:tabs>
        <w:tab w:val="center" w:pos="4513"/>
        <w:tab w:val="right" w:pos="9026"/>
      </w:tabs>
    </w:pPr>
  </w:style>
  <w:style w:type="character" w:customStyle="1" w:styleId="HeaderChar">
    <w:name w:val="Header Char"/>
    <w:link w:val="Header"/>
    <w:uiPriority w:val="99"/>
    <w:rsid w:val="003D00EA"/>
    <w:rPr>
      <w:rFonts w:ascii="Times New Roman" w:eastAsia="Times New Roman" w:hAnsi="Times New Roman"/>
      <w:lang w:val="en-US" w:eastAsia="en-US"/>
    </w:rPr>
  </w:style>
  <w:style w:type="paragraph" w:styleId="Footer">
    <w:name w:val="footer"/>
    <w:basedOn w:val="Normal"/>
    <w:link w:val="FooterChar"/>
    <w:uiPriority w:val="99"/>
    <w:unhideWhenUsed/>
    <w:rsid w:val="003D00EA"/>
    <w:pPr>
      <w:tabs>
        <w:tab w:val="center" w:pos="4513"/>
        <w:tab w:val="right" w:pos="9026"/>
      </w:tabs>
    </w:pPr>
  </w:style>
  <w:style w:type="character" w:customStyle="1" w:styleId="FooterChar">
    <w:name w:val="Footer Char"/>
    <w:link w:val="Footer"/>
    <w:uiPriority w:val="99"/>
    <w:rsid w:val="003D00EA"/>
    <w:rPr>
      <w:rFonts w:ascii="Times New Roman" w:eastAsia="Times New Roman" w:hAnsi="Times New Roman"/>
      <w:lang w:val="en-US" w:eastAsia="en-US"/>
    </w:rPr>
  </w:style>
  <w:style w:type="paragraph" w:styleId="BalloonText">
    <w:name w:val="Balloon Text"/>
    <w:basedOn w:val="Normal"/>
    <w:link w:val="BalloonTextChar"/>
    <w:uiPriority w:val="99"/>
    <w:semiHidden/>
    <w:unhideWhenUsed/>
    <w:rsid w:val="00D3594C"/>
    <w:rPr>
      <w:rFonts w:ascii="Tahoma" w:hAnsi="Tahoma" w:cs="Tahoma"/>
      <w:sz w:val="16"/>
      <w:szCs w:val="16"/>
    </w:rPr>
  </w:style>
  <w:style w:type="character" w:customStyle="1" w:styleId="BalloonTextChar">
    <w:name w:val="Balloon Text Char"/>
    <w:link w:val="BalloonText"/>
    <w:uiPriority w:val="99"/>
    <w:semiHidden/>
    <w:rsid w:val="00D3594C"/>
    <w:rPr>
      <w:rFonts w:ascii="Tahoma" w:eastAsia="Times New Roman"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3834425">
      <w:bodyDiv w:val="1"/>
      <w:marLeft w:val="0"/>
      <w:marRight w:val="0"/>
      <w:marTop w:val="0"/>
      <w:marBottom w:val="0"/>
      <w:divBdr>
        <w:top w:val="none" w:sz="0" w:space="0" w:color="auto"/>
        <w:left w:val="none" w:sz="0" w:space="0" w:color="auto"/>
        <w:bottom w:val="none" w:sz="0" w:space="0" w:color="auto"/>
        <w:right w:val="none" w:sz="0" w:space="0" w:color="auto"/>
      </w:divBdr>
    </w:div>
    <w:div w:id="839853240">
      <w:bodyDiv w:val="1"/>
      <w:marLeft w:val="0"/>
      <w:marRight w:val="0"/>
      <w:marTop w:val="0"/>
      <w:marBottom w:val="0"/>
      <w:divBdr>
        <w:top w:val="none" w:sz="0" w:space="0" w:color="auto"/>
        <w:left w:val="none" w:sz="0" w:space="0" w:color="auto"/>
        <w:bottom w:val="none" w:sz="0" w:space="0" w:color="auto"/>
        <w:right w:val="none" w:sz="0" w:space="0" w:color="auto"/>
      </w:divBdr>
    </w:div>
    <w:div w:id="1903830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2.jpeg" Id="rId8" /><Relationship Type="http://schemas.openxmlformats.org/officeDocument/2006/relationships/image" Target="media/image7.jpeg" Id="rId13" /><Relationship Type="http://schemas.openxmlformats.org/officeDocument/2006/relationships/settings" Target="settings.xml" Id="rId3" /><Relationship Type="http://schemas.openxmlformats.org/officeDocument/2006/relationships/image" Target="media/image1.emf" Id="rId7" /><Relationship Type="http://schemas.openxmlformats.org/officeDocument/2006/relationships/image" Target="media/image6.jpeg" Id="rId12" /><Relationship Type="http://schemas.openxmlformats.org/officeDocument/2006/relationships/theme" Target="theme/theme1.xml" Id="rId17"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endnotes" Target="endnotes.xml" Id="rId6" /><Relationship Type="http://schemas.openxmlformats.org/officeDocument/2006/relationships/image" Target="media/image5.jpeg" Id="rId11" /><Relationship Type="http://schemas.openxmlformats.org/officeDocument/2006/relationships/footnotes" Target="footnotes.xml" Id="rId5" /><Relationship Type="http://schemas.openxmlformats.org/officeDocument/2006/relationships/image" Target="media/image9.jpeg" Id="rId15" /><Relationship Type="http://schemas.openxmlformats.org/officeDocument/2006/relationships/image" Target="media/image4.jpeg" Id="rId10" /><Relationship Type="http://schemas.openxmlformats.org/officeDocument/2006/relationships/webSettings" Target="webSettings.xml" Id="rId4" /><Relationship Type="http://schemas.openxmlformats.org/officeDocument/2006/relationships/image" Target="media/image3.jpeg" Id="rId9" /><Relationship Type="http://schemas.openxmlformats.org/officeDocument/2006/relationships/image" Target="media/image8.jpeg" Id="rId14" /><Relationship Type="http://schemas.openxmlformats.org/officeDocument/2006/relationships/customXml" Target="/customXml/item2.xml" Id="R128ec5631ab4400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9676E22B47CC48CBA49BA16071DCFF24" version="1.0.0">
  <systemFields>
    <field name="Objective-Id">
      <value order="0">A6819535</value>
    </field>
    <field name="Objective-Title">
      <value order="0">F Disability</value>
    </field>
    <field name="Objective-Description">
      <value order="0"/>
    </field>
    <field name="Objective-CreationStamp">
      <value order="0">2020-08-30T21:37:59Z</value>
    </field>
    <field name="Objective-IsApproved">
      <value order="0">false</value>
    </field>
    <field name="Objective-IsPublished">
      <value order="0">true</value>
    </field>
    <field name="Objective-DatePublished">
      <value order="0">2021-04-23T02:37:29Z</value>
    </field>
    <field name="Objective-ModificationStamp">
      <value order="0">2021-04-23T02:37:29Z</value>
    </field>
    <field name="Objective-Owner">
      <value order="0">Fran McKechnie</value>
    </field>
    <field name="Objective-Path">
      <value order="0">Classified Object:Classified Object:Classified Object:Classified Object:Webpage Stats A Summaries of Social Information</value>
    </field>
    <field name="Objective-Parent">
      <value order="0">Webpage Stats A Summaries of Social Information</value>
    </field>
    <field name="Objective-State">
      <value order="0">Published</value>
    </field>
    <field name="Objective-VersionId">
      <value order="0">vA9844392</value>
    </field>
    <field name="Objective-Version">
      <value order="0">2.0</value>
    </field>
    <field name="Objective-VersionNumber">
      <value order="0">2</value>
    </field>
    <field name="Objective-VersionComment">
      <value order="0"/>
    </field>
    <field name="Objective-FileNumber">
      <value order="0">qA1096</value>
    </field>
    <field name="Objective-Classification">
      <value order="0"/>
    </field>
    <field name="Objective-Caveats">
      <value order="0"/>
    </field>
  </systemFields>
  <catalogues>
    <catalogue name="Document Type Catalogue" type="type" ori="id:cA11">
      <field name="Objective-Business Unit">
        <value order="0">Community Development</value>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644</Words>
  <Characters>3671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hbrown</dc:creator>
  <cp:lastModifiedBy>Hayden Brown</cp:lastModifiedBy>
  <cp:revision>3</cp:revision>
  <cp:lastPrinted>2017-07-31T23:23:00Z</cp:lastPrinted>
  <dcterms:created xsi:type="dcterms:W3CDTF">2020-08-23T12:21:00Z</dcterms:created>
  <dcterms:modified xsi:type="dcterms:W3CDTF">2021-04-23T02:37:00Z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A6819535</vt:lpwstr>
  </op:property>
  <op:property fmtid="{D5CDD505-2E9C-101B-9397-08002B2CF9AE}" pid="6" name="Objective-Title">
    <vt:lpwstr>F Disability</vt:lpwstr>
  </op:property>
  <op:property fmtid="{D5CDD505-2E9C-101B-9397-08002B2CF9AE}" pid="7" name="Objective-Description">
    <vt:lpwstr/>
  </op:property>
  <op:property fmtid="{D5CDD505-2E9C-101B-9397-08002B2CF9AE}" pid="8" name="Objective-CreationStamp">
    <vt:filetime>2020-08-30T21:37:59Z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2021-04-23T02:37:29Z</vt:filetime>
  </op:property>
  <op:property fmtid="{D5CDD505-2E9C-101B-9397-08002B2CF9AE}" pid="12" name="Objective-ModificationStamp">
    <vt:filetime>2021-04-23T02:37:29Z</vt:filetime>
  </op:property>
  <op:property fmtid="{D5CDD505-2E9C-101B-9397-08002B2CF9AE}" pid="13" name="Objective-Owner">
    <vt:lpwstr>Fran McKechnie</vt:lpwstr>
  </op:property>
  <op:property fmtid="{D5CDD505-2E9C-101B-9397-08002B2CF9AE}" pid="14" name="Objective-Path">
    <vt:lpwstr>Classified Object:Classified Object:Classified Object:Classified Object:Webpage Stats A Summaries of Social Information</vt:lpwstr>
  </op:property>
  <op:property fmtid="{D5CDD505-2E9C-101B-9397-08002B2CF9AE}" pid="15" name="Objective-Parent">
    <vt:lpwstr>Webpage Stats A Summaries of Social Information</vt:lpwstr>
  </op:property>
  <op:property fmtid="{D5CDD505-2E9C-101B-9397-08002B2CF9AE}" pid="16" name="Objective-State">
    <vt:lpwstr>Published</vt:lpwstr>
  </op:property>
  <op:property fmtid="{D5CDD505-2E9C-101B-9397-08002B2CF9AE}" pid="17" name="Objective-VersionId">
    <vt:lpwstr>vA9844392</vt:lpwstr>
  </op:property>
  <op:property fmtid="{D5CDD505-2E9C-101B-9397-08002B2CF9AE}" pid="18" name="Objective-Version">
    <vt:lpwstr>2.0</vt:lpwstr>
  </op:property>
  <op:property fmtid="{D5CDD505-2E9C-101B-9397-08002B2CF9AE}" pid="19" name="Objective-VersionNumber">
    <vt:r8>2</vt:r8>
  </op:property>
  <op:property fmtid="{D5CDD505-2E9C-101B-9397-08002B2CF9AE}" pid="20" name="Objective-VersionComment">
    <vt:lpwstr/>
  </op:property>
  <op:property fmtid="{D5CDD505-2E9C-101B-9397-08002B2CF9AE}" pid="21" name="Objective-FileNumber">
    <vt:lpwstr>qA1096</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Community Development</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