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0594D" w14:textId="77777777" w:rsidR="00C62A69" w:rsidRPr="00BE5A0B" w:rsidRDefault="00C62A69" w:rsidP="00C62A69">
      <w:pPr>
        <w:pBdr>
          <w:top w:val="single" w:sz="4" w:space="0" w:color="auto"/>
          <w:bottom w:val="single" w:sz="4" w:space="1" w:color="auto"/>
        </w:pBdr>
        <w:tabs>
          <w:tab w:val="center" w:pos="4678"/>
        </w:tabs>
        <w:jc w:val="center"/>
        <w:rPr>
          <w:rFonts w:ascii="Calibri" w:hAnsi="Calibri"/>
          <w:noProof/>
          <w:sz w:val="32"/>
          <w:szCs w:val="32"/>
          <w:lang w:val="en-AU"/>
        </w:rPr>
      </w:pPr>
      <w:bookmarkStart w:id="0" w:name="_Hlk180842970"/>
      <w:r w:rsidRPr="00BE5A0B">
        <w:rPr>
          <w:rFonts w:ascii="Calibri" w:hAnsi="Calibri"/>
          <w:noProof/>
          <w:sz w:val="32"/>
          <w:szCs w:val="32"/>
          <w:lang w:val="en-AU"/>
        </w:rPr>
        <w:t xml:space="preserve">Cultural Diversity and Settlement </w:t>
      </w:r>
    </w:p>
    <w:bookmarkEnd w:id="0"/>
    <w:p w14:paraId="511ECBFE" w14:textId="77777777" w:rsidR="00C62A69" w:rsidRDefault="00C62A69" w:rsidP="00C62A69">
      <w:pPr>
        <w:tabs>
          <w:tab w:val="left" w:pos="284"/>
        </w:tabs>
        <w:spacing w:before="80" w:line="360" w:lineRule="auto"/>
        <w:jc w:val="both"/>
        <w:rPr>
          <w:b/>
          <w:color w:val="000000"/>
          <w:sz w:val="10"/>
          <w:szCs w:val="10"/>
        </w:rPr>
      </w:pPr>
    </w:p>
    <w:p w14:paraId="2584B421" w14:textId="77777777" w:rsidR="00C62A69" w:rsidRPr="00330EA5" w:rsidRDefault="00C62A69" w:rsidP="00C62A69">
      <w:pPr>
        <w:tabs>
          <w:tab w:val="left" w:pos="284"/>
        </w:tabs>
        <w:jc w:val="both"/>
        <w:rPr>
          <w:rFonts w:ascii="Calibri" w:hAnsi="Calibri"/>
          <w:b/>
          <w:color w:val="000000"/>
          <w:sz w:val="22"/>
          <w:szCs w:val="22"/>
        </w:rPr>
      </w:pPr>
      <w:r w:rsidRPr="00330EA5">
        <w:rPr>
          <w:rFonts w:ascii="Calibri" w:hAnsi="Calibri"/>
          <w:b/>
          <w:color w:val="000000"/>
          <w:sz w:val="22"/>
          <w:szCs w:val="22"/>
        </w:rPr>
        <w:t>Cultural Diversity</w:t>
      </w:r>
    </w:p>
    <w:p w14:paraId="6EFF1C32" w14:textId="77777777" w:rsidR="00C62A69" w:rsidRDefault="00C62A69" w:rsidP="00C62A69">
      <w:pPr>
        <w:tabs>
          <w:tab w:val="left" w:pos="284"/>
        </w:tabs>
        <w:spacing w:before="60" w:line="360" w:lineRule="auto"/>
        <w:jc w:val="both"/>
        <w:rPr>
          <w:rFonts w:ascii="Calibri" w:hAnsi="Calibri"/>
          <w:color w:val="000000"/>
          <w:sz w:val="22"/>
          <w:szCs w:val="22"/>
        </w:rPr>
      </w:pPr>
      <w:r w:rsidRPr="00330EA5">
        <w:rPr>
          <w:rFonts w:ascii="Calibri" w:hAnsi="Calibri"/>
          <w:color w:val="000000"/>
          <w:sz w:val="22"/>
          <w:szCs w:val="22"/>
        </w:rPr>
        <w:t xml:space="preserve">Greater Dandenong is the most culturally diverse locality in </w:t>
      </w:r>
      <w:r>
        <w:rPr>
          <w:rFonts w:ascii="Calibri" w:hAnsi="Calibri"/>
          <w:color w:val="000000"/>
          <w:sz w:val="22"/>
          <w:szCs w:val="22"/>
        </w:rPr>
        <w:t>Australia</w:t>
      </w:r>
      <w:r>
        <w:rPr>
          <w:rStyle w:val="FootnoteReference"/>
          <w:rFonts w:ascii="Calibri" w:hAnsi="Calibri"/>
          <w:color w:val="000000"/>
          <w:sz w:val="22"/>
          <w:szCs w:val="22"/>
        </w:rPr>
        <w:footnoteReference w:id="1"/>
      </w:r>
      <w:r>
        <w:rPr>
          <w:rFonts w:ascii="Calibri" w:hAnsi="Calibri"/>
          <w:color w:val="000000"/>
          <w:sz w:val="22"/>
          <w:szCs w:val="22"/>
        </w:rPr>
        <w:t>,</w:t>
      </w:r>
      <w:r w:rsidRPr="00330EA5">
        <w:rPr>
          <w:rFonts w:ascii="Calibri" w:hAnsi="Calibri"/>
          <w:color w:val="000000"/>
          <w:sz w:val="22"/>
          <w:szCs w:val="22"/>
        </w:rPr>
        <w:t xml:space="preserve"> with residents from </w:t>
      </w:r>
      <w:r>
        <w:rPr>
          <w:rFonts w:ascii="Calibri" w:hAnsi="Calibri"/>
          <w:color w:val="000000"/>
          <w:sz w:val="22"/>
          <w:szCs w:val="22"/>
        </w:rPr>
        <w:t>157</w:t>
      </w:r>
      <w:r w:rsidRPr="00330EA5">
        <w:rPr>
          <w:rFonts w:ascii="Calibri" w:hAnsi="Calibri"/>
          <w:color w:val="000000"/>
          <w:sz w:val="22"/>
          <w:szCs w:val="22"/>
        </w:rPr>
        <w:t xml:space="preserve"> different birthplaces</w:t>
      </w:r>
      <w:r>
        <w:rPr>
          <w:rFonts w:ascii="Calibri" w:hAnsi="Calibri"/>
          <w:color w:val="000000"/>
          <w:sz w:val="22"/>
          <w:szCs w:val="22"/>
        </w:rPr>
        <w:t xml:space="preserve"> and</w:t>
      </w:r>
      <w:r w:rsidRPr="00330EA5">
        <w:rPr>
          <w:rFonts w:ascii="Calibri" w:hAnsi="Calibri"/>
          <w:color w:val="000000"/>
          <w:sz w:val="22"/>
          <w:szCs w:val="22"/>
        </w:rPr>
        <w:t xml:space="preserve"> well over half (6</w:t>
      </w:r>
      <w:r>
        <w:rPr>
          <w:rFonts w:ascii="Calibri" w:hAnsi="Calibri"/>
          <w:color w:val="000000"/>
          <w:sz w:val="22"/>
          <w:szCs w:val="22"/>
        </w:rPr>
        <w:t>4</w:t>
      </w:r>
      <w:r w:rsidRPr="00330EA5">
        <w:rPr>
          <w:rFonts w:ascii="Calibri" w:hAnsi="Calibri"/>
          <w:color w:val="000000"/>
          <w:sz w:val="22"/>
          <w:szCs w:val="22"/>
        </w:rPr>
        <w:t>%) of its population born overseas</w:t>
      </w:r>
      <w:r>
        <w:rPr>
          <w:rFonts w:ascii="Calibri" w:hAnsi="Calibri"/>
          <w:color w:val="000000"/>
          <w:sz w:val="22"/>
          <w:szCs w:val="22"/>
        </w:rPr>
        <w:t>. B</w:t>
      </w:r>
      <w:r w:rsidRPr="00330EA5">
        <w:rPr>
          <w:rFonts w:ascii="Calibri" w:hAnsi="Calibri"/>
          <w:color w:val="000000"/>
          <w:sz w:val="22"/>
          <w:szCs w:val="22"/>
        </w:rPr>
        <w:t xml:space="preserve">irthplaces </w:t>
      </w:r>
      <w:r>
        <w:rPr>
          <w:rFonts w:ascii="Calibri" w:hAnsi="Calibri"/>
          <w:color w:val="000000"/>
          <w:sz w:val="22"/>
          <w:szCs w:val="22"/>
        </w:rPr>
        <w:t>recorded by the 2016 Census included</w:t>
      </w:r>
      <w:r w:rsidRPr="00330EA5">
        <w:rPr>
          <w:rFonts w:ascii="Calibri" w:hAnsi="Calibri"/>
          <w:color w:val="000000"/>
          <w:sz w:val="22"/>
          <w:szCs w:val="22"/>
        </w:rPr>
        <w:t xml:space="preserve"> Vietnam, </w:t>
      </w:r>
      <w:r>
        <w:rPr>
          <w:rFonts w:ascii="Calibri" w:hAnsi="Calibri"/>
          <w:color w:val="000000"/>
          <w:sz w:val="22"/>
          <w:szCs w:val="22"/>
        </w:rPr>
        <w:t>Cambodia, China, India, Sri Lanka, Pakistan, Afghanistan, New Zealand and Great Britain</w:t>
      </w:r>
      <w:r w:rsidRPr="00330EA5">
        <w:rPr>
          <w:rFonts w:ascii="Calibri" w:hAnsi="Calibri"/>
          <w:color w:val="000000"/>
          <w:sz w:val="22"/>
          <w:szCs w:val="22"/>
        </w:rPr>
        <w:t>.</w:t>
      </w:r>
      <w:r>
        <w:rPr>
          <w:rFonts w:ascii="Calibri" w:hAnsi="Calibri"/>
          <w:color w:val="000000"/>
          <w:sz w:val="22"/>
          <w:szCs w:val="22"/>
        </w:rPr>
        <w:t xml:space="preserve"> More than four out of five residents have at least one overseas-born parent.</w:t>
      </w:r>
    </w:p>
    <w:p w14:paraId="4BE98B92" w14:textId="77777777" w:rsidR="00C62A69" w:rsidRPr="00E30446" w:rsidRDefault="00C62A69" w:rsidP="00C62A69">
      <w:pPr>
        <w:tabs>
          <w:tab w:val="left" w:pos="284"/>
        </w:tabs>
        <w:jc w:val="both"/>
        <w:rPr>
          <w:rFonts w:ascii="Calibri" w:hAnsi="Calibri"/>
          <w:color w:val="7F7F7F"/>
        </w:rPr>
      </w:pPr>
      <w:r w:rsidRPr="00E30446">
        <w:rPr>
          <w:rFonts w:ascii="Calibri" w:hAnsi="Calibri"/>
          <w:color w:val="7F7F7F"/>
        </w:rPr>
        <w:t>Population by Selected Birthplaces: Greater Dandenong, 2016</w:t>
      </w:r>
    </w:p>
    <w:p w14:paraId="599C3EF9" w14:textId="77777777" w:rsidR="00C62A69" w:rsidRDefault="00C62A69" w:rsidP="00C62A69">
      <w:pPr>
        <w:tabs>
          <w:tab w:val="left" w:pos="284"/>
        </w:tabs>
        <w:spacing w:before="60" w:line="360" w:lineRule="auto"/>
        <w:jc w:val="center"/>
        <w:rPr>
          <w:rFonts w:ascii="Calibri" w:hAnsi="Calibri"/>
          <w:color w:val="000000"/>
          <w:sz w:val="22"/>
          <w:szCs w:val="22"/>
        </w:rPr>
      </w:pPr>
      <w:r w:rsidRPr="00271DF3">
        <w:rPr>
          <w:rFonts w:ascii="Calibri" w:hAnsi="Calibri"/>
          <w:noProof/>
          <w:color w:val="000000"/>
          <w:sz w:val="16"/>
          <w:szCs w:val="16"/>
          <w:lang w:val="en-AU" w:eastAsia="en-AU"/>
        </w:rPr>
        <w:drawing>
          <wp:anchor distT="0" distB="0" distL="114300" distR="114300" simplePos="0" relativeHeight="251665408" behindDoc="0" locked="0" layoutInCell="1" allowOverlap="1" wp14:anchorId="5469BD30" wp14:editId="778BB459">
            <wp:simplePos x="0" y="0"/>
            <wp:positionH relativeFrom="column">
              <wp:posOffset>3243033</wp:posOffset>
            </wp:positionH>
            <wp:positionV relativeFrom="paragraph">
              <wp:posOffset>4898390</wp:posOffset>
            </wp:positionV>
            <wp:extent cx="1919605" cy="1686560"/>
            <wp:effectExtent l="0" t="0" r="0" b="8890"/>
            <wp:wrapNone/>
            <wp:docPr id="1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cstate="print"/>
                    <a:srcRect l="3189" b="4692"/>
                    <a:stretch>
                      <a:fillRect/>
                    </a:stretch>
                  </pic:blipFill>
                  <pic:spPr bwMode="auto">
                    <a:xfrm>
                      <a:off x="0" y="0"/>
                      <a:ext cx="1919605" cy="1686560"/>
                    </a:xfrm>
                    <a:prstGeom prst="rect">
                      <a:avLst/>
                    </a:prstGeom>
                    <a:ln>
                      <a:noFill/>
                    </a:ln>
                    <a:effectLst>
                      <a:softEdge rad="112500"/>
                    </a:effectLst>
                  </pic:spPr>
                </pic:pic>
              </a:graphicData>
            </a:graphic>
          </wp:anchor>
        </w:drawing>
      </w:r>
      <w:r>
        <w:rPr>
          <w:rFonts w:ascii="Calibri" w:hAnsi="Calibri"/>
          <w:noProof/>
          <w:color w:val="000000"/>
          <w:sz w:val="22"/>
          <w:szCs w:val="22"/>
          <w:lang w:val="en-AU" w:eastAsia="en-AU"/>
        </w:rPr>
        <w:drawing>
          <wp:inline distT="0" distB="0" distL="0" distR="0" wp14:anchorId="4592B956" wp14:editId="28DCED96">
            <wp:extent cx="5715000" cy="6802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b="41827"/>
                    <a:stretch>
                      <a:fillRect/>
                    </a:stretch>
                  </pic:blipFill>
                  <pic:spPr bwMode="auto">
                    <a:xfrm>
                      <a:off x="0" y="0"/>
                      <a:ext cx="5721122" cy="6810087"/>
                    </a:xfrm>
                    <a:prstGeom prst="rect">
                      <a:avLst/>
                    </a:prstGeom>
                    <a:noFill/>
                  </pic:spPr>
                </pic:pic>
              </a:graphicData>
            </a:graphic>
          </wp:inline>
        </w:drawing>
      </w:r>
    </w:p>
    <w:p w14:paraId="5A28B59D" w14:textId="77777777" w:rsidR="00C62A69" w:rsidRPr="002F3569" w:rsidRDefault="00C62A69" w:rsidP="00C62A69">
      <w:pPr>
        <w:tabs>
          <w:tab w:val="left" w:pos="284"/>
        </w:tabs>
        <w:jc w:val="both"/>
        <w:rPr>
          <w:rFonts w:ascii="Calibri" w:hAnsi="Calibri"/>
          <w:b/>
          <w:color w:val="000000"/>
          <w:sz w:val="22"/>
          <w:szCs w:val="22"/>
        </w:rPr>
      </w:pPr>
      <w:r w:rsidRPr="002F3569">
        <w:rPr>
          <w:rFonts w:ascii="Calibri" w:hAnsi="Calibri"/>
          <w:b/>
          <w:color w:val="000000"/>
          <w:sz w:val="22"/>
          <w:szCs w:val="22"/>
        </w:rPr>
        <w:lastRenderedPageBreak/>
        <w:t>Geographic Distribution of Cultural Diversity</w:t>
      </w:r>
    </w:p>
    <w:p w14:paraId="66CC3C19" w14:textId="77777777" w:rsidR="00C62A69" w:rsidRDefault="00C62A69" w:rsidP="00C62A69">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The map below depicts the distribution of overseas-born residents across Melbourne, featuring high proportions in Melbourne’s south-east, central Melbourne, and localities in the northern and western suburbs (Australian Bureau of Statistics, 2017d).</w:t>
      </w:r>
    </w:p>
    <w:p w14:paraId="442A72C8" w14:textId="77777777" w:rsidR="00C62A69" w:rsidRPr="002F3569" w:rsidRDefault="00C62A69" w:rsidP="00C62A69">
      <w:pPr>
        <w:tabs>
          <w:tab w:val="left" w:pos="284"/>
        </w:tabs>
        <w:spacing w:before="60" w:line="360" w:lineRule="auto"/>
        <w:jc w:val="both"/>
        <w:rPr>
          <w:rFonts w:ascii="Calibri" w:hAnsi="Calibri"/>
          <w:color w:val="000000"/>
          <w:sz w:val="22"/>
          <w:szCs w:val="22"/>
        </w:rPr>
      </w:pPr>
    </w:p>
    <w:p w14:paraId="2B824B7C" w14:textId="77777777" w:rsidR="00C62A69" w:rsidRPr="004B75A4" w:rsidRDefault="00C62A69" w:rsidP="00C62A69">
      <w:pPr>
        <w:tabs>
          <w:tab w:val="left" w:pos="284"/>
        </w:tabs>
        <w:jc w:val="both"/>
        <w:rPr>
          <w:rFonts w:ascii="Calibri" w:hAnsi="Calibri"/>
          <w:color w:val="7F7F7F"/>
        </w:rPr>
      </w:pPr>
      <w:r w:rsidRPr="004B75A4">
        <w:rPr>
          <w:rFonts w:ascii="Calibri" w:hAnsi="Calibri"/>
          <w:color w:val="7F7F7F"/>
        </w:rPr>
        <w:t>Per cent of Residents Born Overseas: Metropolitan Melbourne, 2016</w:t>
      </w:r>
    </w:p>
    <w:p w14:paraId="40968BF2" w14:textId="77777777" w:rsidR="00C62A69" w:rsidRDefault="00C62A69" w:rsidP="00C62A69">
      <w:pPr>
        <w:tabs>
          <w:tab w:val="left" w:pos="5812"/>
        </w:tabs>
        <w:jc w:val="center"/>
        <w:rPr>
          <w:rFonts w:ascii="Calibri" w:hAnsi="Calibri"/>
          <w:b/>
          <w:color w:val="000000"/>
          <w:sz w:val="22"/>
          <w:szCs w:val="22"/>
        </w:rPr>
      </w:pPr>
      <w:r>
        <w:rPr>
          <w:rFonts w:ascii="Calibri" w:hAnsi="Calibri"/>
          <w:b/>
          <w:noProof/>
          <w:color w:val="000000"/>
          <w:sz w:val="22"/>
          <w:szCs w:val="22"/>
          <w:lang w:val="en-AU" w:eastAsia="en-AU"/>
        </w:rPr>
        <w:drawing>
          <wp:inline distT="0" distB="0" distL="0" distR="0" wp14:anchorId="3E936910" wp14:editId="38324EEC">
            <wp:extent cx="6086475" cy="6391275"/>
            <wp:effectExtent l="0" t="0" r="9525" b="9525"/>
            <wp:docPr id="2" name="Picture 2" descr="M Born Overs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 Born Overseas (%)"/>
                    <pic:cNvPicPr>
                      <a:picLocks noChangeAspect="1" noChangeArrowheads="1"/>
                    </pic:cNvPicPr>
                  </pic:nvPicPr>
                  <pic:blipFill>
                    <a:blip r:embed="rId11" cstate="print">
                      <a:extLst>
                        <a:ext uri="{28A0092B-C50C-407E-A947-70E740481C1C}">
                          <a14:useLocalDpi xmlns:a14="http://schemas.microsoft.com/office/drawing/2010/main" val="0"/>
                        </a:ext>
                      </a:extLst>
                    </a:blip>
                    <a:srcRect l="1869" t="19052" r="1091" b="7048"/>
                    <a:stretch>
                      <a:fillRect/>
                    </a:stretch>
                  </pic:blipFill>
                  <pic:spPr bwMode="auto">
                    <a:xfrm>
                      <a:off x="0" y="0"/>
                      <a:ext cx="6090800" cy="6395817"/>
                    </a:xfrm>
                    <a:prstGeom prst="rect">
                      <a:avLst/>
                    </a:prstGeom>
                    <a:ln>
                      <a:noFill/>
                    </a:ln>
                    <a:effectLst>
                      <a:softEdge rad="112500"/>
                    </a:effectLst>
                  </pic:spPr>
                </pic:pic>
              </a:graphicData>
            </a:graphic>
          </wp:inline>
        </w:drawing>
      </w:r>
    </w:p>
    <w:p w14:paraId="6A8389B8" w14:textId="77777777" w:rsidR="00C62A69" w:rsidRDefault="00C62A69" w:rsidP="00C62A69">
      <w:pPr>
        <w:spacing w:line="360" w:lineRule="auto"/>
        <w:jc w:val="both"/>
        <w:rPr>
          <w:rFonts w:ascii="Calibri" w:hAnsi="Calibri"/>
          <w:sz w:val="22"/>
          <w:szCs w:val="22"/>
        </w:rPr>
      </w:pPr>
    </w:p>
    <w:p w14:paraId="53474AA2" w14:textId="77777777" w:rsidR="00C62A69" w:rsidRDefault="00C62A69" w:rsidP="00C62A69">
      <w:pPr>
        <w:spacing w:line="360" w:lineRule="auto"/>
        <w:jc w:val="both"/>
        <w:rPr>
          <w:rFonts w:ascii="Calibri" w:hAnsi="Calibri"/>
          <w:sz w:val="22"/>
          <w:szCs w:val="22"/>
        </w:rPr>
      </w:pPr>
    </w:p>
    <w:p w14:paraId="71070D2E" w14:textId="77777777" w:rsidR="00C62A69" w:rsidRDefault="00C62A69" w:rsidP="00C62A69">
      <w:pPr>
        <w:spacing w:line="360" w:lineRule="auto"/>
        <w:jc w:val="both"/>
        <w:rPr>
          <w:rFonts w:ascii="Calibri" w:hAnsi="Calibri"/>
          <w:sz w:val="22"/>
          <w:szCs w:val="22"/>
        </w:rPr>
      </w:pPr>
    </w:p>
    <w:p w14:paraId="36917FDE" w14:textId="77777777" w:rsidR="00C62A69" w:rsidRDefault="00C62A69" w:rsidP="00C62A69">
      <w:pPr>
        <w:spacing w:line="360" w:lineRule="auto"/>
        <w:jc w:val="both"/>
        <w:rPr>
          <w:rFonts w:ascii="Calibri" w:hAnsi="Calibri"/>
          <w:sz w:val="22"/>
          <w:szCs w:val="22"/>
        </w:rPr>
      </w:pPr>
    </w:p>
    <w:p w14:paraId="06E33FB1" w14:textId="77777777" w:rsidR="00C62A69" w:rsidRDefault="00C62A69" w:rsidP="00C62A69">
      <w:pPr>
        <w:spacing w:line="360" w:lineRule="auto"/>
        <w:jc w:val="both"/>
        <w:rPr>
          <w:rFonts w:ascii="Calibri" w:hAnsi="Calibri"/>
          <w:sz w:val="22"/>
          <w:szCs w:val="22"/>
        </w:rPr>
      </w:pPr>
    </w:p>
    <w:p w14:paraId="570F2D2F" w14:textId="77777777" w:rsidR="00C62A69" w:rsidRPr="00D4444C" w:rsidRDefault="00C62A69" w:rsidP="00C62A69">
      <w:pPr>
        <w:spacing w:line="360" w:lineRule="auto"/>
        <w:jc w:val="both"/>
        <w:rPr>
          <w:rFonts w:ascii="Calibri" w:hAnsi="Calibri"/>
          <w:sz w:val="22"/>
          <w:szCs w:val="22"/>
        </w:rPr>
      </w:pPr>
      <w:r w:rsidRPr="009F5920">
        <w:rPr>
          <w:rFonts w:ascii="Calibri" w:hAnsi="Calibri"/>
          <w:noProof/>
          <w:sz w:val="22"/>
          <w:szCs w:val="22"/>
          <w:lang w:val="en-AU" w:eastAsia="en-AU"/>
        </w:rPr>
        <w:lastRenderedPageBreak/>
        <w:drawing>
          <wp:anchor distT="0" distB="0" distL="114300" distR="114300" simplePos="0" relativeHeight="251660288" behindDoc="0" locked="0" layoutInCell="1" allowOverlap="1" wp14:anchorId="7D0A91D7" wp14:editId="1989EAB5">
            <wp:simplePos x="0" y="0"/>
            <wp:positionH relativeFrom="column">
              <wp:posOffset>70485</wp:posOffset>
            </wp:positionH>
            <wp:positionV relativeFrom="paragraph">
              <wp:posOffset>1260475</wp:posOffset>
            </wp:positionV>
            <wp:extent cx="3062605" cy="3857625"/>
            <wp:effectExtent l="0" t="0" r="4445" b="9525"/>
            <wp:wrapNone/>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121" t="4029" r="1514" b="11160"/>
                    <a:stretch/>
                  </pic:blipFill>
                  <pic:spPr bwMode="auto">
                    <a:xfrm>
                      <a:off x="0" y="0"/>
                      <a:ext cx="3062605" cy="385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5920">
        <w:rPr>
          <w:rFonts w:ascii="Calibri" w:hAnsi="Calibri"/>
          <w:noProof/>
          <w:sz w:val="22"/>
          <w:szCs w:val="22"/>
          <w:lang w:val="en-AU" w:eastAsia="en-AU"/>
        </w:rPr>
        <w:drawing>
          <wp:anchor distT="0" distB="0" distL="114300" distR="114300" simplePos="0" relativeHeight="251662336" behindDoc="0" locked="0" layoutInCell="1" allowOverlap="1" wp14:anchorId="5AFDD022" wp14:editId="562692E6">
            <wp:simplePos x="0" y="0"/>
            <wp:positionH relativeFrom="column">
              <wp:posOffset>3108960</wp:posOffset>
            </wp:positionH>
            <wp:positionV relativeFrom="paragraph">
              <wp:posOffset>1261110</wp:posOffset>
            </wp:positionV>
            <wp:extent cx="2981325" cy="3860800"/>
            <wp:effectExtent l="0" t="0" r="9525" b="6350"/>
            <wp:wrapNone/>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64" b="5191"/>
                    <a:stretch/>
                  </pic:blipFill>
                  <pic:spPr bwMode="auto">
                    <a:xfrm>
                      <a:off x="0" y="0"/>
                      <a:ext cx="2981325" cy="386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5920">
        <w:rPr>
          <w:rFonts w:ascii="Calibri" w:hAnsi="Calibri"/>
          <w:sz w:val="22"/>
          <w:szCs w:val="22"/>
        </w:rPr>
        <w:t>The maps below</w:t>
      </w:r>
      <w:r w:rsidRPr="00D4444C">
        <w:rPr>
          <w:rFonts w:ascii="Calibri" w:hAnsi="Calibri"/>
          <w:sz w:val="22"/>
          <w:szCs w:val="22"/>
        </w:rPr>
        <w:t xml:space="preserve"> illustrate the extent to which the distribution of some birthplace groups is localized. Residents born in Cambodia or Afghanistan for instance, are largely concentrated in Greater Dandenong and </w:t>
      </w:r>
      <w:proofErr w:type="spellStart"/>
      <w:r w:rsidRPr="00D4444C">
        <w:rPr>
          <w:rFonts w:ascii="Calibri" w:hAnsi="Calibri"/>
          <w:sz w:val="22"/>
          <w:szCs w:val="22"/>
        </w:rPr>
        <w:t>neighbouring</w:t>
      </w:r>
      <w:proofErr w:type="spellEnd"/>
      <w:r w:rsidRPr="00D4444C">
        <w:rPr>
          <w:rFonts w:ascii="Calibri" w:hAnsi="Calibri"/>
          <w:sz w:val="22"/>
          <w:szCs w:val="22"/>
        </w:rPr>
        <w:t xml:space="preserve"> Casey.</w:t>
      </w:r>
      <w:r>
        <w:rPr>
          <w:rFonts w:ascii="Calibri" w:hAnsi="Calibri"/>
          <w:sz w:val="22"/>
          <w:szCs w:val="22"/>
        </w:rPr>
        <w:t xml:space="preserve"> Residents from India are widely distributed across the south-east, northern and western suburbs, while substantial numbers of Sudanese-born residents live in the south-east and in Wyndham and Brimbank in Melbourne’s north-west.</w:t>
      </w:r>
    </w:p>
    <w:p w14:paraId="7C4553A4" w14:textId="77777777" w:rsidR="00C62A69" w:rsidRDefault="00C62A69" w:rsidP="00C62A69"/>
    <w:p w14:paraId="0AA6A62E" w14:textId="77777777" w:rsidR="00C62A69" w:rsidRDefault="00C62A69" w:rsidP="00C62A69"/>
    <w:p w14:paraId="3641DFE5" w14:textId="77777777" w:rsidR="00C62A69" w:rsidRDefault="00C62A69" w:rsidP="00C62A69"/>
    <w:p w14:paraId="18371BFA" w14:textId="77777777" w:rsidR="00C62A69" w:rsidRDefault="00C62A69" w:rsidP="00C62A69"/>
    <w:p w14:paraId="1538F9C0" w14:textId="77777777" w:rsidR="00C62A69" w:rsidRDefault="00C62A69" w:rsidP="00C62A69"/>
    <w:p w14:paraId="45D1E981" w14:textId="77777777" w:rsidR="00C62A69" w:rsidRDefault="00C62A69" w:rsidP="00C62A69"/>
    <w:p w14:paraId="20F7E0E4" w14:textId="77777777" w:rsidR="00C62A69" w:rsidRDefault="00C62A69" w:rsidP="00C62A69"/>
    <w:p w14:paraId="607B5B4D" w14:textId="77777777" w:rsidR="00C62A69" w:rsidRDefault="00C62A69" w:rsidP="00C62A69"/>
    <w:p w14:paraId="776A75F5" w14:textId="77777777" w:rsidR="00C62A69" w:rsidRDefault="00C62A69" w:rsidP="00C62A69"/>
    <w:p w14:paraId="4A3C21CD" w14:textId="77777777" w:rsidR="00C62A69" w:rsidRDefault="00C62A69" w:rsidP="00C62A69"/>
    <w:p w14:paraId="7FE9A197" w14:textId="77777777" w:rsidR="00C62A69" w:rsidRDefault="00C62A69" w:rsidP="00C62A69"/>
    <w:p w14:paraId="40E9222E" w14:textId="77777777" w:rsidR="00C62A69" w:rsidRDefault="00C62A69" w:rsidP="00C62A69"/>
    <w:p w14:paraId="4AD11028" w14:textId="77777777" w:rsidR="00C62A69" w:rsidRDefault="00C62A69" w:rsidP="00C62A69"/>
    <w:p w14:paraId="5165B961" w14:textId="77777777" w:rsidR="00C62A69" w:rsidRDefault="00C62A69" w:rsidP="00C62A69"/>
    <w:p w14:paraId="468598D4" w14:textId="77777777" w:rsidR="00C62A69" w:rsidRDefault="00C62A69" w:rsidP="00C62A69"/>
    <w:p w14:paraId="0E44C7A6" w14:textId="77777777" w:rsidR="00C62A69" w:rsidRDefault="00C62A69" w:rsidP="00C62A69"/>
    <w:p w14:paraId="7FABDB7B" w14:textId="77777777" w:rsidR="00C62A69" w:rsidRDefault="00C62A69" w:rsidP="00C62A69"/>
    <w:p w14:paraId="7F0FF604" w14:textId="77777777" w:rsidR="00C62A69" w:rsidRDefault="00C62A69" w:rsidP="00C62A69"/>
    <w:p w14:paraId="225DECDE" w14:textId="77777777" w:rsidR="00C62A69" w:rsidRDefault="00C62A69" w:rsidP="00C62A69"/>
    <w:p w14:paraId="0854CC68" w14:textId="77777777" w:rsidR="00C62A69" w:rsidRDefault="00C62A69" w:rsidP="00C62A69"/>
    <w:p w14:paraId="38325765" w14:textId="77777777" w:rsidR="00C62A69" w:rsidRDefault="00C62A69" w:rsidP="00C62A69"/>
    <w:p w14:paraId="7E4F9E92" w14:textId="77777777" w:rsidR="00C62A69" w:rsidRDefault="00C62A69" w:rsidP="00C62A69"/>
    <w:p w14:paraId="4F8341EC" w14:textId="77777777" w:rsidR="00C62A69" w:rsidRDefault="00C62A69" w:rsidP="00C62A69"/>
    <w:p w14:paraId="7984D060" w14:textId="77777777" w:rsidR="00C62A69" w:rsidRDefault="00C62A69" w:rsidP="00C62A69"/>
    <w:p w14:paraId="773AE450" w14:textId="77777777" w:rsidR="00C62A69" w:rsidRDefault="00C62A69" w:rsidP="00C62A69"/>
    <w:p w14:paraId="2955D191" w14:textId="77777777" w:rsidR="00C62A69" w:rsidRDefault="00C62A69" w:rsidP="00C62A69"/>
    <w:p w14:paraId="5C556EEE" w14:textId="77777777" w:rsidR="00C62A69" w:rsidRDefault="00C62A69" w:rsidP="00C62A69">
      <w:r>
        <w:rPr>
          <w:noProof/>
          <w:lang w:val="en-AU" w:eastAsia="en-AU"/>
        </w:rPr>
        <w:drawing>
          <wp:anchor distT="0" distB="0" distL="114300" distR="114300" simplePos="0" relativeHeight="251669504" behindDoc="0" locked="0" layoutInCell="1" allowOverlap="1" wp14:anchorId="20DE66A3" wp14:editId="0F142FF8">
            <wp:simplePos x="0" y="0"/>
            <wp:positionH relativeFrom="column">
              <wp:posOffset>3203575</wp:posOffset>
            </wp:positionH>
            <wp:positionV relativeFrom="paragraph">
              <wp:posOffset>103505</wp:posOffset>
            </wp:positionV>
            <wp:extent cx="2886075" cy="4166235"/>
            <wp:effectExtent l="0" t="0" r="952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Born Sudan (%).jpg"/>
                    <pic:cNvPicPr/>
                  </pic:nvPicPr>
                  <pic:blipFill rotWithShape="1">
                    <a:blip r:embed="rId14" cstate="print">
                      <a:extLst>
                        <a:ext uri="{28A0092B-C50C-407E-A947-70E740481C1C}">
                          <a14:useLocalDpi xmlns:a14="http://schemas.microsoft.com/office/drawing/2010/main" val="0"/>
                        </a:ext>
                      </a:extLst>
                    </a:blip>
                    <a:srcRect l="2885" t="1814" r="1923" b="4974"/>
                    <a:stretch/>
                  </pic:blipFill>
                  <pic:spPr bwMode="auto">
                    <a:xfrm>
                      <a:off x="0" y="0"/>
                      <a:ext cx="2886075" cy="416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67456" behindDoc="0" locked="0" layoutInCell="1" allowOverlap="1" wp14:anchorId="1480EBC7" wp14:editId="30E1EAFD">
            <wp:simplePos x="0" y="0"/>
            <wp:positionH relativeFrom="column">
              <wp:posOffset>70485</wp:posOffset>
            </wp:positionH>
            <wp:positionV relativeFrom="paragraph">
              <wp:posOffset>84455</wp:posOffset>
            </wp:positionV>
            <wp:extent cx="3028950" cy="4171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Born India (%).jpg"/>
                    <pic:cNvPicPr/>
                  </pic:nvPicPr>
                  <pic:blipFill rotWithShape="1">
                    <a:blip r:embed="rId15" cstate="print">
                      <a:extLst>
                        <a:ext uri="{28A0092B-C50C-407E-A947-70E740481C1C}">
                          <a14:useLocalDpi xmlns:a14="http://schemas.microsoft.com/office/drawing/2010/main" val="0"/>
                        </a:ext>
                      </a:extLst>
                    </a:blip>
                    <a:srcRect l="2410" t="1279" r="1768" b="5330"/>
                    <a:stretch/>
                  </pic:blipFill>
                  <pic:spPr bwMode="auto">
                    <a:xfrm>
                      <a:off x="0" y="0"/>
                      <a:ext cx="3028950" cy="417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D96B2" w14:textId="77777777" w:rsidR="00C62A69" w:rsidRDefault="00C62A69" w:rsidP="00C62A69"/>
    <w:p w14:paraId="56DB1CA1" w14:textId="77777777" w:rsidR="00C62A69" w:rsidRDefault="00C62A69" w:rsidP="00C62A69"/>
    <w:p w14:paraId="2EE630E5" w14:textId="77777777" w:rsidR="00C62A69" w:rsidRDefault="00C62A69" w:rsidP="00C62A69"/>
    <w:p w14:paraId="4FEE83F4" w14:textId="77777777" w:rsidR="00C62A69" w:rsidRDefault="00C62A69" w:rsidP="00C62A69"/>
    <w:p w14:paraId="0C48FB6A" w14:textId="77777777" w:rsidR="00C62A69" w:rsidRDefault="00C62A69" w:rsidP="00C62A69"/>
    <w:p w14:paraId="66E1C7D4" w14:textId="77777777" w:rsidR="00C62A69" w:rsidRDefault="00C62A69" w:rsidP="00C62A69"/>
    <w:p w14:paraId="7EBC044D" w14:textId="77777777" w:rsidR="00C62A69" w:rsidRDefault="00C62A69" w:rsidP="00C62A69"/>
    <w:p w14:paraId="0DFDFA95" w14:textId="77777777" w:rsidR="00C62A69" w:rsidRDefault="00C62A69" w:rsidP="00C62A69"/>
    <w:p w14:paraId="6382DC4D" w14:textId="77777777" w:rsidR="00C62A69" w:rsidRDefault="00C62A69" w:rsidP="00C62A69"/>
    <w:p w14:paraId="2E4A5C53" w14:textId="77777777" w:rsidR="00C62A69" w:rsidRDefault="00C62A69" w:rsidP="00C62A69"/>
    <w:p w14:paraId="75C4BAA2" w14:textId="77777777" w:rsidR="00C62A69" w:rsidRDefault="00C62A69" w:rsidP="00C62A69"/>
    <w:p w14:paraId="1738DAEE" w14:textId="77777777" w:rsidR="00C62A69" w:rsidRDefault="00C62A69" w:rsidP="00C62A69"/>
    <w:p w14:paraId="7B339C85" w14:textId="77777777" w:rsidR="00C62A69" w:rsidRDefault="00C62A69" w:rsidP="00C62A69"/>
    <w:p w14:paraId="0608A623" w14:textId="77777777" w:rsidR="00C62A69" w:rsidRDefault="00C62A69" w:rsidP="00C62A69"/>
    <w:p w14:paraId="14DA3E18" w14:textId="77777777" w:rsidR="00C62A69" w:rsidRDefault="00C62A69" w:rsidP="00C62A69"/>
    <w:p w14:paraId="138CED19" w14:textId="77777777" w:rsidR="00C62A69" w:rsidRDefault="00C62A69" w:rsidP="00C62A69"/>
    <w:p w14:paraId="20708B69" w14:textId="77777777" w:rsidR="00C62A69" w:rsidRDefault="00C62A69" w:rsidP="00C62A69"/>
    <w:p w14:paraId="18A0FEE2" w14:textId="77777777" w:rsidR="00C62A69" w:rsidRDefault="00C62A69" w:rsidP="00C62A69"/>
    <w:p w14:paraId="735EDF5E" w14:textId="77777777" w:rsidR="00C62A69" w:rsidRDefault="00C62A69" w:rsidP="00C62A69"/>
    <w:p w14:paraId="19AC0CFE" w14:textId="77777777" w:rsidR="00C62A69" w:rsidRDefault="00C62A69" w:rsidP="00C62A69"/>
    <w:p w14:paraId="787B18DA" w14:textId="77777777" w:rsidR="00C62A69" w:rsidRDefault="00C62A69" w:rsidP="00C62A69">
      <w:pPr>
        <w:tabs>
          <w:tab w:val="left" w:pos="5812"/>
        </w:tabs>
        <w:jc w:val="both"/>
        <w:rPr>
          <w:rFonts w:ascii="Calibri" w:hAnsi="Calibri"/>
          <w:b/>
          <w:color w:val="000000"/>
          <w:sz w:val="22"/>
          <w:szCs w:val="22"/>
        </w:rPr>
      </w:pPr>
    </w:p>
    <w:p w14:paraId="25756652" w14:textId="77777777" w:rsidR="00C62A69" w:rsidRDefault="00C62A69" w:rsidP="00C62A69">
      <w:pPr>
        <w:tabs>
          <w:tab w:val="left" w:pos="5812"/>
        </w:tabs>
        <w:jc w:val="both"/>
        <w:rPr>
          <w:rFonts w:ascii="Calibri" w:hAnsi="Calibri"/>
          <w:b/>
          <w:color w:val="000000"/>
          <w:sz w:val="22"/>
          <w:szCs w:val="22"/>
        </w:rPr>
      </w:pPr>
    </w:p>
    <w:p w14:paraId="23E32CD6" w14:textId="77777777" w:rsidR="00C62A69" w:rsidRDefault="00C62A69" w:rsidP="00C62A69">
      <w:pPr>
        <w:tabs>
          <w:tab w:val="left" w:pos="5812"/>
        </w:tabs>
        <w:jc w:val="both"/>
        <w:rPr>
          <w:rFonts w:ascii="Calibri" w:hAnsi="Calibri"/>
          <w:b/>
          <w:color w:val="000000"/>
          <w:sz w:val="22"/>
          <w:szCs w:val="22"/>
        </w:rPr>
      </w:pPr>
    </w:p>
    <w:p w14:paraId="5D3BC76F" w14:textId="77777777" w:rsidR="00C62A69" w:rsidRDefault="00C62A69" w:rsidP="00C62A69">
      <w:pPr>
        <w:tabs>
          <w:tab w:val="left" w:pos="5812"/>
        </w:tabs>
        <w:jc w:val="both"/>
        <w:rPr>
          <w:rFonts w:ascii="Calibri" w:hAnsi="Calibri"/>
          <w:b/>
          <w:color w:val="000000"/>
          <w:sz w:val="22"/>
          <w:szCs w:val="22"/>
        </w:rPr>
      </w:pPr>
    </w:p>
    <w:p w14:paraId="595EE848" w14:textId="77777777" w:rsidR="00C62A69" w:rsidRDefault="00C62A69" w:rsidP="00C62A69">
      <w:pPr>
        <w:tabs>
          <w:tab w:val="left" w:pos="5812"/>
        </w:tabs>
        <w:jc w:val="both"/>
        <w:rPr>
          <w:rFonts w:ascii="Calibri" w:hAnsi="Calibri"/>
          <w:b/>
          <w:color w:val="000000"/>
          <w:sz w:val="22"/>
          <w:szCs w:val="22"/>
        </w:rPr>
      </w:pPr>
    </w:p>
    <w:p w14:paraId="2901EEC5" w14:textId="77777777" w:rsidR="00C62A69" w:rsidRDefault="00C62A69" w:rsidP="00C62A69">
      <w:pPr>
        <w:tabs>
          <w:tab w:val="left" w:pos="5812"/>
        </w:tabs>
        <w:jc w:val="both"/>
        <w:rPr>
          <w:rFonts w:ascii="Calibri" w:hAnsi="Calibri"/>
          <w:b/>
          <w:color w:val="000000"/>
          <w:sz w:val="22"/>
          <w:szCs w:val="22"/>
        </w:rPr>
      </w:pPr>
    </w:p>
    <w:p w14:paraId="4A31C286" w14:textId="77777777" w:rsidR="00C62A69" w:rsidRDefault="00C62A69" w:rsidP="00C62A69">
      <w:pPr>
        <w:tabs>
          <w:tab w:val="left" w:pos="5812"/>
        </w:tabs>
        <w:jc w:val="both"/>
        <w:rPr>
          <w:rFonts w:ascii="Calibri" w:hAnsi="Calibri"/>
          <w:b/>
          <w:color w:val="000000"/>
          <w:sz w:val="22"/>
          <w:szCs w:val="22"/>
        </w:rPr>
      </w:pPr>
      <w:proofErr w:type="gramStart"/>
      <w:r>
        <w:rPr>
          <w:rFonts w:ascii="Calibri" w:hAnsi="Calibri"/>
          <w:b/>
          <w:color w:val="000000"/>
          <w:sz w:val="22"/>
          <w:szCs w:val="22"/>
        </w:rPr>
        <w:lastRenderedPageBreak/>
        <w:t>Recently-arrived</w:t>
      </w:r>
      <w:proofErr w:type="gramEnd"/>
      <w:r>
        <w:rPr>
          <w:rFonts w:ascii="Calibri" w:hAnsi="Calibri"/>
          <w:b/>
          <w:color w:val="000000"/>
          <w:sz w:val="22"/>
          <w:szCs w:val="22"/>
        </w:rPr>
        <w:t xml:space="preserve"> Residents                   </w:t>
      </w:r>
      <w:proofErr w:type="spellStart"/>
      <w:r w:rsidRPr="00E30446">
        <w:rPr>
          <w:rFonts w:ascii="Calibri" w:hAnsi="Calibri"/>
          <w:color w:val="7F7F7F"/>
        </w:rPr>
        <w:t>Residents</w:t>
      </w:r>
      <w:proofErr w:type="spellEnd"/>
      <w:r w:rsidRPr="00E30446">
        <w:rPr>
          <w:rFonts w:ascii="Calibri" w:hAnsi="Calibri"/>
          <w:color w:val="7F7F7F"/>
        </w:rPr>
        <w:t xml:space="preserve"> who had arrived in Australia in the past 18 months, by birthplace</w:t>
      </w:r>
    </w:p>
    <w:p w14:paraId="7200690A" w14:textId="77777777" w:rsidR="00C62A69" w:rsidRDefault="00C62A69" w:rsidP="00C62A69">
      <w:pPr>
        <w:tabs>
          <w:tab w:val="left" w:pos="284"/>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6600C081" wp14:editId="45E5F17A">
            <wp:simplePos x="0" y="0"/>
            <wp:positionH relativeFrom="column">
              <wp:posOffset>1885315</wp:posOffset>
            </wp:positionH>
            <wp:positionV relativeFrom="paragraph">
              <wp:posOffset>90170</wp:posOffset>
            </wp:positionV>
            <wp:extent cx="4185285" cy="3238500"/>
            <wp:effectExtent l="0" t="0" r="5715"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a:extLst>
                        <a:ext uri="{28A0092B-C50C-407E-A947-70E740481C1C}">
                          <a14:useLocalDpi xmlns:a14="http://schemas.microsoft.com/office/drawing/2010/main" val="0"/>
                        </a:ext>
                      </a:extLst>
                    </a:blip>
                    <a:srcRect l="2264" r="4829"/>
                    <a:stretch>
                      <a:fillRect/>
                    </a:stretch>
                  </pic:blipFill>
                  <pic:spPr bwMode="auto">
                    <a:xfrm>
                      <a:off x="0" y="0"/>
                      <a:ext cx="4185285" cy="32385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color w:val="000000"/>
          <w:sz w:val="22"/>
          <w:szCs w:val="22"/>
          <w:lang w:val="en-AU" w:eastAsia="en-AU"/>
        </w:rPr>
        <w:drawing>
          <wp:anchor distT="0" distB="0" distL="114300" distR="114300" simplePos="0" relativeHeight="251666432" behindDoc="0" locked="0" layoutInCell="1" allowOverlap="1" wp14:anchorId="216D9C48" wp14:editId="05112A29">
            <wp:simplePos x="0" y="0"/>
            <wp:positionH relativeFrom="column">
              <wp:posOffset>4156710</wp:posOffset>
            </wp:positionH>
            <wp:positionV relativeFrom="paragraph">
              <wp:posOffset>2027398</wp:posOffset>
            </wp:positionV>
            <wp:extent cx="1865862" cy="13012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7.jpg"/>
                    <pic:cNvPicPr/>
                  </pic:nvPicPr>
                  <pic:blipFill>
                    <a:blip r:embed="rId17">
                      <a:extLst>
                        <a:ext uri="{28A0092B-C50C-407E-A947-70E740481C1C}">
                          <a14:useLocalDpi xmlns:a14="http://schemas.microsoft.com/office/drawing/2010/main" val="0"/>
                        </a:ext>
                      </a:extLst>
                    </a:blip>
                    <a:stretch>
                      <a:fillRect/>
                    </a:stretch>
                  </pic:blipFill>
                  <pic:spPr>
                    <a:xfrm>
                      <a:off x="0" y="0"/>
                      <a:ext cx="1866706" cy="1301861"/>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The 2016 Census recorded that approximately 9,740 residents of Greater Dandenong had arrived in Australia after 2014, representing 6.4% of the population – the third highest proportion in Victoria. Among these new arrivals, 28% were born in India, 7% to 8% were from each of Afghanistan, Cambodia, Sri Lanka and Vietnam, and others were from nations such as China, Malaysia, Pakistan, Philippines and Thailand. Together, these ten nations account for over four-fifths (81%) of residents who had arrived in Australia during the 18 months prior to the 2016 Census.</w:t>
      </w:r>
    </w:p>
    <w:p w14:paraId="14CAA716" w14:textId="77777777" w:rsidR="00C62A69" w:rsidRDefault="00C62A69" w:rsidP="00C62A69">
      <w:pPr>
        <w:tabs>
          <w:tab w:val="left" w:pos="5812"/>
        </w:tabs>
        <w:spacing w:after="80"/>
        <w:jc w:val="both"/>
        <w:rPr>
          <w:rFonts w:ascii="Calibri" w:hAnsi="Calibri"/>
          <w:b/>
          <w:color w:val="000000"/>
          <w:sz w:val="22"/>
          <w:szCs w:val="22"/>
        </w:rPr>
      </w:pPr>
    </w:p>
    <w:p w14:paraId="3D78B39C" w14:textId="77777777" w:rsidR="00C62A69" w:rsidRDefault="00C62A69" w:rsidP="00C62A69">
      <w:pPr>
        <w:tabs>
          <w:tab w:val="left" w:pos="5812"/>
        </w:tabs>
        <w:spacing w:after="80"/>
        <w:jc w:val="both"/>
        <w:rPr>
          <w:rFonts w:ascii="Calibri" w:hAnsi="Calibri"/>
          <w:b/>
          <w:color w:val="000000"/>
          <w:sz w:val="22"/>
          <w:szCs w:val="22"/>
        </w:rPr>
      </w:pPr>
      <w:r>
        <w:rPr>
          <w:rFonts w:ascii="Calibri" w:hAnsi="Calibri"/>
          <w:b/>
          <w:color w:val="000000"/>
          <w:sz w:val="22"/>
          <w:szCs w:val="22"/>
        </w:rPr>
        <w:t>S</w:t>
      </w:r>
      <w:r w:rsidRPr="00330EA5">
        <w:rPr>
          <w:rFonts w:ascii="Calibri" w:hAnsi="Calibri"/>
          <w:b/>
          <w:color w:val="000000"/>
          <w:sz w:val="22"/>
          <w:szCs w:val="22"/>
        </w:rPr>
        <w:t>ettlement</w:t>
      </w:r>
    </w:p>
    <w:p w14:paraId="5A8F3F7D" w14:textId="77777777" w:rsidR="00C62A69" w:rsidRDefault="00C62A69" w:rsidP="00C62A69">
      <w:pPr>
        <w:tabs>
          <w:tab w:val="left" w:pos="5812"/>
        </w:tabs>
        <w:spacing w:line="360" w:lineRule="auto"/>
        <w:jc w:val="both"/>
        <w:rPr>
          <w:rFonts w:ascii="Calibri" w:hAnsi="Calibri"/>
          <w:color w:val="000000"/>
          <w:sz w:val="22"/>
          <w:szCs w:val="22"/>
        </w:rPr>
      </w:pPr>
      <w:r>
        <w:rPr>
          <w:rFonts w:ascii="Calibri" w:hAnsi="Calibri"/>
          <w:color w:val="000000"/>
          <w:sz w:val="22"/>
          <w:szCs w:val="22"/>
        </w:rPr>
        <w:t>In 2019/20, 4,092 people who had migrated from overseas settled in Greater Dandenong – the fourth highest level of settlement in Victoria (after Melbourne, Wyndham and Casey). Among them over half (57%) had arrived under immigration provisions, 37% under family reunion schemes, and 6% as humanitarian arrivals – a decline from 2011/12, when a third of settlers had arrived under humanitarian arrangements.</w:t>
      </w:r>
    </w:p>
    <w:p w14:paraId="448373C1" w14:textId="77777777" w:rsidR="00C62A69" w:rsidRDefault="00C62A69" w:rsidP="00C62A69">
      <w:pPr>
        <w:spacing w:line="360" w:lineRule="auto"/>
        <w:jc w:val="both"/>
        <w:rPr>
          <w:rFonts w:ascii="Calibri" w:hAnsi="Calibri"/>
          <w:sz w:val="22"/>
          <w:szCs w:val="22"/>
        </w:rPr>
      </w:pPr>
      <w:r w:rsidRPr="00CE44E3">
        <w:rPr>
          <w:rFonts w:ascii="Calibri" w:hAnsi="Calibri"/>
          <w:sz w:val="22"/>
          <w:szCs w:val="22"/>
        </w:rPr>
        <w:t xml:space="preserve">A </w:t>
      </w:r>
      <w:r>
        <w:rPr>
          <w:rFonts w:ascii="Calibri" w:hAnsi="Calibri"/>
          <w:sz w:val="22"/>
          <w:szCs w:val="22"/>
        </w:rPr>
        <w:t>notable</w:t>
      </w:r>
      <w:r w:rsidRPr="00CE44E3">
        <w:rPr>
          <w:rFonts w:ascii="Calibri" w:hAnsi="Calibri"/>
          <w:sz w:val="22"/>
          <w:szCs w:val="22"/>
        </w:rPr>
        <w:t xml:space="preserve"> feature of </w:t>
      </w:r>
      <w:r>
        <w:rPr>
          <w:rFonts w:ascii="Calibri" w:hAnsi="Calibri"/>
          <w:sz w:val="22"/>
          <w:szCs w:val="22"/>
        </w:rPr>
        <w:t>current, local</w:t>
      </w:r>
      <w:r w:rsidRPr="00CE44E3">
        <w:rPr>
          <w:rFonts w:ascii="Calibri" w:hAnsi="Calibri"/>
          <w:sz w:val="22"/>
          <w:szCs w:val="22"/>
        </w:rPr>
        <w:t xml:space="preserve"> settlement patterns is </w:t>
      </w:r>
      <w:r>
        <w:rPr>
          <w:rFonts w:ascii="Calibri" w:hAnsi="Calibri"/>
          <w:sz w:val="22"/>
          <w:szCs w:val="22"/>
        </w:rPr>
        <w:t>a</w:t>
      </w:r>
      <w:r w:rsidRPr="00CE44E3">
        <w:rPr>
          <w:rFonts w:ascii="Calibri" w:hAnsi="Calibri"/>
          <w:sz w:val="22"/>
          <w:szCs w:val="22"/>
        </w:rPr>
        <w:t xml:space="preserve"> </w:t>
      </w:r>
      <w:r>
        <w:rPr>
          <w:rFonts w:ascii="Calibri" w:hAnsi="Calibri"/>
          <w:sz w:val="22"/>
          <w:szCs w:val="22"/>
        </w:rPr>
        <w:t>rise</w:t>
      </w:r>
      <w:r w:rsidRPr="00CE44E3">
        <w:rPr>
          <w:rFonts w:ascii="Calibri" w:hAnsi="Calibri"/>
          <w:sz w:val="22"/>
          <w:szCs w:val="22"/>
        </w:rPr>
        <w:t xml:space="preserve"> in recent years. </w:t>
      </w:r>
      <w:r>
        <w:rPr>
          <w:rFonts w:ascii="Calibri" w:hAnsi="Calibri"/>
          <w:sz w:val="22"/>
          <w:szCs w:val="22"/>
        </w:rPr>
        <w:t>From</w:t>
      </w:r>
      <w:r w:rsidRPr="00CE44E3">
        <w:rPr>
          <w:rFonts w:ascii="Calibri" w:hAnsi="Calibri"/>
          <w:sz w:val="22"/>
          <w:szCs w:val="22"/>
        </w:rPr>
        <w:t xml:space="preserve"> 2011/12 to 20</w:t>
      </w:r>
      <w:r>
        <w:rPr>
          <w:rFonts w:ascii="Calibri" w:hAnsi="Calibri"/>
          <w:sz w:val="22"/>
          <w:szCs w:val="22"/>
        </w:rPr>
        <w:t>19</w:t>
      </w:r>
      <w:r w:rsidRPr="00CE44E3">
        <w:rPr>
          <w:rFonts w:ascii="Calibri" w:hAnsi="Calibri"/>
          <w:sz w:val="22"/>
          <w:szCs w:val="22"/>
        </w:rPr>
        <w:t>/</w:t>
      </w:r>
      <w:r>
        <w:rPr>
          <w:rFonts w:ascii="Calibri" w:hAnsi="Calibri"/>
          <w:sz w:val="22"/>
          <w:szCs w:val="22"/>
        </w:rPr>
        <w:t>20</w:t>
      </w:r>
      <w:r w:rsidRPr="00CE44E3">
        <w:rPr>
          <w:rFonts w:ascii="Calibri" w:hAnsi="Calibri"/>
          <w:sz w:val="22"/>
          <w:szCs w:val="22"/>
        </w:rPr>
        <w:t xml:space="preserve">, the annual rate of settlement into Greater Dandenong </w:t>
      </w:r>
      <w:r>
        <w:rPr>
          <w:rFonts w:ascii="Calibri" w:hAnsi="Calibri"/>
          <w:sz w:val="22"/>
          <w:szCs w:val="22"/>
        </w:rPr>
        <w:t xml:space="preserve">rose by 50%, from </w:t>
      </w:r>
      <w:r w:rsidRPr="00CE44E3">
        <w:rPr>
          <w:rFonts w:ascii="Calibri" w:hAnsi="Calibri"/>
          <w:sz w:val="22"/>
          <w:szCs w:val="22"/>
        </w:rPr>
        <w:t xml:space="preserve">2,737 to </w:t>
      </w:r>
      <w:r>
        <w:rPr>
          <w:rFonts w:ascii="Calibri" w:hAnsi="Calibri"/>
          <w:sz w:val="22"/>
          <w:szCs w:val="22"/>
        </w:rPr>
        <w:t xml:space="preserve">4,092. </w:t>
      </w:r>
    </w:p>
    <w:p w14:paraId="01FC88AF" w14:textId="77777777" w:rsidR="00C62A69" w:rsidRDefault="00C62A69" w:rsidP="00C62A69">
      <w:pPr>
        <w:tabs>
          <w:tab w:val="left" w:pos="5812"/>
        </w:tabs>
        <w:spacing w:line="360" w:lineRule="auto"/>
        <w:jc w:val="both"/>
        <w:rPr>
          <w:rFonts w:ascii="Calibri" w:hAnsi="Calibri"/>
          <w:color w:val="000000"/>
          <w:sz w:val="22"/>
          <w:szCs w:val="22"/>
        </w:rPr>
      </w:pPr>
      <w:r>
        <w:rPr>
          <w:rFonts w:ascii="Calibri" w:hAnsi="Calibri"/>
          <w:color w:val="000000"/>
          <w:sz w:val="22"/>
          <w:szCs w:val="22"/>
        </w:rPr>
        <w:t>In 2019/20, over four-fifths (84%) of settlers across Victoria were aged less than 35 years, and just over half (54%) were females. Most were from countries such as India, accounting for 25%, as well as China, Vietnam, Philippines, Sri Lanka, Pakistan and Nepal – which together accounted for over half of all settlement during that year</w:t>
      </w:r>
    </w:p>
    <w:p w14:paraId="501465AF" w14:textId="77777777" w:rsidR="00C62A69" w:rsidRDefault="00C62A69" w:rsidP="00C62A69">
      <w:pPr>
        <w:tabs>
          <w:tab w:val="left" w:pos="5812"/>
        </w:tabs>
        <w:spacing w:line="360" w:lineRule="auto"/>
        <w:jc w:val="both"/>
        <w:rPr>
          <w:rFonts w:ascii="Calibri" w:hAnsi="Calibri"/>
          <w:b/>
          <w:color w:val="000000"/>
          <w:sz w:val="22"/>
          <w:szCs w:val="22"/>
        </w:rPr>
      </w:pPr>
      <w:r>
        <w:rPr>
          <w:noProof/>
          <w:lang w:val="en-AU" w:eastAsia="en-AU"/>
        </w:rPr>
        <w:drawing>
          <wp:anchor distT="0" distB="0" distL="114300" distR="114300" simplePos="0" relativeHeight="251664384" behindDoc="0" locked="0" layoutInCell="1" allowOverlap="1" wp14:anchorId="7E8B1C9D" wp14:editId="39D5BC4E">
            <wp:simplePos x="0" y="0"/>
            <wp:positionH relativeFrom="margin">
              <wp:posOffset>3210877</wp:posOffset>
            </wp:positionH>
            <wp:positionV relativeFrom="paragraph">
              <wp:posOffset>114935</wp:posOffset>
            </wp:positionV>
            <wp:extent cx="2868295" cy="1642745"/>
            <wp:effectExtent l="0" t="0" r="825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l="8855" t="5278" r="3386" b="5371"/>
                    <a:stretch>
                      <a:fillRect/>
                    </a:stretch>
                  </pic:blipFill>
                  <pic:spPr bwMode="auto">
                    <a:xfrm>
                      <a:off x="0" y="0"/>
                      <a:ext cx="2868295"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In the year 2016/17, the latest year for which more detailed, local information is available, A quarter of the settlers in Greater Dandenong were humanitarian migrants, numbering 388 – fewer than half the 750 who settled in Greater Dandenong in 2010/11 – though still the sixth highest number in Victoria.</w:t>
      </w:r>
    </w:p>
    <w:p w14:paraId="398DC8B0" w14:textId="77777777" w:rsidR="00C62A69" w:rsidRPr="00CF4B40" w:rsidRDefault="00C62A69" w:rsidP="00C62A69">
      <w:pPr>
        <w:tabs>
          <w:tab w:val="left" w:pos="5812"/>
        </w:tabs>
        <w:jc w:val="both"/>
        <w:rPr>
          <w:rFonts w:ascii="Calibri" w:hAnsi="Calibri"/>
          <w:b/>
          <w:color w:val="000000"/>
          <w:sz w:val="12"/>
          <w:szCs w:val="12"/>
        </w:rPr>
      </w:pPr>
    </w:p>
    <w:p w14:paraId="0F58D7D0" w14:textId="77777777" w:rsidR="00C62A69" w:rsidRPr="00CE5BA2" w:rsidRDefault="00C62A69" w:rsidP="00C62A69">
      <w:pPr>
        <w:tabs>
          <w:tab w:val="left" w:pos="5812"/>
        </w:tabs>
        <w:jc w:val="both"/>
        <w:rPr>
          <w:rFonts w:ascii="Calibri" w:hAnsi="Calibri"/>
          <w:color w:val="7F7F7F"/>
          <w:sz w:val="22"/>
          <w:szCs w:val="22"/>
        </w:rPr>
      </w:pPr>
      <w:r w:rsidRPr="00113121">
        <w:rPr>
          <w:rFonts w:ascii="Calibri" w:hAnsi="Calibri"/>
          <w:color w:val="7F7F7F"/>
        </w:rPr>
        <w:t xml:space="preserve">Settlement by </w:t>
      </w:r>
      <w:r>
        <w:rPr>
          <w:rFonts w:ascii="Calibri" w:hAnsi="Calibri"/>
          <w:color w:val="7F7F7F"/>
        </w:rPr>
        <w:t>Migration Stream</w:t>
      </w:r>
      <w:r w:rsidRPr="00113121">
        <w:rPr>
          <w:rFonts w:ascii="Calibri" w:hAnsi="Calibri"/>
          <w:color w:val="7F7F7F"/>
        </w:rPr>
        <w:t xml:space="preserve">: Greater Dandenong, </w:t>
      </w:r>
      <w:r>
        <w:rPr>
          <w:rFonts w:ascii="Calibri" w:hAnsi="Calibri"/>
          <w:color w:val="7F7F7F"/>
        </w:rPr>
        <w:t>2015/16</w:t>
      </w:r>
    </w:p>
    <w:p w14:paraId="5E5C122A" w14:textId="77777777" w:rsidR="00C62A69" w:rsidRDefault="00C62A69" w:rsidP="00C62A69">
      <w:pPr>
        <w:jc w:val="both"/>
        <w:rPr>
          <w:rFonts w:ascii="Calibri" w:hAnsi="Calibri"/>
          <w:color w:val="7F7F7F"/>
        </w:rPr>
      </w:pPr>
      <w:r>
        <w:rPr>
          <w:noProof/>
          <w:lang w:val="en-AU" w:eastAsia="en-AU"/>
        </w:rPr>
        <w:lastRenderedPageBreak/>
        <w:drawing>
          <wp:anchor distT="0" distB="0" distL="114300" distR="114300" simplePos="0" relativeHeight="251663360" behindDoc="0" locked="0" layoutInCell="1" allowOverlap="1" wp14:anchorId="57A5CD2F" wp14:editId="0EBD5D8B">
            <wp:simplePos x="0" y="0"/>
            <wp:positionH relativeFrom="margin">
              <wp:posOffset>13335</wp:posOffset>
            </wp:positionH>
            <wp:positionV relativeFrom="paragraph">
              <wp:posOffset>36830</wp:posOffset>
            </wp:positionV>
            <wp:extent cx="2733675" cy="3046095"/>
            <wp:effectExtent l="0" t="0" r="9525" b="190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304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1B9AA" w14:textId="77777777" w:rsidR="00C62A69" w:rsidRDefault="00C62A69" w:rsidP="00C62A69">
      <w:pPr>
        <w:jc w:val="both"/>
        <w:rPr>
          <w:rFonts w:ascii="Calibri" w:hAnsi="Calibri"/>
          <w:color w:val="7F7F7F"/>
        </w:rPr>
      </w:pPr>
    </w:p>
    <w:p w14:paraId="47AC7185" w14:textId="77777777" w:rsidR="00C62A69" w:rsidRPr="00CF4B40" w:rsidRDefault="00C62A69" w:rsidP="00C62A69">
      <w:pPr>
        <w:tabs>
          <w:tab w:val="left" w:pos="5812"/>
        </w:tabs>
        <w:spacing w:line="360" w:lineRule="auto"/>
        <w:jc w:val="both"/>
        <w:rPr>
          <w:rFonts w:ascii="Calibri" w:hAnsi="Calibri"/>
          <w:color w:val="000000"/>
          <w:sz w:val="22"/>
          <w:szCs w:val="22"/>
        </w:rPr>
      </w:pPr>
      <w:r w:rsidRPr="00CF4B40">
        <w:rPr>
          <w:rFonts w:ascii="Calibri" w:hAnsi="Calibri"/>
          <w:color w:val="000000"/>
          <w:sz w:val="22"/>
          <w:szCs w:val="22"/>
        </w:rPr>
        <w:t>Settlement during that year was largely from countries such as India, Afghanistan, Cambodia, Vietnam and China, reflecting current humanitarian settlement trends, and family reunion with residents</w:t>
      </w:r>
      <w:r>
        <w:rPr>
          <w:rFonts w:ascii="Calibri" w:hAnsi="Calibri"/>
          <w:color w:val="000000"/>
          <w:sz w:val="22"/>
          <w:szCs w:val="22"/>
        </w:rPr>
        <w:t xml:space="preserve"> from these nations.</w:t>
      </w:r>
    </w:p>
    <w:p w14:paraId="3D8BCF16" w14:textId="77777777" w:rsidR="00C62A69" w:rsidRDefault="00C62A69" w:rsidP="00C62A69">
      <w:pPr>
        <w:jc w:val="both"/>
        <w:rPr>
          <w:rFonts w:ascii="Calibri" w:hAnsi="Calibri"/>
          <w:color w:val="7F7F7F"/>
        </w:rPr>
      </w:pPr>
    </w:p>
    <w:p w14:paraId="37945BAE" w14:textId="77777777" w:rsidR="00C62A69" w:rsidRDefault="00C62A69" w:rsidP="00C62A69">
      <w:pPr>
        <w:jc w:val="both"/>
        <w:rPr>
          <w:rFonts w:ascii="Calibri" w:hAnsi="Calibri"/>
          <w:sz w:val="22"/>
          <w:szCs w:val="22"/>
        </w:rPr>
      </w:pPr>
      <w:r w:rsidRPr="00113121">
        <w:rPr>
          <w:rFonts w:ascii="Calibri" w:hAnsi="Calibri"/>
          <w:color w:val="7F7F7F"/>
        </w:rPr>
        <w:t xml:space="preserve">Settlement by </w:t>
      </w:r>
      <w:r>
        <w:rPr>
          <w:rFonts w:ascii="Calibri" w:hAnsi="Calibri"/>
          <w:color w:val="7F7F7F"/>
        </w:rPr>
        <w:t>Selected Birthplaces</w:t>
      </w:r>
      <w:r w:rsidRPr="00113121">
        <w:rPr>
          <w:rFonts w:ascii="Calibri" w:hAnsi="Calibri"/>
          <w:color w:val="7F7F7F"/>
        </w:rPr>
        <w:t xml:space="preserve">: Greater Dandenong, </w:t>
      </w:r>
      <w:r>
        <w:rPr>
          <w:rFonts w:ascii="Calibri" w:hAnsi="Calibri"/>
          <w:color w:val="7F7F7F"/>
        </w:rPr>
        <w:t>2016/17</w:t>
      </w:r>
    </w:p>
    <w:p w14:paraId="518DF023" w14:textId="77777777" w:rsidR="00C62A69" w:rsidRPr="00D4444C" w:rsidRDefault="00C62A69" w:rsidP="00C62A69">
      <w:pPr>
        <w:tabs>
          <w:tab w:val="left" w:pos="284"/>
        </w:tabs>
        <w:jc w:val="both"/>
        <w:rPr>
          <w:rFonts w:ascii="Calibri" w:hAnsi="Calibri"/>
          <w:color w:val="000000"/>
          <w:sz w:val="12"/>
          <w:szCs w:val="12"/>
        </w:rPr>
      </w:pPr>
      <w:r>
        <w:rPr>
          <w:rFonts w:ascii="Calibri" w:hAnsi="Calibri"/>
          <w:noProof/>
          <w:sz w:val="22"/>
          <w:szCs w:val="22"/>
          <w:lang w:val="en-AU" w:eastAsia="en-AU"/>
        </w:rPr>
        <w:drawing>
          <wp:anchor distT="0" distB="0" distL="114300" distR="114300" simplePos="0" relativeHeight="251668480" behindDoc="0" locked="0" layoutInCell="1" allowOverlap="1" wp14:anchorId="11BA4C54" wp14:editId="330EFA26">
            <wp:simplePos x="0" y="0"/>
            <wp:positionH relativeFrom="margin">
              <wp:posOffset>1149033</wp:posOffset>
            </wp:positionH>
            <wp:positionV relativeFrom="paragraph">
              <wp:posOffset>8890</wp:posOffset>
            </wp:positionV>
            <wp:extent cx="1781117" cy="1172123"/>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1117" cy="1172123"/>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4D4244F5" w14:textId="77777777" w:rsidR="00C62A69" w:rsidRDefault="00C62A69" w:rsidP="00C62A69">
      <w:pPr>
        <w:tabs>
          <w:tab w:val="left" w:pos="284"/>
        </w:tabs>
        <w:spacing w:before="120" w:line="360" w:lineRule="auto"/>
        <w:jc w:val="both"/>
        <w:rPr>
          <w:rFonts w:ascii="Calibri" w:hAnsi="Calibri"/>
          <w:color w:val="000000"/>
          <w:sz w:val="22"/>
          <w:szCs w:val="22"/>
        </w:rPr>
      </w:pPr>
    </w:p>
    <w:p w14:paraId="025C4778" w14:textId="77777777" w:rsidR="00C62A69" w:rsidRDefault="00C62A69" w:rsidP="00C62A69">
      <w:pPr>
        <w:tabs>
          <w:tab w:val="left" w:pos="284"/>
        </w:tabs>
        <w:spacing w:before="120" w:line="360" w:lineRule="auto"/>
        <w:jc w:val="both"/>
        <w:rPr>
          <w:rFonts w:ascii="Calibri" w:hAnsi="Calibri"/>
          <w:color w:val="000000"/>
          <w:sz w:val="22"/>
          <w:szCs w:val="22"/>
        </w:rPr>
      </w:pPr>
    </w:p>
    <w:p w14:paraId="292E7F9E" w14:textId="77777777" w:rsidR="00C62A69" w:rsidRDefault="00C62A69" w:rsidP="00C62A69">
      <w:pPr>
        <w:tabs>
          <w:tab w:val="left" w:pos="284"/>
        </w:tabs>
        <w:spacing w:before="120" w:line="360" w:lineRule="auto"/>
        <w:jc w:val="both"/>
        <w:rPr>
          <w:rFonts w:ascii="Calibri" w:hAnsi="Calibri"/>
          <w:sz w:val="22"/>
          <w:szCs w:val="22"/>
        </w:rPr>
      </w:pPr>
    </w:p>
    <w:p w14:paraId="77E28CA4" w14:textId="77777777" w:rsidR="00C62A69" w:rsidRDefault="00C62A69" w:rsidP="00C62A69">
      <w:pPr>
        <w:spacing w:line="360" w:lineRule="auto"/>
        <w:jc w:val="both"/>
        <w:rPr>
          <w:rFonts w:ascii="Calibri" w:hAnsi="Calibri"/>
          <w:sz w:val="22"/>
          <w:szCs w:val="22"/>
        </w:rPr>
      </w:pPr>
      <w:r w:rsidRPr="00ED39BE">
        <w:rPr>
          <w:rFonts w:ascii="Calibri" w:hAnsi="Calibri"/>
          <w:sz w:val="22"/>
          <w:szCs w:val="22"/>
        </w:rPr>
        <w:t xml:space="preserve">The geographic distribution of recent settlement in </w:t>
      </w:r>
      <w:r>
        <w:rPr>
          <w:rFonts w:ascii="Calibri" w:hAnsi="Calibri"/>
          <w:sz w:val="22"/>
          <w:szCs w:val="22"/>
        </w:rPr>
        <w:t>Melbourne</w:t>
      </w:r>
      <w:r w:rsidRPr="00ED39BE">
        <w:rPr>
          <w:rFonts w:ascii="Calibri" w:hAnsi="Calibri"/>
          <w:sz w:val="22"/>
          <w:szCs w:val="22"/>
        </w:rPr>
        <w:t xml:space="preserve"> shows </w:t>
      </w:r>
      <w:r>
        <w:rPr>
          <w:rFonts w:ascii="Calibri" w:hAnsi="Calibri"/>
          <w:sz w:val="22"/>
          <w:szCs w:val="22"/>
        </w:rPr>
        <w:t>high rates of</w:t>
      </w:r>
      <w:r w:rsidRPr="00ED39BE">
        <w:rPr>
          <w:rFonts w:ascii="Calibri" w:hAnsi="Calibri"/>
          <w:sz w:val="22"/>
          <w:szCs w:val="22"/>
        </w:rPr>
        <w:t xml:space="preserve"> settlement in central Melbourne as well as </w:t>
      </w:r>
      <w:r>
        <w:rPr>
          <w:rFonts w:ascii="Calibri" w:hAnsi="Calibri"/>
          <w:sz w:val="22"/>
          <w:szCs w:val="22"/>
        </w:rPr>
        <w:t>localities</w:t>
      </w:r>
      <w:r w:rsidRPr="00ED39BE">
        <w:rPr>
          <w:rFonts w:ascii="Calibri" w:hAnsi="Calibri"/>
          <w:sz w:val="22"/>
          <w:szCs w:val="22"/>
        </w:rPr>
        <w:t xml:space="preserve"> in the southeast, north and west of metropolitan Melbourne.</w:t>
      </w:r>
    </w:p>
    <w:p w14:paraId="493A61EB" w14:textId="77777777" w:rsidR="00C62A69" w:rsidRDefault="00C62A69" w:rsidP="00C62A69">
      <w:pPr>
        <w:spacing w:line="360" w:lineRule="auto"/>
        <w:jc w:val="both"/>
        <w:rPr>
          <w:rFonts w:ascii="Calibri" w:hAnsi="Calibri"/>
          <w:sz w:val="22"/>
          <w:szCs w:val="22"/>
        </w:rPr>
      </w:pPr>
      <w:r>
        <w:rPr>
          <w:noProof/>
          <w:lang w:val="en-AU" w:eastAsia="en-AU"/>
        </w:rPr>
        <w:drawing>
          <wp:anchor distT="0" distB="0" distL="114300" distR="114300" simplePos="0" relativeHeight="251661312" behindDoc="0" locked="0" layoutInCell="1" allowOverlap="1" wp14:anchorId="609F5028" wp14:editId="5AD2EBE4">
            <wp:simplePos x="0" y="0"/>
            <wp:positionH relativeFrom="column">
              <wp:posOffset>1065530</wp:posOffset>
            </wp:positionH>
            <wp:positionV relativeFrom="paragraph">
              <wp:posOffset>1270</wp:posOffset>
            </wp:positionV>
            <wp:extent cx="5063490" cy="5200650"/>
            <wp:effectExtent l="0" t="0" r="3810" b="0"/>
            <wp:wrapSquare wrapText="bothSides"/>
            <wp:docPr id="78" name="Picture 78" descr="M Persons Arrived pas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 Persons Arrived past 4"/>
                    <pic:cNvPicPr>
                      <a:picLocks noChangeAspect="1" noChangeArrowheads="1"/>
                    </pic:cNvPicPr>
                  </pic:nvPicPr>
                  <pic:blipFill>
                    <a:blip r:embed="rId21" cstate="print">
                      <a:extLst>
                        <a:ext uri="{28A0092B-C50C-407E-A947-70E740481C1C}">
                          <a14:useLocalDpi xmlns:a14="http://schemas.microsoft.com/office/drawing/2010/main" val="0"/>
                        </a:ext>
                      </a:extLst>
                    </a:blip>
                    <a:srcRect l="5116" t="19823" r="13631" b="26648"/>
                    <a:stretch>
                      <a:fillRect/>
                    </a:stretch>
                  </pic:blipFill>
                  <pic:spPr bwMode="auto">
                    <a:xfrm>
                      <a:off x="0" y="0"/>
                      <a:ext cx="5063490" cy="5200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FCB5567" w14:textId="77777777" w:rsidR="00C62A69" w:rsidRPr="00ED39BE" w:rsidRDefault="00C62A69" w:rsidP="00C62A69">
      <w:pPr>
        <w:spacing w:line="360" w:lineRule="auto"/>
        <w:jc w:val="both"/>
        <w:rPr>
          <w:rFonts w:ascii="Calibri" w:hAnsi="Calibri"/>
          <w:sz w:val="22"/>
          <w:szCs w:val="22"/>
        </w:rPr>
      </w:pPr>
    </w:p>
    <w:p w14:paraId="169832E0" w14:textId="77777777" w:rsidR="00C62A69" w:rsidRPr="00ED39BE" w:rsidRDefault="00C62A69" w:rsidP="00C62A69">
      <w:pPr>
        <w:jc w:val="both"/>
        <w:rPr>
          <w:rFonts w:ascii="Calibri" w:hAnsi="Calibri"/>
          <w:color w:val="7F7F7F"/>
        </w:rPr>
      </w:pPr>
      <w:r w:rsidRPr="004B75A4">
        <w:rPr>
          <w:rFonts w:ascii="Calibri" w:hAnsi="Calibri"/>
          <w:color w:val="7F7F7F"/>
        </w:rPr>
        <w:t xml:space="preserve">Percentage of Residents who had </w:t>
      </w:r>
      <w:r>
        <w:rPr>
          <w:rFonts w:ascii="Calibri" w:hAnsi="Calibri"/>
          <w:color w:val="7F7F7F"/>
        </w:rPr>
        <w:t>s</w:t>
      </w:r>
      <w:r w:rsidRPr="004B75A4">
        <w:rPr>
          <w:rFonts w:ascii="Calibri" w:hAnsi="Calibri"/>
          <w:color w:val="7F7F7F"/>
        </w:rPr>
        <w:t>ettled in Australia during the previous 4.5 years, Metro Melbourne, 2016</w:t>
      </w:r>
    </w:p>
    <w:p w14:paraId="67E488C6" w14:textId="77777777" w:rsidR="00C62A69" w:rsidRDefault="00C62A69" w:rsidP="00C62A69">
      <w:pPr>
        <w:spacing w:line="360" w:lineRule="auto"/>
        <w:jc w:val="both"/>
        <w:rPr>
          <w:rFonts w:ascii="Calibri" w:hAnsi="Calibri"/>
          <w:b/>
          <w:sz w:val="22"/>
          <w:szCs w:val="22"/>
        </w:rPr>
      </w:pPr>
    </w:p>
    <w:p w14:paraId="4560061F" w14:textId="77777777" w:rsidR="00C62A69" w:rsidRDefault="00C62A69" w:rsidP="00C62A69">
      <w:pPr>
        <w:spacing w:line="360" w:lineRule="auto"/>
        <w:jc w:val="both"/>
        <w:rPr>
          <w:rFonts w:ascii="Calibri" w:hAnsi="Calibri"/>
          <w:b/>
          <w:sz w:val="22"/>
          <w:szCs w:val="22"/>
        </w:rPr>
      </w:pPr>
    </w:p>
    <w:p w14:paraId="0FD7A636" w14:textId="77777777" w:rsidR="00C62A69" w:rsidRDefault="00C62A69" w:rsidP="00C62A69">
      <w:pPr>
        <w:spacing w:line="360" w:lineRule="auto"/>
        <w:jc w:val="both"/>
        <w:rPr>
          <w:rFonts w:ascii="Calibri" w:hAnsi="Calibri"/>
          <w:b/>
          <w:sz w:val="22"/>
          <w:szCs w:val="22"/>
        </w:rPr>
      </w:pPr>
    </w:p>
    <w:p w14:paraId="5F101C03" w14:textId="77777777" w:rsidR="00C62A69" w:rsidRDefault="00C62A69" w:rsidP="00C62A69">
      <w:pPr>
        <w:spacing w:line="360" w:lineRule="auto"/>
        <w:jc w:val="both"/>
        <w:rPr>
          <w:rFonts w:ascii="Calibri" w:hAnsi="Calibri"/>
          <w:b/>
          <w:sz w:val="22"/>
          <w:szCs w:val="22"/>
        </w:rPr>
      </w:pPr>
    </w:p>
    <w:p w14:paraId="080F9A5A" w14:textId="77777777" w:rsidR="00C62A69" w:rsidRDefault="00C62A69" w:rsidP="00C62A69">
      <w:pPr>
        <w:spacing w:line="360" w:lineRule="auto"/>
        <w:jc w:val="both"/>
        <w:rPr>
          <w:rFonts w:ascii="Calibri" w:hAnsi="Calibri"/>
          <w:b/>
          <w:sz w:val="22"/>
          <w:szCs w:val="22"/>
        </w:rPr>
      </w:pPr>
    </w:p>
    <w:p w14:paraId="59A11A74" w14:textId="77777777" w:rsidR="00C62A69" w:rsidRDefault="00C62A69" w:rsidP="00C62A69">
      <w:pPr>
        <w:spacing w:line="360" w:lineRule="auto"/>
        <w:jc w:val="both"/>
        <w:rPr>
          <w:rFonts w:ascii="Calibri" w:hAnsi="Calibri"/>
          <w:b/>
          <w:sz w:val="22"/>
          <w:szCs w:val="22"/>
        </w:rPr>
      </w:pPr>
    </w:p>
    <w:p w14:paraId="1480B0FB" w14:textId="77777777" w:rsidR="00C62A69" w:rsidRDefault="00C62A69" w:rsidP="00C62A69">
      <w:pPr>
        <w:spacing w:line="360" w:lineRule="auto"/>
        <w:jc w:val="both"/>
        <w:rPr>
          <w:rFonts w:ascii="Calibri" w:hAnsi="Calibri"/>
          <w:b/>
          <w:sz w:val="22"/>
          <w:szCs w:val="22"/>
        </w:rPr>
      </w:pPr>
    </w:p>
    <w:p w14:paraId="281242AF" w14:textId="77777777" w:rsidR="00C62A69" w:rsidRDefault="00C62A69" w:rsidP="00C62A69">
      <w:pPr>
        <w:spacing w:line="360" w:lineRule="auto"/>
        <w:jc w:val="both"/>
        <w:rPr>
          <w:rFonts w:ascii="Calibri" w:hAnsi="Calibri"/>
          <w:b/>
          <w:sz w:val="22"/>
          <w:szCs w:val="22"/>
        </w:rPr>
      </w:pPr>
    </w:p>
    <w:p w14:paraId="5F950193" w14:textId="77777777" w:rsidR="00C62A69" w:rsidRDefault="00C62A69" w:rsidP="00C62A69">
      <w:pPr>
        <w:spacing w:line="360" w:lineRule="auto"/>
        <w:jc w:val="both"/>
        <w:rPr>
          <w:rFonts w:ascii="Calibri" w:hAnsi="Calibri"/>
          <w:b/>
          <w:sz w:val="22"/>
          <w:szCs w:val="22"/>
        </w:rPr>
      </w:pPr>
    </w:p>
    <w:p w14:paraId="726A419C" w14:textId="77777777" w:rsidR="00C62A69" w:rsidRDefault="00C62A69" w:rsidP="00C62A69">
      <w:pPr>
        <w:rPr>
          <w:rFonts w:ascii="Calibri" w:hAnsi="Calibri"/>
          <w:b/>
          <w:sz w:val="22"/>
          <w:szCs w:val="22"/>
        </w:rPr>
      </w:pPr>
      <w:r>
        <w:rPr>
          <w:rFonts w:ascii="Calibri" w:hAnsi="Calibri"/>
          <w:b/>
          <w:sz w:val="22"/>
          <w:szCs w:val="22"/>
        </w:rPr>
        <w:br w:type="page"/>
      </w:r>
    </w:p>
    <w:p w14:paraId="7163FC5F" w14:textId="77777777" w:rsidR="00C62A69" w:rsidRDefault="00C62A69" w:rsidP="00C62A69">
      <w:pPr>
        <w:spacing w:line="360" w:lineRule="auto"/>
        <w:jc w:val="both"/>
        <w:rPr>
          <w:rFonts w:ascii="Calibri" w:hAnsi="Calibri"/>
          <w:b/>
          <w:sz w:val="22"/>
          <w:szCs w:val="22"/>
        </w:rPr>
      </w:pPr>
      <w:r>
        <w:rPr>
          <w:rFonts w:ascii="Calibri" w:hAnsi="Calibri"/>
          <w:b/>
          <w:sz w:val="22"/>
          <w:szCs w:val="22"/>
        </w:rPr>
        <w:lastRenderedPageBreak/>
        <w:t>Attitudes to Settlement and Experience of Discrimination</w:t>
      </w:r>
    </w:p>
    <w:p w14:paraId="23D5CEB6" w14:textId="77777777" w:rsidR="00C62A69" w:rsidRPr="00605517" w:rsidRDefault="00C62A69" w:rsidP="00C62A69">
      <w:pPr>
        <w:spacing w:line="360" w:lineRule="auto"/>
        <w:jc w:val="both"/>
        <w:rPr>
          <w:rFonts w:ascii="Calibri" w:hAnsi="Calibri"/>
          <w:sz w:val="22"/>
          <w:szCs w:val="22"/>
        </w:rPr>
      </w:pPr>
      <w:r w:rsidRPr="00605517">
        <w:rPr>
          <w:rFonts w:ascii="Calibri" w:hAnsi="Calibri"/>
          <w:sz w:val="22"/>
          <w:szCs w:val="22"/>
        </w:rPr>
        <w:t>The 2019 ‘Mapping Social Cohesion Survey’ 57% of respondents agreed that ‘Too many immigrants are not adopting Australian values’, while 41% stated that they considered Australia’s immigration intake ‘too high’. On the other hand, 68% of respondents agreed or strongly agreed that ‘accepting immigrants from many different countries makes Australia stronger’.</w:t>
      </w:r>
      <w:r>
        <w:rPr>
          <w:rStyle w:val="FootnoteReference"/>
          <w:rFonts w:ascii="Calibri" w:hAnsi="Calibri"/>
          <w:sz w:val="22"/>
          <w:szCs w:val="22"/>
        </w:rPr>
        <w:footnoteReference w:id="2"/>
      </w:r>
    </w:p>
    <w:p w14:paraId="5C67DBE1" w14:textId="77777777" w:rsidR="00C62A69" w:rsidRPr="00605517" w:rsidRDefault="00C62A69" w:rsidP="00C62A69">
      <w:pPr>
        <w:spacing w:line="360" w:lineRule="auto"/>
        <w:jc w:val="both"/>
        <w:rPr>
          <w:rFonts w:ascii="Calibri" w:hAnsi="Calibri"/>
          <w:sz w:val="22"/>
          <w:szCs w:val="22"/>
        </w:rPr>
      </w:pPr>
      <w:bookmarkStart w:id="1" w:name="_Hlk25668472"/>
      <w:r w:rsidRPr="00605517">
        <w:rPr>
          <w:rFonts w:ascii="Calibri" w:hAnsi="Calibri"/>
          <w:sz w:val="22"/>
          <w:szCs w:val="22"/>
        </w:rPr>
        <w:t xml:space="preserve">Reported experience of discrimination due to skin </w:t>
      </w:r>
      <w:proofErr w:type="spellStart"/>
      <w:r w:rsidRPr="00605517">
        <w:rPr>
          <w:rFonts w:ascii="Calibri" w:hAnsi="Calibri"/>
          <w:sz w:val="22"/>
          <w:szCs w:val="22"/>
        </w:rPr>
        <w:t>colour</w:t>
      </w:r>
      <w:proofErr w:type="spellEnd"/>
      <w:r w:rsidRPr="00605517">
        <w:rPr>
          <w:rFonts w:ascii="Calibri" w:hAnsi="Calibri"/>
          <w:sz w:val="22"/>
          <w:szCs w:val="22"/>
        </w:rPr>
        <w:t>, ethnic origin or religion increased from 9% in 2007 to 19% in 2018 and 2019. The proportion of survey participants who had experienced such discrimination was highest among young people, averaging 28% among those aged 25-34 years during the past four surveys. The prevalence of the experience of discrimination was also high among people of non-Christian faiths, with 42% of Muslims reporting discrimination, compared with 38% among those of the Hindu faith, 24% of Buddhists, and 15% or less among those of major Christian faith groups.</w:t>
      </w:r>
      <w:r w:rsidRPr="00D022EC">
        <w:rPr>
          <w:rStyle w:val="FootnoteReference"/>
          <w:rFonts w:ascii="Calibri" w:hAnsi="Calibri"/>
          <w:sz w:val="22"/>
          <w:szCs w:val="22"/>
        </w:rPr>
        <w:t xml:space="preserve"> </w:t>
      </w:r>
      <w:r>
        <w:rPr>
          <w:rStyle w:val="FootnoteReference"/>
          <w:rFonts w:ascii="Calibri" w:hAnsi="Calibri"/>
          <w:sz w:val="22"/>
          <w:szCs w:val="22"/>
        </w:rPr>
        <w:footnoteReference w:id="3"/>
      </w:r>
    </w:p>
    <w:bookmarkEnd w:id="1"/>
    <w:p w14:paraId="176B36AF" w14:textId="77777777" w:rsidR="00C62A69" w:rsidRDefault="00C62A69" w:rsidP="00C62A69">
      <w:pPr>
        <w:spacing w:line="360" w:lineRule="auto"/>
        <w:jc w:val="both"/>
        <w:rPr>
          <w:rFonts w:ascii="Calibri" w:hAnsi="Calibri"/>
          <w:b/>
          <w:sz w:val="22"/>
          <w:szCs w:val="22"/>
        </w:rPr>
      </w:pPr>
    </w:p>
    <w:p w14:paraId="071D994A" w14:textId="77777777" w:rsidR="00C62A69" w:rsidRPr="0035406D" w:rsidRDefault="00C62A69" w:rsidP="00C62A69">
      <w:pPr>
        <w:spacing w:line="360" w:lineRule="auto"/>
        <w:jc w:val="both"/>
        <w:rPr>
          <w:rFonts w:ascii="Calibri" w:hAnsi="Calibri"/>
          <w:b/>
          <w:sz w:val="22"/>
          <w:szCs w:val="22"/>
        </w:rPr>
      </w:pPr>
      <w:r w:rsidRPr="0035406D">
        <w:rPr>
          <w:rFonts w:ascii="Calibri" w:hAnsi="Calibri"/>
          <w:b/>
          <w:sz w:val="22"/>
          <w:szCs w:val="22"/>
        </w:rPr>
        <w:t xml:space="preserve">The high number, and vulnerability, of settlers and asylum seekers </w:t>
      </w:r>
    </w:p>
    <w:p w14:paraId="158E6AD3" w14:textId="77777777" w:rsidR="00C62A69" w:rsidRDefault="00C62A69" w:rsidP="00C62A69">
      <w:pPr>
        <w:spacing w:line="360" w:lineRule="auto"/>
        <w:jc w:val="both"/>
        <w:rPr>
          <w:rFonts w:ascii="Calibri" w:hAnsi="Calibri"/>
          <w:sz w:val="22"/>
          <w:szCs w:val="22"/>
        </w:rPr>
      </w:pPr>
      <w:r>
        <w:rPr>
          <w:rFonts w:ascii="Calibri" w:hAnsi="Calibri"/>
          <w:sz w:val="22"/>
          <w:szCs w:val="22"/>
        </w:rPr>
        <w:t xml:space="preserve">Many of the residents who have settled in Greater Dandenong from overseas </w:t>
      </w:r>
      <w:r w:rsidRPr="0035406D">
        <w:rPr>
          <w:rFonts w:ascii="Calibri" w:hAnsi="Calibri"/>
          <w:sz w:val="22"/>
          <w:szCs w:val="22"/>
        </w:rPr>
        <w:t xml:space="preserve">are relatively vulnerable, having limited or no capital accumulation upon their arrival in Australia, limited exposure to either spoken or written English, little formal education, and lacking familiarity with Australian customs and institutions. </w:t>
      </w:r>
    </w:p>
    <w:p w14:paraId="13A4EA4F" w14:textId="77777777" w:rsidR="00C62A69" w:rsidRDefault="00C62A69" w:rsidP="00C62A69">
      <w:pPr>
        <w:spacing w:line="360" w:lineRule="auto"/>
        <w:jc w:val="both"/>
        <w:rPr>
          <w:rFonts w:ascii="Calibri" w:hAnsi="Calibri"/>
          <w:sz w:val="22"/>
          <w:szCs w:val="22"/>
        </w:rPr>
      </w:pPr>
      <w:r>
        <w:rPr>
          <w:rFonts w:ascii="Calibri" w:hAnsi="Calibri"/>
          <w:sz w:val="22"/>
          <w:szCs w:val="22"/>
        </w:rPr>
        <w:t>Social conditions among residents from Iran, Iraq, Afghanistan, Pakistan and Burma who had arrived in the 4.5 years prior to the 2016 Census, were examined as an illustration of the circumstances faced by people who have arrived in this community from nations disrupted by war, civil strife, famine and other difficulties. Most people from such circumstances arrive in Australia under humanitarian and family reunion provisions.</w:t>
      </w:r>
    </w:p>
    <w:p w14:paraId="38BDA161" w14:textId="77777777" w:rsidR="00C62A69" w:rsidRDefault="00C62A69" w:rsidP="00C62A69">
      <w:pPr>
        <w:spacing w:line="360" w:lineRule="auto"/>
        <w:jc w:val="both"/>
        <w:rPr>
          <w:rFonts w:ascii="Calibri" w:hAnsi="Calibri"/>
          <w:sz w:val="22"/>
          <w:szCs w:val="22"/>
        </w:rPr>
      </w:pPr>
      <w:r>
        <w:rPr>
          <w:rFonts w:ascii="Calibri" w:hAnsi="Calibri"/>
          <w:sz w:val="22"/>
          <w:szCs w:val="22"/>
        </w:rPr>
        <w:t>The findings of the 2016 Census show that 60% of those aged 15 years or more had left school before completing year 11 or its equivalent. Among young adults aged 20-24, 53% had left school early.</w:t>
      </w:r>
    </w:p>
    <w:p w14:paraId="5DE4E76B" w14:textId="77777777" w:rsidR="00C62A69" w:rsidRDefault="00C62A69" w:rsidP="00C62A69">
      <w:pPr>
        <w:spacing w:line="360" w:lineRule="auto"/>
        <w:jc w:val="both"/>
        <w:rPr>
          <w:rFonts w:ascii="Calibri" w:hAnsi="Calibri"/>
          <w:sz w:val="22"/>
          <w:szCs w:val="22"/>
        </w:rPr>
      </w:pPr>
      <w:r>
        <w:rPr>
          <w:rFonts w:ascii="Calibri" w:hAnsi="Calibri"/>
          <w:sz w:val="22"/>
          <w:szCs w:val="22"/>
        </w:rPr>
        <w:t>Forty-two percent of these recent settlers had limited fluency in the use of spoken English.</w:t>
      </w:r>
    </w:p>
    <w:p w14:paraId="318EE444" w14:textId="77777777" w:rsidR="00C62A69" w:rsidRDefault="00C62A69" w:rsidP="00C62A69">
      <w:pPr>
        <w:spacing w:line="360" w:lineRule="auto"/>
        <w:jc w:val="both"/>
        <w:rPr>
          <w:rFonts w:ascii="Calibri" w:hAnsi="Calibri"/>
          <w:sz w:val="22"/>
          <w:szCs w:val="22"/>
        </w:rPr>
      </w:pPr>
      <w:r>
        <w:rPr>
          <w:rFonts w:ascii="Calibri" w:hAnsi="Calibri"/>
          <w:sz w:val="22"/>
          <w:szCs w:val="22"/>
        </w:rPr>
        <w:t>Median weekly income levels among these residents, reported in the 2016 Census, ranged from $459 among those from Afghanistan to $233 among those from Iran, averaging $283 - little more than two-fifths of the Victorian median of $651.</w:t>
      </w:r>
    </w:p>
    <w:p w14:paraId="51D7C9DC" w14:textId="77777777" w:rsidR="00C62A69" w:rsidRPr="0035406D" w:rsidRDefault="00C62A69" w:rsidP="00C62A69">
      <w:pPr>
        <w:spacing w:line="360" w:lineRule="auto"/>
        <w:jc w:val="both"/>
        <w:rPr>
          <w:rFonts w:ascii="Calibri" w:hAnsi="Calibri"/>
          <w:sz w:val="22"/>
          <w:szCs w:val="22"/>
        </w:rPr>
      </w:pPr>
      <w:r w:rsidRPr="0035406D">
        <w:rPr>
          <w:rFonts w:ascii="Calibri" w:hAnsi="Calibri"/>
          <w:sz w:val="22"/>
          <w:szCs w:val="22"/>
        </w:rPr>
        <w:t xml:space="preserve">In addition to humanitarian and other settlers, </w:t>
      </w:r>
      <w:r>
        <w:rPr>
          <w:rFonts w:ascii="Calibri" w:hAnsi="Calibri"/>
          <w:color w:val="000000"/>
          <w:sz w:val="22"/>
          <w:szCs w:val="22"/>
        </w:rPr>
        <w:t>1,077</w:t>
      </w:r>
      <w:r w:rsidRPr="0049334B">
        <w:rPr>
          <w:rFonts w:ascii="Calibri" w:hAnsi="Calibri"/>
          <w:color w:val="000000"/>
          <w:sz w:val="22"/>
          <w:szCs w:val="22"/>
        </w:rPr>
        <w:t xml:space="preserve"> asylum seekers </w:t>
      </w:r>
      <w:r w:rsidRPr="0035406D">
        <w:rPr>
          <w:rFonts w:ascii="Calibri" w:hAnsi="Calibri"/>
          <w:sz w:val="22"/>
          <w:szCs w:val="22"/>
        </w:rPr>
        <w:t>(bridging visa E holders)</w:t>
      </w:r>
      <w:r w:rsidRPr="0049334B">
        <w:rPr>
          <w:rFonts w:ascii="Calibri" w:hAnsi="Calibri"/>
          <w:color w:val="000000"/>
          <w:sz w:val="22"/>
          <w:szCs w:val="22"/>
        </w:rPr>
        <w:t xml:space="preserve"> resid</w:t>
      </w:r>
      <w:r>
        <w:rPr>
          <w:rFonts w:ascii="Calibri" w:hAnsi="Calibri"/>
          <w:color w:val="000000"/>
          <w:sz w:val="22"/>
          <w:szCs w:val="22"/>
        </w:rPr>
        <w:t>ed</w:t>
      </w:r>
      <w:r w:rsidRPr="0049334B">
        <w:rPr>
          <w:rFonts w:ascii="Calibri" w:hAnsi="Calibri"/>
          <w:color w:val="000000"/>
          <w:sz w:val="22"/>
          <w:szCs w:val="22"/>
        </w:rPr>
        <w:t xml:space="preserve"> in </w:t>
      </w:r>
      <w:r>
        <w:rPr>
          <w:rFonts w:ascii="Calibri" w:hAnsi="Calibri"/>
          <w:color w:val="000000"/>
          <w:sz w:val="22"/>
          <w:szCs w:val="22"/>
        </w:rPr>
        <w:t>Greater Dandenong</w:t>
      </w:r>
      <w:r w:rsidRPr="0049334B">
        <w:rPr>
          <w:rFonts w:ascii="Calibri" w:hAnsi="Calibri"/>
          <w:color w:val="000000"/>
          <w:sz w:val="22"/>
          <w:szCs w:val="22"/>
        </w:rPr>
        <w:t xml:space="preserve"> in</w:t>
      </w:r>
      <w:r>
        <w:rPr>
          <w:rFonts w:ascii="Calibri" w:hAnsi="Calibri"/>
          <w:color w:val="000000"/>
          <w:sz w:val="22"/>
          <w:szCs w:val="22"/>
        </w:rPr>
        <w:t xml:space="preserve"> late</w:t>
      </w:r>
      <w:r w:rsidRPr="0049334B">
        <w:rPr>
          <w:rFonts w:ascii="Calibri" w:hAnsi="Calibri"/>
          <w:color w:val="000000"/>
          <w:sz w:val="22"/>
          <w:szCs w:val="22"/>
        </w:rPr>
        <w:t xml:space="preserve"> 20</w:t>
      </w:r>
      <w:r>
        <w:rPr>
          <w:rFonts w:ascii="Calibri" w:hAnsi="Calibri"/>
          <w:color w:val="000000"/>
          <w:sz w:val="22"/>
          <w:szCs w:val="22"/>
        </w:rPr>
        <w:t>20</w:t>
      </w:r>
      <w:r w:rsidRPr="0049334B">
        <w:rPr>
          <w:rFonts w:ascii="Calibri" w:hAnsi="Calibri"/>
          <w:color w:val="000000"/>
          <w:sz w:val="22"/>
          <w:szCs w:val="22"/>
        </w:rPr>
        <w:t xml:space="preserve">, </w:t>
      </w:r>
      <w:r>
        <w:rPr>
          <w:rFonts w:ascii="Calibri" w:hAnsi="Calibri"/>
          <w:color w:val="000000"/>
          <w:sz w:val="22"/>
          <w:szCs w:val="22"/>
        </w:rPr>
        <w:t xml:space="preserve">the </w:t>
      </w:r>
      <w:r w:rsidRPr="0049334B">
        <w:rPr>
          <w:rFonts w:ascii="Calibri" w:hAnsi="Calibri"/>
          <w:color w:val="000000"/>
          <w:sz w:val="22"/>
          <w:szCs w:val="22"/>
        </w:rPr>
        <w:t xml:space="preserve">highest number in any Victorian municipality and </w:t>
      </w:r>
      <w:r>
        <w:rPr>
          <w:rFonts w:ascii="Calibri" w:hAnsi="Calibri"/>
          <w:color w:val="000000"/>
          <w:sz w:val="22"/>
          <w:szCs w:val="22"/>
        </w:rPr>
        <w:t>representing</w:t>
      </w:r>
      <w:r w:rsidRPr="0049334B">
        <w:rPr>
          <w:rFonts w:ascii="Calibri" w:hAnsi="Calibri"/>
          <w:color w:val="000000"/>
          <w:sz w:val="22"/>
          <w:szCs w:val="22"/>
        </w:rPr>
        <w:t xml:space="preserve"> </w:t>
      </w:r>
      <w:r>
        <w:rPr>
          <w:rFonts w:ascii="Calibri" w:hAnsi="Calibri"/>
          <w:color w:val="000000"/>
          <w:sz w:val="22"/>
          <w:szCs w:val="22"/>
        </w:rPr>
        <w:t>21</w:t>
      </w:r>
      <w:r w:rsidRPr="0049334B">
        <w:rPr>
          <w:rFonts w:ascii="Calibri" w:hAnsi="Calibri"/>
          <w:color w:val="000000"/>
          <w:sz w:val="22"/>
          <w:szCs w:val="22"/>
        </w:rPr>
        <w:t>% of asylum seekers in the state.</w:t>
      </w:r>
      <w:r w:rsidRPr="0035406D">
        <w:rPr>
          <w:rFonts w:ascii="Calibri" w:hAnsi="Calibri"/>
          <w:sz w:val="22"/>
          <w:szCs w:val="22"/>
        </w:rPr>
        <w:t xml:space="preserve"> </w:t>
      </w:r>
    </w:p>
    <w:p w14:paraId="5E67EFDC" w14:textId="77777777" w:rsidR="00C62A69" w:rsidRPr="00C47BAE" w:rsidRDefault="00C62A69" w:rsidP="00C62A69">
      <w:pPr>
        <w:spacing w:line="360" w:lineRule="auto"/>
        <w:jc w:val="both"/>
        <w:rPr>
          <w:rFonts w:ascii="Calibri" w:hAnsi="Calibri"/>
          <w:sz w:val="22"/>
          <w:szCs w:val="22"/>
        </w:rPr>
      </w:pPr>
      <w:r w:rsidRPr="0035406D">
        <w:rPr>
          <w:rFonts w:ascii="Calibri" w:hAnsi="Calibri"/>
          <w:sz w:val="22"/>
          <w:szCs w:val="22"/>
        </w:rPr>
        <w:t>The substantial representation of recent settlers and asylum seekers in Greater Dandenong, coupled with the economic and social vulnerability of many, makes these communities a high priority for Council, and the challenge of addressing their needs, a task unsurpassed in the region.</w:t>
      </w:r>
    </w:p>
    <w:p w14:paraId="06C074FA" w14:textId="38C45EA9" w:rsidR="0035406D" w:rsidRPr="00C62A69" w:rsidRDefault="0035406D" w:rsidP="00C62A69">
      <w:bookmarkStart w:id="2" w:name="_GoBack"/>
      <w:bookmarkEnd w:id="2"/>
    </w:p>
    <w:sectPr w:rsidR="0035406D" w:rsidRPr="00C62A69" w:rsidSect="00C52502">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9A8F9" w14:textId="77777777" w:rsidR="008844D9" w:rsidRDefault="008844D9">
      <w:r>
        <w:separator/>
      </w:r>
    </w:p>
  </w:endnote>
  <w:endnote w:type="continuationSeparator" w:id="0">
    <w:p w14:paraId="1CD7DC96" w14:textId="77777777" w:rsidR="008844D9" w:rsidRDefault="0088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88FAC" w14:textId="77777777" w:rsidR="008844D9" w:rsidRDefault="008844D9">
      <w:r>
        <w:separator/>
      </w:r>
    </w:p>
  </w:footnote>
  <w:footnote w:type="continuationSeparator" w:id="0">
    <w:p w14:paraId="117E0D7C" w14:textId="77777777" w:rsidR="008844D9" w:rsidRDefault="008844D9">
      <w:r>
        <w:continuationSeparator/>
      </w:r>
    </w:p>
  </w:footnote>
  <w:footnote w:id="1">
    <w:p w14:paraId="68B0701A" w14:textId="77777777" w:rsidR="00C62A69" w:rsidRPr="003601F3" w:rsidRDefault="00C62A69" w:rsidP="00C62A69">
      <w:pPr>
        <w:pStyle w:val="FootnoteText"/>
        <w:jc w:val="both"/>
        <w:rPr>
          <w:lang w:val="en-AU"/>
        </w:rPr>
      </w:pPr>
      <w:r>
        <w:rPr>
          <w:rStyle w:val="FootnoteReference"/>
        </w:rPr>
        <w:footnoteRef/>
      </w:r>
      <w:r>
        <w:t xml:space="preserve"> </w:t>
      </w:r>
      <w:r w:rsidRPr="003601F3">
        <w:rPr>
          <w:sz w:val="14"/>
          <w:szCs w:val="14"/>
          <w:lang w:val="en-AU"/>
        </w:rPr>
        <w:t xml:space="preserve">Diversity of birthplaces among the residents of each municipality is measured as the probability that two people from a community, chosen at random, would come from different birthplaces. This measure provides an index of birthplace diversity which gives a balanced measure of the range of birthplaces and number of persons from </w:t>
      </w:r>
      <w:proofErr w:type="gramStart"/>
      <w:r w:rsidRPr="003601F3">
        <w:rPr>
          <w:sz w:val="14"/>
          <w:szCs w:val="14"/>
          <w:lang w:val="en-AU"/>
        </w:rPr>
        <w:t>each, and</w:t>
      </w:r>
      <w:proofErr w:type="gramEnd"/>
      <w:r w:rsidRPr="003601F3">
        <w:rPr>
          <w:sz w:val="14"/>
          <w:szCs w:val="14"/>
          <w:lang w:val="en-AU"/>
        </w:rPr>
        <w:t xml:space="preserve"> permits localities of widely varying population to be compared.</w:t>
      </w:r>
    </w:p>
  </w:footnote>
  <w:footnote w:id="2">
    <w:p w14:paraId="53C99353" w14:textId="77777777" w:rsidR="00C62A69" w:rsidRPr="00605517" w:rsidRDefault="00C62A69" w:rsidP="00C62A69">
      <w:pPr>
        <w:spacing w:after="60"/>
        <w:jc w:val="both"/>
        <w:rPr>
          <w:rFonts w:ascii="Calibri" w:hAnsi="Calibri" w:cs="Calibri"/>
          <w:i/>
        </w:rPr>
      </w:pPr>
      <w:r>
        <w:rPr>
          <w:rStyle w:val="FootnoteReference"/>
        </w:rPr>
        <w:footnoteRef/>
      </w:r>
      <w:r>
        <w:t xml:space="preserve"> </w:t>
      </w:r>
      <w:r w:rsidRPr="00605517">
        <w:rPr>
          <w:rFonts w:ascii="Calibri" w:hAnsi="Calibri" w:cs="Calibri"/>
          <w:sz w:val="16"/>
          <w:szCs w:val="16"/>
        </w:rPr>
        <w:t>Markus, A. (2019). Mapping Social Cohesion Survey. Scanlon Foundation.</w:t>
      </w:r>
    </w:p>
  </w:footnote>
  <w:footnote w:id="3">
    <w:p w14:paraId="7725B6FC" w14:textId="77777777" w:rsidR="00C62A69" w:rsidRPr="00605517" w:rsidRDefault="00C62A69" w:rsidP="00C62A69">
      <w:pPr>
        <w:spacing w:after="60"/>
        <w:jc w:val="both"/>
        <w:rPr>
          <w:rFonts w:ascii="Calibri" w:hAnsi="Calibri" w:cs="Calibri"/>
          <w:i/>
        </w:rPr>
      </w:pPr>
      <w:r>
        <w:rPr>
          <w:rStyle w:val="FootnoteReference"/>
        </w:rPr>
        <w:footnoteRef/>
      </w:r>
      <w:r>
        <w:t xml:space="preserve"> </w:t>
      </w:r>
      <w:r w:rsidRPr="00605517">
        <w:rPr>
          <w:rFonts w:ascii="Calibri" w:hAnsi="Calibri" w:cs="Calibri"/>
          <w:sz w:val="16"/>
          <w:szCs w:val="16"/>
        </w:rPr>
        <w:t>Markus, A. (2019). Mapping Social Cohesion Survey. Scanlon Foundation.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2C59"/>
    <w:multiLevelType w:val="hybridMultilevel"/>
    <w:tmpl w:val="3F561E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0739A"/>
    <w:rsid w:val="000118E1"/>
    <w:rsid w:val="00021D35"/>
    <w:rsid w:val="000231E7"/>
    <w:rsid w:val="00027EA0"/>
    <w:rsid w:val="00043A6B"/>
    <w:rsid w:val="00047BE6"/>
    <w:rsid w:val="00054A7E"/>
    <w:rsid w:val="00054C61"/>
    <w:rsid w:val="00055BD1"/>
    <w:rsid w:val="000625AA"/>
    <w:rsid w:val="0006728F"/>
    <w:rsid w:val="00067638"/>
    <w:rsid w:val="0007191F"/>
    <w:rsid w:val="00073627"/>
    <w:rsid w:val="00080995"/>
    <w:rsid w:val="00083040"/>
    <w:rsid w:val="00084FF3"/>
    <w:rsid w:val="00090E66"/>
    <w:rsid w:val="00091CAF"/>
    <w:rsid w:val="000B2785"/>
    <w:rsid w:val="000B7021"/>
    <w:rsid w:val="000E43A0"/>
    <w:rsid w:val="000F362B"/>
    <w:rsid w:val="00100A7A"/>
    <w:rsid w:val="00104F17"/>
    <w:rsid w:val="001177CD"/>
    <w:rsid w:val="00142690"/>
    <w:rsid w:val="0014293A"/>
    <w:rsid w:val="00147BC0"/>
    <w:rsid w:val="00160F34"/>
    <w:rsid w:val="0016341B"/>
    <w:rsid w:val="00172710"/>
    <w:rsid w:val="00172715"/>
    <w:rsid w:val="0017674E"/>
    <w:rsid w:val="00182BC0"/>
    <w:rsid w:val="001946D2"/>
    <w:rsid w:val="001A2D8F"/>
    <w:rsid w:val="001A68E3"/>
    <w:rsid w:val="001B60DB"/>
    <w:rsid w:val="001B7739"/>
    <w:rsid w:val="001C4541"/>
    <w:rsid w:val="001C5A0B"/>
    <w:rsid w:val="001D3B47"/>
    <w:rsid w:val="001E1B2A"/>
    <w:rsid w:val="001E68B0"/>
    <w:rsid w:val="001F0C3E"/>
    <w:rsid w:val="001F6625"/>
    <w:rsid w:val="00203DE2"/>
    <w:rsid w:val="00207B9D"/>
    <w:rsid w:val="0021119A"/>
    <w:rsid w:val="00212ADB"/>
    <w:rsid w:val="00216B97"/>
    <w:rsid w:val="002174A1"/>
    <w:rsid w:val="002435BB"/>
    <w:rsid w:val="00250E8E"/>
    <w:rsid w:val="002536C4"/>
    <w:rsid w:val="00267D4A"/>
    <w:rsid w:val="00281DA6"/>
    <w:rsid w:val="002A433B"/>
    <w:rsid w:val="002C4507"/>
    <w:rsid w:val="002D1666"/>
    <w:rsid w:val="002E1191"/>
    <w:rsid w:val="002E3A42"/>
    <w:rsid w:val="002E72E7"/>
    <w:rsid w:val="002F3569"/>
    <w:rsid w:val="002F540D"/>
    <w:rsid w:val="00301C1E"/>
    <w:rsid w:val="00310037"/>
    <w:rsid w:val="00316A2E"/>
    <w:rsid w:val="00330EA5"/>
    <w:rsid w:val="00341E51"/>
    <w:rsid w:val="00341E83"/>
    <w:rsid w:val="0035406D"/>
    <w:rsid w:val="00355776"/>
    <w:rsid w:val="003601F3"/>
    <w:rsid w:val="00361686"/>
    <w:rsid w:val="00374D08"/>
    <w:rsid w:val="00377E18"/>
    <w:rsid w:val="00381B31"/>
    <w:rsid w:val="003858BD"/>
    <w:rsid w:val="00391A77"/>
    <w:rsid w:val="00393F4C"/>
    <w:rsid w:val="00394941"/>
    <w:rsid w:val="00397C03"/>
    <w:rsid w:val="003A1862"/>
    <w:rsid w:val="003A4C1B"/>
    <w:rsid w:val="003B3DBD"/>
    <w:rsid w:val="003B47DA"/>
    <w:rsid w:val="003C36FD"/>
    <w:rsid w:val="003C5DD7"/>
    <w:rsid w:val="003D421D"/>
    <w:rsid w:val="003F0E81"/>
    <w:rsid w:val="00410BE3"/>
    <w:rsid w:val="00411CB9"/>
    <w:rsid w:val="004277A3"/>
    <w:rsid w:val="004416BA"/>
    <w:rsid w:val="00442CA5"/>
    <w:rsid w:val="00451E80"/>
    <w:rsid w:val="004612B6"/>
    <w:rsid w:val="00463CEF"/>
    <w:rsid w:val="0049334B"/>
    <w:rsid w:val="00495ACA"/>
    <w:rsid w:val="004A06AD"/>
    <w:rsid w:val="004B3A93"/>
    <w:rsid w:val="004B7259"/>
    <w:rsid w:val="004B75A4"/>
    <w:rsid w:val="004D068C"/>
    <w:rsid w:val="004F0C0D"/>
    <w:rsid w:val="00500CB6"/>
    <w:rsid w:val="005010C4"/>
    <w:rsid w:val="005070EF"/>
    <w:rsid w:val="00511DAB"/>
    <w:rsid w:val="0051322E"/>
    <w:rsid w:val="00526EEA"/>
    <w:rsid w:val="00547BC6"/>
    <w:rsid w:val="00552FC3"/>
    <w:rsid w:val="00553D1B"/>
    <w:rsid w:val="0055476E"/>
    <w:rsid w:val="00555457"/>
    <w:rsid w:val="00564265"/>
    <w:rsid w:val="00577E2B"/>
    <w:rsid w:val="00593F1E"/>
    <w:rsid w:val="005966CD"/>
    <w:rsid w:val="005C0F4B"/>
    <w:rsid w:val="005C2E90"/>
    <w:rsid w:val="005C5377"/>
    <w:rsid w:val="005D00F2"/>
    <w:rsid w:val="005D2647"/>
    <w:rsid w:val="005E4B22"/>
    <w:rsid w:val="005F5E41"/>
    <w:rsid w:val="005F7B22"/>
    <w:rsid w:val="005F7C9C"/>
    <w:rsid w:val="00602B7F"/>
    <w:rsid w:val="00603215"/>
    <w:rsid w:val="00605517"/>
    <w:rsid w:val="006131F4"/>
    <w:rsid w:val="00621747"/>
    <w:rsid w:val="00622799"/>
    <w:rsid w:val="0064352F"/>
    <w:rsid w:val="00645154"/>
    <w:rsid w:val="00670DE2"/>
    <w:rsid w:val="00683A3E"/>
    <w:rsid w:val="006859BA"/>
    <w:rsid w:val="006A268F"/>
    <w:rsid w:val="006A43EB"/>
    <w:rsid w:val="006A4C1A"/>
    <w:rsid w:val="006B2724"/>
    <w:rsid w:val="006B6BF1"/>
    <w:rsid w:val="006C7B9B"/>
    <w:rsid w:val="006D55DF"/>
    <w:rsid w:val="006E143B"/>
    <w:rsid w:val="006F1FD7"/>
    <w:rsid w:val="006F435B"/>
    <w:rsid w:val="006F58C7"/>
    <w:rsid w:val="006F5C8C"/>
    <w:rsid w:val="00700829"/>
    <w:rsid w:val="0070168B"/>
    <w:rsid w:val="00714361"/>
    <w:rsid w:val="00720288"/>
    <w:rsid w:val="007258FA"/>
    <w:rsid w:val="007268D4"/>
    <w:rsid w:val="00732A61"/>
    <w:rsid w:val="00740F65"/>
    <w:rsid w:val="007618E1"/>
    <w:rsid w:val="00773D44"/>
    <w:rsid w:val="007843D4"/>
    <w:rsid w:val="00795E5A"/>
    <w:rsid w:val="0079701B"/>
    <w:rsid w:val="007B1A84"/>
    <w:rsid w:val="007B5D1A"/>
    <w:rsid w:val="007F1880"/>
    <w:rsid w:val="007F5E2B"/>
    <w:rsid w:val="00803F6D"/>
    <w:rsid w:val="008109FE"/>
    <w:rsid w:val="0081133A"/>
    <w:rsid w:val="008316F6"/>
    <w:rsid w:val="008442E0"/>
    <w:rsid w:val="00851C7C"/>
    <w:rsid w:val="00872FCE"/>
    <w:rsid w:val="00875365"/>
    <w:rsid w:val="00875EC5"/>
    <w:rsid w:val="00880D9D"/>
    <w:rsid w:val="008844D9"/>
    <w:rsid w:val="008975E9"/>
    <w:rsid w:val="008C000D"/>
    <w:rsid w:val="008C4CEF"/>
    <w:rsid w:val="008D208F"/>
    <w:rsid w:val="008D6249"/>
    <w:rsid w:val="008F034E"/>
    <w:rsid w:val="008F6667"/>
    <w:rsid w:val="0090052A"/>
    <w:rsid w:val="00900897"/>
    <w:rsid w:val="00901183"/>
    <w:rsid w:val="00923A9F"/>
    <w:rsid w:val="00936D9B"/>
    <w:rsid w:val="00962AF7"/>
    <w:rsid w:val="00962EDF"/>
    <w:rsid w:val="009649C6"/>
    <w:rsid w:val="00970E6A"/>
    <w:rsid w:val="009732E6"/>
    <w:rsid w:val="0098378D"/>
    <w:rsid w:val="009A4FAE"/>
    <w:rsid w:val="009B1650"/>
    <w:rsid w:val="009B3715"/>
    <w:rsid w:val="009B5DED"/>
    <w:rsid w:val="009C1EE4"/>
    <w:rsid w:val="009C510D"/>
    <w:rsid w:val="009E0FF5"/>
    <w:rsid w:val="009E7B1D"/>
    <w:rsid w:val="009F40F1"/>
    <w:rsid w:val="009F5920"/>
    <w:rsid w:val="009F7A88"/>
    <w:rsid w:val="00A00C7F"/>
    <w:rsid w:val="00A06339"/>
    <w:rsid w:val="00A07270"/>
    <w:rsid w:val="00A165DC"/>
    <w:rsid w:val="00A426F1"/>
    <w:rsid w:val="00A440A3"/>
    <w:rsid w:val="00A51D47"/>
    <w:rsid w:val="00A64367"/>
    <w:rsid w:val="00A72A96"/>
    <w:rsid w:val="00A8039B"/>
    <w:rsid w:val="00A86099"/>
    <w:rsid w:val="00A87B3C"/>
    <w:rsid w:val="00AA6A00"/>
    <w:rsid w:val="00AB1247"/>
    <w:rsid w:val="00AC4F1A"/>
    <w:rsid w:val="00AC6F6B"/>
    <w:rsid w:val="00AD26CB"/>
    <w:rsid w:val="00AD3CD1"/>
    <w:rsid w:val="00AE5D8D"/>
    <w:rsid w:val="00AF3C88"/>
    <w:rsid w:val="00AF793D"/>
    <w:rsid w:val="00B04A21"/>
    <w:rsid w:val="00B1005E"/>
    <w:rsid w:val="00B10890"/>
    <w:rsid w:val="00B12550"/>
    <w:rsid w:val="00B132F1"/>
    <w:rsid w:val="00B2457D"/>
    <w:rsid w:val="00B31301"/>
    <w:rsid w:val="00B43829"/>
    <w:rsid w:val="00B464C2"/>
    <w:rsid w:val="00B53E56"/>
    <w:rsid w:val="00B62AB7"/>
    <w:rsid w:val="00B836B7"/>
    <w:rsid w:val="00B9226F"/>
    <w:rsid w:val="00B9266D"/>
    <w:rsid w:val="00B93094"/>
    <w:rsid w:val="00BA21E0"/>
    <w:rsid w:val="00BB18A6"/>
    <w:rsid w:val="00BC0655"/>
    <w:rsid w:val="00BC093F"/>
    <w:rsid w:val="00BC6FAC"/>
    <w:rsid w:val="00BD6F0B"/>
    <w:rsid w:val="00BD747F"/>
    <w:rsid w:val="00BE5A0B"/>
    <w:rsid w:val="00BE63AA"/>
    <w:rsid w:val="00BF72EE"/>
    <w:rsid w:val="00C01A83"/>
    <w:rsid w:val="00C03D7C"/>
    <w:rsid w:val="00C1465E"/>
    <w:rsid w:val="00C166DE"/>
    <w:rsid w:val="00C34A2D"/>
    <w:rsid w:val="00C40226"/>
    <w:rsid w:val="00C41A22"/>
    <w:rsid w:val="00C4395A"/>
    <w:rsid w:val="00C46F84"/>
    <w:rsid w:val="00C47BAE"/>
    <w:rsid w:val="00C52502"/>
    <w:rsid w:val="00C54045"/>
    <w:rsid w:val="00C54222"/>
    <w:rsid w:val="00C62A69"/>
    <w:rsid w:val="00C745C4"/>
    <w:rsid w:val="00CD3DAE"/>
    <w:rsid w:val="00CE44E3"/>
    <w:rsid w:val="00CE5BA2"/>
    <w:rsid w:val="00CF6DEC"/>
    <w:rsid w:val="00D022EC"/>
    <w:rsid w:val="00D02627"/>
    <w:rsid w:val="00D1324F"/>
    <w:rsid w:val="00D15C99"/>
    <w:rsid w:val="00D20FDB"/>
    <w:rsid w:val="00D3138B"/>
    <w:rsid w:val="00D337DE"/>
    <w:rsid w:val="00D4444C"/>
    <w:rsid w:val="00D50FCC"/>
    <w:rsid w:val="00D55E66"/>
    <w:rsid w:val="00D61951"/>
    <w:rsid w:val="00D70007"/>
    <w:rsid w:val="00D80BF2"/>
    <w:rsid w:val="00D81E7B"/>
    <w:rsid w:val="00D84131"/>
    <w:rsid w:val="00DA2836"/>
    <w:rsid w:val="00DB0795"/>
    <w:rsid w:val="00DB23F6"/>
    <w:rsid w:val="00DB55EC"/>
    <w:rsid w:val="00DD48D0"/>
    <w:rsid w:val="00DE0928"/>
    <w:rsid w:val="00DE7429"/>
    <w:rsid w:val="00DF46B2"/>
    <w:rsid w:val="00E22244"/>
    <w:rsid w:val="00E30446"/>
    <w:rsid w:val="00E3409A"/>
    <w:rsid w:val="00E44143"/>
    <w:rsid w:val="00E60A74"/>
    <w:rsid w:val="00E70727"/>
    <w:rsid w:val="00E7099B"/>
    <w:rsid w:val="00E75B30"/>
    <w:rsid w:val="00E84702"/>
    <w:rsid w:val="00E85FF4"/>
    <w:rsid w:val="00E91A1C"/>
    <w:rsid w:val="00E9264E"/>
    <w:rsid w:val="00E9599A"/>
    <w:rsid w:val="00EA7506"/>
    <w:rsid w:val="00EC611A"/>
    <w:rsid w:val="00ED39BE"/>
    <w:rsid w:val="00EE3AC7"/>
    <w:rsid w:val="00EF5662"/>
    <w:rsid w:val="00F00C85"/>
    <w:rsid w:val="00F111E1"/>
    <w:rsid w:val="00F20F0F"/>
    <w:rsid w:val="00F53C93"/>
    <w:rsid w:val="00F677EC"/>
    <w:rsid w:val="00F71974"/>
    <w:rsid w:val="00F7198B"/>
    <w:rsid w:val="00F83B75"/>
    <w:rsid w:val="00F93E6D"/>
    <w:rsid w:val="00FA38B5"/>
    <w:rsid w:val="00FB05BD"/>
    <w:rsid w:val="00FB44C2"/>
    <w:rsid w:val="00FC6AA5"/>
    <w:rsid w:val="00FC6B3A"/>
    <w:rsid w:val="00FD2649"/>
    <w:rsid w:val="00FD34B7"/>
    <w:rsid w:val="00FD3654"/>
    <w:rsid w:val="00FD4D90"/>
    <w:rsid w:val="00FD739B"/>
    <w:rsid w:val="00FD7E62"/>
    <w:rsid w:val="00FE4168"/>
    <w:rsid w:val="00FF23C5"/>
    <w:rsid w:val="00FF2F23"/>
    <w:rsid w:val="00FF58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FC732"/>
  <w15:docId w15:val="{920FD919-77D1-47BD-AD2D-DAE8C21A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52502"/>
    <w:rPr>
      <w:lang w:val="en-US"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lang w:val="en-AU"/>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66DE"/>
    <w:pPr>
      <w:tabs>
        <w:tab w:val="center" w:pos="4320"/>
        <w:tab w:val="right" w:pos="8640"/>
      </w:tabs>
    </w:pPr>
  </w:style>
  <w:style w:type="paragraph" w:styleId="Footer">
    <w:name w:val="footer"/>
    <w:basedOn w:val="Normal"/>
    <w:rsid w:val="00C166DE"/>
    <w:pPr>
      <w:tabs>
        <w:tab w:val="center" w:pos="4320"/>
        <w:tab w:val="right" w:pos="8640"/>
      </w:tabs>
    </w:pPr>
  </w:style>
  <w:style w:type="character" w:styleId="PageNumber">
    <w:name w:val="page number"/>
    <w:basedOn w:val="DefaultParagraphFont"/>
    <w:rsid w:val="00C166DE"/>
  </w:style>
  <w:style w:type="paragraph" w:styleId="FootnoteText">
    <w:name w:val="footnote text"/>
    <w:basedOn w:val="Normal"/>
    <w:semiHidden/>
    <w:rsid w:val="00281DA6"/>
  </w:style>
  <w:style w:type="character" w:styleId="FootnoteReference">
    <w:name w:val="footnote reference"/>
    <w:semiHidden/>
    <w:rsid w:val="00281DA6"/>
    <w:rPr>
      <w:vertAlign w:val="superscript"/>
    </w:rPr>
  </w:style>
  <w:style w:type="paragraph" w:styleId="BalloonText">
    <w:name w:val="Balloon Text"/>
    <w:basedOn w:val="Normal"/>
    <w:link w:val="BalloonTextChar"/>
    <w:rsid w:val="006A4C1A"/>
    <w:rPr>
      <w:rFonts w:ascii="Tahoma" w:hAnsi="Tahoma" w:cs="Tahoma"/>
      <w:sz w:val="16"/>
      <w:szCs w:val="16"/>
    </w:rPr>
  </w:style>
  <w:style w:type="character" w:customStyle="1" w:styleId="BalloonTextChar">
    <w:name w:val="Balloon Text Char"/>
    <w:basedOn w:val="DefaultParagraphFont"/>
    <w:link w:val="BalloonText"/>
    <w:rsid w:val="006A4C1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0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emf" Id="rId18" /><Relationship Type="http://schemas.openxmlformats.org/officeDocument/2006/relationships/numbering" Target="numbering.xml" Id="rId3" /><Relationship Type="http://schemas.openxmlformats.org/officeDocument/2006/relationships/image" Target="media/image13.jpeg"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g" Id="rId17"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image" Target="media/image12.jpeg" Id="rId20"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theme" Target="theme/theme1.xml" Id="rId23" /><Relationship Type="http://schemas.openxmlformats.org/officeDocument/2006/relationships/image" Target="media/image2.jpeg" Id="rId10" /><Relationship Type="http://schemas.openxmlformats.org/officeDocument/2006/relationships/image" Target="media/image11.emf"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6.jpeg" Id="rId14" /><Relationship Type="http://schemas.openxmlformats.org/officeDocument/2006/relationships/fontTable" Target="fontTable.xml" Id="rId22" /><Relationship Type="http://schemas.openxmlformats.org/officeDocument/2006/relationships/customXml" Target="/customXml/item3.xml" Id="R97b1b8caccea45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A6819537</value>
    </field>
    <field name="Objective-Title">
      <value order="0">E Cultural Diversity</value>
    </field>
    <field name="Objective-Description">
      <value order="0"/>
    </field>
    <field name="Objective-CreationStamp">
      <value order="0">2020-08-30T21:38:01Z</value>
    </field>
    <field name="Objective-IsApproved">
      <value order="0">false</value>
    </field>
    <field name="Objective-IsPublished">
      <value order="0">true</value>
    </field>
    <field name="Objective-DatePublished">
      <value order="0">2021-04-23T02:36:44Z</value>
    </field>
    <field name="Objective-ModificationStamp">
      <value order="0">2021-04-23T02:36:44Z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vA9844388</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1A522730-A580-4BBA-BA5B-F5EEFAD2202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 SUMMARY</vt:lpstr>
    </vt:vector>
  </TitlesOfParts>
  <Company>City of Greater Dandenong</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SUMMARY</dc:title>
  <dc:creator>hbrown</dc:creator>
  <cp:lastModifiedBy>Hayden Brown</cp:lastModifiedBy>
  <cp:revision>3</cp:revision>
  <cp:lastPrinted>2015-09-18T06:27:00Z</cp:lastPrinted>
  <dcterms:created xsi:type="dcterms:W3CDTF">2020-08-23T12:21:00Z</dcterms:created>
  <dcterms:modified xsi:type="dcterms:W3CDTF">2021-04-23T02:36:00Z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A6819537</vt:lpwstr>
  </op:property>
  <op:property fmtid="{D5CDD505-2E9C-101B-9397-08002B2CF9AE}" pid="6" name="Objective-Title">
    <vt:lpwstr>E Cultural Diversity</vt:lpwstr>
  </op:property>
  <op:property fmtid="{D5CDD505-2E9C-101B-9397-08002B2CF9AE}" pid="7" name="Objective-Description">
    <vt:lpwstr/>
  </op:property>
  <op:property fmtid="{D5CDD505-2E9C-101B-9397-08002B2CF9AE}" pid="8" name="Objective-CreationStamp">
    <vt:filetime>2020-08-30T21:38:01Z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2021-04-23T02:36:44Z</vt:filetime>
  </op:property>
  <op:property fmtid="{D5CDD505-2E9C-101B-9397-08002B2CF9AE}" pid="12" name="Objective-ModificationStamp">
    <vt:filetime>2021-04-23T02:36:44Z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vA9844388</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