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E61928" w14:textId="77777777" w:rsidR="00660B61" w:rsidRPr="0029463F" w:rsidRDefault="00660B61" w:rsidP="00660B61">
      <w:pPr>
        <w:pBdr>
          <w:top w:val="single" w:sz="4" w:space="1" w:color="auto"/>
          <w:bottom w:val="single" w:sz="4" w:space="1" w:color="auto"/>
        </w:pBdr>
        <w:tabs>
          <w:tab w:val="center" w:pos="4678"/>
        </w:tabs>
        <w:rPr>
          <w:rFonts w:ascii="Calibri" w:hAnsi="Calibri"/>
          <w:sz w:val="32"/>
          <w:szCs w:val="32"/>
        </w:rPr>
      </w:pPr>
      <w:r w:rsidRPr="0029463F">
        <w:rPr>
          <w:rFonts w:ascii="Calibri" w:hAnsi="Calibri"/>
          <w:b/>
          <w:noProof/>
          <w:sz w:val="32"/>
          <w:szCs w:val="32"/>
          <w:lang w:val="en-US"/>
        </w:rPr>
        <w:tab/>
      </w:r>
      <w:r w:rsidRPr="0029463F">
        <w:rPr>
          <w:rFonts w:ascii="Calibri" w:hAnsi="Calibri"/>
          <w:noProof/>
          <w:sz w:val="32"/>
          <w:szCs w:val="32"/>
          <w:lang w:val="en-US"/>
        </w:rPr>
        <w:t>Families</w:t>
      </w:r>
      <w:r>
        <w:rPr>
          <w:rFonts w:ascii="Calibri" w:hAnsi="Calibri"/>
          <w:noProof/>
          <w:sz w:val="32"/>
          <w:szCs w:val="32"/>
          <w:lang w:val="en-US"/>
        </w:rPr>
        <w:t>, Births</w:t>
      </w:r>
      <w:r w:rsidRPr="0029463F">
        <w:rPr>
          <w:rFonts w:ascii="Calibri" w:hAnsi="Calibri"/>
          <w:noProof/>
          <w:sz w:val="32"/>
          <w:szCs w:val="32"/>
          <w:lang w:val="en-US"/>
        </w:rPr>
        <w:t xml:space="preserve"> and Children</w:t>
      </w:r>
    </w:p>
    <w:p w14:paraId="6E5FDC22" w14:textId="77777777" w:rsidR="00660B61" w:rsidRPr="00187850" w:rsidRDefault="00660B61" w:rsidP="00660B61">
      <w:pPr>
        <w:tabs>
          <w:tab w:val="left" w:pos="284"/>
        </w:tabs>
        <w:spacing w:before="120" w:after="60"/>
        <w:jc w:val="both"/>
        <w:rPr>
          <w:rFonts w:ascii="Calibri" w:hAnsi="Calibri"/>
          <w:b/>
          <w:sz w:val="22"/>
          <w:szCs w:val="22"/>
        </w:rPr>
      </w:pPr>
      <w:r>
        <w:rPr>
          <w:rFonts w:ascii="Calibri" w:hAnsi="Calibri"/>
          <w:b/>
          <w:sz w:val="22"/>
          <w:szCs w:val="22"/>
        </w:rPr>
        <w:t>Births</w:t>
      </w:r>
    </w:p>
    <w:p w14:paraId="6E8D04ED" w14:textId="77777777" w:rsidR="00660B61" w:rsidRDefault="00660B61" w:rsidP="00660B61">
      <w:pPr>
        <w:tabs>
          <w:tab w:val="left" w:pos="284"/>
        </w:tabs>
        <w:spacing w:line="360" w:lineRule="auto"/>
        <w:jc w:val="both"/>
        <w:rPr>
          <w:rFonts w:ascii="Calibri" w:hAnsi="Calibri"/>
          <w:sz w:val="22"/>
          <w:szCs w:val="22"/>
        </w:rPr>
      </w:pPr>
      <w:r w:rsidRPr="008C3E5F">
        <w:rPr>
          <w:rFonts w:ascii="Calibri" w:hAnsi="Calibri"/>
          <w:sz w:val="22"/>
          <w:szCs w:val="22"/>
        </w:rPr>
        <w:t>In 201</w:t>
      </w:r>
      <w:r>
        <w:rPr>
          <w:rFonts w:ascii="Calibri" w:hAnsi="Calibri"/>
          <w:sz w:val="22"/>
          <w:szCs w:val="22"/>
        </w:rPr>
        <w:t>9</w:t>
      </w:r>
      <w:r w:rsidRPr="008C3E5F">
        <w:rPr>
          <w:rFonts w:ascii="Calibri" w:hAnsi="Calibri"/>
          <w:sz w:val="22"/>
          <w:szCs w:val="22"/>
        </w:rPr>
        <w:t>/</w:t>
      </w:r>
      <w:r>
        <w:rPr>
          <w:rFonts w:ascii="Calibri" w:hAnsi="Calibri"/>
          <w:sz w:val="22"/>
          <w:szCs w:val="22"/>
        </w:rPr>
        <w:t>20</w:t>
      </w:r>
      <w:r w:rsidRPr="008C3E5F">
        <w:rPr>
          <w:rFonts w:ascii="Calibri" w:hAnsi="Calibri"/>
          <w:sz w:val="22"/>
          <w:szCs w:val="22"/>
        </w:rPr>
        <w:t>, 2,</w:t>
      </w:r>
      <w:r>
        <w:rPr>
          <w:rFonts w:ascii="Calibri" w:hAnsi="Calibri"/>
          <w:sz w:val="22"/>
          <w:szCs w:val="22"/>
        </w:rPr>
        <w:t>19</w:t>
      </w:r>
      <w:r w:rsidRPr="008C3E5F">
        <w:rPr>
          <w:rFonts w:ascii="Calibri" w:hAnsi="Calibri"/>
          <w:sz w:val="22"/>
          <w:szCs w:val="22"/>
        </w:rPr>
        <w:t>6 births were recorded in Greater Dandenong, representing a rise of 41%</w:t>
      </w:r>
      <w:r>
        <w:rPr>
          <w:rFonts w:ascii="Calibri" w:hAnsi="Calibri"/>
          <w:sz w:val="22"/>
          <w:szCs w:val="22"/>
        </w:rPr>
        <w:t xml:space="preserve"> or 464</w:t>
      </w:r>
      <w:r w:rsidRPr="008C3E5F">
        <w:rPr>
          <w:rFonts w:ascii="Calibri" w:hAnsi="Calibri"/>
          <w:sz w:val="22"/>
          <w:szCs w:val="22"/>
        </w:rPr>
        <w:t xml:space="preserve"> since 2001</w:t>
      </w:r>
      <w:r>
        <w:rPr>
          <w:rFonts w:ascii="Calibri" w:hAnsi="Calibri"/>
          <w:sz w:val="22"/>
          <w:szCs w:val="22"/>
        </w:rPr>
        <w:t>, though a decline from the previous year</w:t>
      </w:r>
      <w:r w:rsidRPr="008C3E5F">
        <w:rPr>
          <w:rFonts w:ascii="Calibri" w:hAnsi="Calibri"/>
          <w:sz w:val="22"/>
          <w:szCs w:val="22"/>
        </w:rPr>
        <w:t xml:space="preserve">. The future population of children </w:t>
      </w:r>
      <w:r>
        <w:rPr>
          <w:rFonts w:ascii="Calibri" w:hAnsi="Calibri"/>
          <w:sz w:val="22"/>
          <w:szCs w:val="22"/>
        </w:rPr>
        <w:t xml:space="preserve">may not be foreseen with certainty </w:t>
      </w:r>
      <w:r w:rsidRPr="008C3E5F">
        <w:rPr>
          <w:rFonts w:ascii="Calibri" w:hAnsi="Calibri"/>
          <w:sz w:val="22"/>
          <w:szCs w:val="22"/>
        </w:rPr>
        <w:t>and will depend largely on the rate and level of new housing developments in the city – which tend to attract young families.</w:t>
      </w:r>
    </w:p>
    <w:p w14:paraId="3302EC9D" w14:textId="77777777" w:rsidR="00660B61" w:rsidRPr="007267E3" w:rsidRDefault="00660B61" w:rsidP="00660B61">
      <w:pPr>
        <w:tabs>
          <w:tab w:val="left" w:pos="284"/>
          <w:tab w:val="left" w:pos="5670"/>
        </w:tabs>
        <w:jc w:val="both"/>
        <w:rPr>
          <w:rFonts w:ascii="Calibri" w:hAnsi="Calibri"/>
          <w:color w:val="7F7F7F"/>
          <w:sz w:val="20"/>
          <w:szCs w:val="20"/>
        </w:rPr>
      </w:pPr>
      <w:r w:rsidRPr="007267E3">
        <w:rPr>
          <w:rFonts w:ascii="Calibri" w:hAnsi="Calibri"/>
          <w:color w:val="7F7F7F"/>
          <w:sz w:val="20"/>
          <w:szCs w:val="20"/>
        </w:rPr>
        <w:t xml:space="preserve">                    </w:t>
      </w:r>
      <w:r>
        <w:rPr>
          <w:rFonts w:ascii="Calibri" w:hAnsi="Calibri"/>
          <w:color w:val="7F7F7F"/>
          <w:sz w:val="20"/>
          <w:szCs w:val="20"/>
        </w:rPr>
        <w:t xml:space="preserve">Annual </w:t>
      </w:r>
      <w:r w:rsidRPr="007267E3">
        <w:rPr>
          <w:rFonts w:ascii="Calibri" w:hAnsi="Calibri"/>
          <w:color w:val="7F7F7F"/>
          <w:sz w:val="20"/>
          <w:szCs w:val="20"/>
        </w:rPr>
        <w:t>Births: Greater Dandenong, 2001-20</w:t>
      </w:r>
      <w:r>
        <w:rPr>
          <w:rFonts w:ascii="Calibri" w:hAnsi="Calibri"/>
          <w:color w:val="7F7F7F"/>
          <w:sz w:val="20"/>
          <w:szCs w:val="20"/>
        </w:rPr>
        <w:t>20</w:t>
      </w:r>
    </w:p>
    <w:p w14:paraId="123C07E6"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79744" behindDoc="0" locked="0" layoutInCell="1" allowOverlap="1" wp14:anchorId="750C85C1" wp14:editId="7C7427E2">
            <wp:simplePos x="0" y="0"/>
            <wp:positionH relativeFrom="column">
              <wp:posOffset>13335</wp:posOffset>
            </wp:positionH>
            <wp:positionV relativeFrom="paragraph">
              <wp:posOffset>73660</wp:posOffset>
            </wp:positionV>
            <wp:extent cx="3657600" cy="243205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432050"/>
                    </a:xfrm>
                    <a:prstGeom prst="rect">
                      <a:avLst/>
                    </a:prstGeom>
                    <a:noFill/>
                  </pic:spPr>
                </pic:pic>
              </a:graphicData>
            </a:graphic>
            <wp14:sizeRelH relativeFrom="page">
              <wp14:pctWidth>0</wp14:pctWidth>
            </wp14:sizeRelH>
            <wp14:sizeRelV relativeFrom="page">
              <wp14:pctHeight>0</wp14:pctHeight>
            </wp14:sizeRelV>
          </wp:anchor>
        </w:drawing>
      </w:r>
      <w:r w:rsidRPr="00F21382">
        <w:rPr>
          <w:rFonts w:ascii="Calibri" w:hAnsi="Calibri"/>
          <w:sz w:val="22"/>
          <w:szCs w:val="22"/>
        </w:rPr>
        <w:t>.</w:t>
      </w:r>
    </w:p>
    <w:p w14:paraId="2407B343" w14:textId="77777777" w:rsidR="00660B61" w:rsidRDefault="00660B61" w:rsidP="00660B61">
      <w:pPr>
        <w:tabs>
          <w:tab w:val="left" w:pos="284"/>
        </w:tabs>
        <w:spacing w:line="360" w:lineRule="auto"/>
        <w:jc w:val="both"/>
        <w:rPr>
          <w:sz w:val="22"/>
          <w:szCs w:val="22"/>
        </w:rPr>
      </w:pPr>
    </w:p>
    <w:p w14:paraId="5674C75D" w14:textId="77777777" w:rsidR="00660B61" w:rsidRDefault="00660B61" w:rsidP="00660B61">
      <w:pPr>
        <w:tabs>
          <w:tab w:val="left" w:pos="284"/>
        </w:tabs>
        <w:spacing w:line="360" w:lineRule="auto"/>
        <w:jc w:val="both"/>
        <w:rPr>
          <w:sz w:val="22"/>
          <w:szCs w:val="22"/>
        </w:rPr>
      </w:pPr>
    </w:p>
    <w:p w14:paraId="59111333" w14:textId="77777777" w:rsidR="00660B61" w:rsidRDefault="00660B61" w:rsidP="00660B61">
      <w:pPr>
        <w:tabs>
          <w:tab w:val="left" w:pos="284"/>
        </w:tabs>
        <w:spacing w:line="360" w:lineRule="auto"/>
        <w:jc w:val="both"/>
        <w:rPr>
          <w:sz w:val="22"/>
          <w:szCs w:val="22"/>
        </w:rPr>
      </w:pPr>
      <w:r>
        <w:rPr>
          <w:noProof/>
          <w:lang w:eastAsia="en-AU"/>
        </w:rPr>
        <w:drawing>
          <wp:anchor distT="0" distB="0" distL="114300" distR="114300" simplePos="0" relativeHeight="251672576" behindDoc="0" locked="0" layoutInCell="1" allowOverlap="1" wp14:anchorId="0F2B032A" wp14:editId="002511B1">
            <wp:simplePos x="0" y="0"/>
            <wp:positionH relativeFrom="column">
              <wp:posOffset>791527</wp:posOffset>
            </wp:positionH>
            <wp:positionV relativeFrom="paragraph">
              <wp:posOffset>4763</wp:posOffset>
            </wp:positionV>
            <wp:extent cx="1590675" cy="1057275"/>
            <wp:effectExtent l="0" t="0" r="9525" b="9525"/>
            <wp:wrapNone/>
            <wp:docPr id="80" name="Picture 135" descr="C:\~Work\Photograph Database\Children &amp; Families\kids at carols337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5" descr="C:\~Work\Photograph Database\Children &amp; Families\kids at carols3374.jpg"/>
                    <pic:cNvPicPr>
                      <a:picLocks noChangeArrowheads="1"/>
                    </pic:cNvPicPr>
                  </pic:nvPicPr>
                  <pic:blipFill rotWithShape="1">
                    <a:blip r:embed="rId9">
                      <a:extLst>
                        <a:ext uri="{28A0092B-C50C-407E-A947-70E740481C1C}">
                          <a14:useLocalDpi xmlns:a14="http://schemas.microsoft.com/office/drawing/2010/main" val="0"/>
                        </a:ext>
                      </a:extLst>
                    </a:blip>
                    <a:srcRect l="4149" t="8500" r="13637" b="16500"/>
                    <a:stretch/>
                  </pic:blipFill>
                  <pic:spPr bwMode="auto">
                    <a:xfrm>
                      <a:off x="0" y="0"/>
                      <a:ext cx="1590675" cy="1057275"/>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1A7240" w14:textId="77777777" w:rsidR="00660B61" w:rsidRDefault="00660B61" w:rsidP="00660B61">
      <w:pPr>
        <w:tabs>
          <w:tab w:val="left" w:pos="284"/>
        </w:tabs>
        <w:spacing w:line="360" w:lineRule="auto"/>
        <w:jc w:val="both"/>
        <w:rPr>
          <w:sz w:val="22"/>
          <w:szCs w:val="22"/>
        </w:rPr>
      </w:pPr>
    </w:p>
    <w:p w14:paraId="349E0294" w14:textId="77777777" w:rsidR="00660B61" w:rsidRDefault="00660B61" w:rsidP="00660B61">
      <w:pPr>
        <w:tabs>
          <w:tab w:val="left" w:pos="284"/>
        </w:tabs>
        <w:spacing w:line="360" w:lineRule="auto"/>
        <w:jc w:val="both"/>
        <w:rPr>
          <w:sz w:val="22"/>
          <w:szCs w:val="22"/>
        </w:rPr>
      </w:pPr>
    </w:p>
    <w:p w14:paraId="2CD5AF06" w14:textId="77777777" w:rsidR="00660B61" w:rsidRDefault="00660B61" w:rsidP="00660B61">
      <w:pPr>
        <w:tabs>
          <w:tab w:val="left" w:pos="284"/>
        </w:tabs>
        <w:spacing w:line="360" w:lineRule="auto"/>
        <w:jc w:val="both"/>
        <w:rPr>
          <w:sz w:val="22"/>
          <w:szCs w:val="22"/>
        </w:rPr>
      </w:pPr>
    </w:p>
    <w:p w14:paraId="1CA8490E" w14:textId="77777777" w:rsidR="00660B61" w:rsidRDefault="00660B61" w:rsidP="00660B61">
      <w:pPr>
        <w:tabs>
          <w:tab w:val="left" w:pos="284"/>
        </w:tabs>
        <w:spacing w:line="360" w:lineRule="auto"/>
        <w:jc w:val="both"/>
        <w:rPr>
          <w:sz w:val="22"/>
          <w:szCs w:val="22"/>
        </w:rPr>
      </w:pPr>
    </w:p>
    <w:p w14:paraId="7F0769AF" w14:textId="77777777" w:rsidR="00660B61" w:rsidRDefault="00660B61" w:rsidP="00660B61">
      <w:pPr>
        <w:tabs>
          <w:tab w:val="left" w:pos="284"/>
        </w:tabs>
        <w:spacing w:line="360" w:lineRule="auto"/>
        <w:jc w:val="both"/>
        <w:rPr>
          <w:sz w:val="22"/>
          <w:szCs w:val="22"/>
        </w:rPr>
      </w:pPr>
    </w:p>
    <w:p w14:paraId="5A6E6957" w14:textId="77777777" w:rsidR="00660B61" w:rsidRDefault="00660B61" w:rsidP="00660B61">
      <w:pPr>
        <w:tabs>
          <w:tab w:val="left" w:pos="284"/>
        </w:tabs>
        <w:spacing w:line="360" w:lineRule="auto"/>
        <w:jc w:val="both"/>
        <w:rPr>
          <w:sz w:val="22"/>
          <w:szCs w:val="22"/>
        </w:rPr>
      </w:pPr>
    </w:p>
    <w:p w14:paraId="58CC17BB" w14:textId="77777777" w:rsidR="00660B61" w:rsidRDefault="00660B61" w:rsidP="00660B61">
      <w:pPr>
        <w:tabs>
          <w:tab w:val="left" w:pos="284"/>
        </w:tabs>
        <w:spacing w:line="360" w:lineRule="auto"/>
        <w:jc w:val="both"/>
        <w:rPr>
          <w:sz w:val="22"/>
          <w:szCs w:val="22"/>
        </w:rPr>
      </w:pPr>
    </w:p>
    <w:p w14:paraId="28B734B5" w14:textId="77777777" w:rsidR="00660B61" w:rsidRPr="0021241A" w:rsidRDefault="00660B61" w:rsidP="00660B61">
      <w:pPr>
        <w:tabs>
          <w:tab w:val="left" w:pos="284"/>
        </w:tabs>
        <w:spacing w:line="360" w:lineRule="auto"/>
        <w:jc w:val="both"/>
        <w:rPr>
          <w:sz w:val="22"/>
          <w:szCs w:val="22"/>
        </w:rPr>
      </w:pPr>
    </w:p>
    <w:p w14:paraId="176DBA14" w14:textId="77777777" w:rsidR="00660B61" w:rsidRPr="002B1057" w:rsidRDefault="00660B61" w:rsidP="00660B61">
      <w:pPr>
        <w:tabs>
          <w:tab w:val="left" w:pos="284"/>
        </w:tabs>
        <w:spacing w:line="360" w:lineRule="auto"/>
        <w:ind w:left="4820"/>
        <w:jc w:val="both"/>
        <w:rPr>
          <w:rFonts w:ascii="Calibri" w:hAnsi="Calibri"/>
          <w:color w:val="7F7F7F"/>
          <w:sz w:val="20"/>
          <w:szCs w:val="20"/>
        </w:rPr>
      </w:pPr>
      <w:r>
        <w:rPr>
          <w:noProof/>
          <w:lang w:eastAsia="en-AU"/>
        </w:rPr>
        <w:drawing>
          <wp:anchor distT="0" distB="0" distL="114300" distR="114300" simplePos="0" relativeHeight="251660288" behindDoc="1" locked="0" layoutInCell="1" allowOverlap="1" wp14:anchorId="292465F4" wp14:editId="74681363">
            <wp:simplePos x="0" y="0"/>
            <wp:positionH relativeFrom="column">
              <wp:posOffset>1604010</wp:posOffset>
            </wp:positionH>
            <wp:positionV relativeFrom="paragraph">
              <wp:posOffset>168910</wp:posOffset>
            </wp:positionV>
            <wp:extent cx="4410075" cy="3314700"/>
            <wp:effectExtent l="0" t="0" r="9525" b="0"/>
            <wp:wrapTight wrapText="bothSides">
              <wp:wrapPolygon edited="0">
                <wp:start x="0" y="0"/>
                <wp:lineTo x="0" y="21476"/>
                <wp:lineTo x="21553" y="21476"/>
                <wp:lineTo x="21553"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057">
        <w:rPr>
          <w:rFonts w:ascii="Calibri" w:hAnsi="Calibri"/>
          <w:color w:val="7F7F7F"/>
          <w:sz w:val="20"/>
          <w:szCs w:val="20"/>
        </w:rPr>
        <w:t>Maternal Birthplaces: Greater Dandenong 201</w:t>
      </w:r>
      <w:r>
        <w:rPr>
          <w:rFonts w:ascii="Calibri" w:hAnsi="Calibri"/>
          <w:color w:val="7F7F7F"/>
          <w:sz w:val="20"/>
          <w:szCs w:val="20"/>
        </w:rPr>
        <w:t>4</w:t>
      </w:r>
      <w:r w:rsidRPr="002B1057">
        <w:rPr>
          <w:rFonts w:ascii="Calibri" w:hAnsi="Calibri"/>
          <w:color w:val="7F7F7F"/>
          <w:sz w:val="20"/>
          <w:szCs w:val="20"/>
        </w:rPr>
        <w:t>/1</w:t>
      </w:r>
      <w:r>
        <w:rPr>
          <w:rFonts w:ascii="Calibri" w:hAnsi="Calibri"/>
          <w:color w:val="7F7F7F"/>
          <w:sz w:val="20"/>
          <w:szCs w:val="20"/>
        </w:rPr>
        <w:t>5</w:t>
      </w:r>
    </w:p>
    <w:p w14:paraId="67885F30" w14:textId="77777777" w:rsidR="00660B61" w:rsidRDefault="00660B61" w:rsidP="00660B61">
      <w:pPr>
        <w:tabs>
          <w:tab w:val="left" w:pos="284"/>
        </w:tabs>
        <w:spacing w:line="360" w:lineRule="auto"/>
        <w:jc w:val="both"/>
        <w:rPr>
          <w:rFonts w:ascii="Calibri" w:hAnsi="Calibri"/>
          <w:sz w:val="22"/>
          <w:szCs w:val="22"/>
        </w:rPr>
      </w:pPr>
      <w:r>
        <w:rPr>
          <w:noProof/>
          <w:lang w:eastAsia="en-AU"/>
        </w:rPr>
        <w:drawing>
          <wp:anchor distT="0" distB="3048" distL="114300" distR="114427" simplePos="0" relativeHeight="251674624" behindDoc="0" locked="0" layoutInCell="1" allowOverlap="1" wp14:anchorId="57BCABB5" wp14:editId="7C142A93">
            <wp:simplePos x="0" y="0"/>
            <wp:positionH relativeFrom="column">
              <wp:posOffset>4423410</wp:posOffset>
            </wp:positionH>
            <wp:positionV relativeFrom="paragraph">
              <wp:posOffset>1831975</wp:posOffset>
            </wp:positionV>
            <wp:extent cx="933450" cy="1072104"/>
            <wp:effectExtent l="0" t="0" r="0" b="0"/>
            <wp:wrapNone/>
            <wp:docPr id="79" name="Picture 0" descr="bab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0" descr="baby 2.jpg"/>
                    <pic:cNvPicPr/>
                  </pic:nvPicPr>
                  <pic:blipFill>
                    <a:blip r:embed="rId11" cstate="print"/>
                    <a:stretch>
                      <a:fillRect/>
                    </a:stretch>
                  </pic:blipFill>
                  <pic:spPr>
                    <a:xfrm>
                      <a:off x="0" y="0"/>
                      <a:ext cx="933450" cy="107210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Calibri" w:hAnsi="Calibri"/>
          <w:sz w:val="22"/>
          <w:szCs w:val="22"/>
        </w:rPr>
        <w:t>More than four-fifths (82</w:t>
      </w:r>
      <w:r w:rsidRPr="0021241A">
        <w:rPr>
          <w:rFonts w:ascii="Calibri" w:hAnsi="Calibri"/>
          <w:sz w:val="22"/>
          <w:szCs w:val="22"/>
        </w:rPr>
        <w:t>%) of residents who gave birth in 201</w:t>
      </w:r>
      <w:r>
        <w:rPr>
          <w:rFonts w:ascii="Calibri" w:hAnsi="Calibri"/>
          <w:sz w:val="22"/>
          <w:szCs w:val="22"/>
        </w:rPr>
        <w:t>4</w:t>
      </w:r>
      <w:r w:rsidRPr="0021241A">
        <w:rPr>
          <w:rFonts w:ascii="Calibri" w:hAnsi="Calibri"/>
          <w:sz w:val="22"/>
          <w:szCs w:val="22"/>
        </w:rPr>
        <w:t>/1</w:t>
      </w:r>
      <w:r>
        <w:rPr>
          <w:rFonts w:ascii="Calibri" w:hAnsi="Calibri"/>
          <w:sz w:val="22"/>
          <w:szCs w:val="22"/>
        </w:rPr>
        <w:t>5</w:t>
      </w:r>
      <w:r w:rsidRPr="0021241A">
        <w:rPr>
          <w:rFonts w:ascii="Calibri" w:hAnsi="Calibri"/>
          <w:sz w:val="22"/>
          <w:szCs w:val="22"/>
        </w:rPr>
        <w:t xml:space="preserve"> </w:t>
      </w:r>
      <w:r>
        <w:rPr>
          <w:rFonts w:ascii="Calibri" w:hAnsi="Calibri"/>
          <w:sz w:val="22"/>
          <w:szCs w:val="22"/>
        </w:rPr>
        <w:t xml:space="preserve">(the latest year for which these data are available) </w:t>
      </w:r>
      <w:r w:rsidRPr="0021241A">
        <w:rPr>
          <w:rFonts w:ascii="Calibri" w:hAnsi="Calibri"/>
          <w:sz w:val="22"/>
          <w:szCs w:val="22"/>
        </w:rPr>
        <w:t>were born overseas. Among their birthplaces were India, Vietnam, Sri Lanka, Cambodia, Afghanistan and China – which together account for just over half</w:t>
      </w:r>
      <w:r>
        <w:rPr>
          <w:rFonts w:ascii="Calibri" w:hAnsi="Calibri"/>
          <w:sz w:val="22"/>
          <w:szCs w:val="22"/>
        </w:rPr>
        <w:t xml:space="preserve"> of</w:t>
      </w:r>
      <w:r w:rsidRPr="0021241A">
        <w:rPr>
          <w:rFonts w:ascii="Calibri" w:hAnsi="Calibri"/>
          <w:sz w:val="22"/>
          <w:szCs w:val="22"/>
        </w:rPr>
        <w:t xml:space="preserve"> these maternal birthplaces. </w:t>
      </w:r>
    </w:p>
    <w:p w14:paraId="75B8B10A" w14:textId="77777777" w:rsidR="00660B61" w:rsidRPr="0021534D" w:rsidRDefault="00660B61" w:rsidP="00660B61">
      <w:pPr>
        <w:tabs>
          <w:tab w:val="left" w:pos="284"/>
        </w:tabs>
        <w:spacing w:line="360" w:lineRule="auto"/>
        <w:jc w:val="both"/>
        <w:rPr>
          <w:rFonts w:ascii="Calibri" w:hAnsi="Calibri"/>
          <w:sz w:val="22"/>
          <w:szCs w:val="22"/>
        </w:rPr>
      </w:pPr>
      <w:r w:rsidRPr="0021241A">
        <w:rPr>
          <w:rFonts w:ascii="Calibri" w:hAnsi="Calibri"/>
          <w:sz w:val="22"/>
          <w:szCs w:val="22"/>
        </w:rPr>
        <w:t xml:space="preserve">A selection of birthplaces is presented at </w:t>
      </w:r>
      <w:r>
        <w:rPr>
          <w:rFonts w:ascii="Calibri" w:hAnsi="Calibri"/>
          <w:sz w:val="22"/>
          <w:szCs w:val="22"/>
        </w:rPr>
        <w:t>right</w:t>
      </w:r>
      <w:r w:rsidRPr="0021241A">
        <w:rPr>
          <w:rFonts w:ascii="Calibri" w:hAnsi="Calibri"/>
          <w:sz w:val="22"/>
          <w:szCs w:val="22"/>
        </w:rPr>
        <w:t>.</w:t>
      </w:r>
    </w:p>
    <w:p w14:paraId="496CCF75" w14:textId="77777777" w:rsidR="00660B61" w:rsidRDefault="00660B61" w:rsidP="00660B61">
      <w:pPr>
        <w:tabs>
          <w:tab w:val="left" w:pos="284"/>
        </w:tabs>
        <w:spacing w:line="360" w:lineRule="auto"/>
        <w:jc w:val="both"/>
        <w:rPr>
          <w:rFonts w:ascii="Calibri" w:hAnsi="Calibri"/>
          <w:noProof/>
          <w:color w:val="000000"/>
          <w:sz w:val="22"/>
          <w:szCs w:val="22"/>
          <w:lang w:eastAsia="en-AU"/>
        </w:rPr>
      </w:pPr>
      <w:r>
        <w:rPr>
          <w:rFonts w:ascii="Calibri" w:hAnsi="Calibri"/>
          <w:noProof/>
          <w:color w:val="000000"/>
          <w:sz w:val="22"/>
          <w:szCs w:val="22"/>
          <w:lang w:eastAsia="en-AU"/>
        </w:rPr>
        <w:t xml:space="preserve">In addition, almost three-quarters (71%) </w:t>
      </w:r>
      <w:r w:rsidRPr="0021241A">
        <w:rPr>
          <w:rFonts w:ascii="Calibri" w:hAnsi="Calibri"/>
          <w:noProof/>
          <w:color w:val="000000"/>
          <w:sz w:val="22"/>
          <w:szCs w:val="22"/>
          <w:lang w:eastAsia="en-AU"/>
        </w:rPr>
        <w:t xml:space="preserve">of </w:t>
      </w:r>
      <w:r>
        <w:rPr>
          <w:rFonts w:ascii="Calibri" w:hAnsi="Calibri"/>
          <w:noProof/>
          <w:color w:val="000000"/>
          <w:sz w:val="22"/>
          <w:szCs w:val="22"/>
          <w:lang w:eastAsia="en-AU"/>
        </w:rPr>
        <w:t>the women</w:t>
      </w:r>
      <w:r w:rsidRPr="0021241A">
        <w:rPr>
          <w:rFonts w:ascii="Calibri" w:hAnsi="Calibri"/>
          <w:noProof/>
          <w:color w:val="000000"/>
          <w:sz w:val="22"/>
          <w:szCs w:val="22"/>
          <w:lang w:eastAsia="en-AU"/>
        </w:rPr>
        <w:t xml:space="preserve"> </w:t>
      </w:r>
      <w:r>
        <w:rPr>
          <w:rFonts w:ascii="Calibri" w:hAnsi="Calibri"/>
          <w:noProof/>
          <w:color w:val="000000"/>
          <w:sz w:val="22"/>
          <w:szCs w:val="22"/>
          <w:lang w:eastAsia="en-AU"/>
        </w:rPr>
        <w:t>who gave birth in 2014/15 speak</w:t>
      </w:r>
      <w:r w:rsidRPr="0021241A">
        <w:rPr>
          <w:rFonts w:ascii="Calibri" w:hAnsi="Calibri"/>
          <w:noProof/>
          <w:color w:val="000000"/>
          <w:sz w:val="22"/>
          <w:szCs w:val="22"/>
          <w:lang w:eastAsia="en-AU"/>
        </w:rPr>
        <w:t xml:space="preserve"> languages ot</w:t>
      </w:r>
      <w:r>
        <w:rPr>
          <w:rFonts w:ascii="Calibri" w:hAnsi="Calibri"/>
          <w:noProof/>
          <w:color w:val="000000"/>
          <w:sz w:val="22"/>
          <w:szCs w:val="22"/>
          <w:lang w:eastAsia="en-AU"/>
        </w:rPr>
        <w:t>her than English in their homes, including</w:t>
      </w:r>
      <w:r w:rsidRPr="0021241A">
        <w:rPr>
          <w:rFonts w:ascii="Calibri" w:hAnsi="Calibri"/>
          <w:noProof/>
          <w:color w:val="000000"/>
          <w:sz w:val="22"/>
          <w:szCs w:val="22"/>
          <w:lang w:eastAsia="en-AU"/>
        </w:rPr>
        <w:t xml:space="preserve"> Vietnamese, </w:t>
      </w:r>
      <w:r>
        <w:rPr>
          <w:rFonts w:ascii="Calibri" w:hAnsi="Calibri"/>
          <w:noProof/>
          <w:color w:val="000000"/>
          <w:sz w:val="22"/>
          <w:szCs w:val="22"/>
          <w:lang w:eastAsia="en-AU"/>
        </w:rPr>
        <w:t xml:space="preserve">Punjabi, </w:t>
      </w:r>
      <w:r w:rsidRPr="0021241A">
        <w:rPr>
          <w:rFonts w:ascii="Calibri" w:hAnsi="Calibri"/>
          <w:noProof/>
          <w:color w:val="000000"/>
          <w:sz w:val="22"/>
          <w:szCs w:val="22"/>
          <w:lang w:eastAsia="en-AU"/>
        </w:rPr>
        <w:t xml:space="preserve">Khmer, Dari, </w:t>
      </w:r>
      <w:r>
        <w:rPr>
          <w:rFonts w:ascii="Calibri" w:hAnsi="Calibri"/>
          <w:noProof/>
          <w:color w:val="000000"/>
          <w:sz w:val="22"/>
          <w:szCs w:val="22"/>
          <w:lang w:eastAsia="en-AU"/>
        </w:rPr>
        <w:t xml:space="preserve">Kaswahilli and </w:t>
      </w:r>
      <w:r w:rsidRPr="0021241A">
        <w:rPr>
          <w:rFonts w:ascii="Calibri" w:hAnsi="Calibri"/>
          <w:noProof/>
          <w:color w:val="000000"/>
          <w:sz w:val="22"/>
          <w:szCs w:val="22"/>
          <w:lang w:eastAsia="en-AU"/>
        </w:rPr>
        <w:t>Mandarin.</w:t>
      </w:r>
    </w:p>
    <w:p w14:paraId="6E5F9B09" w14:textId="77777777" w:rsidR="00660B61" w:rsidRDefault="00660B61" w:rsidP="00660B61">
      <w:pPr>
        <w:tabs>
          <w:tab w:val="left" w:pos="284"/>
        </w:tabs>
        <w:spacing w:line="360" w:lineRule="auto"/>
        <w:jc w:val="both"/>
        <w:rPr>
          <w:rFonts w:ascii="Calibri" w:hAnsi="Calibri"/>
          <w:noProof/>
          <w:color w:val="000000"/>
          <w:sz w:val="22"/>
          <w:szCs w:val="22"/>
          <w:lang w:eastAsia="en-AU"/>
        </w:rPr>
      </w:pPr>
    </w:p>
    <w:p w14:paraId="64CB98CF" w14:textId="77777777" w:rsidR="00660B61" w:rsidRPr="00A6516A" w:rsidRDefault="00660B61" w:rsidP="00660B61">
      <w:pPr>
        <w:tabs>
          <w:tab w:val="left" w:pos="4678"/>
        </w:tabs>
        <w:spacing w:line="360" w:lineRule="auto"/>
        <w:jc w:val="both"/>
        <w:rPr>
          <w:rFonts w:ascii="Calibri" w:hAnsi="Calibri"/>
          <w:sz w:val="22"/>
          <w:szCs w:val="22"/>
        </w:rPr>
      </w:pPr>
      <w:r w:rsidRPr="00A6516A">
        <w:rPr>
          <w:rFonts w:ascii="Calibri" w:hAnsi="Calibri"/>
          <w:b/>
          <w:sz w:val="22"/>
          <w:szCs w:val="22"/>
        </w:rPr>
        <w:lastRenderedPageBreak/>
        <w:t>Birth Rates</w:t>
      </w:r>
      <w:r w:rsidRPr="00A6516A">
        <w:rPr>
          <w:rFonts w:ascii="Calibri" w:hAnsi="Calibri"/>
          <w:sz w:val="22"/>
          <w:szCs w:val="22"/>
        </w:rPr>
        <w:t xml:space="preserve"> </w:t>
      </w:r>
      <w:r w:rsidRPr="00A6516A">
        <w:rPr>
          <w:rFonts w:ascii="Calibri" w:hAnsi="Calibri"/>
          <w:sz w:val="22"/>
          <w:szCs w:val="22"/>
        </w:rPr>
        <w:tab/>
      </w:r>
      <w:r w:rsidRPr="008C1E25">
        <w:rPr>
          <w:rFonts w:ascii="Calibri" w:hAnsi="Calibri"/>
          <w:color w:val="7F7F7F"/>
          <w:sz w:val="18"/>
          <w:szCs w:val="18"/>
        </w:rPr>
        <w:t>Age-specific Birth Rates: Australia, 192</w:t>
      </w:r>
      <w:r>
        <w:rPr>
          <w:rFonts w:ascii="Calibri" w:hAnsi="Calibri"/>
          <w:color w:val="7F7F7F"/>
          <w:sz w:val="18"/>
          <w:szCs w:val="18"/>
        </w:rPr>
        <w:t>5</w:t>
      </w:r>
      <w:r w:rsidRPr="008C1E25">
        <w:rPr>
          <w:rFonts w:ascii="Calibri" w:hAnsi="Calibri"/>
          <w:color w:val="7F7F7F"/>
          <w:sz w:val="18"/>
          <w:szCs w:val="18"/>
        </w:rPr>
        <w:t>-201</w:t>
      </w:r>
      <w:r>
        <w:rPr>
          <w:rFonts w:ascii="Calibri" w:hAnsi="Calibri"/>
          <w:color w:val="7F7F7F"/>
          <w:sz w:val="18"/>
          <w:szCs w:val="18"/>
        </w:rPr>
        <w:t>8</w:t>
      </w:r>
    </w:p>
    <w:p w14:paraId="71B236CE"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68480" behindDoc="0" locked="0" layoutInCell="1" allowOverlap="1" wp14:anchorId="2CB231DB" wp14:editId="4B2F5A20">
            <wp:simplePos x="0" y="0"/>
            <wp:positionH relativeFrom="column">
              <wp:posOffset>2687955</wp:posOffset>
            </wp:positionH>
            <wp:positionV relativeFrom="paragraph">
              <wp:posOffset>5080</wp:posOffset>
            </wp:positionV>
            <wp:extent cx="3426460" cy="2438400"/>
            <wp:effectExtent l="0" t="0" r="254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6460" cy="243840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2"/>
          <w:szCs w:val="22"/>
        </w:rPr>
        <w:t>B</w:t>
      </w:r>
      <w:r w:rsidRPr="00A6516A">
        <w:rPr>
          <w:rFonts w:ascii="Calibri" w:hAnsi="Calibri"/>
          <w:sz w:val="22"/>
          <w:szCs w:val="22"/>
        </w:rPr>
        <w:t xml:space="preserve">irth rates have fluctuated widely </w:t>
      </w:r>
      <w:r>
        <w:rPr>
          <w:rFonts w:ascii="Calibri" w:hAnsi="Calibri"/>
          <w:sz w:val="22"/>
          <w:szCs w:val="22"/>
        </w:rPr>
        <w:t xml:space="preserve">in Australia </w:t>
      </w:r>
      <w:r w:rsidRPr="00A6516A">
        <w:rPr>
          <w:rFonts w:ascii="Calibri" w:hAnsi="Calibri"/>
          <w:sz w:val="22"/>
          <w:szCs w:val="22"/>
        </w:rPr>
        <w:t xml:space="preserve">during the past ninety years. </w:t>
      </w:r>
      <w:r>
        <w:rPr>
          <w:rFonts w:ascii="Calibri" w:hAnsi="Calibri"/>
          <w:sz w:val="22"/>
          <w:szCs w:val="22"/>
        </w:rPr>
        <w:t>R</w:t>
      </w:r>
      <w:r w:rsidRPr="00A6516A">
        <w:rPr>
          <w:rFonts w:ascii="Calibri" w:hAnsi="Calibri"/>
          <w:sz w:val="22"/>
          <w:szCs w:val="22"/>
        </w:rPr>
        <w:t xml:space="preserve">ates among </w:t>
      </w:r>
      <w:r>
        <w:rPr>
          <w:rFonts w:ascii="Calibri" w:hAnsi="Calibri"/>
          <w:sz w:val="22"/>
          <w:szCs w:val="22"/>
        </w:rPr>
        <w:t>20-24</w:t>
      </w:r>
      <w:r w:rsidRPr="00A6516A">
        <w:rPr>
          <w:rFonts w:ascii="Calibri" w:hAnsi="Calibri"/>
          <w:sz w:val="22"/>
          <w:szCs w:val="22"/>
        </w:rPr>
        <w:t xml:space="preserve"> year-olds rose to a peak of </w:t>
      </w:r>
      <w:r>
        <w:rPr>
          <w:rFonts w:ascii="Calibri" w:hAnsi="Calibri"/>
          <w:sz w:val="22"/>
          <w:szCs w:val="22"/>
        </w:rPr>
        <w:t>216</w:t>
      </w:r>
      <w:r w:rsidRPr="00A6516A">
        <w:rPr>
          <w:rFonts w:ascii="Calibri" w:hAnsi="Calibri"/>
          <w:sz w:val="22"/>
          <w:szCs w:val="22"/>
        </w:rPr>
        <w:t xml:space="preserve"> </w:t>
      </w:r>
      <w:r>
        <w:rPr>
          <w:rFonts w:ascii="Calibri" w:hAnsi="Calibri"/>
          <w:sz w:val="22"/>
          <w:szCs w:val="22"/>
        </w:rPr>
        <w:t xml:space="preserve">per 1,000 women </w:t>
      </w:r>
      <w:r w:rsidRPr="00A6516A">
        <w:rPr>
          <w:rFonts w:ascii="Calibri" w:hAnsi="Calibri"/>
          <w:sz w:val="22"/>
          <w:szCs w:val="22"/>
        </w:rPr>
        <w:t>in 19</w:t>
      </w:r>
      <w:r>
        <w:rPr>
          <w:rFonts w:ascii="Calibri" w:hAnsi="Calibri"/>
          <w:sz w:val="22"/>
          <w:szCs w:val="22"/>
        </w:rPr>
        <w:t>6</w:t>
      </w:r>
      <w:r w:rsidRPr="00A6516A">
        <w:rPr>
          <w:rFonts w:ascii="Calibri" w:hAnsi="Calibri"/>
          <w:sz w:val="22"/>
          <w:szCs w:val="22"/>
        </w:rPr>
        <w:t xml:space="preserve">1, before declining to </w:t>
      </w:r>
      <w:r>
        <w:rPr>
          <w:rFonts w:ascii="Calibri" w:hAnsi="Calibri"/>
          <w:sz w:val="22"/>
          <w:szCs w:val="22"/>
        </w:rPr>
        <w:t>46 per 1,000 by 2018</w:t>
      </w:r>
      <w:r w:rsidRPr="00A6516A">
        <w:rPr>
          <w:rFonts w:ascii="Calibri" w:hAnsi="Calibri"/>
          <w:sz w:val="22"/>
          <w:szCs w:val="22"/>
        </w:rPr>
        <w:t>. Among women aged 3</w:t>
      </w:r>
      <w:r>
        <w:rPr>
          <w:rFonts w:ascii="Calibri" w:hAnsi="Calibri"/>
          <w:sz w:val="22"/>
          <w:szCs w:val="22"/>
        </w:rPr>
        <w:t>0</w:t>
      </w:r>
      <w:r w:rsidRPr="00A6516A">
        <w:rPr>
          <w:rFonts w:ascii="Calibri" w:hAnsi="Calibri"/>
          <w:sz w:val="22"/>
          <w:szCs w:val="22"/>
        </w:rPr>
        <w:t>-3</w:t>
      </w:r>
      <w:r>
        <w:rPr>
          <w:rFonts w:ascii="Calibri" w:hAnsi="Calibri"/>
          <w:sz w:val="22"/>
          <w:szCs w:val="22"/>
        </w:rPr>
        <w:t>4</w:t>
      </w:r>
      <w:r w:rsidRPr="00A6516A">
        <w:rPr>
          <w:rFonts w:ascii="Calibri" w:hAnsi="Calibri"/>
          <w:sz w:val="22"/>
          <w:szCs w:val="22"/>
        </w:rPr>
        <w:t xml:space="preserve"> years</w:t>
      </w:r>
      <w:r>
        <w:rPr>
          <w:rFonts w:ascii="Calibri" w:hAnsi="Calibri"/>
          <w:sz w:val="22"/>
          <w:szCs w:val="22"/>
        </w:rPr>
        <w:t xml:space="preserve"> on the other hand</w:t>
      </w:r>
      <w:r w:rsidRPr="00A6516A">
        <w:rPr>
          <w:rFonts w:ascii="Calibri" w:hAnsi="Calibri"/>
          <w:sz w:val="22"/>
          <w:szCs w:val="22"/>
        </w:rPr>
        <w:t xml:space="preserve">, rates fell </w:t>
      </w:r>
      <w:r>
        <w:rPr>
          <w:rFonts w:ascii="Calibri" w:hAnsi="Calibri"/>
          <w:sz w:val="22"/>
          <w:szCs w:val="22"/>
        </w:rPr>
        <w:t xml:space="preserve">during the depression, rose after the war, declined with the advent of the contraceptive pill and rising levels of labour force participation in the 1960s, before commencing a gradual rise </w:t>
      </w:r>
      <w:r w:rsidRPr="00A6516A">
        <w:rPr>
          <w:rFonts w:ascii="Calibri" w:hAnsi="Calibri"/>
          <w:sz w:val="22"/>
          <w:szCs w:val="22"/>
        </w:rPr>
        <w:t xml:space="preserve">in 1981, which </w:t>
      </w:r>
      <w:r>
        <w:rPr>
          <w:rFonts w:ascii="Calibri" w:hAnsi="Calibri"/>
          <w:sz w:val="22"/>
          <w:szCs w:val="22"/>
        </w:rPr>
        <w:t>has stabilised in recent years (diagram above).</w:t>
      </w:r>
    </w:p>
    <w:p w14:paraId="5CED7578"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70528" behindDoc="0" locked="0" layoutInCell="1" allowOverlap="1" wp14:anchorId="72A166F9" wp14:editId="34F84722">
            <wp:simplePos x="0" y="0"/>
            <wp:positionH relativeFrom="column">
              <wp:posOffset>32385</wp:posOffset>
            </wp:positionH>
            <wp:positionV relativeFrom="paragraph">
              <wp:posOffset>239395</wp:posOffset>
            </wp:positionV>
            <wp:extent cx="3540521" cy="2444750"/>
            <wp:effectExtent l="0" t="0" r="317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40521" cy="2444750"/>
                    </a:xfrm>
                    <a:prstGeom prst="rect">
                      <a:avLst/>
                    </a:prstGeom>
                    <a:noFill/>
                  </pic:spPr>
                </pic:pic>
              </a:graphicData>
            </a:graphic>
            <wp14:sizeRelH relativeFrom="page">
              <wp14:pctWidth>0</wp14:pctWidth>
            </wp14:sizeRelH>
            <wp14:sizeRelV relativeFrom="page">
              <wp14:pctHeight>0</wp14:pctHeight>
            </wp14:sizeRelV>
          </wp:anchor>
        </w:drawing>
      </w:r>
    </w:p>
    <w:p w14:paraId="1CC06785" w14:textId="77777777" w:rsidR="00660B61" w:rsidRDefault="00660B61" w:rsidP="00660B61">
      <w:pPr>
        <w:tabs>
          <w:tab w:val="left" w:pos="284"/>
        </w:tabs>
        <w:spacing w:line="360" w:lineRule="auto"/>
        <w:jc w:val="both"/>
        <w:rPr>
          <w:rFonts w:ascii="Calibri" w:hAnsi="Calibri"/>
          <w:noProof/>
          <w:sz w:val="22"/>
          <w:szCs w:val="22"/>
          <w:lang w:eastAsia="en-AU"/>
        </w:rPr>
      </w:pPr>
      <w:r>
        <w:rPr>
          <w:rFonts w:ascii="Calibri" w:hAnsi="Calibri"/>
          <w:sz w:val="22"/>
          <w:szCs w:val="22"/>
        </w:rPr>
        <w:t>The diagram at left shows the overall change in birth rates among Australian women of each age range, between 1922 and 2018. Most pronounced are the declines in rates among women aged 15 to 29 years. Rates among older women though, have changed little, as the increasing tendency to postpone childbirth has balanced the overall reduction in birth rates.</w:t>
      </w:r>
    </w:p>
    <w:p w14:paraId="1C501483" w14:textId="77777777" w:rsidR="00660B61" w:rsidRDefault="00660B61" w:rsidP="00660B61">
      <w:pPr>
        <w:tabs>
          <w:tab w:val="left" w:pos="284"/>
        </w:tabs>
        <w:jc w:val="both"/>
        <w:rPr>
          <w:rFonts w:ascii="Calibri" w:hAnsi="Calibri"/>
          <w:color w:val="7F7F7F" w:themeColor="text1" w:themeTint="80"/>
          <w:sz w:val="18"/>
          <w:szCs w:val="18"/>
        </w:rPr>
      </w:pPr>
    </w:p>
    <w:p w14:paraId="472FAC19" w14:textId="77777777" w:rsidR="00660B61" w:rsidRDefault="00660B61" w:rsidP="00660B61">
      <w:pPr>
        <w:tabs>
          <w:tab w:val="left" w:pos="284"/>
        </w:tabs>
        <w:jc w:val="both"/>
        <w:rPr>
          <w:rFonts w:ascii="Calibri" w:hAnsi="Calibri"/>
          <w:color w:val="7F7F7F" w:themeColor="text1" w:themeTint="80"/>
          <w:sz w:val="18"/>
          <w:szCs w:val="18"/>
        </w:rPr>
      </w:pPr>
    </w:p>
    <w:p w14:paraId="0AEA1201" w14:textId="77777777" w:rsidR="00660B61" w:rsidRDefault="00660B61" w:rsidP="00660B61">
      <w:pPr>
        <w:tabs>
          <w:tab w:val="left" w:pos="284"/>
        </w:tabs>
        <w:ind w:left="4395"/>
        <w:jc w:val="both"/>
        <w:rPr>
          <w:rFonts w:ascii="Calibri" w:hAnsi="Calibri"/>
          <w:color w:val="7F7F7F" w:themeColor="text1" w:themeTint="80"/>
          <w:sz w:val="18"/>
          <w:szCs w:val="18"/>
        </w:rPr>
      </w:pPr>
      <w:r w:rsidRPr="00705EA6">
        <w:rPr>
          <w:rFonts w:ascii="Calibri" w:hAnsi="Calibri"/>
          <w:color w:val="7F7F7F" w:themeColor="text1" w:themeTint="80"/>
          <w:sz w:val="18"/>
          <w:szCs w:val="18"/>
        </w:rPr>
        <w:t>Birth rates by age: Greater Dandenong and Melbourne, 201</w:t>
      </w:r>
      <w:r>
        <w:rPr>
          <w:rFonts w:ascii="Calibri" w:hAnsi="Calibri"/>
          <w:color w:val="7F7F7F" w:themeColor="text1" w:themeTint="80"/>
          <w:sz w:val="18"/>
          <w:szCs w:val="18"/>
        </w:rPr>
        <w:t>8</w:t>
      </w:r>
    </w:p>
    <w:p w14:paraId="50C15873"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76672" behindDoc="0" locked="0" layoutInCell="1" allowOverlap="1" wp14:anchorId="33CDB3C0" wp14:editId="7575A2C4">
            <wp:simplePos x="0" y="0"/>
            <wp:positionH relativeFrom="column">
              <wp:posOffset>2540635</wp:posOffset>
            </wp:positionH>
            <wp:positionV relativeFrom="paragraph">
              <wp:posOffset>82550</wp:posOffset>
            </wp:positionV>
            <wp:extent cx="3563620" cy="260032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3620" cy="2600325"/>
                    </a:xfrm>
                    <a:prstGeom prst="rect">
                      <a:avLst/>
                    </a:prstGeom>
                    <a:noFill/>
                  </pic:spPr>
                </pic:pic>
              </a:graphicData>
            </a:graphic>
            <wp14:sizeRelH relativeFrom="page">
              <wp14:pctWidth>0</wp14:pctWidth>
            </wp14:sizeRelH>
            <wp14:sizeRelV relativeFrom="page">
              <wp14:pctHeight>0</wp14:pctHeight>
            </wp14:sizeRelV>
          </wp:anchor>
        </w:drawing>
      </w:r>
    </w:p>
    <w:p w14:paraId="246B1470" w14:textId="77777777" w:rsidR="00660B61" w:rsidRDefault="00660B61" w:rsidP="00660B61">
      <w:pPr>
        <w:tabs>
          <w:tab w:val="left" w:pos="284"/>
        </w:tabs>
        <w:spacing w:line="360" w:lineRule="auto"/>
        <w:jc w:val="both"/>
        <w:rPr>
          <w:rFonts w:ascii="Calibri" w:hAnsi="Calibri"/>
          <w:sz w:val="22"/>
          <w:szCs w:val="22"/>
        </w:rPr>
      </w:pPr>
      <w:r>
        <w:rPr>
          <w:rFonts w:ascii="Calibri" w:hAnsi="Calibri"/>
          <w:sz w:val="22"/>
          <w:szCs w:val="22"/>
        </w:rPr>
        <w:t>In 2018, b</w:t>
      </w:r>
      <w:r w:rsidRPr="00A6516A">
        <w:rPr>
          <w:rFonts w:ascii="Calibri" w:hAnsi="Calibri"/>
          <w:sz w:val="22"/>
          <w:szCs w:val="22"/>
        </w:rPr>
        <w:t>irth rates were higher among women aged 15-29 in Greater Dandenong than for Melbourne</w:t>
      </w:r>
      <w:r>
        <w:rPr>
          <w:rFonts w:ascii="Calibri" w:hAnsi="Calibri"/>
          <w:sz w:val="22"/>
          <w:szCs w:val="22"/>
        </w:rPr>
        <w:t>,</w:t>
      </w:r>
      <w:r w:rsidRPr="00A6516A">
        <w:rPr>
          <w:rFonts w:ascii="Calibri" w:hAnsi="Calibri"/>
          <w:sz w:val="22"/>
          <w:szCs w:val="22"/>
        </w:rPr>
        <w:t xml:space="preserve"> and lower among women over 30</w:t>
      </w:r>
      <w:r>
        <w:rPr>
          <w:rFonts w:ascii="Calibri" w:hAnsi="Calibri"/>
          <w:sz w:val="22"/>
          <w:szCs w:val="22"/>
        </w:rPr>
        <w:t xml:space="preserve"> </w:t>
      </w:r>
      <w:r w:rsidRPr="00A6516A">
        <w:rPr>
          <w:rFonts w:ascii="Calibri" w:hAnsi="Calibri"/>
          <w:sz w:val="22"/>
          <w:szCs w:val="22"/>
        </w:rPr>
        <w:t xml:space="preserve">– a circumstance common </w:t>
      </w:r>
      <w:r>
        <w:rPr>
          <w:rFonts w:ascii="Calibri" w:hAnsi="Calibri"/>
          <w:sz w:val="22"/>
          <w:szCs w:val="22"/>
        </w:rPr>
        <w:t>in</w:t>
      </w:r>
      <w:r w:rsidRPr="00A6516A">
        <w:rPr>
          <w:rFonts w:ascii="Calibri" w:hAnsi="Calibri"/>
          <w:sz w:val="22"/>
          <w:szCs w:val="22"/>
        </w:rPr>
        <w:t xml:space="preserve"> localities of social disadvantage. </w:t>
      </w:r>
      <w:r>
        <w:rPr>
          <w:rFonts w:ascii="Calibri" w:hAnsi="Calibri"/>
          <w:sz w:val="22"/>
          <w:szCs w:val="22"/>
        </w:rPr>
        <w:t>T</w:t>
      </w:r>
      <w:r w:rsidRPr="00A6516A">
        <w:rPr>
          <w:rFonts w:ascii="Calibri" w:hAnsi="Calibri"/>
          <w:sz w:val="22"/>
          <w:szCs w:val="22"/>
        </w:rPr>
        <w:t xml:space="preserve">he fertility rate in Greater Dandenong </w:t>
      </w:r>
      <w:r w:rsidRPr="00A83C93">
        <w:rPr>
          <w:rFonts w:ascii="Calibri" w:hAnsi="Calibri"/>
          <w:sz w:val="18"/>
          <w:szCs w:val="18"/>
        </w:rPr>
        <w:t xml:space="preserve">[average </w:t>
      </w:r>
      <w:r>
        <w:rPr>
          <w:rFonts w:ascii="Calibri" w:hAnsi="Calibri"/>
          <w:sz w:val="18"/>
          <w:szCs w:val="18"/>
        </w:rPr>
        <w:t xml:space="preserve">number of </w:t>
      </w:r>
      <w:r w:rsidRPr="00A83C93">
        <w:rPr>
          <w:rFonts w:ascii="Calibri" w:hAnsi="Calibri"/>
          <w:sz w:val="18"/>
          <w:szCs w:val="18"/>
        </w:rPr>
        <w:t xml:space="preserve">children a woman would have in a lifetime, based on </w:t>
      </w:r>
      <w:r>
        <w:rPr>
          <w:rFonts w:ascii="Calibri" w:hAnsi="Calibri"/>
          <w:sz w:val="18"/>
          <w:szCs w:val="18"/>
        </w:rPr>
        <w:t>current</w:t>
      </w:r>
      <w:r w:rsidRPr="00A83C93">
        <w:rPr>
          <w:rFonts w:ascii="Calibri" w:hAnsi="Calibri"/>
          <w:sz w:val="18"/>
          <w:szCs w:val="18"/>
        </w:rPr>
        <w:t xml:space="preserve"> birth rates</w:t>
      </w:r>
      <w:r w:rsidRPr="00A6516A">
        <w:rPr>
          <w:rFonts w:ascii="Calibri" w:hAnsi="Calibri"/>
          <w:sz w:val="22"/>
          <w:szCs w:val="22"/>
        </w:rPr>
        <w:t xml:space="preserve">], is </w:t>
      </w:r>
      <w:r>
        <w:rPr>
          <w:rFonts w:ascii="Calibri" w:hAnsi="Calibri"/>
          <w:sz w:val="22"/>
          <w:szCs w:val="22"/>
        </w:rPr>
        <w:t>1.7</w:t>
      </w:r>
      <w:r w:rsidRPr="00A6516A">
        <w:rPr>
          <w:rFonts w:ascii="Calibri" w:hAnsi="Calibri"/>
          <w:sz w:val="22"/>
          <w:szCs w:val="22"/>
        </w:rPr>
        <w:t xml:space="preserve"> –</w:t>
      </w:r>
      <w:r>
        <w:rPr>
          <w:rFonts w:ascii="Calibri" w:hAnsi="Calibri"/>
          <w:sz w:val="22"/>
          <w:szCs w:val="22"/>
        </w:rPr>
        <w:t xml:space="preserve"> slightly</w:t>
      </w:r>
      <w:r w:rsidRPr="00A6516A">
        <w:rPr>
          <w:rFonts w:ascii="Calibri" w:hAnsi="Calibri"/>
          <w:sz w:val="22"/>
          <w:szCs w:val="22"/>
        </w:rPr>
        <w:t xml:space="preserve"> higher than the metropolitan level of 1.</w:t>
      </w:r>
      <w:r>
        <w:rPr>
          <w:rFonts w:ascii="Calibri" w:hAnsi="Calibri"/>
          <w:sz w:val="22"/>
          <w:szCs w:val="22"/>
        </w:rPr>
        <w:t>5</w:t>
      </w:r>
      <w:r w:rsidRPr="00A6516A">
        <w:rPr>
          <w:rFonts w:ascii="Calibri" w:hAnsi="Calibri"/>
          <w:sz w:val="22"/>
          <w:szCs w:val="22"/>
        </w:rPr>
        <w:t xml:space="preserve">. </w:t>
      </w:r>
    </w:p>
    <w:p w14:paraId="3AFBCC4D" w14:textId="77777777" w:rsidR="00660B61" w:rsidRDefault="00660B61" w:rsidP="00660B61">
      <w:pPr>
        <w:tabs>
          <w:tab w:val="left" w:pos="284"/>
        </w:tabs>
        <w:spacing w:line="360" w:lineRule="auto"/>
        <w:jc w:val="both"/>
        <w:rPr>
          <w:rFonts w:ascii="Calibri" w:hAnsi="Calibri"/>
          <w:sz w:val="22"/>
          <w:szCs w:val="22"/>
        </w:rPr>
      </w:pPr>
    </w:p>
    <w:p w14:paraId="68D987FA" w14:textId="77777777" w:rsidR="00660B61" w:rsidRPr="00E60C7F" w:rsidRDefault="00660B61" w:rsidP="00660B61">
      <w:pPr>
        <w:tabs>
          <w:tab w:val="left" w:pos="4820"/>
        </w:tabs>
        <w:jc w:val="both"/>
        <w:rPr>
          <w:rFonts w:ascii="Calibri" w:hAnsi="Calibri"/>
          <w:color w:val="7F7F7F"/>
          <w:sz w:val="20"/>
          <w:szCs w:val="20"/>
        </w:rPr>
      </w:pPr>
      <w:r>
        <w:rPr>
          <w:rFonts w:ascii="Calibri" w:hAnsi="Calibri"/>
          <w:color w:val="7F7F7F"/>
          <w:sz w:val="20"/>
          <w:szCs w:val="20"/>
        </w:rPr>
        <w:lastRenderedPageBreak/>
        <w:tab/>
      </w:r>
      <w:r w:rsidRPr="00E60C7F">
        <w:rPr>
          <w:rFonts w:ascii="Calibri" w:hAnsi="Calibri"/>
          <w:color w:val="7F7F7F"/>
          <w:sz w:val="20"/>
          <w:szCs w:val="20"/>
        </w:rPr>
        <w:t>Per cent of Women, who bore five or more Children,</w:t>
      </w:r>
    </w:p>
    <w:p w14:paraId="7C427222" w14:textId="77777777" w:rsidR="00660B61" w:rsidRPr="00E60C7F" w:rsidRDefault="00660B61" w:rsidP="00660B61">
      <w:pPr>
        <w:tabs>
          <w:tab w:val="left" w:pos="4820"/>
        </w:tabs>
        <w:jc w:val="both"/>
        <w:rPr>
          <w:rFonts w:ascii="Calibri" w:hAnsi="Calibri"/>
          <w:color w:val="7F7F7F"/>
          <w:sz w:val="20"/>
          <w:szCs w:val="20"/>
        </w:rPr>
      </w:pPr>
      <w:r w:rsidRPr="00A6516A">
        <w:rPr>
          <w:rFonts w:ascii="Calibri" w:hAnsi="Calibri"/>
          <w:b/>
          <w:color w:val="000000"/>
          <w:sz w:val="22"/>
          <w:szCs w:val="22"/>
        </w:rPr>
        <w:t>Fertility Rates</w:t>
      </w:r>
      <w:r w:rsidRPr="00A6516A">
        <w:rPr>
          <w:rFonts w:ascii="Calibri" w:hAnsi="Calibri"/>
          <w:color w:val="7F7F7F"/>
          <w:sz w:val="22"/>
          <w:szCs w:val="22"/>
        </w:rPr>
        <w:tab/>
      </w:r>
      <w:r w:rsidRPr="00E60C7F">
        <w:rPr>
          <w:rFonts w:ascii="Calibri" w:hAnsi="Calibri"/>
          <w:color w:val="7F7F7F"/>
          <w:sz w:val="20"/>
          <w:szCs w:val="20"/>
        </w:rPr>
        <w:t>by Maternal Year of Birth: Australia</w:t>
      </w:r>
    </w:p>
    <w:p w14:paraId="1C218D45" w14:textId="77777777" w:rsidR="00660B61" w:rsidRDefault="00660B61" w:rsidP="00660B61">
      <w:pPr>
        <w:tabs>
          <w:tab w:val="left" w:pos="284"/>
        </w:tabs>
        <w:spacing w:line="360" w:lineRule="auto"/>
        <w:jc w:val="both"/>
        <w:rPr>
          <w:rFonts w:ascii="Calibri" w:hAnsi="Calibri"/>
          <w:noProof/>
          <w:sz w:val="22"/>
          <w:szCs w:val="22"/>
          <w:lang w:eastAsia="en-AU"/>
        </w:rPr>
      </w:pPr>
      <w:r>
        <w:rPr>
          <w:rFonts w:ascii="Calibri" w:hAnsi="Calibri"/>
          <w:noProof/>
          <w:color w:val="7F7F7F"/>
          <w:sz w:val="22"/>
          <w:szCs w:val="22"/>
          <w:lang w:eastAsia="en-AU"/>
        </w:rPr>
        <w:drawing>
          <wp:anchor distT="0" distB="0" distL="114300" distR="114300" simplePos="0" relativeHeight="251659264" behindDoc="1" locked="0" layoutInCell="1" allowOverlap="1" wp14:anchorId="3CF22720" wp14:editId="30D3BC16">
            <wp:simplePos x="0" y="0"/>
            <wp:positionH relativeFrom="column">
              <wp:posOffset>2366010</wp:posOffset>
            </wp:positionH>
            <wp:positionV relativeFrom="paragraph">
              <wp:posOffset>59055</wp:posOffset>
            </wp:positionV>
            <wp:extent cx="3827145" cy="2952750"/>
            <wp:effectExtent l="0" t="0" r="1905" b="0"/>
            <wp:wrapTight wrapText="bothSides">
              <wp:wrapPolygon edited="0">
                <wp:start x="0" y="418"/>
                <wp:lineTo x="0" y="21461"/>
                <wp:lineTo x="21503" y="21461"/>
                <wp:lineTo x="21503" y="418"/>
                <wp:lineTo x="0" y="418"/>
              </wp:wrapPolygon>
            </wp:wrapTight>
            <wp:docPr id="40"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15">
                      <a:extLst>
                        <a:ext uri="{28A0092B-C50C-407E-A947-70E740481C1C}">
                          <a14:useLocalDpi xmlns:a14="http://schemas.microsoft.com/office/drawing/2010/main" val="0"/>
                        </a:ext>
                      </a:extLst>
                    </a:blip>
                    <a:srcRect l="-647" t="-3383" r="-1257" b="-1410"/>
                    <a:stretch>
                      <a:fillRect/>
                    </a:stretch>
                  </pic:blipFill>
                  <pic:spPr bwMode="auto">
                    <a:xfrm>
                      <a:off x="0" y="0"/>
                      <a:ext cx="3827145" cy="2952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80768" behindDoc="0" locked="0" layoutInCell="1" allowOverlap="1" wp14:anchorId="45E35A14" wp14:editId="3E03930C">
            <wp:simplePos x="0" y="0"/>
            <wp:positionH relativeFrom="column">
              <wp:posOffset>3251835</wp:posOffset>
            </wp:positionH>
            <wp:positionV relativeFrom="paragraph">
              <wp:posOffset>1177925</wp:posOffset>
            </wp:positionV>
            <wp:extent cx="916389" cy="981075"/>
            <wp:effectExtent l="0" t="0" r="0" b="0"/>
            <wp:wrapNone/>
            <wp:docPr id="97" name="Picture 97" descr="Childr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hildren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6389" cy="981075"/>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sidRPr="00A6516A">
        <w:rPr>
          <w:rFonts w:ascii="Calibri" w:hAnsi="Calibri"/>
          <w:sz w:val="22"/>
          <w:szCs w:val="22"/>
        </w:rPr>
        <w:t>The Australian fertility rate has changed markedly over the past few generations. Among women born before 1910, the average number of children ever born was 2.3, compared with 3.1 among those born</w:t>
      </w:r>
      <w:r>
        <w:rPr>
          <w:rFonts w:ascii="Calibri" w:hAnsi="Calibri"/>
          <w:sz w:val="22"/>
          <w:szCs w:val="22"/>
        </w:rPr>
        <w:t xml:space="preserve"> to women</w:t>
      </w:r>
      <w:r w:rsidRPr="00A6516A">
        <w:rPr>
          <w:rFonts w:ascii="Calibri" w:hAnsi="Calibri"/>
          <w:sz w:val="22"/>
          <w:szCs w:val="22"/>
        </w:rPr>
        <w:t xml:space="preserve"> in the early 1930s, and 2 among those born in the mid-1960s. These trends are more starkly depicted in the proportion of women who gave birth to five or more children, which surged from 10% of women born before 1910, to 17% among women born in 1930, before </w:t>
      </w:r>
      <w:r>
        <w:rPr>
          <w:rFonts w:ascii="Calibri" w:hAnsi="Calibri"/>
          <w:sz w:val="22"/>
          <w:szCs w:val="22"/>
        </w:rPr>
        <w:t>plunging</w:t>
      </w:r>
      <w:r w:rsidRPr="00A6516A">
        <w:rPr>
          <w:rFonts w:ascii="Calibri" w:hAnsi="Calibri"/>
          <w:sz w:val="22"/>
          <w:szCs w:val="22"/>
        </w:rPr>
        <w:t xml:space="preserve"> to 3% </w:t>
      </w:r>
      <w:r>
        <w:rPr>
          <w:rFonts w:ascii="Calibri" w:hAnsi="Calibri"/>
          <w:sz w:val="22"/>
          <w:szCs w:val="22"/>
        </w:rPr>
        <w:t>among women born</w:t>
      </w:r>
      <w:r w:rsidRPr="00A6516A">
        <w:rPr>
          <w:rFonts w:ascii="Calibri" w:hAnsi="Calibri"/>
          <w:sz w:val="22"/>
          <w:szCs w:val="22"/>
        </w:rPr>
        <w:t xml:space="preserve"> </w:t>
      </w:r>
      <w:r>
        <w:rPr>
          <w:rFonts w:ascii="Calibri" w:hAnsi="Calibri"/>
          <w:sz w:val="22"/>
          <w:szCs w:val="22"/>
        </w:rPr>
        <w:t>in</w:t>
      </w:r>
      <w:r w:rsidRPr="00A6516A">
        <w:rPr>
          <w:rFonts w:ascii="Calibri" w:hAnsi="Calibri"/>
          <w:sz w:val="22"/>
          <w:szCs w:val="22"/>
        </w:rPr>
        <w:t xml:space="preserve"> the mid-1960s.</w:t>
      </w:r>
      <w:r w:rsidRPr="00A6516A">
        <w:rPr>
          <w:rFonts w:ascii="Calibri" w:hAnsi="Calibri"/>
          <w:noProof/>
          <w:sz w:val="22"/>
          <w:szCs w:val="22"/>
          <w:lang w:eastAsia="en-AU"/>
        </w:rPr>
        <w:t xml:space="preserve"> (</w:t>
      </w:r>
      <w:r>
        <w:rPr>
          <w:rFonts w:ascii="Calibri" w:hAnsi="Calibri"/>
          <w:noProof/>
          <w:sz w:val="22"/>
          <w:szCs w:val="22"/>
          <w:lang w:eastAsia="en-AU"/>
        </w:rPr>
        <w:t xml:space="preserve">illustration </w:t>
      </w:r>
      <w:r w:rsidRPr="00A6516A">
        <w:rPr>
          <w:rFonts w:ascii="Calibri" w:hAnsi="Calibri"/>
          <w:noProof/>
          <w:sz w:val="22"/>
          <w:szCs w:val="22"/>
          <w:lang w:eastAsia="en-AU"/>
        </w:rPr>
        <w:t>above)</w:t>
      </w:r>
    </w:p>
    <w:p w14:paraId="4E3560EA" w14:textId="77777777" w:rsidR="00660B61" w:rsidRDefault="00660B61" w:rsidP="00660B61">
      <w:pPr>
        <w:tabs>
          <w:tab w:val="left" w:pos="284"/>
        </w:tabs>
        <w:spacing w:line="360" w:lineRule="auto"/>
        <w:jc w:val="both"/>
        <w:rPr>
          <w:rFonts w:ascii="Calibri" w:hAnsi="Calibri"/>
          <w:noProof/>
          <w:sz w:val="22"/>
          <w:szCs w:val="22"/>
          <w:lang w:eastAsia="en-AU"/>
        </w:rPr>
      </w:pPr>
    </w:p>
    <w:p w14:paraId="70D3CA78" w14:textId="77777777" w:rsidR="00660B61" w:rsidRDefault="00660B61" w:rsidP="00660B61">
      <w:pPr>
        <w:tabs>
          <w:tab w:val="left" w:pos="284"/>
        </w:tabs>
        <w:spacing w:line="360" w:lineRule="auto"/>
        <w:jc w:val="both"/>
        <w:rPr>
          <w:rFonts w:ascii="Calibri" w:hAnsi="Calibri"/>
          <w:noProof/>
          <w:sz w:val="22"/>
          <w:szCs w:val="22"/>
          <w:lang w:eastAsia="en-AU"/>
        </w:rPr>
      </w:pPr>
    </w:p>
    <w:p w14:paraId="080B5927" w14:textId="77777777" w:rsidR="00660B61" w:rsidRPr="00FD1CC2" w:rsidRDefault="00660B61" w:rsidP="00660B61">
      <w:pPr>
        <w:tabs>
          <w:tab w:val="left" w:pos="4820"/>
        </w:tabs>
        <w:jc w:val="both"/>
        <w:rPr>
          <w:rFonts w:ascii="Calibri" w:hAnsi="Calibri"/>
          <w:noProof/>
          <w:sz w:val="20"/>
          <w:szCs w:val="20"/>
          <w:lang w:eastAsia="en-AU"/>
        </w:rPr>
      </w:pPr>
      <w:r>
        <w:rPr>
          <w:rFonts w:ascii="Calibri" w:hAnsi="Calibri"/>
          <w:color w:val="7F7F7F"/>
          <w:sz w:val="22"/>
          <w:szCs w:val="22"/>
        </w:rPr>
        <w:tab/>
      </w:r>
      <w:r w:rsidRPr="00FD1CC2">
        <w:rPr>
          <w:rFonts w:ascii="Calibri" w:hAnsi="Calibri"/>
          <w:color w:val="7F7F7F"/>
          <w:sz w:val="20"/>
          <w:szCs w:val="20"/>
        </w:rPr>
        <w:t>Average Children ever Born by Age and Education Level:</w:t>
      </w:r>
    </w:p>
    <w:p w14:paraId="3667F4E0" w14:textId="77777777" w:rsidR="00660B61" w:rsidRDefault="00660B61" w:rsidP="00660B61">
      <w:pPr>
        <w:tabs>
          <w:tab w:val="left" w:pos="4820"/>
          <w:tab w:val="left" w:pos="5103"/>
        </w:tabs>
        <w:spacing w:line="360" w:lineRule="auto"/>
        <w:jc w:val="both"/>
        <w:rPr>
          <w:rFonts w:ascii="Calibri" w:hAnsi="Calibri"/>
          <w:color w:val="7F7F7F"/>
          <w:sz w:val="22"/>
          <w:szCs w:val="22"/>
        </w:rPr>
      </w:pPr>
      <w:r w:rsidRPr="00C535CE">
        <w:rPr>
          <w:rFonts w:ascii="Calibri" w:hAnsi="Calibri"/>
          <w:b/>
          <w:noProof/>
          <w:sz w:val="22"/>
          <w:szCs w:val="22"/>
          <w:lang w:eastAsia="en-AU"/>
        </w:rPr>
        <w:t>Circumstances which Influence Birth Rates</w:t>
      </w:r>
      <w:r>
        <w:rPr>
          <w:rFonts w:ascii="Calibri" w:hAnsi="Calibri"/>
          <w:b/>
          <w:noProof/>
          <w:sz w:val="22"/>
          <w:szCs w:val="22"/>
          <w:lang w:eastAsia="en-AU"/>
        </w:rPr>
        <w:tab/>
      </w:r>
      <w:r w:rsidRPr="00FD1CC2">
        <w:rPr>
          <w:rFonts w:ascii="Calibri" w:hAnsi="Calibri"/>
          <w:color w:val="7F7F7F"/>
          <w:sz w:val="20"/>
          <w:szCs w:val="20"/>
        </w:rPr>
        <w:t>Victoria, 201</w:t>
      </w:r>
      <w:r>
        <w:rPr>
          <w:rFonts w:ascii="Calibri" w:hAnsi="Calibri"/>
          <w:color w:val="7F7F7F"/>
          <w:sz w:val="20"/>
          <w:szCs w:val="20"/>
        </w:rPr>
        <w:t>6</w:t>
      </w:r>
    </w:p>
    <w:p w14:paraId="4D2A08B2" w14:textId="77777777" w:rsidR="00660B61" w:rsidRDefault="00660B61" w:rsidP="00660B61">
      <w:pPr>
        <w:tabs>
          <w:tab w:val="left" w:pos="5103"/>
        </w:tabs>
        <w:spacing w:line="360" w:lineRule="auto"/>
        <w:jc w:val="both"/>
        <w:rPr>
          <w:rFonts w:ascii="Calibri" w:hAnsi="Calibri"/>
          <w:sz w:val="22"/>
          <w:szCs w:val="22"/>
        </w:rPr>
      </w:pPr>
      <w:r>
        <w:rPr>
          <w:rFonts w:ascii="Calibri" w:hAnsi="Calibri"/>
          <w:b/>
          <w:noProof/>
          <w:sz w:val="22"/>
          <w:szCs w:val="22"/>
          <w:lang w:eastAsia="en-AU"/>
        </w:rPr>
        <w:drawing>
          <wp:anchor distT="0" distB="0" distL="114300" distR="114300" simplePos="0" relativeHeight="251671552" behindDoc="0" locked="0" layoutInCell="1" allowOverlap="1" wp14:anchorId="2A2D0EC6" wp14:editId="1D9C8C7C">
            <wp:simplePos x="0" y="0"/>
            <wp:positionH relativeFrom="column">
              <wp:posOffset>2475230</wp:posOffset>
            </wp:positionH>
            <wp:positionV relativeFrom="paragraph">
              <wp:posOffset>3810</wp:posOffset>
            </wp:positionV>
            <wp:extent cx="3849370" cy="2766695"/>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9370" cy="276669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sz w:val="22"/>
          <w:szCs w:val="22"/>
        </w:rPr>
        <w:t>Fertility rates are influenced</w:t>
      </w:r>
      <w:r w:rsidRPr="00A6516A">
        <w:rPr>
          <w:rFonts w:ascii="Calibri" w:hAnsi="Calibri"/>
          <w:sz w:val="22"/>
          <w:szCs w:val="22"/>
        </w:rPr>
        <w:t xml:space="preserve"> by educational experience, birthplace and generational factors. Across Victoria, the </w:t>
      </w:r>
      <w:r>
        <w:rPr>
          <w:rFonts w:ascii="Calibri" w:hAnsi="Calibri"/>
          <w:sz w:val="22"/>
          <w:szCs w:val="22"/>
        </w:rPr>
        <w:t xml:space="preserve">average </w:t>
      </w:r>
      <w:r w:rsidRPr="00A6516A">
        <w:rPr>
          <w:rFonts w:ascii="Calibri" w:hAnsi="Calibri"/>
          <w:sz w:val="22"/>
          <w:szCs w:val="22"/>
        </w:rPr>
        <w:t>number of children ever born to women</w:t>
      </w:r>
      <w:r>
        <w:rPr>
          <w:rFonts w:ascii="Calibri" w:hAnsi="Calibri"/>
          <w:sz w:val="22"/>
          <w:szCs w:val="22"/>
        </w:rPr>
        <w:t xml:space="preserve"> rises most steeply with age among those with limited educational attainment.</w:t>
      </w:r>
      <w:r w:rsidRPr="00A6516A">
        <w:rPr>
          <w:rFonts w:ascii="Calibri" w:hAnsi="Calibri"/>
          <w:sz w:val="22"/>
          <w:szCs w:val="22"/>
        </w:rPr>
        <w:t xml:space="preserve"> </w:t>
      </w:r>
      <w:r>
        <w:rPr>
          <w:rFonts w:ascii="Calibri" w:hAnsi="Calibri"/>
          <w:sz w:val="22"/>
          <w:szCs w:val="22"/>
        </w:rPr>
        <w:t>As a result, the average number of children born to 20-24 year-old women who left school before completing year 11 is</w:t>
      </w:r>
      <w:r w:rsidRPr="00A6516A">
        <w:rPr>
          <w:rFonts w:ascii="Calibri" w:hAnsi="Calibri"/>
          <w:sz w:val="22"/>
          <w:szCs w:val="22"/>
        </w:rPr>
        <w:t xml:space="preserve"> </w:t>
      </w:r>
      <w:r>
        <w:rPr>
          <w:rFonts w:ascii="Calibri" w:hAnsi="Calibri"/>
          <w:sz w:val="22"/>
          <w:szCs w:val="22"/>
        </w:rPr>
        <w:t>seven</w:t>
      </w:r>
      <w:r w:rsidRPr="00A6516A">
        <w:rPr>
          <w:rFonts w:ascii="Calibri" w:hAnsi="Calibri"/>
          <w:sz w:val="22"/>
          <w:szCs w:val="22"/>
        </w:rPr>
        <w:t xml:space="preserve"> times </w:t>
      </w:r>
      <w:r>
        <w:rPr>
          <w:rFonts w:ascii="Calibri" w:hAnsi="Calibri"/>
          <w:sz w:val="22"/>
          <w:szCs w:val="22"/>
        </w:rPr>
        <w:t xml:space="preserve">that for those </w:t>
      </w:r>
      <w:r w:rsidRPr="00A6516A">
        <w:rPr>
          <w:rFonts w:ascii="Calibri" w:hAnsi="Calibri"/>
          <w:sz w:val="22"/>
          <w:szCs w:val="22"/>
        </w:rPr>
        <w:t xml:space="preserve">with </w:t>
      </w:r>
      <w:r>
        <w:rPr>
          <w:rFonts w:ascii="Calibri" w:hAnsi="Calibri"/>
          <w:sz w:val="22"/>
          <w:szCs w:val="22"/>
        </w:rPr>
        <w:t>competed year 12</w:t>
      </w:r>
      <w:r w:rsidRPr="00A6516A">
        <w:rPr>
          <w:rFonts w:ascii="Calibri" w:hAnsi="Calibri"/>
          <w:sz w:val="22"/>
          <w:szCs w:val="22"/>
        </w:rPr>
        <w:t xml:space="preserve">. These trends are illustrated </w:t>
      </w:r>
      <w:r>
        <w:rPr>
          <w:rFonts w:ascii="Calibri" w:hAnsi="Calibri"/>
          <w:sz w:val="22"/>
          <w:szCs w:val="22"/>
        </w:rPr>
        <w:t xml:space="preserve">at right. </w:t>
      </w:r>
    </w:p>
    <w:p w14:paraId="609C6DE7" w14:textId="77777777" w:rsidR="00660B61" w:rsidRDefault="00660B61" w:rsidP="00660B61">
      <w:pPr>
        <w:tabs>
          <w:tab w:val="left" w:pos="5103"/>
        </w:tabs>
        <w:spacing w:line="360" w:lineRule="auto"/>
        <w:jc w:val="both"/>
        <w:rPr>
          <w:rFonts w:ascii="Calibri" w:hAnsi="Calibri"/>
          <w:sz w:val="22"/>
          <w:szCs w:val="22"/>
        </w:rPr>
      </w:pPr>
      <w:r>
        <w:rPr>
          <w:rFonts w:ascii="Calibri" w:hAnsi="Calibri"/>
          <w:sz w:val="22"/>
          <w:szCs w:val="22"/>
        </w:rPr>
        <w:t>Similarly, the 2016 Census findings show that the average number of children ever born to women aged 45-49 years, ranges from 1.5 among those with post-graduate degrees, to 2.1 among those with secondary education only.</w:t>
      </w:r>
    </w:p>
    <w:p w14:paraId="6C311D91" w14:textId="77777777" w:rsidR="00660B61" w:rsidRDefault="00660B61" w:rsidP="00660B61">
      <w:pPr>
        <w:tabs>
          <w:tab w:val="left" w:pos="284"/>
        </w:tabs>
        <w:spacing w:line="360" w:lineRule="auto"/>
        <w:jc w:val="both"/>
        <w:rPr>
          <w:rFonts w:ascii="Calibri" w:hAnsi="Calibri"/>
          <w:sz w:val="22"/>
          <w:szCs w:val="22"/>
        </w:rPr>
      </w:pPr>
      <w:r>
        <w:rPr>
          <w:rFonts w:ascii="Calibri" w:hAnsi="Calibri"/>
          <w:noProof/>
          <w:lang w:eastAsia="en-AU"/>
        </w:rPr>
        <w:lastRenderedPageBreak/>
        <w:drawing>
          <wp:anchor distT="0" distB="0" distL="114300" distR="114300" simplePos="0" relativeHeight="251664384" behindDoc="0" locked="0" layoutInCell="1" allowOverlap="1" wp14:anchorId="19C640A0" wp14:editId="65A9E9DA">
            <wp:simplePos x="0" y="0"/>
            <wp:positionH relativeFrom="column">
              <wp:posOffset>1895750</wp:posOffset>
            </wp:positionH>
            <wp:positionV relativeFrom="paragraph">
              <wp:posOffset>521799</wp:posOffset>
            </wp:positionV>
            <wp:extent cx="4446905" cy="3338830"/>
            <wp:effectExtent l="0" t="0" r="0" b="0"/>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t="8033"/>
                    <a:stretch/>
                  </pic:blipFill>
                  <pic:spPr bwMode="auto">
                    <a:xfrm>
                      <a:off x="0" y="0"/>
                      <a:ext cx="4446905" cy="3338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sz w:val="22"/>
          <w:szCs w:val="22"/>
          <w:lang w:eastAsia="en-AU"/>
        </w:rPr>
        <w:drawing>
          <wp:anchor distT="0" distB="0" distL="114300" distR="114300" simplePos="0" relativeHeight="251666432" behindDoc="0" locked="0" layoutInCell="1" allowOverlap="1" wp14:anchorId="427D4515" wp14:editId="5AD01E41">
            <wp:simplePos x="0" y="0"/>
            <wp:positionH relativeFrom="column">
              <wp:posOffset>5289509</wp:posOffset>
            </wp:positionH>
            <wp:positionV relativeFrom="paragraph">
              <wp:posOffset>2159588</wp:posOffset>
            </wp:positionV>
            <wp:extent cx="807316" cy="1210708"/>
            <wp:effectExtent l="0" t="0" r="0" b="8890"/>
            <wp:wrapNone/>
            <wp:docPr id="96" name="Picture 96" descr="Childr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hildren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09635" cy="1214186"/>
                    </a:xfrm>
                    <a:prstGeom prst="rect">
                      <a:avLst/>
                    </a:prstGeom>
                    <a:noFill/>
                    <a:ln>
                      <a:noFill/>
                    </a:ln>
                    <a:effectLst>
                      <a:softEdge rad="127000"/>
                    </a:effectLst>
                  </pic:spPr>
                </pic:pic>
              </a:graphicData>
            </a:graphic>
            <wp14:sizeRelH relativeFrom="page">
              <wp14:pctWidth>0</wp14:pctWidth>
            </wp14:sizeRelH>
            <wp14:sizeRelV relativeFrom="page">
              <wp14:pctHeight>0</wp14:pctHeight>
            </wp14:sizeRelV>
          </wp:anchor>
        </w:drawing>
      </w:r>
      <w:r>
        <w:rPr>
          <w:rFonts w:ascii="Calibri" w:hAnsi="Calibri"/>
          <w:sz w:val="22"/>
          <w:szCs w:val="22"/>
        </w:rPr>
        <w:t>Birth rates among younger women are also strongly influenced by levels of or education. The accompanying diagram illustrates the association between the rate of early school leaving (before completing year 11) among 20-24 year-old women, and the number of children ever born to women of that age, across metropolitan municipalities. These data are drawn from the findings of the 2016 Census.</w:t>
      </w:r>
    </w:p>
    <w:p w14:paraId="33483E09" w14:textId="77777777" w:rsidR="00660B61" w:rsidRDefault="00660B61" w:rsidP="00660B61">
      <w:pPr>
        <w:tabs>
          <w:tab w:val="left" w:pos="284"/>
        </w:tabs>
        <w:jc w:val="both"/>
        <w:rPr>
          <w:rFonts w:ascii="Calibri" w:hAnsi="Calibri"/>
          <w:sz w:val="22"/>
          <w:szCs w:val="22"/>
        </w:rPr>
      </w:pPr>
    </w:p>
    <w:p w14:paraId="7580AA92" w14:textId="77777777" w:rsidR="00660B61" w:rsidRPr="00665105" w:rsidRDefault="00660B61" w:rsidP="00660B61">
      <w:pPr>
        <w:tabs>
          <w:tab w:val="left" w:pos="284"/>
        </w:tabs>
        <w:jc w:val="both"/>
        <w:rPr>
          <w:rFonts w:ascii="Calibri" w:hAnsi="Calibri"/>
          <w:color w:val="7F7F7F"/>
          <w:sz w:val="20"/>
          <w:szCs w:val="20"/>
        </w:rPr>
      </w:pPr>
      <w:r w:rsidRPr="00665105">
        <w:rPr>
          <w:rFonts w:ascii="Calibri" w:hAnsi="Calibri"/>
          <w:color w:val="7F7F7F"/>
          <w:sz w:val="20"/>
          <w:szCs w:val="20"/>
        </w:rPr>
        <w:t>Correlation between childr</w:t>
      </w:r>
      <w:r>
        <w:rPr>
          <w:rFonts w:ascii="Calibri" w:hAnsi="Calibri"/>
          <w:color w:val="7F7F7F"/>
          <w:sz w:val="20"/>
          <w:szCs w:val="20"/>
        </w:rPr>
        <w:t>en born per 1,000 women aged 20-</w:t>
      </w:r>
      <w:r w:rsidRPr="00665105">
        <w:rPr>
          <w:rFonts w:ascii="Calibri" w:hAnsi="Calibri"/>
          <w:color w:val="7F7F7F"/>
          <w:sz w:val="20"/>
          <w:szCs w:val="20"/>
        </w:rPr>
        <w:t>24 in 2014, and the percentage of women the same age who had left school before completing year 11 in 2016</w:t>
      </w:r>
    </w:p>
    <w:p w14:paraId="641C91EE" w14:textId="77777777" w:rsidR="00660B61" w:rsidRDefault="00660B61" w:rsidP="00660B61">
      <w:pPr>
        <w:tabs>
          <w:tab w:val="left" w:pos="284"/>
        </w:tabs>
        <w:spacing w:before="120" w:line="360" w:lineRule="auto"/>
        <w:jc w:val="both"/>
        <w:rPr>
          <w:rFonts w:ascii="Calibri" w:hAnsi="Calibri"/>
          <w:b/>
          <w:sz w:val="22"/>
          <w:szCs w:val="22"/>
        </w:rPr>
      </w:pPr>
    </w:p>
    <w:p w14:paraId="37175112" w14:textId="77777777" w:rsidR="00660B61" w:rsidRDefault="00660B61" w:rsidP="00660B61">
      <w:pPr>
        <w:tabs>
          <w:tab w:val="left" w:pos="284"/>
        </w:tabs>
        <w:spacing w:before="120" w:line="360" w:lineRule="auto"/>
        <w:jc w:val="both"/>
        <w:rPr>
          <w:rFonts w:ascii="Calibri" w:hAnsi="Calibri"/>
          <w:b/>
          <w:sz w:val="22"/>
          <w:szCs w:val="22"/>
        </w:rPr>
      </w:pPr>
    </w:p>
    <w:p w14:paraId="148DF1D0" w14:textId="77777777" w:rsidR="00660B61" w:rsidRPr="00187850" w:rsidRDefault="00660B61" w:rsidP="00660B61">
      <w:pPr>
        <w:tabs>
          <w:tab w:val="left" w:pos="284"/>
        </w:tabs>
        <w:spacing w:before="120" w:line="360" w:lineRule="auto"/>
        <w:jc w:val="both"/>
        <w:rPr>
          <w:rFonts w:ascii="Calibri" w:hAnsi="Calibri"/>
          <w:b/>
          <w:sz w:val="22"/>
          <w:szCs w:val="22"/>
        </w:rPr>
      </w:pPr>
      <w:r w:rsidRPr="00187850">
        <w:rPr>
          <w:rFonts w:ascii="Calibri" w:hAnsi="Calibri"/>
          <w:b/>
          <w:sz w:val="22"/>
          <w:szCs w:val="22"/>
        </w:rPr>
        <w:t>Breast Feeding Rates</w:t>
      </w:r>
    </w:p>
    <w:p w14:paraId="24827CF9" w14:textId="77777777" w:rsidR="00660B61" w:rsidRDefault="00660B61" w:rsidP="00660B61">
      <w:pPr>
        <w:tabs>
          <w:tab w:val="left" w:pos="284"/>
        </w:tabs>
        <w:spacing w:line="360" w:lineRule="auto"/>
        <w:jc w:val="both"/>
        <w:rPr>
          <w:rFonts w:ascii="Calibri" w:hAnsi="Calibri"/>
          <w:sz w:val="22"/>
          <w:szCs w:val="22"/>
        </w:rPr>
      </w:pPr>
      <w:r>
        <w:rPr>
          <w:noProof/>
          <w:lang w:eastAsia="en-AU"/>
        </w:rPr>
        <w:drawing>
          <wp:anchor distT="0" distB="0" distL="114300" distR="114300" simplePos="0" relativeHeight="251677696" behindDoc="0" locked="0" layoutInCell="1" allowOverlap="1" wp14:anchorId="7D258577" wp14:editId="237E2EFA">
            <wp:simplePos x="0" y="0"/>
            <wp:positionH relativeFrom="column">
              <wp:posOffset>4842510</wp:posOffset>
            </wp:positionH>
            <wp:positionV relativeFrom="paragraph">
              <wp:posOffset>1223645</wp:posOffset>
            </wp:positionV>
            <wp:extent cx="1419225" cy="1028700"/>
            <wp:effectExtent l="0" t="0" r="9525" b="0"/>
            <wp:wrapSquare wrapText="bothSides"/>
            <wp:docPr id="81" name="Picture 13" descr="Family 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Family 4.jpg"/>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9225" cy="1028700"/>
                    </a:xfrm>
                    <a:prstGeom prst="rect">
                      <a:avLst/>
                    </a:prstGeom>
                    <a:noFill/>
                    <a:effectLst>
                      <a:softEdge rad="127000"/>
                    </a:effectLst>
                  </pic:spPr>
                </pic:pic>
              </a:graphicData>
            </a:graphic>
            <wp14:sizeRelH relativeFrom="page">
              <wp14:pctWidth>0</wp14:pctWidth>
            </wp14:sizeRelH>
            <wp14:sizeRelV relativeFrom="page">
              <wp14:pctHeight>0</wp14:pctHeight>
            </wp14:sizeRelV>
          </wp:anchor>
        </w:drawing>
      </w:r>
      <w:r w:rsidRPr="0021534D">
        <w:rPr>
          <w:rFonts w:ascii="Calibri" w:hAnsi="Calibri"/>
          <w:sz w:val="22"/>
          <w:szCs w:val="22"/>
        </w:rPr>
        <w:t>Fifty-</w:t>
      </w:r>
      <w:r>
        <w:rPr>
          <w:rFonts w:ascii="Calibri" w:hAnsi="Calibri"/>
          <w:sz w:val="22"/>
          <w:szCs w:val="22"/>
        </w:rPr>
        <w:t>five</w:t>
      </w:r>
      <w:r w:rsidRPr="0021534D">
        <w:rPr>
          <w:rFonts w:ascii="Calibri" w:hAnsi="Calibri"/>
          <w:sz w:val="22"/>
          <w:szCs w:val="22"/>
        </w:rPr>
        <w:t xml:space="preserve"> per cent of the women </w:t>
      </w:r>
      <w:r>
        <w:rPr>
          <w:rFonts w:ascii="Calibri" w:hAnsi="Calibri"/>
          <w:sz w:val="22"/>
          <w:szCs w:val="22"/>
        </w:rPr>
        <w:t xml:space="preserve">in Greater Dandenong </w:t>
      </w:r>
      <w:r w:rsidRPr="0021534D">
        <w:rPr>
          <w:rFonts w:ascii="Calibri" w:hAnsi="Calibri"/>
          <w:sz w:val="22"/>
          <w:szCs w:val="22"/>
        </w:rPr>
        <w:t>who gave birth in 201</w:t>
      </w:r>
      <w:r>
        <w:rPr>
          <w:rFonts w:ascii="Calibri" w:hAnsi="Calibri"/>
          <w:sz w:val="22"/>
          <w:szCs w:val="22"/>
        </w:rPr>
        <w:t>4</w:t>
      </w:r>
      <w:r w:rsidRPr="0021534D">
        <w:rPr>
          <w:rFonts w:ascii="Calibri" w:hAnsi="Calibri"/>
          <w:sz w:val="22"/>
          <w:szCs w:val="22"/>
        </w:rPr>
        <w:t>/1</w:t>
      </w:r>
      <w:r>
        <w:rPr>
          <w:rFonts w:ascii="Calibri" w:hAnsi="Calibri"/>
          <w:sz w:val="22"/>
          <w:szCs w:val="22"/>
        </w:rPr>
        <w:t>5</w:t>
      </w:r>
      <w:r w:rsidRPr="0021534D">
        <w:rPr>
          <w:rFonts w:ascii="Calibri" w:hAnsi="Calibri"/>
          <w:sz w:val="22"/>
          <w:szCs w:val="22"/>
        </w:rPr>
        <w:t xml:space="preserve"> were fully breast feeding at three months – a rate which </w:t>
      </w:r>
      <w:r>
        <w:rPr>
          <w:rFonts w:ascii="Calibri" w:hAnsi="Calibri"/>
          <w:sz w:val="22"/>
          <w:szCs w:val="22"/>
        </w:rPr>
        <w:t>ranged</w:t>
      </w:r>
      <w:r w:rsidRPr="0021534D">
        <w:rPr>
          <w:rFonts w:ascii="Calibri" w:hAnsi="Calibri"/>
          <w:sz w:val="22"/>
          <w:szCs w:val="22"/>
        </w:rPr>
        <w:t xml:space="preserve"> </w:t>
      </w:r>
      <w:r>
        <w:rPr>
          <w:rFonts w:ascii="Calibri" w:hAnsi="Calibri"/>
          <w:sz w:val="22"/>
          <w:szCs w:val="22"/>
        </w:rPr>
        <w:t xml:space="preserve">from </w:t>
      </w:r>
      <w:r w:rsidRPr="0021534D">
        <w:rPr>
          <w:rFonts w:ascii="Calibri" w:hAnsi="Calibri"/>
          <w:sz w:val="22"/>
          <w:szCs w:val="22"/>
        </w:rPr>
        <w:t xml:space="preserve">two-thirds among women from </w:t>
      </w:r>
      <w:r>
        <w:rPr>
          <w:rFonts w:ascii="Calibri" w:hAnsi="Calibri"/>
          <w:sz w:val="22"/>
          <w:szCs w:val="22"/>
        </w:rPr>
        <w:t>Bosnia, India, New Zealand, Sri Lanka and Sudan</w:t>
      </w:r>
      <w:r w:rsidRPr="0021534D">
        <w:rPr>
          <w:rFonts w:ascii="Calibri" w:hAnsi="Calibri"/>
          <w:sz w:val="22"/>
          <w:szCs w:val="22"/>
        </w:rPr>
        <w:t xml:space="preserve">, to less than a third of women born in </w:t>
      </w:r>
      <w:r>
        <w:rPr>
          <w:rFonts w:ascii="Calibri" w:hAnsi="Calibri"/>
          <w:sz w:val="22"/>
          <w:szCs w:val="22"/>
        </w:rPr>
        <w:t>Australia, Macedonia or Pakistan</w:t>
      </w:r>
      <w:r w:rsidRPr="0021534D">
        <w:rPr>
          <w:rFonts w:ascii="Calibri" w:hAnsi="Calibri"/>
          <w:sz w:val="22"/>
          <w:szCs w:val="22"/>
        </w:rPr>
        <w:t xml:space="preserve">. </w:t>
      </w:r>
      <w:r w:rsidRPr="00187850">
        <w:rPr>
          <w:rFonts w:ascii="Calibri" w:hAnsi="Calibri"/>
          <w:sz w:val="22"/>
          <w:szCs w:val="22"/>
        </w:rPr>
        <w:t xml:space="preserve">By the time their infants had reached 6 months, </w:t>
      </w:r>
      <w:r>
        <w:rPr>
          <w:rFonts w:ascii="Calibri" w:hAnsi="Calibri"/>
          <w:sz w:val="22"/>
          <w:szCs w:val="22"/>
        </w:rPr>
        <w:t xml:space="preserve">the proportion of women who were fully breast feeding had declined to </w:t>
      </w:r>
      <w:r w:rsidRPr="00187850">
        <w:rPr>
          <w:rFonts w:ascii="Calibri" w:hAnsi="Calibri"/>
          <w:sz w:val="22"/>
          <w:szCs w:val="22"/>
        </w:rPr>
        <w:t>3</w:t>
      </w:r>
      <w:r>
        <w:rPr>
          <w:rFonts w:ascii="Calibri" w:hAnsi="Calibri"/>
          <w:sz w:val="22"/>
          <w:szCs w:val="22"/>
        </w:rPr>
        <w:t>8%</w:t>
      </w:r>
      <w:r w:rsidRPr="00187850">
        <w:rPr>
          <w:rFonts w:ascii="Calibri" w:hAnsi="Calibri"/>
          <w:sz w:val="22"/>
          <w:szCs w:val="22"/>
        </w:rPr>
        <w:t xml:space="preserve">. </w:t>
      </w:r>
      <w:r>
        <w:rPr>
          <w:rFonts w:ascii="Calibri" w:hAnsi="Calibri"/>
          <w:sz w:val="22"/>
          <w:szCs w:val="22"/>
        </w:rPr>
        <w:t xml:space="preserve">Even so, during the previous 13 years, the proportion of women in Greater Dandenong who fully or partially breast feed at 6 months has risen by 19%. </w:t>
      </w:r>
    </w:p>
    <w:p w14:paraId="3D013014" w14:textId="77777777" w:rsidR="00660B61" w:rsidRPr="00F625A4" w:rsidRDefault="00660B61" w:rsidP="00660B61">
      <w:pPr>
        <w:tabs>
          <w:tab w:val="left" w:pos="284"/>
        </w:tabs>
        <w:spacing w:line="360" w:lineRule="auto"/>
        <w:jc w:val="both"/>
        <w:rPr>
          <w:rFonts w:ascii="Calibri" w:hAnsi="Calibri"/>
          <w:sz w:val="22"/>
          <w:szCs w:val="22"/>
        </w:rPr>
      </w:pPr>
      <w:r w:rsidRPr="00F625A4">
        <w:rPr>
          <w:rFonts w:ascii="Calibri" w:hAnsi="Calibri"/>
          <w:sz w:val="22"/>
          <w:szCs w:val="22"/>
        </w:rPr>
        <w:t xml:space="preserve">Among the five </w:t>
      </w:r>
      <w:r w:rsidRPr="00A26B9C">
        <w:rPr>
          <w:rFonts w:ascii="Calibri" w:hAnsi="Calibri"/>
          <w:i/>
          <w:sz w:val="22"/>
          <w:szCs w:val="22"/>
        </w:rPr>
        <w:t>most</w:t>
      </w:r>
      <w:r w:rsidRPr="00F625A4">
        <w:rPr>
          <w:rFonts w:ascii="Calibri" w:hAnsi="Calibri"/>
          <w:sz w:val="22"/>
          <w:szCs w:val="22"/>
        </w:rPr>
        <w:t xml:space="preserve"> disadvantaged </w:t>
      </w:r>
      <w:r>
        <w:rPr>
          <w:rFonts w:ascii="Calibri" w:hAnsi="Calibri"/>
          <w:sz w:val="22"/>
          <w:szCs w:val="22"/>
        </w:rPr>
        <w:t xml:space="preserve">five </w:t>
      </w:r>
      <w:r w:rsidRPr="00F625A4">
        <w:rPr>
          <w:rFonts w:ascii="Calibri" w:hAnsi="Calibri"/>
          <w:sz w:val="22"/>
          <w:szCs w:val="22"/>
        </w:rPr>
        <w:t xml:space="preserve">Victorian municipalities (based on the 2016 SIEFA Index) the average rate of full breast feeding at 3 months in 2015/16 was 45%, compared with 73% among the </w:t>
      </w:r>
      <w:r w:rsidRPr="00A26B9C">
        <w:rPr>
          <w:rFonts w:ascii="Calibri" w:hAnsi="Calibri"/>
          <w:i/>
          <w:sz w:val="22"/>
          <w:szCs w:val="22"/>
        </w:rPr>
        <w:t>least</w:t>
      </w:r>
      <w:r w:rsidRPr="00F625A4">
        <w:rPr>
          <w:rFonts w:ascii="Calibri" w:hAnsi="Calibri"/>
          <w:sz w:val="22"/>
          <w:szCs w:val="22"/>
        </w:rPr>
        <w:t xml:space="preserve"> disadvantaged municipalities. </w:t>
      </w:r>
    </w:p>
    <w:p w14:paraId="719E3E03" w14:textId="77777777" w:rsidR="00660B61" w:rsidRPr="00A6516A" w:rsidRDefault="00660B61" w:rsidP="00660B61">
      <w:pPr>
        <w:tabs>
          <w:tab w:val="left" w:pos="5670"/>
        </w:tabs>
        <w:spacing w:before="240" w:after="60"/>
        <w:jc w:val="both"/>
        <w:rPr>
          <w:rFonts w:ascii="Calibri" w:hAnsi="Calibri"/>
          <w:b/>
          <w:color w:val="7F7F7F"/>
          <w:sz w:val="22"/>
          <w:szCs w:val="22"/>
        </w:rPr>
      </w:pPr>
      <w:r w:rsidRPr="00A6516A">
        <w:rPr>
          <w:rFonts w:ascii="Calibri" w:hAnsi="Calibri"/>
          <w:b/>
          <w:sz w:val="22"/>
          <w:szCs w:val="22"/>
        </w:rPr>
        <w:t>Families</w:t>
      </w:r>
      <w:r>
        <w:rPr>
          <w:rFonts w:ascii="Calibri" w:hAnsi="Calibri"/>
          <w:b/>
          <w:sz w:val="22"/>
          <w:szCs w:val="22"/>
        </w:rPr>
        <w:tab/>
      </w:r>
      <w:r w:rsidRPr="000726D5">
        <w:rPr>
          <w:rFonts w:ascii="Calibri" w:hAnsi="Calibri"/>
          <w:color w:val="7F7F7F"/>
          <w:sz w:val="20"/>
          <w:szCs w:val="20"/>
        </w:rPr>
        <w:t>Family Types: Greater Dandenong, 201</w:t>
      </w:r>
      <w:r>
        <w:rPr>
          <w:rFonts w:ascii="Calibri" w:hAnsi="Calibri"/>
          <w:color w:val="7F7F7F"/>
          <w:sz w:val="20"/>
          <w:szCs w:val="20"/>
        </w:rPr>
        <w:t>6</w:t>
      </w:r>
    </w:p>
    <w:p w14:paraId="5EBDF59E" w14:textId="77777777" w:rsidR="00660B61" w:rsidRDefault="00660B61" w:rsidP="00660B61">
      <w:pPr>
        <w:tabs>
          <w:tab w:val="left" w:pos="180"/>
        </w:tabs>
        <w:spacing w:line="360" w:lineRule="auto"/>
        <w:jc w:val="both"/>
        <w:rPr>
          <w:rFonts w:ascii="Calibri" w:hAnsi="Calibri"/>
          <w:sz w:val="22"/>
          <w:szCs w:val="22"/>
        </w:rPr>
      </w:pPr>
      <w:r>
        <w:rPr>
          <w:rFonts w:ascii="Calibri" w:hAnsi="Calibri"/>
          <w:b/>
          <w:noProof/>
          <w:sz w:val="22"/>
          <w:szCs w:val="22"/>
          <w:lang w:eastAsia="en-AU"/>
        </w:rPr>
        <w:drawing>
          <wp:anchor distT="0" distB="0" distL="114300" distR="114300" simplePos="0" relativeHeight="251661312" behindDoc="0" locked="0" layoutInCell="1" allowOverlap="1" wp14:anchorId="3ADCF354" wp14:editId="496FB46F">
            <wp:simplePos x="0" y="0"/>
            <wp:positionH relativeFrom="column">
              <wp:posOffset>3081655</wp:posOffset>
            </wp:positionH>
            <wp:positionV relativeFrom="paragraph">
              <wp:posOffset>128270</wp:posOffset>
            </wp:positionV>
            <wp:extent cx="2990215" cy="1975485"/>
            <wp:effectExtent l="0" t="0" r="635" b="571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1">
                      <a:extLst>
                        <a:ext uri="{28A0092B-C50C-407E-A947-70E740481C1C}">
                          <a14:useLocalDpi xmlns:a14="http://schemas.microsoft.com/office/drawing/2010/main" val="0"/>
                        </a:ext>
                      </a:extLst>
                    </a:blip>
                    <a:srcRect l="6392" t="4942" r="8983"/>
                    <a:stretch>
                      <a:fillRect/>
                    </a:stretch>
                  </pic:blipFill>
                  <pic:spPr bwMode="auto">
                    <a:xfrm>
                      <a:off x="0" y="0"/>
                      <a:ext cx="2990215" cy="197548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olor w:val="000000"/>
          <w:sz w:val="22"/>
          <w:szCs w:val="22"/>
        </w:rPr>
        <w:t>In 2016, there were 38,471 families in Greater Dandenong</w:t>
      </w:r>
      <w:r w:rsidRPr="00A6516A">
        <w:rPr>
          <w:rFonts w:ascii="Calibri" w:hAnsi="Calibri"/>
          <w:color w:val="000000"/>
          <w:sz w:val="22"/>
          <w:szCs w:val="22"/>
        </w:rPr>
        <w:t xml:space="preserve">. Among </w:t>
      </w:r>
      <w:r>
        <w:rPr>
          <w:rFonts w:ascii="Calibri" w:hAnsi="Calibri"/>
          <w:color w:val="000000"/>
          <w:sz w:val="22"/>
          <w:szCs w:val="22"/>
        </w:rPr>
        <w:t>them</w:t>
      </w:r>
      <w:r w:rsidRPr="00A6516A">
        <w:rPr>
          <w:rFonts w:ascii="Calibri" w:hAnsi="Calibri"/>
          <w:color w:val="000000"/>
          <w:sz w:val="22"/>
          <w:szCs w:val="22"/>
        </w:rPr>
        <w:t xml:space="preserve">, </w:t>
      </w:r>
      <w:r>
        <w:rPr>
          <w:rFonts w:ascii="Calibri" w:hAnsi="Calibri"/>
          <w:color w:val="000000"/>
          <w:sz w:val="22"/>
          <w:szCs w:val="22"/>
        </w:rPr>
        <w:t>26</w:t>
      </w:r>
      <w:r w:rsidRPr="00A6516A">
        <w:rPr>
          <w:rFonts w:ascii="Calibri" w:hAnsi="Calibri"/>
          <w:color w:val="000000"/>
          <w:sz w:val="22"/>
          <w:szCs w:val="22"/>
        </w:rPr>
        <w:t xml:space="preserve">% were couples, </w:t>
      </w:r>
      <w:r>
        <w:rPr>
          <w:rFonts w:ascii="Calibri" w:hAnsi="Calibri"/>
          <w:color w:val="000000"/>
          <w:sz w:val="22"/>
          <w:szCs w:val="22"/>
        </w:rPr>
        <w:t>55</w:t>
      </w:r>
      <w:r w:rsidRPr="00A6516A">
        <w:rPr>
          <w:rFonts w:ascii="Calibri" w:hAnsi="Calibri"/>
          <w:color w:val="000000"/>
          <w:sz w:val="22"/>
          <w:szCs w:val="22"/>
        </w:rPr>
        <w:t>% couples with children, 1</w:t>
      </w:r>
      <w:r>
        <w:rPr>
          <w:rFonts w:ascii="Calibri" w:hAnsi="Calibri"/>
          <w:color w:val="000000"/>
          <w:sz w:val="22"/>
          <w:szCs w:val="22"/>
        </w:rPr>
        <w:t>8</w:t>
      </w:r>
      <w:r w:rsidRPr="00A6516A">
        <w:rPr>
          <w:rFonts w:ascii="Calibri" w:hAnsi="Calibri"/>
          <w:color w:val="000000"/>
          <w:sz w:val="22"/>
          <w:szCs w:val="22"/>
        </w:rPr>
        <w:t xml:space="preserve">% </w:t>
      </w:r>
      <w:r>
        <w:rPr>
          <w:rFonts w:ascii="Calibri" w:hAnsi="Calibri"/>
          <w:color w:val="000000"/>
          <w:sz w:val="22"/>
          <w:szCs w:val="22"/>
        </w:rPr>
        <w:t>one parent families</w:t>
      </w:r>
      <w:r w:rsidRPr="00A6516A">
        <w:rPr>
          <w:rFonts w:ascii="Calibri" w:hAnsi="Calibri"/>
          <w:color w:val="000000"/>
          <w:sz w:val="22"/>
          <w:szCs w:val="22"/>
        </w:rPr>
        <w:t xml:space="preserve"> and </w:t>
      </w:r>
      <w:r>
        <w:rPr>
          <w:rFonts w:ascii="Calibri" w:hAnsi="Calibri"/>
          <w:color w:val="000000"/>
          <w:sz w:val="22"/>
          <w:szCs w:val="22"/>
        </w:rPr>
        <w:t>the balance,</w:t>
      </w:r>
      <w:r w:rsidRPr="00A6516A">
        <w:rPr>
          <w:rFonts w:ascii="Calibri" w:hAnsi="Calibri"/>
          <w:color w:val="000000"/>
          <w:sz w:val="22"/>
          <w:szCs w:val="22"/>
        </w:rPr>
        <w:t xml:space="preserve"> other family types. </w:t>
      </w:r>
      <w:r>
        <w:rPr>
          <w:rFonts w:ascii="Calibri" w:hAnsi="Calibri"/>
          <w:color w:val="000000"/>
          <w:sz w:val="22"/>
          <w:szCs w:val="22"/>
        </w:rPr>
        <w:t>Over t</w:t>
      </w:r>
      <w:r w:rsidRPr="00A6516A">
        <w:rPr>
          <w:rFonts w:ascii="Calibri" w:hAnsi="Calibri"/>
          <w:color w:val="000000"/>
          <w:sz w:val="22"/>
          <w:szCs w:val="22"/>
        </w:rPr>
        <w:t xml:space="preserve">hree-quarters of families with children </w:t>
      </w:r>
      <w:r>
        <w:rPr>
          <w:rFonts w:ascii="Calibri" w:hAnsi="Calibri"/>
          <w:color w:val="000000"/>
          <w:sz w:val="22"/>
          <w:szCs w:val="22"/>
        </w:rPr>
        <w:t>were</w:t>
      </w:r>
      <w:r w:rsidRPr="00A6516A">
        <w:rPr>
          <w:rFonts w:ascii="Calibri" w:hAnsi="Calibri"/>
          <w:color w:val="000000"/>
          <w:sz w:val="22"/>
          <w:szCs w:val="22"/>
        </w:rPr>
        <w:t xml:space="preserve"> headed by overseas-born parents – compared with </w:t>
      </w:r>
      <w:r w:rsidRPr="00A6516A">
        <w:rPr>
          <w:rFonts w:ascii="Calibri" w:hAnsi="Calibri"/>
          <w:sz w:val="22"/>
          <w:szCs w:val="22"/>
        </w:rPr>
        <w:t xml:space="preserve">a quarter of families across Victoria. </w:t>
      </w:r>
    </w:p>
    <w:p w14:paraId="3884AA68" w14:textId="77777777" w:rsidR="00660B61" w:rsidRDefault="00660B61" w:rsidP="00660B61">
      <w:pPr>
        <w:tabs>
          <w:tab w:val="left" w:pos="180"/>
        </w:tabs>
        <w:spacing w:line="360" w:lineRule="auto"/>
        <w:jc w:val="both"/>
        <w:rPr>
          <w:rFonts w:ascii="Calibri" w:hAnsi="Calibri"/>
          <w:sz w:val="22"/>
          <w:szCs w:val="22"/>
        </w:rPr>
      </w:pPr>
    </w:p>
    <w:p w14:paraId="548A22DC" w14:textId="77777777" w:rsidR="00660B61" w:rsidRPr="0022158C" w:rsidRDefault="00660B61" w:rsidP="00660B61">
      <w:pPr>
        <w:tabs>
          <w:tab w:val="left" w:pos="180"/>
        </w:tabs>
        <w:spacing w:line="360" w:lineRule="auto"/>
        <w:jc w:val="both"/>
        <w:rPr>
          <w:rFonts w:ascii="Calibri" w:hAnsi="Calibri"/>
          <w:b/>
          <w:sz w:val="22"/>
          <w:szCs w:val="22"/>
        </w:rPr>
      </w:pPr>
      <w:r w:rsidRPr="0022158C">
        <w:rPr>
          <w:rFonts w:ascii="Calibri" w:hAnsi="Calibri"/>
          <w:b/>
          <w:sz w:val="22"/>
          <w:szCs w:val="22"/>
        </w:rPr>
        <w:lastRenderedPageBreak/>
        <w:t>Geographic Distribution of Family Types</w:t>
      </w:r>
    </w:p>
    <w:p w14:paraId="52682BE9" w14:textId="77777777" w:rsidR="00660B61" w:rsidRDefault="00660B61" w:rsidP="00660B61">
      <w:pPr>
        <w:tabs>
          <w:tab w:val="left" w:pos="180"/>
        </w:tabs>
        <w:spacing w:line="360" w:lineRule="auto"/>
        <w:jc w:val="both"/>
        <w:rPr>
          <w:rFonts w:ascii="Calibri" w:hAnsi="Calibri"/>
          <w:sz w:val="22"/>
          <w:szCs w:val="22"/>
        </w:rPr>
      </w:pPr>
      <w:r>
        <w:rPr>
          <w:rFonts w:ascii="Calibri" w:hAnsi="Calibri"/>
          <w:sz w:val="22"/>
          <w:szCs w:val="22"/>
        </w:rPr>
        <w:t>The map below, illustrates variations in the proportion of families with children that are single-parent families. Notably, high proportions of single-parent families are evident in locations within Frankston, Casey, Knox, Maroondah, Hume, Wyndham, Melton and Mornington Peninsula. By contrast, inner-metropolitan municipalities generally feature lower proportions of single-parent families.</w:t>
      </w:r>
    </w:p>
    <w:p w14:paraId="01696942" w14:textId="77777777" w:rsidR="00660B61" w:rsidRPr="00665105" w:rsidRDefault="00660B61" w:rsidP="00660B61">
      <w:pPr>
        <w:tabs>
          <w:tab w:val="left" w:pos="180"/>
        </w:tabs>
        <w:jc w:val="center"/>
        <w:rPr>
          <w:rFonts w:ascii="Calibri" w:hAnsi="Calibri"/>
          <w:color w:val="7F7F7F"/>
          <w:sz w:val="20"/>
          <w:szCs w:val="20"/>
        </w:rPr>
      </w:pPr>
      <w:r>
        <w:rPr>
          <w:rFonts w:ascii="Calibri" w:hAnsi="Calibri"/>
          <w:noProof/>
          <w:sz w:val="22"/>
          <w:szCs w:val="22"/>
          <w:lang w:eastAsia="en-AU"/>
        </w:rPr>
        <w:drawing>
          <wp:anchor distT="0" distB="0" distL="114300" distR="114300" simplePos="0" relativeHeight="251682816" behindDoc="0" locked="0" layoutInCell="1" allowOverlap="1" wp14:anchorId="5D69D4C6" wp14:editId="40149096">
            <wp:simplePos x="0" y="0"/>
            <wp:positionH relativeFrom="column">
              <wp:posOffset>-5715</wp:posOffset>
            </wp:positionH>
            <wp:positionV relativeFrom="paragraph">
              <wp:posOffset>210820</wp:posOffset>
            </wp:positionV>
            <wp:extent cx="6123940" cy="72390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 One-parent Families B.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23940" cy="72390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665105">
        <w:rPr>
          <w:rFonts w:ascii="Calibri" w:hAnsi="Calibri"/>
          <w:color w:val="7F7F7F"/>
          <w:sz w:val="20"/>
          <w:szCs w:val="20"/>
        </w:rPr>
        <w:t>Single-parent Families as a percentage of</w:t>
      </w:r>
      <w:r>
        <w:rPr>
          <w:rFonts w:ascii="Calibri" w:hAnsi="Calibri"/>
          <w:color w:val="7F7F7F"/>
          <w:sz w:val="20"/>
          <w:szCs w:val="20"/>
        </w:rPr>
        <w:t xml:space="preserve"> all</w:t>
      </w:r>
      <w:r w:rsidRPr="00665105">
        <w:rPr>
          <w:rFonts w:ascii="Calibri" w:hAnsi="Calibri"/>
          <w:color w:val="7F7F7F"/>
          <w:sz w:val="20"/>
          <w:szCs w:val="20"/>
        </w:rPr>
        <w:t xml:space="preserve"> Families with Children: Metropolitan Melbourne, 2016</w:t>
      </w:r>
    </w:p>
    <w:p w14:paraId="43F7B3C3" w14:textId="77777777" w:rsidR="00660B61" w:rsidRDefault="00660B61" w:rsidP="00660B61">
      <w:pPr>
        <w:tabs>
          <w:tab w:val="left" w:pos="180"/>
        </w:tabs>
        <w:spacing w:line="360" w:lineRule="auto"/>
        <w:jc w:val="both"/>
        <w:rPr>
          <w:rFonts w:ascii="Calibri" w:hAnsi="Calibri"/>
          <w:sz w:val="22"/>
          <w:szCs w:val="22"/>
        </w:rPr>
      </w:pPr>
    </w:p>
    <w:p w14:paraId="10B80ED2" w14:textId="77777777" w:rsidR="00660B61" w:rsidRDefault="00660B61" w:rsidP="00660B61">
      <w:pPr>
        <w:tabs>
          <w:tab w:val="left" w:pos="180"/>
        </w:tabs>
        <w:spacing w:line="360" w:lineRule="auto"/>
        <w:jc w:val="both"/>
        <w:rPr>
          <w:rFonts w:ascii="Calibri" w:hAnsi="Calibri"/>
          <w:sz w:val="22"/>
          <w:szCs w:val="22"/>
        </w:rPr>
      </w:pPr>
    </w:p>
    <w:p w14:paraId="001D381A" w14:textId="77777777" w:rsidR="00660B61" w:rsidRPr="000726D5" w:rsidRDefault="00660B61" w:rsidP="00660B61">
      <w:pPr>
        <w:tabs>
          <w:tab w:val="left" w:pos="5103"/>
        </w:tabs>
        <w:spacing w:after="120"/>
        <w:jc w:val="both"/>
        <w:rPr>
          <w:rFonts w:ascii="Calibri" w:hAnsi="Calibri"/>
          <w:b/>
          <w:color w:val="7F7F7F"/>
          <w:sz w:val="20"/>
          <w:szCs w:val="20"/>
        </w:rPr>
      </w:pPr>
      <w:r>
        <w:rPr>
          <w:rFonts w:ascii="Calibri" w:hAnsi="Calibri"/>
          <w:noProof/>
          <w:sz w:val="22"/>
          <w:szCs w:val="22"/>
          <w:lang w:eastAsia="en-AU"/>
        </w:rPr>
        <w:lastRenderedPageBreak/>
        <w:drawing>
          <wp:anchor distT="0" distB="0" distL="114300" distR="114300" simplePos="0" relativeHeight="251662336" behindDoc="0" locked="0" layoutInCell="1" allowOverlap="1" wp14:anchorId="6FFBB078" wp14:editId="25ADCD9A">
            <wp:simplePos x="0" y="0"/>
            <wp:positionH relativeFrom="column">
              <wp:posOffset>-22860</wp:posOffset>
            </wp:positionH>
            <wp:positionV relativeFrom="paragraph">
              <wp:posOffset>45720</wp:posOffset>
            </wp:positionV>
            <wp:extent cx="3278505" cy="2436495"/>
            <wp:effectExtent l="0" t="0" r="0" b="190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78505" cy="2436495"/>
                    </a:xfrm>
                    <a:prstGeom prst="rect">
                      <a:avLst/>
                    </a:prstGeom>
                    <a:noFill/>
                  </pic:spPr>
                </pic:pic>
              </a:graphicData>
            </a:graphic>
            <wp14:sizeRelH relativeFrom="page">
              <wp14:pctWidth>0</wp14:pctWidth>
            </wp14:sizeRelH>
            <wp14:sizeRelV relativeFrom="page">
              <wp14:pctHeight>0</wp14:pctHeight>
            </wp14:sizeRelV>
          </wp:anchor>
        </w:drawing>
      </w:r>
      <w:r w:rsidRPr="00A6516A">
        <w:rPr>
          <w:rFonts w:ascii="Calibri" w:hAnsi="Calibri"/>
          <w:b/>
          <w:color w:val="000000"/>
          <w:sz w:val="22"/>
          <w:szCs w:val="22"/>
        </w:rPr>
        <w:t>Marriage</w:t>
      </w:r>
    </w:p>
    <w:p w14:paraId="7BFDFE8E" w14:textId="77777777" w:rsidR="00660B61" w:rsidRDefault="00660B61" w:rsidP="00660B61">
      <w:pPr>
        <w:tabs>
          <w:tab w:val="left" w:pos="180"/>
        </w:tabs>
        <w:spacing w:line="360" w:lineRule="auto"/>
        <w:jc w:val="both"/>
        <w:rPr>
          <w:rFonts w:ascii="Calibri" w:hAnsi="Calibri"/>
          <w:sz w:val="22"/>
          <w:szCs w:val="22"/>
        </w:rPr>
      </w:pPr>
      <w:r>
        <w:rPr>
          <w:noProof/>
          <w:lang w:eastAsia="en-AU"/>
        </w:rPr>
        <w:drawing>
          <wp:anchor distT="0" distB="0" distL="114300" distR="114300" simplePos="0" relativeHeight="251681792" behindDoc="0" locked="0" layoutInCell="1" allowOverlap="1" wp14:anchorId="17B556E7" wp14:editId="22D39A1C">
            <wp:simplePos x="0" y="0"/>
            <wp:positionH relativeFrom="column">
              <wp:posOffset>1724977</wp:posOffset>
            </wp:positionH>
            <wp:positionV relativeFrom="paragraph">
              <wp:posOffset>1203008</wp:posOffset>
            </wp:positionV>
            <wp:extent cx="1414402" cy="558617"/>
            <wp:effectExtent l="0" t="0" r="0" b="0"/>
            <wp:wrapNone/>
            <wp:docPr id="99" name="Picture 99" descr="E:\Photos\Family Marri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Photos\Family Marriage.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4402" cy="558617"/>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Pr>
          <w:rFonts w:ascii="Calibri" w:hAnsi="Calibri"/>
          <w:sz w:val="22"/>
          <w:szCs w:val="22"/>
        </w:rPr>
        <w:t>In 2016, over nine-tenths (91%)</w:t>
      </w:r>
      <w:r w:rsidRPr="00A6516A">
        <w:rPr>
          <w:rFonts w:ascii="Calibri" w:hAnsi="Calibri"/>
          <w:sz w:val="22"/>
          <w:szCs w:val="22"/>
        </w:rPr>
        <w:t xml:space="preserve"> of </w:t>
      </w:r>
      <w:r>
        <w:rPr>
          <w:rFonts w:ascii="Calibri" w:hAnsi="Calibri"/>
          <w:sz w:val="22"/>
          <w:szCs w:val="22"/>
        </w:rPr>
        <w:t xml:space="preserve">members of couples aged 18 or more in Greater Dandenong, </w:t>
      </w:r>
      <w:r w:rsidRPr="00A6516A">
        <w:rPr>
          <w:rFonts w:ascii="Calibri" w:hAnsi="Calibri"/>
          <w:sz w:val="22"/>
          <w:szCs w:val="22"/>
        </w:rPr>
        <w:t xml:space="preserve">were </w:t>
      </w:r>
      <w:r>
        <w:rPr>
          <w:rFonts w:ascii="Calibri" w:hAnsi="Calibri"/>
          <w:sz w:val="22"/>
          <w:szCs w:val="22"/>
        </w:rPr>
        <w:t xml:space="preserve">formally </w:t>
      </w:r>
      <w:r w:rsidRPr="00A6516A">
        <w:rPr>
          <w:rFonts w:ascii="Calibri" w:hAnsi="Calibri"/>
          <w:sz w:val="22"/>
          <w:szCs w:val="22"/>
        </w:rPr>
        <w:t>married</w:t>
      </w:r>
      <w:r>
        <w:rPr>
          <w:rFonts w:ascii="Calibri" w:hAnsi="Calibri"/>
          <w:sz w:val="22"/>
          <w:szCs w:val="22"/>
        </w:rPr>
        <w:t xml:space="preserve"> </w:t>
      </w:r>
      <w:r w:rsidRPr="00A6516A">
        <w:rPr>
          <w:rFonts w:ascii="Calibri" w:hAnsi="Calibri"/>
          <w:sz w:val="22"/>
          <w:szCs w:val="22"/>
        </w:rPr>
        <w:t xml:space="preserve">– a proportion which </w:t>
      </w:r>
      <w:r>
        <w:rPr>
          <w:rFonts w:ascii="Calibri" w:hAnsi="Calibri"/>
          <w:sz w:val="22"/>
          <w:szCs w:val="22"/>
        </w:rPr>
        <w:t>rose</w:t>
      </w:r>
      <w:r w:rsidRPr="00A6516A">
        <w:rPr>
          <w:rFonts w:ascii="Calibri" w:hAnsi="Calibri"/>
          <w:sz w:val="22"/>
          <w:szCs w:val="22"/>
        </w:rPr>
        <w:t xml:space="preserve"> from </w:t>
      </w:r>
      <w:r>
        <w:rPr>
          <w:rFonts w:ascii="Calibri" w:hAnsi="Calibri"/>
          <w:sz w:val="22"/>
          <w:szCs w:val="22"/>
        </w:rPr>
        <w:t>71%</w:t>
      </w:r>
      <w:r w:rsidRPr="00A6516A">
        <w:rPr>
          <w:rFonts w:ascii="Calibri" w:hAnsi="Calibri"/>
          <w:sz w:val="22"/>
          <w:szCs w:val="22"/>
        </w:rPr>
        <w:t xml:space="preserve"> </w:t>
      </w:r>
      <w:r>
        <w:rPr>
          <w:rFonts w:ascii="Calibri" w:hAnsi="Calibri"/>
          <w:sz w:val="22"/>
          <w:szCs w:val="22"/>
        </w:rPr>
        <w:t>of couples aged 20-24 years and exceeded 90%</w:t>
      </w:r>
      <w:r w:rsidRPr="00A6516A">
        <w:rPr>
          <w:rFonts w:ascii="Calibri" w:hAnsi="Calibri"/>
          <w:sz w:val="22"/>
          <w:szCs w:val="22"/>
        </w:rPr>
        <w:t xml:space="preserve"> of </w:t>
      </w:r>
      <w:r>
        <w:rPr>
          <w:rFonts w:ascii="Calibri" w:hAnsi="Calibri"/>
          <w:sz w:val="22"/>
          <w:szCs w:val="22"/>
        </w:rPr>
        <w:t>members of couples</w:t>
      </w:r>
      <w:r w:rsidRPr="00A6516A">
        <w:rPr>
          <w:rFonts w:ascii="Calibri" w:hAnsi="Calibri"/>
          <w:sz w:val="22"/>
          <w:szCs w:val="22"/>
        </w:rPr>
        <w:t xml:space="preserve"> over </w:t>
      </w:r>
      <w:r>
        <w:rPr>
          <w:rFonts w:ascii="Calibri" w:hAnsi="Calibri"/>
          <w:sz w:val="22"/>
          <w:szCs w:val="22"/>
        </w:rPr>
        <w:t>35 (Diagram left)</w:t>
      </w:r>
      <w:r w:rsidRPr="00A6516A">
        <w:rPr>
          <w:rFonts w:ascii="Calibri" w:hAnsi="Calibri"/>
          <w:sz w:val="22"/>
          <w:szCs w:val="22"/>
        </w:rPr>
        <w:t>.</w:t>
      </w:r>
    </w:p>
    <w:p w14:paraId="5A1B87DE" w14:textId="77777777" w:rsidR="00660B61" w:rsidRDefault="00660B61" w:rsidP="00660B61">
      <w:pPr>
        <w:tabs>
          <w:tab w:val="left" w:pos="180"/>
        </w:tabs>
        <w:spacing w:line="360" w:lineRule="auto"/>
        <w:jc w:val="both"/>
        <w:rPr>
          <w:rFonts w:ascii="Calibri" w:hAnsi="Calibri"/>
          <w:sz w:val="22"/>
          <w:szCs w:val="22"/>
        </w:rPr>
      </w:pPr>
      <w:r>
        <w:rPr>
          <w:rFonts w:ascii="Calibri" w:hAnsi="Calibri"/>
          <w:sz w:val="22"/>
          <w:szCs w:val="22"/>
        </w:rPr>
        <w:t xml:space="preserve">The propensity of couples to be formally married varies widely among Victorian municipalities, especially among young people. Of 20-24 year </w:t>
      </w:r>
      <w:proofErr w:type="spellStart"/>
      <w:r>
        <w:rPr>
          <w:rFonts w:ascii="Calibri" w:hAnsi="Calibri"/>
          <w:sz w:val="22"/>
          <w:szCs w:val="22"/>
        </w:rPr>
        <w:t>olds</w:t>
      </w:r>
      <w:proofErr w:type="spellEnd"/>
      <w:r>
        <w:rPr>
          <w:rFonts w:ascii="Calibri" w:hAnsi="Calibri"/>
          <w:sz w:val="22"/>
          <w:szCs w:val="22"/>
        </w:rPr>
        <w:t xml:space="preserve"> in couple relationships, the proportion that are formally married descends from 71% in Greater Dandenong to 13% in Stonnington, 11% in Yarra and none in Murrindindi or Mansfield.</w:t>
      </w:r>
    </w:p>
    <w:p w14:paraId="6D3848A8" w14:textId="77777777" w:rsidR="00660B61" w:rsidRDefault="00660B61" w:rsidP="00660B61">
      <w:pPr>
        <w:tabs>
          <w:tab w:val="left" w:pos="180"/>
        </w:tabs>
        <w:jc w:val="both"/>
        <w:rPr>
          <w:rFonts w:ascii="Calibri" w:hAnsi="Calibri"/>
          <w:color w:val="7F7F7F"/>
          <w:sz w:val="20"/>
          <w:szCs w:val="20"/>
        </w:rPr>
      </w:pPr>
      <w:r>
        <w:rPr>
          <w:rFonts w:ascii="Calibri" w:hAnsi="Calibri"/>
          <w:noProof/>
          <w:sz w:val="22"/>
          <w:szCs w:val="22"/>
          <w:lang w:eastAsia="en-AU"/>
        </w:rPr>
        <w:drawing>
          <wp:anchor distT="0" distB="0" distL="114300" distR="114300" simplePos="0" relativeHeight="251663360" behindDoc="1" locked="0" layoutInCell="1" allowOverlap="1" wp14:anchorId="2ACBF4DF" wp14:editId="6D7DDA89">
            <wp:simplePos x="0" y="0"/>
            <wp:positionH relativeFrom="column">
              <wp:posOffset>2656205</wp:posOffset>
            </wp:positionH>
            <wp:positionV relativeFrom="paragraph">
              <wp:posOffset>93980</wp:posOffset>
            </wp:positionV>
            <wp:extent cx="3477260" cy="3013710"/>
            <wp:effectExtent l="0" t="0" r="8890" b="0"/>
            <wp:wrapTight wrapText="bothSides">
              <wp:wrapPolygon edited="0">
                <wp:start x="0" y="0"/>
                <wp:lineTo x="0" y="21436"/>
                <wp:lineTo x="21537" y="21436"/>
                <wp:lineTo x="21537"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7260" cy="3013710"/>
                    </a:xfrm>
                    <a:prstGeom prst="rect">
                      <a:avLst/>
                    </a:prstGeom>
                    <a:noFill/>
                  </pic:spPr>
                </pic:pic>
              </a:graphicData>
            </a:graphic>
            <wp14:sizeRelH relativeFrom="page">
              <wp14:pctWidth>0</wp14:pctWidth>
            </wp14:sizeRelH>
            <wp14:sizeRelV relativeFrom="page">
              <wp14:pctHeight>0</wp14:pctHeight>
            </wp14:sizeRelV>
          </wp:anchor>
        </w:drawing>
      </w:r>
    </w:p>
    <w:p w14:paraId="23483C49" w14:textId="77777777" w:rsidR="00660B61" w:rsidRDefault="00660B61" w:rsidP="00660B61">
      <w:pPr>
        <w:tabs>
          <w:tab w:val="left" w:pos="180"/>
        </w:tabs>
        <w:jc w:val="both"/>
        <w:rPr>
          <w:rFonts w:ascii="Calibri" w:hAnsi="Calibri"/>
          <w:color w:val="7F7F7F"/>
          <w:sz w:val="20"/>
          <w:szCs w:val="20"/>
        </w:rPr>
      </w:pPr>
    </w:p>
    <w:p w14:paraId="253D7BB0" w14:textId="77777777" w:rsidR="00660B61" w:rsidRPr="00224F98" w:rsidRDefault="00660B61" w:rsidP="00660B61">
      <w:pPr>
        <w:tabs>
          <w:tab w:val="left" w:pos="180"/>
        </w:tabs>
        <w:jc w:val="both"/>
        <w:rPr>
          <w:rFonts w:ascii="Calibri" w:hAnsi="Calibri"/>
          <w:color w:val="7F7F7F"/>
          <w:sz w:val="20"/>
          <w:szCs w:val="20"/>
        </w:rPr>
      </w:pPr>
      <w:r w:rsidRPr="00224F98">
        <w:rPr>
          <w:rFonts w:ascii="Calibri" w:hAnsi="Calibri"/>
          <w:color w:val="7F7F7F"/>
          <w:sz w:val="20"/>
          <w:szCs w:val="20"/>
        </w:rPr>
        <w:t>Per cent of 20-24 year-old women in formal marriages, by selected birthplaces: Greater Dandenong, 2016</w:t>
      </w:r>
    </w:p>
    <w:p w14:paraId="42BEC722" w14:textId="77777777" w:rsidR="00660B61" w:rsidRPr="00522FA4" w:rsidRDefault="00660B61" w:rsidP="00660B61">
      <w:pPr>
        <w:tabs>
          <w:tab w:val="left" w:pos="180"/>
        </w:tabs>
        <w:spacing w:line="360" w:lineRule="auto"/>
        <w:jc w:val="both"/>
        <w:rPr>
          <w:rFonts w:ascii="Calibri" w:hAnsi="Calibri"/>
          <w:sz w:val="14"/>
          <w:szCs w:val="14"/>
        </w:rPr>
      </w:pPr>
    </w:p>
    <w:p w14:paraId="2BEA4609" w14:textId="77777777" w:rsidR="00660B61" w:rsidRDefault="00660B61" w:rsidP="00660B61">
      <w:pPr>
        <w:tabs>
          <w:tab w:val="left" w:pos="180"/>
        </w:tabs>
        <w:spacing w:line="360" w:lineRule="auto"/>
        <w:jc w:val="both"/>
        <w:rPr>
          <w:rFonts w:ascii="Calibri" w:hAnsi="Calibri"/>
          <w:sz w:val="22"/>
          <w:szCs w:val="22"/>
        </w:rPr>
      </w:pPr>
      <w:r>
        <w:rPr>
          <w:rFonts w:ascii="Calibri" w:hAnsi="Calibri"/>
          <w:sz w:val="22"/>
          <w:szCs w:val="22"/>
        </w:rPr>
        <w:t>The 2016 Census found that formal marriage in Greater Dandenong among young adults is most common among residents from Lebanon, Nepal, Pakistan, Bangladesh and Afghanistan. Over half of 20-24 year-old women from these countries are married, compared with 3% of Australian-born women of the same age (diagram right)</w:t>
      </w:r>
    </w:p>
    <w:p w14:paraId="558D8336" w14:textId="77777777" w:rsidR="00660B61" w:rsidRPr="00224F98" w:rsidRDefault="00660B61" w:rsidP="00660B61">
      <w:pPr>
        <w:tabs>
          <w:tab w:val="left" w:pos="180"/>
        </w:tabs>
        <w:spacing w:line="360" w:lineRule="auto"/>
        <w:jc w:val="both"/>
        <w:rPr>
          <w:rFonts w:ascii="Calibri" w:hAnsi="Calibri"/>
          <w:sz w:val="22"/>
          <w:szCs w:val="22"/>
        </w:rPr>
      </w:pPr>
      <w:r>
        <w:rPr>
          <w:rFonts w:ascii="Calibri" w:hAnsi="Calibri"/>
          <w:noProof/>
          <w:sz w:val="22"/>
          <w:szCs w:val="22"/>
          <w:lang w:eastAsia="en-AU"/>
        </w:rPr>
        <w:drawing>
          <wp:anchor distT="0" distB="0" distL="114300" distR="114300" simplePos="0" relativeHeight="251667456" behindDoc="0" locked="0" layoutInCell="1" allowOverlap="1" wp14:anchorId="1035BD92" wp14:editId="78B650FE">
            <wp:simplePos x="0" y="0"/>
            <wp:positionH relativeFrom="column">
              <wp:posOffset>-76200</wp:posOffset>
            </wp:positionH>
            <wp:positionV relativeFrom="paragraph">
              <wp:posOffset>123825</wp:posOffset>
            </wp:positionV>
            <wp:extent cx="3093085" cy="2990850"/>
            <wp:effectExtent l="0" t="0" r="0" b="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6">
                      <a:extLst>
                        <a:ext uri="{28A0092B-C50C-407E-A947-70E740481C1C}">
                          <a14:useLocalDpi xmlns:a14="http://schemas.microsoft.com/office/drawing/2010/main" val="0"/>
                        </a:ext>
                      </a:extLst>
                    </a:blip>
                    <a:srcRect l="2161" t="2986" r="3387"/>
                    <a:stretch>
                      <a:fillRect/>
                    </a:stretch>
                  </pic:blipFill>
                  <pic:spPr bwMode="auto">
                    <a:xfrm>
                      <a:off x="0" y="0"/>
                      <a:ext cx="3093085" cy="2990850"/>
                    </a:xfrm>
                    <a:prstGeom prst="rect">
                      <a:avLst/>
                    </a:prstGeom>
                    <a:noFill/>
                  </pic:spPr>
                </pic:pic>
              </a:graphicData>
            </a:graphic>
            <wp14:sizeRelH relativeFrom="page">
              <wp14:pctWidth>0</wp14:pctWidth>
            </wp14:sizeRelH>
            <wp14:sizeRelV relativeFrom="page">
              <wp14:pctHeight>0</wp14:pctHeight>
            </wp14:sizeRelV>
          </wp:anchor>
        </w:drawing>
      </w:r>
    </w:p>
    <w:p w14:paraId="30EF9472" w14:textId="77777777" w:rsidR="00660B61" w:rsidRPr="00522FA4" w:rsidRDefault="00660B61" w:rsidP="00660B61">
      <w:pPr>
        <w:tabs>
          <w:tab w:val="left" w:pos="180"/>
        </w:tabs>
        <w:spacing w:line="360" w:lineRule="auto"/>
        <w:jc w:val="both"/>
        <w:rPr>
          <w:rFonts w:ascii="Calibri" w:hAnsi="Calibri"/>
          <w:sz w:val="10"/>
          <w:szCs w:val="10"/>
        </w:rPr>
      </w:pPr>
    </w:p>
    <w:p w14:paraId="721EAD7B" w14:textId="77777777" w:rsidR="00660B61" w:rsidRPr="00224F98" w:rsidRDefault="00660B61" w:rsidP="00660B61">
      <w:pPr>
        <w:tabs>
          <w:tab w:val="left" w:pos="180"/>
        </w:tabs>
        <w:jc w:val="both"/>
        <w:rPr>
          <w:rFonts w:ascii="Calibri" w:hAnsi="Calibri"/>
          <w:color w:val="7F7F7F"/>
          <w:sz w:val="20"/>
          <w:szCs w:val="20"/>
        </w:rPr>
      </w:pPr>
      <w:r w:rsidRPr="00224F98">
        <w:rPr>
          <w:rFonts w:ascii="Calibri" w:hAnsi="Calibri"/>
          <w:color w:val="7F7F7F"/>
          <w:sz w:val="20"/>
          <w:szCs w:val="20"/>
        </w:rPr>
        <w:t>Per cent of 20-24 year-old women in formal marriages, by selected birthplaces: Greater Dandenong, 2016</w:t>
      </w:r>
    </w:p>
    <w:p w14:paraId="1DF2403F" w14:textId="77777777" w:rsidR="00660B61" w:rsidRPr="00522FA4" w:rsidRDefault="00660B61" w:rsidP="00660B61">
      <w:pPr>
        <w:tabs>
          <w:tab w:val="left" w:pos="180"/>
        </w:tabs>
        <w:spacing w:line="360" w:lineRule="auto"/>
        <w:jc w:val="both"/>
        <w:rPr>
          <w:rFonts w:ascii="Calibri" w:hAnsi="Calibri"/>
          <w:sz w:val="10"/>
          <w:szCs w:val="10"/>
        </w:rPr>
      </w:pPr>
    </w:p>
    <w:p w14:paraId="71976E66" w14:textId="77777777" w:rsidR="00660B61" w:rsidRDefault="00660B61" w:rsidP="00660B61">
      <w:pPr>
        <w:tabs>
          <w:tab w:val="left" w:pos="180"/>
        </w:tabs>
        <w:spacing w:line="360" w:lineRule="auto"/>
        <w:jc w:val="both"/>
        <w:rPr>
          <w:rFonts w:ascii="Calibri" w:hAnsi="Calibri"/>
          <w:sz w:val="22"/>
          <w:szCs w:val="22"/>
        </w:rPr>
      </w:pPr>
      <w:r>
        <w:rPr>
          <w:rFonts w:ascii="Calibri" w:hAnsi="Calibri"/>
          <w:sz w:val="22"/>
          <w:szCs w:val="22"/>
        </w:rPr>
        <w:t xml:space="preserve">Religion also exerts an influence upon patterns of marriage. Among 20-24 year-old women in Greater Dandenong, approximately one-third of those who adhere to Islam and Hinduism were formally married in 2016, compared with fewer than 10% of those who follow Christianity, Judaism or who have no religion. Educational attainment also plays a role in these trends: among 20-24 year-old women of various </w:t>
      </w:r>
      <w:r>
        <w:rPr>
          <w:rFonts w:ascii="Calibri" w:hAnsi="Calibri"/>
          <w:sz w:val="22"/>
          <w:szCs w:val="22"/>
        </w:rPr>
        <w:lastRenderedPageBreak/>
        <w:t>religious faiths, those with less than year 11 education are more likely to be formally married than those who had completed year 11 or more. (below)</w:t>
      </w:r>
    </w:p>
    <w:p w14:paraId="59734420" w14:textId="77777777" w:rsidR="00660B61" w:rsidRPr="00224F98" w:rsidRDefault="00660B61" w:rsidP="00660B61">
      <w:pPr>
        <w:tabs>
          <w:tab w:val="left" w:pos="180"/>
        </w:tabs>
        <w:spacing w:line="360" w:lineRule="auto"/>
        <w:jc w:val="both"/>
        <w:rPr>
          <w:rFonts w:ascii="Calibri" w:hAnsi="Calibri"/>
          <w:sz w:val="22"/>
          <w:szCs w:val="22"/>
        </w:rPr>
      </w:pPr>
    </w:p>
    <w:p w14:paraId="3609703E" w14:textId="77777777" w:rsidR="00660B61" w:rsidRDefault="00660B61" w:rsidP="00660B61">
      <w:pPr>
        <w:tabs>
          <w:tab w:val="left" w:pos="180"/>
        </w:tabs>
        <w:spacing w:line="360" w:lineRule="auto"/>
        <w:jc w:val="both"/>
        <w:rPr>
          <w:rFonts w:ascii="Calibri" w:hAnsi="Calibri"/>
          <w:sz w:val="22"/>
          <w:szCs w:val="22"/>
        </w:rPr>
      </w:pPr>
      <w:r>
        <w:rPr>
          <w:rFonts w:ascii="Calibri" w:hAnsi="Calibri"/>
          <w:noProof/>
          <w:sz w:val="22"/>
          <w:szCs w:val="22"/>
          <w:lang w:eastAsia="en-AU"/>
        </w:rPr>
        <w:drawing>
          <wp:anchor distT="0" distB="0" distL="114300" distR="114300" simplePos="0" relativeHeight="251669504" behindDoc="0" locked="0" layoutInCell="1" allowOverlap="1" wp14:anchorId="054E2101" wp14:editId="2154D93D">
            <wp:simplePos x="0" y="0"/>
            <wp:positionH relativeFrom="column">
              <wp:posOffset>127635</wp:posOffset>
            </wp:positionH>
            <wp:positionV relativeFrom="paragraph">
              <wp:posOffset>55880</wp:posOffset>
            </wp:positionV>
            <wp:extent cx="3606165" cy="236220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6165" cy="2362200"/>
                    </a:xfrm>
                    <a:prstGeom prst="rect">
                      <a:avLst/>
                    </a:prstGeom>
                    <a:noFill/>
                  </pic:spPr>
                </pic:pic>
              </a:graphicData>
            </a:graphic>
            <wp14:sizeRelH relativeFrom="page">
              <wp14:pctWidth>0</wp14:pctWidth>
            </wp14:sizeRelH>
            <wp14:sizeRelV relativeFrom="page">
              <wp14:pctHeight>0</wp14:pctHeight>
            </wp14:sizeRelV>
          </wp:anchor>
        </w:drawing>
      </w:r>
    </w:p>
    <w:p w14:paraId="2323D497" w14:textId="77777777" w:rsidR="00660B61" w:rsidRPr="00224F98" w:rsidRDefault="00660B61" w:rsidP="00660B61">
      <w:pPr>
        <w:tabs>
          <w:tab w:val="left" w:pos="180"/>
        </w:tabs>
        <w:spacing w:line="360" w:lineRule="auto"/>
        <w:jc w:val="both"/>
        <w:rPr>
          <w:rFonts w:ascii="Calibri" w:hAnsi="Calibri"/>
          <w:sz w:val="22"/>
          <w:szCs w:val="22"/>
        </w:rPr>
      </w:pPr>
    </w:p>
    <w:p w14:paraId="309F6512" w14:textId="77777777" w:rsidR="00660B61" w:rsidRPr="00224F98" w:rsidRDefault="00660B61" w:rsidP="00660B61">
      <w:pPr>
        <w:tabs>
          <w:tab w:val="left" w:pos="180"/>
        </w:tabs>
        <w:jc w:val="both"/>
        <w:rPr>
          <w:rFonts w:ascii="Calibri" w:hAnsi="Calibri"/>
          <w:sz w:val="22"/>
          <w:szCs w:val="22"/>
        </w:rPr>
      </w:pPr>
      <w:r w:rsidRPr="00224F98">
        <w:rPr>
          <w:rFonts w:ascii="Calibri" w:hAnsi="Calibri"/>
          <w:color w:val="7F7F7F"/>
          <w:sz w:val="20"/>
          <w:szCs w:val="20"/>
        </w:rPr>
        <w:t xml:space="preserve">Per cent of 20-24 year-old women in formal marriages, by </w:t>
      </w:r>
      <w:r>
        <w:rPr>
          <w:rFonts w:ascii="Calibri" w:hAnsi="Calibri"/>
          <w:color w:val="7F7F7F"/>
          <w:sz w:val="20"/>
          <w:szCs w:val="20"/>
        </w:rPr>
        <w:t>religion and educational attainment</w:t>
      </w:r>
      <w:r w:rsidRPr="00224F98">
        <w:rPr>
          <w:rFonts w:ascii="Calibri" w:hAnsi="Calibri"/>
          <w:color w:val="7F7F7F"/>
          <w:sz w:val="20"/>
          <w:szCs w:val="20"/>
        </w:rPr>
        <w:t>: Greater Dandenong, 2016</w:t>
      </w:r>
    </w:p>
    <w:p w14:paraId="6DF53090" w14:textId="77777777" w:rsidR="00660B61" w:rsidRPr="00224F98" w:rsidRDefault="00660B61" w:rsidP="00660B61">
      <w:pPr>
        <w:tabs>
          <w:tab w:val="left" w:pos="180"/>
        </w:tabs>
        <w:spacing w:line="360" w:lineRule="auto"/>
        <w:jc w:val="both"/>
        <w:rPr>
          <w:rFonts w:ascii="Calibri" w:hAnsi="Calibri"/>
          <w:sz w:val="22"/>
          <w:szCs w:val="22"/>
        </w:rPr>
      </w:pPr>
      <w:r>
        <w:rPr>
          <w:noProof/>
          <w:lang w:eastAsia="en-AU"/>
        </w:rPr>
        <w:drawing>
          <wp:anchor distT="0" distB="0" distL="114300" distR="114300" simplePos="0" relativeHeight="251673600" behindDoc="0" locked="0" layoutInCell="1" allowOverlap="1" wp14:anchorId="4F1EC3A3" wp14:editId="6A44332E">
            <wp:simplePos x="0" y="0"/>
            <wp:positionH relativeFrom="column">
              <wp:posOffset>4488180</wp:posOffset>
            </wp:positionH>
            <wp:positionV relativeFrom="paragraph">
              <wp:posOffset>156527</wp:posOffset>
            </wp:positionV>
            <wp:extent cx="1139190" cy="1074420"/>
            <wp:effectExtent l="0" t="0" r="3810" b="0"/>
            <wp:wrapNone/>
            <wp:docPr id="90" name="Picture 12" descr="Young cou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Young couple"/>
                    <pic:cNvPicPr>
                      <a:picLocks noChangeAspect="1" noChangeArrowheads="1"/>
                    </pic:cNvPicPr>
                  </pic:nvPicPr>
                  <pic:blipFill rotWithShape="1">
                    <a:blip r:embed="rId28">
                      <a:extLst>
                        <a:ext uri="{28A0092B-C50C-407E-A947-70E740481C1C}">
                          <a14:useLocalDpi xmlns:a14="http://schemas.microsoft.com/office/drawing/2010/main" val="0"/>
                        </a:ext>
                      </a:extLst>
                    </a:blip>
                    <a:srcRect l="5499" r="15501" b="18942"/>
                    <a:stretch/>
                  </pic:blipFill>
                  <pic:spPr bwMode="auto">
                    <a:xfrm>
                      <a:off x="0" y="0"/>
                      <a:ext cx="1139190" cy="1074420"/>
                    </a:xfrm>
                    <a:prstGeom prst="rect">
                      <a:avLst/>
                    </a:prstGeom>
                    <a:noFill/>
                    <a:ln>
                      <a:noFill/>
                    </a:ln>
                    <a:effectLst>
                      <a:softEdge rad="1270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54FA06" w14:textId="77777777" w:rsidR="00660B61" w:rsidRPr="00224F98" w:rsidRDefault="00660B61" w:rsidP="00660B61">
      <w:pPr>
        <w:tabs>
          <w:tab w:val="left" w:pos="180"/>
        </w:tabs>
        <w:spacing w:line="360" w:lineRule="auto"/>
        <w:jc w:val="both"/>
        <w:rPr>
          <w:rFonts w:ascii="Calibri" w:hAnsi="Calibri"/>
          <w:sz w:val="22"/>
          <w:szCs w:val="22"/>
        </w:rPr>
      </w:pPr>
    </w:p>
    <w:p w14:paraId="41089FCE" w14:textId="77777777" w:rsidR="00660B61" w:rsidRPr="00224F98" w:rsidRDefault="00660B61" w:rsidP="00660B61">
      <w:pPr>
        <w:tabs>
          <w:tab w:val="left" w:pos="180"/>
        </w:tabs>
        <w:spacing w:line="360" w:lineRule="auto"/>
        <w:jc w:val="both"/>
        <w:rPr>
          <w:rFonts w:ascii="Calibri" w:hAnsi="Calibri"/>
          <w:sz w:val="22"/>
          <w:szCs w:val="22"/>
        </w:rPr>
      </w:pPr>
    </w:p>
    <w:p w14:paraId="02E783C5" w14:textId="77777777" w:rsidR="00660B61" w:rsidRPr="00224F98" w:rsidRDefault="00660B61" w:rsidP="00660B61">
      <w:pPr>
        <w:tabs>
          <w:tab w:val="left" w:pos="180"/>
        </w:tabs>
        <w:spacing w:line="360" w:lineRule="auto"/>
        <w:jc w:val="both"/>
        <w:rPr>
          <w:rFonts w:ascii="Calibri" w:hAnsi="Calibri"/>
          <w:sz w:val="22"/>
          <w:szCs w:val="22"/>
        </w:rPr>
      </w:pPr>
    </w:p>
    <w:p w14:paraId="06B6DF8E" w14:textId="77777777" w:rsidR="00660B61" w:rsidRPr="00224F98" w:rsidRDefault="00660B61" w:rsidP="00660B61">
      <w:pPr>
        <w:tabs>
          <w:tab w:val="left" w:pos="180"/>
        </w:tabs>
        <w:spacing w:line="360" w:lineRule="auto"/>
        <w:jc w:val="both"/>
        <w:rPr>
          <w:rFonts w:ascii="Calibri" w:hAnsi="Calibri"/>
          <w:sz w:val="22"/>
          <w:szCs w:val="22"/>
        </w:rPr>
      </w:pPr>
    </w:p>
    <w:p w14:paraId="30AB0CE7" w14:textId="77777777" w:rsidR="00660B61" w:rsidRDefault="00660B61" w:rsidP="00660B61">
      <w:pPr>
        <w:tabs>
          <w:tab w:val="left" w:pos="180"/>
        </w:tabs>
        <w:spacing w:line="360" w:lineRule="auto"/>
        <w:jc w:val="both"/>
        <w:rPr>
          <w:rFonts w:ascii="Calibri" w:hAnsi="Calibri"/>
          <w:sz w:val="22"/>
          <w:szCs w:val="22"/>
        </w:rPr>
      </w:pPr>
    </w:p>
    <w:p w14:paraId="2D1ABADF" w14:textId="77777777" w:rsidR="00660B61" w:rsidRPr="00224F98" w:rsidRDefault="00660B61" w:rsidP="00660B61">
      <w:pPr>
        <w:tabs>
          <w:tab w:val="left" w:pos="180"/>
        </w:tabs>
        <w:spacing w:line="360" w:lineRule="auto"/>
        <w:jc w:val="both"/>
        <w:rPr>
          <w:rFonts w:ascii="Calibri" w:hAnsi="Calibri"/>
          <w:sz w:val="22"/>
          <w:szCs w:val="22"/>
        </w:rPr>
      </w:pPr>
      <w:r>
        <w:rPr>
          <w:rFonts w:ascii="Calibri" w:hAnsi="Calibri"/>
          <w:sz w:val="22"/>
          <w:szCs w:val="22"/>
        </w:rPr>
        <w:t xml:space="preserve">In 2016, 12% of young women in Greater Dandenong who had completed year 11 were married, compared with 24% of those who had left school before completing year 11. </w:t>
      </w:r>
    </w:p>
    <w:p w14:paraId="757FDA1B" w14:textId="77777777" w:rsidR="00660B61" w:rsidRDefault="00660B61" w:rsidP="00660B61">
      <w:pPr>
        <w:tabs>
          <w:tab w:val="left" w:pos="180"/>
        </w:tabs>
        <w:jc w:val="both"/>
        <w:rPr>
          <w:rFonts w:ascii="Calibri" w:hAnsi="Calibri"/>
          <w:b/>
          <w:color w:val="7F7F7F"/>
          <w:sz w:val="22"/>
          <w:szCs w:val="22"/>
        </w:rPr>
      </w:pPr>
      <w:r w:rsidRPr="00AA0A1A">
        <w:rPr>
          <w:rFonts w:ascii="Calibri" w:hAnsi="Calibri"/>
          <w:color w:val="7F7F7F"/>
          <w:sz w:val="20"/>
          <w:szCs w:val="20"/>
        </w:rPr>
        <w:t xml:space="preserve"> </w:t>
      </w:r>
      <w:r>
        <w:rPr>
          <w:rFonts w:ascii="Calibri" w:hAnsi="Calibri"/>
          <w:color w:val="7F7F7F"/>
          <w:sz w:val="20"/>
          <w:szCs w:val="20"/>
        </w:rPr>
        <w:t xml:space="preserve">                                                                                                                  </w:t>
      </w:r>
      <w:r w:rsidRPr="000726D5">
        <w:rPr>
          <w:rFonts w:ascii="Calibri" w:hAnsi="Calibri"/>
          <w:color w:val="7F7F7F"/>
          <w:sz w:val="20"/>
          <w:szCs w:val="20"/>
        </w:rPr>
        <w:t>Living Together Before Marriage</w:t>
      </w:r>
      <w:r w:rsidRPr="00A6516A">
        <w:rPr>
          <w:rFonts w:ascii="Calibri" w:hAnsi="Calibri"/>
          <w:b/>
          <w:color w:val="7F7F7F"/>
          <w:sz w:val="22"/>
          <w:szCs w:val="22"/>
        </w:rPr>
        <w:t>,</w:t>
      </w:r>
    </w:p>
    <w:p w14:paraId="44DF453E" w14:textId="77777777" w:rsidR="00660B61" w:rsidRPr="000874D7" w:rsidRDefault="00660B61" w:rsidP="00660B61">
      <w:pPr>
        <w:tabs>
          <w:tab w:val="left" w:pos="180"/>
        </w:tabs>
        <w:jc w:val="both"/>
        <w:rPr>
          <w:rFonts w:ascii="Calibri" w:hAnsi="Calibri"/>
          <w:i/>
          <w:sz w:val="22"/>
          <w:szCs w:val="22"/>
        </w:rPr>
      </w:pPr>
      <w:r w:rsidRPr="000874D7">
        <w:rPr>
          <w:rFonts w:ascii="Calibri" w:hAnsi="Calibri"/>
          <w:i/>
          <w:sz w:val="22"/>
          <w:szCs w:val="22"/>
        </w:rPr>
        <w:t>De facto Marriages</w:t>
      </w:r>
      <w:r>
        <w:rPr>
          <w:rFonts w:ascii="Calibri" w:hAnsi="Calibri"/>
          <w:b/>
          <w:color w:val="7F7F7F"/>
          <w:sz w:val="22"/>
          <w:szCs w:val="22"/>
        </w:rPr>
        <w:t xml:space="preserve">                                                                      </w:t>
      </w:r>
      <w:r w:rsidRPr="000726D5">
        <w:rPr>
          <w:rFonts w:ascii="Calibri" w:hAnsi="Calibri"/>
          <w:color w:val="7F7F7F"/>
          <w:sz w:val="20"/>
          <w:szCs w:val="20"/>
        </w:rPr>
        <w:t>by Year of Marriage: Australia, 1975-201</w:t>
      </w:r>
      <w:r>
        <w:rPr>
          <w:rFonts w:ascii="Calibri" w:hAnsi="Calibri"/>
          <w:color w:val="7F7F7F"/>
          <w:sz w:val="20"/>
          <w:szCs w:val="20"/>
        </w:rPr>
        <w:t>8</w:t>
      </w:r>
    </w:p>
    <w:p w14:paraId="44702E52" w14:textId="77777777" w:rsidR="00660B61" w:rsidRDefault="00660B61" w:rsidP="00660B61">
      <w:pPr>
        <w:tabs>
          <w:tab w:val="left" w:pos="180"/>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83840" behindDoc="0" locked="0" layoutInCell="1" allowOverlap="1" wp14:anchorId="556C6C49" wp14:editId="3B832109">
            <wp:simplePos x="0" y="0"/>
            <wp:positionH relativeFrom="column">
              <wp:posOffset>3158490</wp:posOffset>
            </wp:positionH>
            <wp:positionV relativeFrom="paragraph">
              <wp:posOffset>82550</wp:posOffset>
            </wp:positionV>
            <wp:extent cx="2956560" cy="23812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56560" cy="23812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24384" distB="80010" distL="138684" distR="191516" simplePos="0" relativeHeight="251675648" behindDoc="0" locked="0" layoutInCell="1" allowOverlap="1" wp14:anchorId="30971B0E" wp14:editId="2FF5B830">
            <wp:simplePos x="0" y="0"/>
            <wp:positionH relativeFrom="column">
              <wp:posOffset>4671314</wp:posOffset>
            </wp:positionH>
            <wp:positionV relativeFrom="paragraph">
              <wp:posOffset>8439404</wp:posOffset>
            </wp:positionV>
            <wp:extent cx="1757680" cy="895096"/>
            <wp:effectExtent l="38100" t="38100" r="90170" b="95885"/>
            <wp:wrapNone/>
            <wp:docPr id="94" name="Picture 49" descr="marri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49" descr="marriage 2.jpg"/>
                    <pic:cNvPicPr/>
                  </pic:nvPicPr>
                  <pic:blipFill>
                    <a:blip r:embed="rId30" cstate="print"/>
                    <a:stretch>
                      <a:fillRect/>
                    </a:stretch>
                  </pic:blipFill>
                  <pic:spPr>
                    <a:xfrm>
                      <a:off x="0" y="0"/>
                      <a:ext cx="1757680" cy="894715"/>
                    </a:xfrm>
                    <a:prstGeom prst="rect">
                      <a:avLst/>
                    </a:prstGeom>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Calibri" w:hAnsi="Calibri"/>
          <w:sz w:val="22"/>
          <w:szCs w:val="22"/>
        </w:rPr>
        <w:t>The popularity of de facto marriages has increased markedly during the past few decades, with the proportion of Australian couples who live together before becoming formally married rising from 16% in 1975, to 82% in 2017.</w:t>
      </w:r>
    </w:p>
    <w:p w14:paraId="1EADCE9E" w14:textId="77777777" w:rsidR="00660B61" w:rsidRDefault="00660B61" w:rsidP="00660B61">
      <w:pPr>
        <w:tabs>
          <w:tab w:val="left" w:pos="180"/>
        </w:tabs>
        <w:spacing w:line="360" w:lineRule="auto"/>
        <w:jc w:val="both"/>
        <w:rPr>
          <w:rFonts w:ascii="Calibri" w:hAnsi="Calibri"/>
          <w:sz w:val="22"/>
          <w:szCs w:val="22"/>
        </w:rPr>
      </w:pPr>
    </w:p>
    <w:p w14:paraId="0CDC3A2D" w14:textId="77777777" w:rsidR="00660B61" w:rsidRPr="000874D7" w:rsidRDefault="00660B61" w:rsidP="00660B61">
      <w:pPr>
        <w:tabs>
          <w:tab w:val="left" w:pos="180"/>
        </w:tabs>
        <w:spacing w:before="60"/>
        <w:jc w:val="both"/>
        <w:rPr>
          <w:rFonts w:ascii="Calibri" w:hAnsi="Calibri"/>
          <w:i/>
          <w:sz w:val="22"/>
          <w:szCs w:val="22"/>
        </w:rPr>
      </w:pPr>
      <w:r w:rsidRPr="000874D7">
        <w:rPr>
          <w:rFonts w:ascii="Calibri" w:hAnsi="Calibri"/>
          <w:i/>
          <w:sz w:val="22"/>
          <w:szCs w:val="22"/>
        </w:rPr>
        <w:t>Other Marriage Trends</w:t>
      </w:r>
    </w:p>
    <w:p w14:paraId="77B07B5A" w14:textId="77777777" w:rsidR="00660B61" w:rsidRDefault="00660B61" w:rsidP="00660B61">
      <w:pPr>
        <w:tabs>
          <w:tab w:val="left" w:pos="180"/>
        </w:tabs>
        <w:spacing w:line="360" w:lineRule="auto"/>
        <w:jc w:val="both"/>
        <w:rPr>
          <w:rFonts w:ascii="Calibri" w:hAnsi="Calibri"/>
          <w:sz w:val="22"/>
          <w:szCs w:val="22"/>
        </w:rPr>
      </w:pPr>
      <w:r>
        <w:rPr>
          <w:rFonts w:ascii="Calibri" w:hAnsi="Calibri"/>
          <w:noProof/>
          <w:sz w:val="22"/>
          <w:szCs w:val="22"/>
        </w:rPr>
        <w:drawing>
          <wp:anchor distT="0" distB="0" distL="114300" distR="114300" simplePos="0" relativeHeight="251665408" behindDoc="0" locked="0" layoutInCell="1" allowOverlap="1" wp14:anchorId="00A7C396" wp14:editId="3F07032C">
            <wp:simplePos x="0" y="0"/>
            <wp:positionH relativeFrom="margin">
              <wp:align>left</wp:align>
            </wp:positionH>
            <wp:positionV relativeFrom="paragraph">
              <wp:posOffset>1245870</wp:posOffset>
            </wp:positionV>
            <wp:extent cx="3156585" cy="2299970"/>
            <wp:effectExtent l="0" t="0" r="5715"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68069" cy="2308245"/>
                    </a:xfrm>
                    <a:prstGeom prst="rect">
                      <a:avLst/>
                    </a:prstGeom>
                    <a:noFill/>
                  </pic:spPr>
                </pic:pic>
              </a:graphicData>
            </a:graphic>
            <wp14:sizeRelH relativeFrom="page">
              <wp14:pctWidth>0</wp14:pctWidth>
            </wp14:sizeRelH>
            <wp14:sizeRelV relativeFrom="page">
              <wp14:pctHeight>0</wp14:pctHeight>
            </wp14:sizeRelV>
          </wp:anchor>
        </w:drawing>
      </w:r>
      <w:r w:rsidRPr="0036219A">
        <w:rPr>
          <w:rFonts w:ascii="Calibri" w:hAnsi="Calibri"/>
          <w:sz w:val="22"/>
          <w:szCs w:val="22"/>
        </w:rPr>
        <w:t xml:space="preserve">Across Australia, people marry less often and later in life than in the past, with the </w:t>
      </w:r>
      <w:r>
        <w:rPr>
          <w:rFonts w:ascii="Calibri" w:hAnsi="Calibri"/>
          <w:sz w:val="22"/>
          <w:szCs w:val="22"/>
        </w:rPr>
        <w:t>proportion of people who are married</w:t>
      </w:r>
      <w:r w:rsidRPr="0036219A">
        <w:rPr>
          <w:rFonts w:ascii="Calibri" w:hAnsi="Calibri"/>
          <w:sz w:val="22"/>
          <w:szCs w:val="22"/>
        </w:rPr>
        <w:t xml:space="preserve"> declining by nine-tenths among teenagers</w:t>
      </w:r>
      <w:r>
        <w:rPr>
          <w:rFonts w:ascii="Calibri" w:hAnsi="Calibri"/>
          <w:sz w:val="22"/>
          <w:szCs w:val="22"/>
        </w:rPr>
        <w:t>,</w:t>
      </w:r>
      <w:r w:rsidRPr="0036219A">
        <w:rPr>
          <w:rFonts w:ascii="Calibri" w:hAnsi="Calibri"/>
          <w:sz w:val="22"/>
          <w:szCs w:val="22"/>
        </w:rPr>
        <w:t xml:space="preserve"> and </w:t>
      </w:r>
      <w:r>
        <w:rPr>
          <w:rFonts w:ascii="Calibri" w:hAnsi="Calibri"/>
          <w:sz w:val="22"/>
          <w:szCs w:val="22"/>
        </w:rPr>
        <w:t xml:space="preserve">by nearly four-fifths </w:t>
      </w:r>
      <w:r w:rsidRPr="0036219A">
        <w:rPr>
          <w:rFonts w:ascii="Calibri" w:hAnsi="Calibri"/>
          <w:sz w:val="22"/>
          <w:szCs w:val="22"/>
        </w:rPr>
        <w:t>among young adults</w:t>
      </w:r>
      <w:r>
        <w:rPr>
          <w:rFonts w:ascii="Calibri" w:hAnsi="Calibri"/>
          <w:sz w:val="22"/>
          <w:szCs w:val="22"/>
        </w:rPr>
        <w:t>, since the mid-1970s</w:t>
      </w:r>
      <w:r w:rsidRPr="0036219A">
        <w:rPr>
          <w:rFonts w:ascii="Calibri" w:hAnsi="Calibri"/>
          <w:sz w:val="22"/>
          <w:szCs w:val="22"/>
        </w:rPr>
        <w:t xml:space="preserve">. </w:t>
      </w:r>
    </w:p>
    <w:p w14:paraId="487935F0" w14:textId="77777777" w:rsidR="00660B61" w:rsidRPr="0036219A" w:rsidRDefault="00660B61" w:rsidP="00660B61">
      <w:pPr>
        <w:tabs>
          <w:tab w:val="left" w:pos="180"/>
        </w:tabs>
        <w:spacing w:line="360" w:lineRule="auto"/>
        <w:jc w:val="both"/>
        <w:rPr>
          <w:rFonts w:ascii="Calibri" w:hAnsi="Calibri"/>
          <w:sz w:val="22"/>
          <w:szCs w:val="22"/>
        </w:rPr>
      </w:pPr>
    </w:p>
    <w:p w14:paraId="6D1716F8" w14:textId="77777777" w:rsidR="00660B61" w:rsidRPr="0001463B" w:rsidRDefault="00660B61" w:rsidP="00660B61">
      <w:pPr>
        <w:tabs>
          <w:tab w:val="left" w:pos="180"/>
        </w:tabs>
        <w:jc w:val="both"/>
        <w:rPr>
          <w:rFonts w:ascii="Calibri" w:hAnsi="Calibri"/>
          <w:sz w:val="6"/>
          <w:szCs w:val="6"/>
        </w:rPr>
      </w:pPr>
    </w:p>
    <w:p w14:paraId="29D91FAE" w14:textId="77777777" w:rsidR="00660B61" w:rsidRPr="00A959A7" w:rsidRDefault="00660B61" w:rsidP="00660B61">
      <w:pPr>
        <w:tabs>
          <w:tab w:val="left" w:pos="180"/>
        </w:tabs>
        <w:jc w:val="both"/>
        <w:rPr>
          <w:rFonts w:ascii="Calibri" w:hAnsi="Calibri"/>
          <w:color w:val="7F7F7F"/>
          <w:sz w:val="20"/>
          <w:szCs w:val="20"/>
        </w:rPr>
      </w:pPr>
      <w:r>
        <w:rPr>
          <w:noProof/>
          <w:lang w:eastAsia="en-AU"/>
        </w:rPr>
        <w:drawing>
          <wp:anchor distT="0" distB="0" distL="114300" distR="114300" simplePos="0" relativeHeight="251678720" behindDoc="0" locked="0" layoutInCell="1" allowOverlap="1" wp14:anchorId="0B1172E0" wp14:editId="3770A9AE">
            <wp:simplePos x="0" y="0"/>
            <wp:positionH relativeFrom="column">
              <wp:posOffset>-2781300</wp:posOffset>
            </wp:positionH>
            <wp:positionV relativeFrom="paragraph">
              <wp:posOffset>30480</wp:posOffset>
            </wp:positionV>
            <wp:extent cx="669925" cy="533400"/>
            <wp:effectExtent l="0" t="0" r="0" b="0"/>
            <wp:wrapNone/>
            <wp:docPr id="98" name="Picture 98" descr="E:\Photos\Family Wedding 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Photos\Family Wedding Ring.jpg"/>
                    <pic:cNvPicPr>
                      <a:picLocks noChangeAspect="1" noChangeArrowheads="1"/>
                    </pic:cNvPicPr>
                  </pic:nvPicPr>
                  <pic:blipFill>
                    <a:blip r:embed="rId32" cstate="print">
                      <a:extLst>
                        <a:ext uri="{28A0092B-C50C-407E-A947-70E740481C1C}">
                          <a14:useLocalDpi xmlns:a14="http://schemas.microsoft.com/office/drawing/2010/main" val="0"/>
                        </a:ext>
                      </a:extLst>
                    </a:blip>
                    <a:srcRect l="11543" t="15416" r="12724" b="15416"/>
                    <a:stretch>
                      <a:fillRect/>
                    </a:stretch>
                  </pic:blipFill>
                  <pic:spPr bwMode="auto">
                    <a:xfrm>
                      <a:off x="0" y="0"/>
                      <a:ext cx="6699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9A7">
        <w:rPr>
          <w:rFonts w:ascii="Calibri" w:hAnsi="Calibri"/>
          <w:color w:val="7F7F7F"/>
          <w:sz w:val="20"/>
          <w:szCs w:val="20"/>
        </w:rPr>
        <w:t>Per cent of marriages presided over by a civil celebrant: Australia, 1901 to 201</w:t>
      </w:r>
      <w:r>
        <w:rPr>
          <w:rFonts w:ascii="Calibri" w:hAnsi="Calibri"/>
          <w:color w:val="7F7F7F"/>
          <w:sz w:val="20"/>
          <w:szCs w:val="20"/>
        </w:rPr>
        <w:t>8</w:t>
      </w:r>
    </w:p>
    <w:p w14:paraId="09A12C28" w14:textId="77777777" w:rsidR="00660B61" w:rsidRDefault="00660B61" w:rsidP="00660B61">
      <w:pPr>
        <w:tabs>
          <w:tab w:val="left" w:pos="180"/>
        </w:tabs>
        <w:spacing w:line="360" w:lineRule="auto"/>
        <w:jc w:val="both"/>
        <w:rPr>
          <w:rFonts w:ascii="Calibri" w:hAnsi="Calibri"/>
          <w:sz w:val="22"/>
          <w:szCs w:val="22"/>
        </w:rPr>
      </w:pPr>
    </w:p>
    <w:p w14:paraId="0727BB20" w14:textId="77777777" w:rsidR="00660B61" w:rsidRDefault="00660B61" w:rsidP="00660B61">
      <w:pPr>
        <w:tabs>
          <w:tab w:val="left" w:pos="180"/>
        </w:tabs>
        <w:spacing w:line="360" w:lineRule="auto"/>
        <w:jc w:val="both"/>
        <w:rPr>
          <w:rFonts w:ascii="Calibri" w:hAnsi="Calibri"/>
          <w:sz w:val="22"/>
          <w:szCs w:val="22"/>
        </w:rPr>
      </w:pPr>
      <w:r w:rsidRPr="0036219A">
        <w:rPr>
          <w:rFonts w:ascii="Calibri" w:hAnsi="Calibri"/>
          <w:sz w:val="22"/>
          <w:szCs w:val="22"/>
        </w:rPr>
        <w:t xml:space="preserve">Meantime, the influence of tradition upon marriage has eased, with the </w:t>
      </w:r>
      <w:r>
        <w:rPr>
          <w:rFonts w:ascii="Calibri" w:hAnsi="Calibri"/>
          <w:sz w:val="22"/>
          <w:szCs w:val="22"/>
        </w:rPr>
        <w:t>proportion</w:t>
      </w:r>
      <w:r w:rsidRPr="0036219A">
        <w:rPr>
          <w:rFonts w:ascii="Calibri" w:hAnsi="Calibri"/>
          <w:sz w:val="22"/>
          <w:szCs w:val="22"/>
        </w:rPr>
        <w:t xml:space="preserve"> of marriages presided over by a civil celebrant rising from </w:t>
      </w:r>
      <w:r>
        <w:rPr>
          <w:rFonts w:ascii="Calibri" w:hAnsi="Calibri"/>
          <w:sz w:val="22"/>
          <w:szCs w:val="22"/>
        </w:rPr>
        <w:t xml:space="preserve">3% in 1906, to </w:t>
      </w:r>
      <w:r w:rsidRPr="0036219A">
        <w:rPr>
          <w:rFonts w:ascii="Calibri" w:hAnsi="Calibri"/>
          <w:sz w:val="22"/>
          <w:szCs w:val="22"/>
        </w:rPr>
        <w:t xml:space="preserve">10% </w:t>
      </w:r>
      <w:r>
        <w:rPr>
          <w:rFonts w:ascii="Calibri" w:hAnsi="Calibri"/>
          <w:sz w:val="22"/>
          <w:szCs w:val="22"/>
        </w:rPr>
        <w:t xml:space="preserve">by </w:t>
      </w:r>
      <w:r w:rsidRPr="0036219A">
        <w:rPr>
          <w:rFonts w:ascii="Calibri" w:hAnsi="Calibri"/>
          <w:sz w:val="22"/>
          <w:szCs w:val="22"/>
        </w:rPr>
        <w:t>1960</w:t>
      </w:r>
      <w:r>
        <w:rPr>
          <w:rFonts w:ascii="Calibri" w:hAnsi="Calibri"/>
          <w:sz w:val="22"/>
          <w:szCs w:val="22"/>
        </w:rPr>
        <w:t>,</w:t>
      </w:r>
      <w:r w:rsidRPr="0036219A">
        <w:rPr>
          <w:rFonts w:ascii="Calibri" w:hAnsi="Calibri"/>
          <w:sz w:val="22"/>
          <w:szCs w:val="22"/>
        </w:rPr>
        <w:t xml:space="preserve"> </w:t>
      </w:r>
      <w:r>
        <w:rPr>
          <w:rFonts w:ascii="Calibri" w:hAnsi="Calibri"/>
          <w:sz w:val="22"/>
          <w:szCs w:val="22"/>
        </w:rPr>
        <w:t>before surging to</w:t>
      </w:r>
      <w:r w:rsidRPr="0036219A">
        <w:rPr>
          <w:rFonts w:ascii="Calibri" w:hAnsi="Calibri"/>
          <w:sz w:val="22"/>
          <w:szCs w:val="22"/>
        </w:rPr>
        <w:t xml:space="preserve"> </w:t>
      </w:r>
      <w:r>
        <w:rPr>
          <w:rFonts w:ascii="Calibri" w:hAnsi="Calibri"/>
          <w:sz w:val="22"/>
          <w:szCs w:val="22"/>
        </w:rPr>
        <w:t>80</w:t>
      </w:r>
      <w:r w:rsidRPr="0036219A">
        <w:rPr>
          <w:rFonts w:ascii="Calibri" w:hAnsi="Calibri"/>
          <w:sz w:val="22"/>
          <w:szCs w:val="22"/>
        </w:rPr>
        <w:t>% by 20</w:t>
      </w:r>
      <w:r>
        <w:rPr>
          <w:rFonts w:ascii="Calibri" w:hAnsi="Calibri"/>
          <w:sz w:val="22"/>
          <w:szCs w:val="22"/>
        </w:rPr>
        <w:t xml:space="preserve">18. </w:t>
      </w:r>
    </w:p>
    <w:p w14:paraId="1A425DC5" w14:textId="77777777" w:rsidR="00660B61" w:rsidRDefault="00660B61" w:rsidP="00660B61">
      <w:pPr>
        <w:tabs>
          <w:tab w:val="left" w:pos="180"/>
        </w:tabs>
        <w:spacing w:line="360" w:lineRule="auto"/>
        <w:jc w:val="both"/>
        <w:rPr>
          <w:rFonts w:ascii="Calibri" w:hAnsi="Calibri"/>
          <w:sz w:val="22"/>
          <w:szCs w:val="22"/>
        </w:rPr>
      </w:pPr>
    </w:p>
    <w:p w14:paraId="7F14094F" w14:textId="77777777" w:rsidR="00660B61" w:rsidRPr="00352128" w:rsidRDefault="00660B61" w:rsidP="00660B61">
      <w:pPr>
        <w:tabs>
          <w:tab w:val="left" w:pos="180"/>
        </w:tabs>
        <w:spacing w:line="360" w:lineRule="auto"/>
        <w:jc w:val="both"/>
        <w:rPr>
          <w:rFonts w:ascii="Calibri" w:hAnsi="Calibri"/>
          <w:i/>
          <w:iCs/>
          <w:sz w:val="22"/>
          <w:szCs w:val="22"/>
        </w:rPr>
      </w:pPr>
      <w:r w:rsidRPr="00352128">
        <w:rPr>
          <w:rFonts w:ascii="Calibri" w:hAnsi="Calibri"/>
          <w:i/>
          <w:iCs/>
          <w:sz w:val="22"/>
          <w:szCs w:val="22"/>
        </w:rPr>
        <w:lastRenderedPageBreak/>
        <w:t>Forced Marriage</w:t>
      </w:r>
    </w:p>
    <w:p w14:paraId="3EB60520"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Forced marriage occurs where one or both parties do not freely consent to the marriage, but are forced or deceived into participation, due to physical, psychological, financial emotional or other pressures</w:t>
      </w:r>
      <w:r w:rsidRPr="00352128">
        <w:rPr>
          <w:rStyle w:val="FootnoteReference"/>
          <w:rFonts w:asciiTheme="minorHAnsi" w:hAnsiTheme="minorHAnsi" w:cstheme="minorHAnsi"/>
          <w:sz w:val="22"/>
          <w:szCs w:val="22"/>
        </w:rPr>
        <w:footnoteReference w:id="1"/>
      </w:r>
      <w:r w:rsidRPr="00352128">
        <w:rPr>
          <w:rFonts w:asciiTheme="minorHAnsi" w:hAnsiTheme="minorHAnsi" w:cstheme="minorHAnsi"/>
          <w:sz w:val="22"/>
          <w:szCs w:val="22"/>
        </w:rPr>
        <w:t xml:space="preserve">. Compliance may be </w:t>
      </w:r>
      <w:proofErr w:type="spellStart"/>
      <w:r w:rsidRPr="00352128">
        <w:rPr>
          <w:rFonts w:asciiTheme="minorHAnsi" w:hAnsiTheme="minorHAnsi" w:cstheme="minorHAnsi"/>
          <w:sz w:val="22"/>
          <w:szCs w:val="22"/>
        </w:rPr>
        <w:t>eacted</w:t>
      </w:r>
      <w:proofErr w:type="spellEnd"/>
      <w:r w:rsidRPr="00352128">
        <w:rPr>
          <w:rFonts w:asciiTheme="minorHAnsi" w:hAnsiTheme="minorHAnsi" w:cstheme="minorHAnsi"/>
          <w:sz w:val="22"/>
          <w:szCs w:val="22"/>
        </w:rPr>
        <w:t xml:space="preserve"> through emotional pressure; threats to withdraw family support or evict; isolation from family, friends and the community; being held captive; threats of physical harm; and murder</w:t>
      </w:r>
      <w:r w:rsidRPr="00352128">
        <w:rPr>
          <w:rStyle w:val="FootnoteReference"/>
          <w:rFonts w:asciiTheme="minorHAnsi" w:hAnsiTheme="minorHAnsi" w:cstheme="minorHAnsi"/>
          <w:sz w:val="22"/>
          <w:szCs w:val="22"/>
        </w:rPr>
        <w:footnoteReference w:id="2"/>
      </w:r>
      <w:r w:rsidRPr="00352128">
        <w:rPr>
          <w:rFonts w:asciiTheme="minorHAnsi" w:hAnsiTheme="minorHAnsi" w:cstheme="minorHAnsi"/>
          <w:sz w:val="22"/>
          <w:szCs w:val="22"/>
        </w:rPr>
        <w:t xml:space="preserve">. </w:t>
      </w:r>
    </w:p>
    <w:p w14:paraId="67EF65FA"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Young women account for about nine-tenths of victim/survivors of forced marriages</w:t>
      </w:r>
      <w:r w:rsidRPr="00352128">
        <w:rPr>
          <w:rStyle w:val="FootnoteReference"/>
          <w:rFonts w:asciiTheme="minorHAnsi" w:hAnsiTheme="minorHAnsi" w:cstheme="minorHAnsi"/>
          <w:sz w:val="22"/>
          <w:szCs w:val="22"/>
        </w:rPr>
        <w:footnoteReference w:id="3"/>
      </w:r>
      <w:r w:rsidRPr="00352128">
        <w:rPr>
          <w:rFonts w:asciiTheme="minorHAnsi" w:hAnsiTheme="minorHAnsi" w:cstheme="minorHAnsi"/>
          <w:sz w:val="22"/>
          <w:szCs w:val="22"/>
        </w:rPr>
        <w:t xml:space="preserve">  and most are relatively young</w:t>
      </w:r>
      <w:r w:rsidRPr="00352128">
        <w:rPr>
          <w:rStyle w:val="FootnoteReference"/>
          <w:rFonts w:asciiTheme="minorHAnsi" w:hAnsiTheme="minorHAnsi" w:cstheme="minorHAnsi"/>
          <w:sz w:val="22"/>
          <w:szCs w:val="22"/>
        </w:rPr>
        <w:footnoteReference w:id="4"/>
      </w:r>
      <w:r w:rsidRPr="00352128">
        <w:rPr>
          <w:rFonts w:asciiTheme="minorHAnsi" w:hAnsiTheme="minorHAnsi" w:cstheme="minorHAnsi"/>
          <w:sz w:val="22"/>
          <w:szCs w:val="22"/>
        </w:rPr>
        <w:t>.</w:t>
      </w:r>
    </w:p>
    <w:p w14:paraId="6628215A"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Though the United Nations documents child marriage in 126 nations, with rates exceeding 30% in 34 countries, in Australia, most are from countries such as Afghanistan, Pakistan, India, Somalia, Fiji, Bangladesh, Sudan, Turkey, China, and the majority are Muslims</w:t>
      </w:r>
      <w:r w:rsidRPr="00352128">
        <w:rPr>
          <w:rStyle w:val="FootnoteReference"/>
          <w:rFonts w:asciiTheme="minorHAnsi" w:hAnsiTheme="minorHAnsi" w:cstheme="minorHAnsi"/>
          <w:sz w:val="22"/>
          <w:szCs w:val="22"/>
        </w:rPr>
        <w:footnoteReference w:id="5"/>
      </w:r>
      <w:r w:rsidRPr="00352128">
        <w:rPr>
          <w:rFonts w:asciiTheme="minorHAnsi" w:hAnsiTheme="minorHAnsi" w:cstheme="minorHAnsi"/>
          <w:sz w:val="22"/>
          <w:szCs w:val="22"/>
        </w:rPr>
        <w:t>.</w:t>
      </w:r>
    </w:p>
    <w:p w14:paraId="2C946B5D"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Such practices are most common among socially conservative, less educated families</w:t>
      </w:r>
      <w:r w:rsidRPr="00352128">
        <w:rPr>
          <w:rStyle w:val="FootnoteReference"/>
          <w:rFonts w:asciiTheme="minorHAnsi" w:hAnsiTheme="minorHAnsi" w:cstheme="minorHAnsi"/>
          <w:sz w:val="22"/>
          <w:szCs w:val="22"/>
        </w:rPr>
        <w:footnoteReference w:id="6"/>
      </w:r>
      <w:r w:rsidRPr="00352128">
        <w:rPr>
          <w:rFonts w:asciiTheme="minorHAnsi" w:hAnsiTheme="minorHAnsi" w:cstheme="minorHAnsi"/>
          <w:sz w:val="22"/>
          <w:szCs w:val="22"/>
        </w:rPr>
        <w:t>, often seeking to uphold their traditional social beliefs, control a girl they consider promiscuous or enable an intended spouse to settle in Australia. The family often anticipates a dowry or ‘bride price’ and being relieved of the need to pay for her support.</w:t>
      </w:r>
      <w:r>
        <w:rPr>
          <w:rFonts w:asciiTheme="minorHAnsi" w:hAnsiTheme="minorHAnsi" w:cstheme="minorHAnsi"/>
          <w:sz w:val="22"/>
          <w:szCs w:val="22"/>
        </w:rPr>
        <w:t xml:space="preserve"> </w:t>
      </w:r>
      <w:r w:rsidRPr="00352128">
        <w:rPr>
          <w:rFonts w:asciiTheme="minorHAnsi" w:hAnsiTheme="minorHAnsi" w:cstheme="minorHAnsi"/>
          <w:sz w:val="22"/>
          <w:szCs w:val="22"/>
        </w:rPr>
        <w:t>Child victim/survivors of forced marriage are vulnerable to grievous and enduring harm, including physical and verbal abuse; restrictions upon their movement, access to money, employment and education; isolation from friends and family; arduous domestic servitude</w:t>
      </w:r>
      <w:r w:rsidRPr="00352128">
        <w:rPr>
          <w:rStyle w:val="FootnoteReference"/>
          <w:rFonts w:asciiTheme="minorHAnsi" w:hAnsiTheme="minorHAnsi" w:cstheme="minorHAnsi"/>
          <w:sz w:val="22"/>
          <w:szCs w:val="22"/>
        </w:rPr>
        <w:footnoteReference w:id="7"/>
      </w:r>
      <w:r w:rsidRPr="00352128">
        <w:rPr>
          <w:rFonts w:asciiTheme="minorHAnsi" w:hAnsiTheme="minorHAnsi" w:cstheme="minorHAnsi"/>
          <w:sz w:val="22"/>
          <w:szCs w:val="22"/>
        </w:rPr>
        <w:t xml:space="preserve">, and “…a lifetime of </w:t>
      </w:r>
      <w:proofErr w:type="spellStart"/>
      <w:r w:rsidRPr="00352128">
        <w:rPr>
          <w:rFonts w:asciiTheme="minorHAnsi" w:hAnsiTheme="minorHAnsi" w:cstheme="minorHAnsi"/>
          <w:sz w:val="22"/>
          <w:szCs w:val="22"/>
        </w:rPr>
        <w:t>nonconsensual</w:t>
      </w:r>
      <w:proofErr w:type="spellEnd"/>
      <w:r w:rsidRPr="00352128">
        <w:rPr>
          <w:rFonts w:asciiTheme="minorHAnsi" w:hAnsiTheme="minorHAnsi" w:cstheme="minorHAnsi"/>
          <w:sz w:val="22"/>
          <w:szCs w:val="22"/>
        </w:rPr>
        <w:t xml:space="preserve"> and/or violent sexual intercourse [and] forced pregnancies…”</w:t>
      </w:r>
      <w:r w:rsidRPr="00352128">
        <w:rPr>
          <w:rStyle w:val="FootnoteReference"/>
          <w:rFonts w:asciiTheme="minorHAnsi" w:hAnsiTheme="minorHAnsi" w:cstheme="minorHAnsi"/>
          <w:sz w:val="22"/>
          <w:szCs w:val="22"/>
        </w:rPr>
        <w:footnoteReference w:id="8"/>
      </w:r>
      <w:r w:rsidRPr="00352128">
        <w:rPr>
          <w:rFonts w:asciiTheme="minorHAnsi" w:hAnsiTheme="minorHAnsi" w:cstheme="minorHAnsi"/>
          <w:sz w:val="22"/>
          <w:szCs w:val="22"/>
        </w:rPr>
        <w:t xml:space="preserve">. </w:t>
      </w:r>
    </w:p>
    <w:p w14:paraId="54E79751"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UNICEF estimates that approximately 21% of young women were married before the age of 18, with rates of up to 76% documented in regions of sub-Saharan Africa</w:t>
      </w:r>
      <w:r w:rsidRPr="00352128">
        <w:rPr>
          <w:rStyle w:val="FootnoteReference"/>
          <w:rFonts w:asciiTheme="minorHAnsi" w:hAnsiTheme="minorHAnsi" w:cstheme="minorHAnsi"/>
          <w:sz w:val="22"/>
          <w:szCs w:val="22"/>
        </w:rPr>
        <w:footnoteReference w:id="9"/>
      </w:r>
      <w:r w:rsidRPr="00352128">
        <w:rPr>
          <w:rFonts w:asciiTheme="minorHAnsi" w:hAnsiTheme="minorHAnsi" w:cstheme="minorHAnsi"/>
          <w:sz w:val="22"/>
          <w:szCs w:val="22"/>
        </w:rPr>
        <w:t>. Little is known about the prevalence of forced marriage in Australian society however, since its victim/survivors are generally unable or unwilling to speak out against their families</w:t>
      </w:r>
      <w:r w:rsidRPr="00352128">
        <w:rPr>
          <w:rStyle w:val="FootnoteReference"/>
          <w:rFonts w:asciiTheme="minorHAnsi" w:hAnsiTheme="minorHAnsi" w:cstheme="minorHAnsi"/>
          <w:sz w:val="22"/>
          <w:szCs w:val="22"/>
        </w:rPr>
        <w:footnoteReference w:id="10"/>
      </w:r>
      <w:r w:rsidRPr="00352128">
        <w:rPr>
          <w:rFonts w:asciiTheme="minorHAnsi" w:hAnsiTheme="minorHAnsi" w:cstheme="minorHAnsi"/>
          <w:sz w:val="22"/>
          <w:szCs w:val="22"/>
        </w:rPr>
        <w:t xml:space="preserve">, though t the prevalence of forced marriage appears higher than the number of formal reports of the practice. One survey of a selection of Australian service providers, found that over half </w:t>
      </w:r>
      <w:r w:rsidRPr="00352128">
        <w:rPr>
          <w:rFonts w:asciiTheme="minorHAnsi" w:hAnsiTheme="minorHAnsi" w:cstheme="minorHAnsi"/>
          <w:sz w:val="22"/>
          <w:szCs w:val="22"/>
        </w:rPr>
        <w:lastRenderedPageBreak/>
        <w:t>reporting that they had encountered clients at risk of such practices in the preceding two years</w:t>
      </w:r>
      <w:r w:rsidRPr="00352128">
        <w:rPr>
          <w:rStyle w:val="FootnoteReference"/>
          <w:rFonts w:asciiTheme="minorHAnsi" w:hAnsiTheme="minorHAnsi" w:cstheme="minorHAnsi"/>
          <w:sz w:val="22"/>
          <w:szCs w:val="22"/>
        </w:rPr>
        <w:footnoteReference w:id="11"/>
      </w:r>
      <w:r w:rsidRPr="00352128">
        <w:rPr>
          <w:rFonts w:asciiTheme="minorHAnsi" w:hAnsiTheme="minorHAnsi" w:cstheme="minorHAnsi"/>
          <w:sz w:val="22"/>
          <w:szCs w:val="22"/>
        </w:rPr>
        <w:t>. Moreover, victim/survivors attest that family members, relatives and other community members were present at the wedding, often playing a formal role in the ceremony, and aware of its coercive nature</w:t>
      </w:r>
      <w:r w:rsidRPr="00352128">
        <w:rPr>
          <w:rStyle w:val="FootnoteReference"/>
          <w:rFonts w:asciiTheme="minorHAnsi" w:hAnsiTheme="minorHAnsi" w:cstheme="minorHAnsi"/>
          <w:sz w:val="22"/>
          <w:szCs w:val="22"/>
        </w:rPr>
        <w:footnoteReference w:id="12"/>
      </w:r>
      <w:r w:rsidRPr="00352128">
        <w:rPr>
          <w:rFonts w:asciiTheme="minorHAnsi" w:hAnsiTheme="minorHAnsi" w:cstheme="minorHAnsi"/>
          <w:sz w:val="22"/>
          <w:szCs w:val="22"/>
        </w:rPr>
        <w:t xml:space="preserve">. </w:t>
      </w:r>
    </w:p>
    <w:p w14:paraId="53A4D1AC" w14:textId="77777777" w:rsidR="00660B61" w:rsidRPr="00352128" w:rsidRDefault="00660B61" w:rsidP="00660B61">
      <w:pPr>
        <w:spacing w:line="360" w:lineRule="auto"/>
        <w:jc w:val="both"/>
        <w:rPr>
          <w:rFonts w:asciiTheme="minorHAnsi" w:hAnsiTheme="minorHAnsi" w:cstheme="minorHAnsi"/>
          <w:sz w:val="22"/>
          <w:szCs w:val="22"/>
        </w:rPr>
      </w:pPr>
      <w:r w:rsidRPr="00352128">
        <w:rPr>
          <w:rFonts w:asciiTheme="minorHAnsi" w:hAnsiTheme="minorHAnsi" w:cstheme="minorHAnsi"/>
          <w:sz w:val="22"/>
          <w:szCs w:val="22"/>
        </w:rPr>
        <w:t>Proposed and actual measures to address forced marriage include consultation with the community, while improving detection of, and strengthening responses to, such crimes</w:t>
      </w:r>
      <w:r w:rsidRPr="00352128">
        <w:rPr>
          <w:rStyle w:val="FootnoteReference"/>
          <w:rFonts w:asciiTheme="minorHAnsi" w:hAnsiTheme="minorHAnsi" w:cstheme="minorHAnsi"/>
          <w:sz w:val="22"/>
          <w:szCs w:val="22"/>
        </w:rPr>
        <w:footnoteReference w:id="13"/>
      </w:r>
      <w:r w:rsidRPr="00352128">
        <w:rPr>
          <w:rFonts w:asciiTheme="minorHAnsi" w:hAnsiTheme="minorHAnsi" w:cstheme="minorHAnsi"/>
          <w:sz w:val="22"/>
          <w:szCs w:val="22"/>
        </w:rPr>
        <w:t xml:space="preserve">. </w:t>
      </w:r>
    </w:p>
    <w:p w14:paraId="1D0E22A0" w14:textId="7152DBB2" w:rsidR="002C5D6F" w:rsidRPr="00660B61" w:rsidRDefault="002C5D6F" w:rsidP="00660B61">
      <w:bookmarkStart w:id="0" w:name="_GoBack"/>
      <w:bookmarkEnd w:id="0"/>
    </w:p>
    <w:sectPr w:rsidR="002C5D6F" w:rsidRPr="00660B61" w:rsidSect="00721695">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3B900" w14:textId="77777777" w:rsidR="0086700A" w:rsidRDefault="0086700A">
      <w:r>
        <w:separator/>
      </w:r>
    </w:p>
  </w:endnote>
  <w:endnote w:type="continuationSeparator" w:id="0">
    <w:p w14:paraId="57FF111F" w14:textId="77777777" w:rsidR="0086700A" w:rsidRDefault="00867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40360C" w14:textId="77777777" w:rsidR="0086700A" w:rsidRDefault="0086700A">
      <w:r>
        <w:separator/>
      </w:r>
    </w:p>
  </w:footnote>
  <w:footnote w:type="continuationSeparator" w:id="0">
    <w:p w14:paraId="733B7D44" w14:textId="77777777" w:rsidR="0086700A" w:rsidRDefault="0086700A">
      <w:r>
        <w:continuationSeparator/>
      </w:r>
    </w:p>
  </w:footnote>
  <w:footnote w:id="1">
    <w:p w14:paraId="782A5BCA" w14:textId="77777777" w:rsidR="00660B61" w:rsidRPr="00A7404C" w:rsidRDefault="00660B61" w:rsidP="00660B61">
      <w:pPr>
        <w:jc w:val="both"/>
        <w:rPr>
          <w:sz w:val="16"/>
          <w:szCs w:val="16"/>
          <w:lang w:val="en-US"/>
        </w:rPr>
      </w:pPr>
      <w:r>
        <w:rPr>
          <w:rStyle w:val="FootnoteReference"/>
        </w:rPr>
        <w:footnoteRef/>
      </w:r>
      <w:r>
        <w:t xml:space="preserve"> </w:t>
      </w:r>
      <w:proofErr w:type="spellStart"/>
      <w:r w:rsidRPr="0041360E">
        <w:rPr>
          <w:sz w:val="16"/>
          <w:szCs w:val="16"/>
        </w:rPr>
        <w:t>Jelenic</w:t>
      </w:r>
      <w:proofErr w:type="spellEnd"/>
      <w:r w:rsidRPr="0041360E">
        <w:rPr>
          <w:sz w:val="16"/>
          <w:szCs w:val="16"/>
        </w:rPr>
        <w:t xml:space="preserve">, T. and Keeley, M. (2013A). </w:t>
      </w:r>
      <w:r w:rsidRPr="0041360E">
        <w:rPr>
          <w:sz w:val="16"/>
          <w:szCs w:val="16"/>
          <w:u w:val="single"/>
        </w:rPr>
        <w:t>End Child Marriage Australia: research report on the forced marriage of children in Australia</w:t>
      </w:r>
      <w:r w:rsidRPr="0041360E">
        <w:rPr>
          <w:sz w:val="16"/>
          <w:szCs w:val="16"/>
        </w:rPr>
        <w:t>. National Children's and Youth Law Centre</w:t>
      </w:r>
      <w:r>
        <w:rPr>
          <w:sz w:val="16"/>
          <w:szCs w:val="16"/>
        </w:rPr>
        <w:t xml:space="preserve">; </w:t>
      </w:r>
      <w:r w:rsidRPr="0041360E">
        <w:rPr>
          <w:sz w:val="16"/>
          <w:szCs w:val="16"/>
        </w:rPr>
        <w:t>Australian Muslim Council for Women's Rights (</w:t>
      </w:r>
      <w:proofErr w:type="spellStart"/>
      <w:r w:rsidRPr="0041360E">
        <w:rPr>
          <w:sz w:val="16"/>
          <w:szCs w:val="16"/>
        </w:rPr>
        <w:t>undatedB</w:t>
      </w:r>
      <w:proofErr w:type="spellEnd"/>
      <w:r w:rsidRPr="0041360E">
        <w:rPr>
          <w:sz w:val="16"/>
          <w:szCs w:val="16"/>
        </w:rPr>
        <w:t xml:space="preserve">). </w:t>
      </w:r>
      <w:r w:rsidRPr="0041360E">
        <w:rPr>
          <w:sz w:val="16"/>
          <w:szCs w:val="16"/>
          <w:u w:val="single"/>
        </w:rPr>
        <w:t>Early and Forced Marriage in the Australian Muslim Community</w:t>
      </w:r>
    </w:p>
  </w:footnote>
  <w:footnote w:id="2">
    <w:p w14:paraId="0C103D96" w14:textId="77777777" w:rsidR="00660B61" w:rsidRPr="00A7404C" w:rsidRDefault="00660B61" w:rsidP="00660B61">
      <w:pPr>
        <w:jc w:val="both"/>
        <w:rPr>
          <w:sz w:val="16"/>
          <w:szCs w:val="16"/>
          <w:lang w:val="en-US"/>
        </w:rPr>
      </w:pPr>
      <w:r>
        <w:rPr>
          <w:rStyle w:val="FootnoteReference"/>
        </w:rPr>
        <w:footnoteRef/>
      </w:r>
      <w:r>
        <w:t xml:space="preserve"> </w:t>
      </w:r>
      <w:r w:rsidRPr="0041360E">
        <w:rPr>
          <w:sz w:val="16"/>
          <w:szCs w:val="16"/>
        </w:rPr>
        <w:t>Evans, C. (2015).</w:t>
      </w:r>
      <w:r w:rsidRPr="0041360E">
        <w:rPr>
          <w:sz w:val="16"/>
          <w:szCs w:val="16"/>
          <w:u w:val="single"/>
        </w:rPr>
        <w:t xml:space="preserve"> Forced Marriage in Australia: Definitely Not the ‘Usual Suspects’</w:t>
      </w:r>
      <w:r>
        <w:rPr>
          <w:sz w:val="16"/>
          <w:szCs w:val="16"/>
          <w:u w:val="single"/>
        </w:rPr>
        <w:t xml:space="preserve">; </w:t>
      </w:r>
      <w:proofErr w:type="spellStart"/>
      <w:r w:rsidRPr="0041360E">
        <w:rPr>
          <w:sz w:val="16"/>
          <w:szCs w:val="16"/>
        </w:rPr>
        <w:t>Jelenic</w:t>
      </w:r>
      <w:proofErr w:type="spellEnd"/>
      <w:r w:rsidRPr="0041360E">
        <w:rPr>
          <w:sz w:val="16"/>
          <w:szCs w:val="16"/>
        </w:rPr>
        <w:t xml:space="preserve">, T. and Keeley, M. (2013B). </w:t>
      </w:r>
      <w:r w:rsidRPr="0041360E">
        <w:rPr>
          <w:sz w:val="16"/>
          <w:szCs w:val="16"/>
          <w:u w:val="single"/>
        </w:rPr>
        <w:t>End Child Marriage Australia: best practice response guidelines</w:t>
      </w:r>
      <w:r w:rsidRPr="0041360E">
        <w:rPr>
          <w:sz w:val="16"/>
          <w:szCs w:val="16"/>
        </w:rPr>
        <w:t>. National Children's and Youth Law Centre</w:t>
      </w:r>
      <w:r>
        <w:rPr>
          <w:sz w:val="16"/>
          <w:szCs w:val="16"/>
        </w:rPr>
        <w:t xml:space="preserve">; </w:t>
      </w:r>
      <w:r w:rsidRPr="0041360E">
        <w:rPr>
          <w:sz w:val="16"/>
          <w:szCs w:val="16"/>
        </w:rPr>
        <w:t xml:space="preserve">Tahirih Justice Centre (undated). </w:t>
      </w:r>
      <w:r w:rsidRPr="0041360E">
        <w:rPr>
          <w:sz w:val="16"/>
          <w:szCs w:val="16"/>
          <w:u w:val="single"/>
        </w:rPr>
        <w:t xml:space="preserve">What is Forced </w:t>
      </w:r>
      <w:proofErr w:type="gramStart"/>
      <w:r w:rsidRPr="0041360E">
        <w:rPr>
          <w:sz w:val="16"/>
          <w:szCs w:val="16"/>
          <w:u w:val="single"/>
        </w:rPr>
        <w:t>Marriage?</w:t>
      </w:r>
      <w:r>
        <w:rPr>
          <w:sz w:val="16"/>
          <w:szCs w:val="16"/>
        </w:rPr>
        <w:t>;</w:t>
      </w:r>
      <w:proofErr w:type="gramEnd"/>
      <w:r>
        <w:rPr>
          <w:sz w:val="16"/>
          <w:szCs w:val="16"/>
        </w:rPr>
        <w:t xml:space="preserve"> </w:t>
      </w:r>
      <w:r w:rsidRPr="0041360E">
        <w:rPr>
          <w:sz w:val="16"/>
          <w:szCs w:val="16"/>
        </w:rPr>
        <w:t xml:space="preserve">Lyneham, S. and </w:t>
      </w:r>
      <w:proofErr w:type="spellStart"/>
      <w:r w:rsidRPr="0041360E">
        <w:rPr>
          <w:sz w:val="16"/>
          <w:szCs w:val="16"/>
        </w:rPr>
        <w:t>Bricknell</w:t>
      </w:r>
      <w:proofErr w:type="spellEnd"/>
      <w:r w:rsidRPr="0041360E">
        <w:rPr>
          <w:sz w:val="16"/>
          <w:szCs w:val="16"/>
        </w:rPr>
        <w:t xml:space="preserve">, S. (2018). </w:t>
      </w:r>
      <w:r w:rsidRPr="0041360E">
        <w:rPr>
          <w:sz w:val="16"/>
          <w:szCs w:val="16"/>
          <w:u w:val="single"/>
        </w:rPr>
        <w:t>When saying no is not an option: Forced marriage in Australia and New Zealand</w:t>
      </w:r>
      <w:r w:rsidRPr="0041360E">
        <w:rPr>
          <w:sz w:val="16"/>
          <w:szCs w:val="16"/>
        </w:rPr>
        <w:t>. Australian Institute of Criminology, Research Report No. 11</w:t>
      </w:r>
    </w:p>
  </w:footnote>
  <w:footnote w:id="3">
    <w:p w14:paraId="661757DD" w14:textId="77777777" w:rsidR="00660B61" w:rsidRPr="00A7404C" w:rsidRDefault="00660B61" w:rsidP="00660B61">
      <w:pPr>
        <w:jc w:val="both"/>
        <w:rPr>
          <w:sz w:val="16"/>
          <w:szCs w:val="16"/>
          <w:lang w:val="en-US"/>
        </w:rPr>
      </w:pPr>
      <w:r>
        <w:rPr>
          <w:rStyle w:val="FootnoteReference"/>
        </w:rPr>
        <w:footnoteRef/>
      </w:r>
      <w:r>
        <w:t xml:space="preserve"> </w:t>
      </w:r>
      <w:proofErr w:type="spellStart"/>
      <w:r w:rsidRPr="0041360E">
        <w:rPr>
          <w:sz w:val="16"/>
          <w:szCs w:val="16"/>
        </w:rPr>
        <w:t>Heselev</w:t>
      </w:r>
      <w:proofErr w:type="spellEnd"/>
      <w:r w:rsidRPr="0041360E">
        <w:rPr>
          <w:sz w:val="16"/>
          <w:szCs w:val="16"/>
        </w:rPr>
        <w:t xml:space="preserve">, R. (2019). </w:t>
      </w:r>
      <w:r w:rsidRPr="0041360E">
        <w:rPr>
          <w:sz w:val="16"/>
          <w:szCs w:val="16"/>
          <w:u w:val="single"/>
        </w:rPr>
        <w:t>Forced Marriage in Australia: a literature review</w:t>
      </w:r>
      <w:r w:rsidRPr="0041360E">
        <w:rPr>
          <w:sz w:val="16"/>
          <w:szCs w:val="16"/>
        </w:rPr>
        <w:t>. Federation of Ethnic Communities’ Councils of Australia</w:t>
      </w:r>
      <w:r>
        <w:rPr>
          <w:sz w:val="16"/>
          <w:szCs w:val="16"/>
        </w:rPr>
        <w:t xml:space="preserve">; </w:t>
      </w:r>
      <w:proofErr w:type="spellStart"/>
      <w:r w:rsidRPr="0041360E">
        <w:rPr>
          <w:sz w:val="16"/>
          <w:szCs w:val="16"/>
        </w:rPr>
        <w:t>Jelenic</w:t>
      </w:r>
      <w:proofErr w:type="spellEnd"/>
      <w:r w:rsidRPr="0041360E">
        <w:rPr>
          <w:sz w:val="16"/>
          <w:szCs w:val="16"/>
        </w:rPr>
        <w:t xml:space="preserve">, T. and Keeley, M. (2013B). </w:t>
      </w:r>
      <w:r w:rsidRPr="0041360E">
        <w:rPr>
          <w:sz w:val="16"/>
          <w:szCs w:val="16"/>
          <w:u w:val="single"/>
        </w:rPr>
        <w:t>End Child Marriage Australia: best practice response guidelines</w:t>
      </w:r>
      <w:r w:rsidRPr="0041360E">
        <w:rPr>
          <w:sz w:val="16"/>
          <w:szCs w:val="16"/>
        </w:rPr>
        <w:t>. National Children's and Youth Law Centre</w:t>
      </w:r>
      <w:r>
        <w:rPr>
          <w:sz w:val="16"/>
          <w:szCs w:val="16"/>
        </w:rPr>
        <w:t xml:space="preserve">; </w:t>
      </w:r>
      <w:r w:rsidRPr="0041360E">
        <w:rPr>
          <w:sz w:val="16"/>
          <w:szCs w:val="16"/>
        </w:rPr>
        <w:t xml:space="preserve">McGuire, M. (2014). </w:t>
      </w:r>
      <w:r w:rsidRPr="0041360E">
        <w:rPr>
          <w:sz w:val="16"/>
          <w:szCs w:val="16"/>
          <w:u w:val="single"/>
        </w:rPr>
        <w:t>Forced Marriage in Australia</w:t>
      </w:r>
      <w:r w:rsidRPr="0041360E">
        <w:rPr>
          <w:sz w:val="16"/>
          <w:szCs w:val="16"/>
        </w:rPr>
        <w:t>. Good Shepherd Youth and Family Service</w:t>
      </w:r>
    </w:p>
  </w:footnote>
  <w:footnote w:id="4">
    <w:p w14:paraId="2892B837" w14:textId="77777777" w:rsidR="00660B61" w:rsidRPr="00A7404C" w:rsidRDefault="00660B61" w:rsidP="00660B61">
      <w:pPr>
        <w:jc w:val="both"/>
        <w:rPr>
          <w:sz w:val="16"/>
          <w:szCs w:val="16"/>
          <w:lang w:val="en-US"/>
        </w:rPr>
      </w:pPr>
      <w:r>
        <w:rPr>
          <w:rStyle w:val="FootnoteReference"/>
        </w:rPr>
        <w:footnoteRef/>
      </w:r>
      <w:r>
        <w:t xml:space="preserve"> </w:t>
      </w:r>
      <w:r w:rsidRPr="0041360E">
        <w:rPr>
          <w:sz w:val="16"/>
          <w:szCs w:val="16"/>
        </w:rPr>
        <w:t xml:space="preserve">Lyneham, S. and </w:t>
      </w:r>
      <w:proofErr w:type="spellStart"/>
      <w:r w:rsidRPr="0041360E">
        <w:rPr>
          <w:sz w:val="16"/>
          <w:szCs w:val="16"/>
        </w:rPr>
        <w:t>Bricknell</w:t>
      </w:r>
      <w:proofErr w:type="spellEnd"/>
      <w:r w:rsidRPr="0041360E">
        <w:rPr>
          <w:sz w:val="16"/>
          <w:szCs w:val="16"/>
        </w:rPr>
        <w:t xml:space="preserve">, S. (2018). </w:t>
      </w:r>
      <w:r w:rsidRPr="0041360E">
        <w:rPr>
          <w:sz w:val="16"/>
          <w:szCs w:val="16"/>
          <w:u w:val="single"/>
        </w:rPr>
        <w:t>When saying no is not an option: Forced marriage in Australia and New Zealand</w:t>
      </w:r>
      <w:r w:rsidRPr="0041360E">
        <w:rPr>
          <w:sz w:val="16"/>
          <w:szCs w:val="16"/>
        </w:rPr>
        <w:t>. Australian Institute of Criminology, Research Report No. 11</w:t>
      </w:r>
    </w:p>
  </w:footnote>
  <w:footnote w:id="5">
    <w:p w14:paraId="1FB1E448" w14:textId="77777777" w:rsidR="00660B61" w:rsidRPr="0041360E" w:rsidRDefault="00660B61" w:rsidP="00660B61">
      <w:pPr>
        <w:jc w:val="both"/>
        <w:rPr>
          <w:sz w:val="16"/>
          <w:szCs w:val="16"/>
        </w:rPr>
      </w:pPr>
      <w:r>
        <w:rPr>
          <w:rStyle w:val="FootnoteReference"/>
        </w:rPr>
        <w:footnoteRef/>
      </w:r>
      <w:r>
        <w:t xml:space="preserve"> </w:t>
      </w:r>
      <w:r w:rsidRPr="0041360E">
        <w:rPr>
          <w:sz w:val="16"/>
          <w:szCs w:val="16"/>
        </w:rPr>
        <w:t xml:space="preserve">Australian Bureau of Statistics (2017A). </w:t>
      </w:r>
      <w:r w:rsidRPr="0041360E">
        <w:rPr>
          <w:sz w:val="16"/>
          <w:szCs w:val="16"/>
          <w:u w:val="single"/>
        </w:rPr>
        <w:t>Census 2016: Customized findings – Registered Marital Status among Women aged 18 to 20 years, by Birthplace</w:t>
      </w:r>
      <w:r w:rsidRPr="0041360E">
        <w:rPr>
          <w:sz w:val="16"/>
          <w:szCs w:val="16"/>
        </w:rPr>
        <w:t>: Victoria</w:t>
      </w:r>
      <w:r>
        <w:rPr>
          <w:sz w:val="16"/>
          <w:szCs w:val="16"/>
        </w:rPr>
        <w:t xml:space="preserve">; </w:t>
      </w:r>
      <w:r w:rsidRPr="0041360E">
        <w:rPr>
          <w:sz w:val="16"/>
          <w:szCs w:val="16"/>
        </w:rPr>
        <w:t xml:space="preserve">Butcher, R. (2018). Turkey’s Highest Religious Body Suggests Children as Yong as Nine could Marry Under Islamic Law. </w:t>
      </w:r>
      <w:r w:rsidRPr="0041360E">
        <w:rPr>
          <w:sz w:val="16"/>
          <w:szCs w:val="16"/>
          <w:u w:val="single"/>
        </w:rPr>
        <w:t>The Independent</w:t>
      </w:r>
      <w:r w:rsidRPr="0041360E">
        <w:rPr>
          <w:sz w:val="16"/>
          <w:szCs w:val="16"/>
        </w:rPr>
        <w:t>. 4 January 2018</w:t>
      </w:r>
      <w:r>
        <w:rPr>
          <w:sz w:val="16"/>
          <w:szCs w:val="16"/>
        </w:rPr>
        <w:t xml:space="preserve">; </w:t>
      </w:r>
      <w:r w:rsidRPr="0041360E">
        <w:rPr>
          <w:sz w:val="16"/>
          <w:szCs w:val="16"/>
        </w:rPr>
        <w:t xml:space="preserve">United Nations Population Fund (undated). </w:t>
      </w:r>
      <w:r w:rsidRPr="0041360E">
        <w:rPr>
          <w:sz w:val="16"/>
          <w:szCs w:val="16"/>
          <w:u w:val="single"/>
        </w:rPr>
        <w:t>Child Marriage in Turkey</w:t>
      </w:r>
      <w:r w:rsidRPr="0041360E">
        <w:rPr>
          <w:sz w:val="16"/>
          <w:szCs w:val="16"/>
        </w:rPr>
        <w:t xml:space="preserve">. </w:t>
      </w:r>
    </w:p>
    <w:p w14:paraId="068F70E2" w14:textId="77777777" w:rsidR="00660B61" w:rsidRPr="00787092" w:rsidRDefault="00660B61" w:rsidP="00660B61">
      <w:pPr>
        <w:jc w:val="both"/>
        <w:rPr>
          <w:sz w:val="16"/>
          <w:szCs w:val="16"/>
          <w:lang w:val="en-US"/>
        </w:rPr>
      </w:pPr>
      <w:r w:rsidRPr="0041360E">
        <w:rPr>
          <w:sz w:val="16"/>
          <w:szCs w:val="16"/>
        </w:rPr>
        <w:t>Girls Not Brides (</w:t>
      </w:r>
      <w:proofErr w:type="spellStart"/>
      <w:r w:rsidRPr="0041360E">
        <w:rPr>
          <w:sz w:val="16"/>
          <w:szCs w:val="16"/>
        </w:rPr>
        <w:t>undatedB</w:t>
      </w:r>
      <w:proofErr w:type="spellEnd"/>
      <w:r w:rsidRPr="0041360E">
        <w:rPr>
          <w:sz w:val="16"/>
          <w:szCs w:val="16"/>
        </w:rPr>
        <w:t xml:space="preserve">). </w:t>
      </w:r>
      <w:r w:rsidRPr="0041360E">
        <w:rPr>
          <w:sz w:val="16"/>
          <w:szCs w:val="16"/>
          <w:u w:val="single"/>
        </w:rPr>
        <w:t>What’s the Child Marriage Rate</w:t>
      </w:r>
      <w:proofErr w:type="gramStart"/>
      <w:r w:rsidRPr="0041360E">
        <w:rPr>
          <w:sz w:val="16"/>
          <w:szCs w:val="16"/>
          <w:u w:val="single"/>
        </w:rPr>
        <w:t>?</w:t>
      </w:r>
      <w:r w:rsidRPr="0041360E">
        <w:rPr>
          <w:sz w:val="16"/>
          <w:szCs w:val="16"/>
        </w:rPr>
        <w:t xml:space="preserve"> </w:t>
      </w:r>
      <w:r>
        <w:rPr>
          <w:sz w:val="16"/>
          <w:szCs w:val="16"/>
        </w:rPr>
        <w:t>;</w:t>
      </w:r>
      <w:proofErr w:type="gramEnd"/>
      <w:r>
        <w:rPr>
          <w:sz w:val="16"/>
          <w:szCs w:val="16"/>
        </w:rPr>
        <w:t xml:space="preserve"> </w:t>
      </w:r>
      <w:proofErr w:type="spellStart"/>
      <w:r w:rsidRPr="0041360E">
        <w:rPr>
          <w:sz w:val="16"/>
          <w:szCs w:val="16"/>
        </w:rPr>
        <w:t>Tahirh</w:t>
      </w:r>
      <w:proofErr w:type="spellEnd"/>
      <w:r w:rsidRPr="0041360E">
        <w:rPr>
          <w:sz w:val="16"/>
          <w:szCs w:val="16"/>
        </w:rPr>
        <w:t xml:space="preserve"> Justice Centre, (</w:t>
      </w:r>
      <w:proofErr w:type="spellStart"/>
      <w:r w:rsidRPr="0041360E">
        <w:rPr>
          <w:sz w:val="16"/>
          <w:szCs w:val="16"/>
        </w:rPr>
        <w:t>undatedB</w:t>
      </w:r>
      <w:proofErr w:type="spellEnd"/>
      <w:r w:rsidRPr="0041360E">
        <w:rPr>
          <w:sz w:val="16"/>
          <w:szCs w:val="16"/>
        </w:rPr>
        <w:t xml:space="preserve">). </w:t>
      </w:r>
      <w:r w:rsidRPr="0041360E">
        <w:rPr>
          <w:sz w:val="16"/>
          <w:szCs w:val="16"/>
          <w:u w:val="single"/>
        </w:rPr>
        <w:t>Forced Marriage Overseas: Iraq</w:t>
      </w:r>
      <w:r w:rsidRPr="0041360E">
        <w:rPr>
          <w:sz w:val="16"/>
          <w:szCs w:val="16"/>
        </w:rPr>
        <w:t xml:space="preserve">. </w:t>
      </w:r>
    </w:p>
  </w:footnote>
  <w:footnote w:id="6">
    <w:p w14:paraId="47EA2F98" w14:textId="77777777" w:rsidR="00660B61" w:rsidRPr="00787092" w:rsidRDefault="00660B61" w:rsidP="00660B61">
      <w:pPr>
        <w:jc w:val="both"/>
        <w:rPr>
          <w:sz w:val="16"/>
          <w:szCs w:val="16"/>
          <w:lang w:val="en-US"/>
        </w:rPr>
      </w:pPr>
      <w:r>
        <w:rPr>
          <w:rStyle w:val="FootnoteReference"/>
        </w:rPr>
        <w:footnoteRef/>
      </w:r>
      <w:r>
        <w:t xml:space="preserve"> </w:t>
      </w:r>
      <w:proofErr w:type="spellStart"/>
      <w:r w:rsidRPr="0041360E">
        <w:rPr>
          <w:sz w:val="16"/>
          <w:szCs w:val="16"/>
        </w:rPr>
        <w:t>Heselev</w:t>
      </w:r>
      <w:proofErr w:type="spellEnd"/>
      <w:r w:rsidRPr="0041360E">
        <w:rPr>
          <w:sz w:val="16"/>
          <w:szCs w:val="16"/>
        </w:rPr>
        <w:t xml:space="preserve">, R. (2019). </w:t>
      </w:r>
      <w:r w:rsidRPr="0041360E">
        <w:rPr>
          <w:sz w:val="16"/>
          <w:szCs w:val="16"/>
          <w:u w:val="single"/>
        </w:rPr>
        <w:t>Forced Marriage in Australia: a literature review</w:t>
      </w:r>
      <w:r w:rsidRPr="0041360E">
        <w:rPr>
          <w:sz w:val="16"/>
          <w:szCs w:val="16"/>
        </w:rPr>
        <w:t>. Federation of Ethnic Communities’ Councils of Australia</w:t>
      </w:r>
      <w:r>
        <w:rPr>
          <w:sz w:val="16"/>
          <w:szCs w:val="16"/>
        </w:rPr>
        <w:t xml:space="preserve">; </w:t>
      </w:r>
      <w:proofErr w:type="spellStart"/>
      <w:r w:rsidRPr="0041360E">
        <w:rPr>
          <w:sz w:val="16"/>
          <w:szCs w:val="16"/>
        </w:rPr>
        <w:t>Jelenic</w:t>
      </w:r>
      <w:proofErr w:type="spellEnd"/>
      <w:r w:rsidRPr="0041360E">
        <w:rPr>
          <w:sz w:val="16"/>
          <w:szCs w:val="16"/>
        </w:rPr>
        <w:t xml:space="preserve">, T. and Keeley, M. (2013B). </w:t>
      </w:r>
      <w:r w:rsidRPr="0041360E">
        <w:rPr>
          <w:sz w:val="16"/>
          <w:szCs w:val="16"/>
          <w:u w:val="single"/>
        </w:rPr>
        <w:t>End Child Marriage Australia: best practice response guidelines</w:t>
      </w:r>
      <w:r w:rsidRPr="0041360E">
        <w:rPr>
          <w:sz w:val="16"/>
          <w:szCs w:val="16"/>
        </w:rPr>
        <w:t>. National Children's and Youth Law Centre</w:t>
      </w:r>
      <w:r>
        <w:rPr>
          <w:sz w:val="16"/>
          <w:szCs w:val="16"/>
        </w:rPr>
        <w:t xml:space="preserve">; </w:t>
      </w:r>
      <w:r w:rsidRPr="0041360E">
        <w:rPr>
          <w:sz w:val="16"/>
          <w:szCs w:val="16"/>
        </w:rPr>
        <w:t xml:space="preserve">United Nations Population Fund (undated). </w:t>
      </w:r>
      <w:r w:rsidRPr="0041360E">
        <w:rPr>
          <w:sz w:val="16"/>
          <w:szCs w:val="16"/>
          <w:u w:val="single"/>
        </w:rPr>
        <w:t>Child Marriage in Turkey</w:t>
      </w:r>
      <w:r w:rsidRPr="0041360E">
        <w:rPr>
          <w:sz w:val="16"/>
          <w:szCs w:val="16"/>
        </w:rPr>
        <w:t xml:space="preserve">. </w:t>
      </w:r>
    </w:p>
  </w:footnote>
  <w:footnote w:id="7">
    <w:p w14:paraId="7E30BB79" w14:textId="77777777" w:rsidR="00660B61" w:rsidRPr="00787092" w:rsidRDefault="00660B61" w:rsidP="00660B61">
      <w:pPr>
        <w:jc w:val="both"/>
        <w:rPr>
          <w:sz w:val="16"/>
          <w:szCs w:val="16"/>
          <w:lang w:val="en-US"/>
        </w:rPr>
      </w:pPr>
      <w:r>
        <w:rPr>
          <w:rStyle w:val="FootnoteReference"/>
        </w:rPr>
        <w:footnoteRef/>
      </w:r>
      <w:r>
        <w:t xml:space="preserve"> </w:t>
      </w:r>
      <w:r w:rsidRPr="0041360E">
        <w:rPr>
          <w:sz w:val="16"/>
          <w:szCs w:val="16"/>
        </w:rPr>
        <w:t xml:space="preserve">UNICEF (United Nations Children’s Fund) (2020). </w:t>
      </w:r>
      <w:r w:rsidRPr="0041360E">
        <w:rPr>
          <w:sz w:val="16"/>
          <w:szCs w:val="16"/>
          <w:u w:val="single"/>
        </w:rPr>
        <w:t>Child Marriage</w:t>
      </w:r>
      <w:r w:rsidRPr="0041360E">
        <w:rPr>
          <w:sz w:val="16"/>
          <w:szCs w:val="16"/>
        </w:rPr>
        <w:t xml:space="preserve">. </w:t>
      </w:r>
    </w:p>
  </w:footnote>
  <w:footnote w:id="8">
    <w:p w14:paraId="2E950852" w14:textId="77777777" w:rsidR="00660B61" w:rsidRPr="00787092" w:rsidRDefault="00660B61" w:rsidP="00660B61">
      <w:pPr>
        <w:pStyle w:val="FootnoteText"/>
        <w:rPr>
          <w:lang w:val="en-AU"/>
        </w:rPr>
      </w:pPr>
      <w:r>
        <w:rPr>
          <w:rStyle w:val="FootnoteReference"/>
        </w:rPr>
        <w:footnoteRef/>
      </w:r>
      <w:r>
        <w:t xml:space="preserve"> </w:t>
      </w:r>
      <w:r w:rsidRPr="0041360E">
        <w:rPr>
          <w:sz w:val="16"/>
          <w:szCs w:val="16"/>
        </w:rPr>
        <w:t>Evans, C. (2015).</w:t>
      </w:r>
      <w:r w:rsidRPr="0041360E">
        <w:rPr>
          <w:sz w:val="16"/>
          <w:szCs w:val="16"/>
          <w:u w:val="single"/>
        </w:rPr>
        <w:t xml:space="preserve"> Forced Marriage in Australia: Definitely Not the ‘Usual Suspects’</w:t>
      </w:r>
    </w:p>
  </w:footnote>
  <w:footnote w:id="9">
    <w:p w14:paraId="266CF2E7" w14:textId="77777777" w:rsidR="00660B61" w:rsidRPr="00787092" w:rsidRDefault="00660B61" w:rsidP="00660B61">
      <w:pPr>
        <w:jc w:val="both"/>
        <w:rPr>
          <w:sz w:val="20"/>
          <w:szCs w:val="20"/>
          <w:lang w:val="en-US"/>
        </w:rPr>
      </w:pPr>
      <w:r>
        <w:rPr>
          <w:rStyle w:val="FootnoteReference"/>
        </w:rPr>
        <w:footnoteRef/>
      </w:r>
      <w:r>
        <w:t xml:space="preserve"> </w:t>
      </w:r>
      <w:r w:rsidRPr="00787092">
        <w:rPr>
          <w:sz w:val="16"/>
          <w:szCs w:val="16"/>
        </w:rPr>
        <w:t xml:space="preserve">UNICEF (United Nations Children’s Fund) (undated). </w:t>
      </w:r>
      <w:r w:rsidRPr="00787092">
        <w:rPr>
          <w:sz w:val="16"/>
          <w:szCs w:val="16"/>
          <w:u w:val="single"/>
        </w:rPr>
        <w:t>Global Databases</w:t>
      </w:r>
      <w:r w:rsidRPr="00787092">
        <w:rPr>
          <w:sz w:val="16"/>
          <w:szCs w:val="16"/>
        </w:rPr>
        <w:t xml:space="preserve">. </w:t>
      </w:r>
    </w:p>
  </w:footnote>
  <w:footnote w:id="10">
    <w:p w14:paraId="3CAF5BD7" w14:textId="77777777" w:rsidR="00660B61" w:rsidRPr="00787092" w:rsidRDefault="00660B61" w:rsidP="00660B61">
      <w:pPr>
        <w:jc w:val="both"/>
        <w:rPr>
          <w:sz w:val="16"/>
          <w:szCs w:val="16"/>
          <w:lang w:val="en-US"/>
        </w:rPr>
      </w:pPr>
      <w:r>
        <w:rPr>
          <w:rStyle w:val="FootnoteReference"/>
        </w:rPr>
        <w:footnoteRef/>
      </w:r>
      <w:r>
        <w:t xml:space="preserve"> </w:t>
      </w:r>
      <w:r w:rsidRPr="0041360E">
        <w:rPr>
          <w:sz w:val="16"/>
          <w:szCs w:val="16"/>
        </w:rPr>
        <w:t>Girls Not Brides (</w:t>
      </w:r>
      <w:proofErr w:type="spellStart"/>
      <w:r w:rsidRPr="0041360E">
        <w:rPr>
          <w:sz w:val="16"/>
          <w:szCs w:val="16"/>
        </w:rPr>
        <w:t>undatedA</w:t>
      </w:r>
      <w:proofErr w:type="spellEnd"/>
      <w:r w:rsidRPr="0041360E">
        <w:rPr>
          <w:sz w:val="16"/>
          <w:szCs w:val="16"/>
        </w:rPr>
        <w:t xml:space="preserve">). </w:t>
      </w:r>
      <w:r w:rsidRPr="0041360E">
        <w:rPr>
          <w:sz w:val="16"/>
          <w:szCs w:val="16"/>
          <w:u w:val="single"/>
        </w:rPr>
        <w:t>About Child Marriage</w:t>
      </w:r>
      <w:r w:rsidRPr="0041360E">
        <w:rPr>
          <w:sz w:val="16"/>
          <w:szCs w:val="16"/>
        </w:rPr>
        <w:t xml:space="preserve">. </w:t>
      </w:r>
    </w:p>
  </w:footnote>
  <w:footnote w:id="11">
    <w:p w14:paraId="2E630B5E" w14:textId="77777777" w:rsidR="00660B61" w:rsidRPr="00787092" w:rsidRDefault="00660B61" w:rsidP="00660B61">
      <w:pPr>
        <w:jc w:val="both"/>
        <w:rPr>
          <w:sz w:val="20"/>
          <w:szCs w:val="20"/>
          <w:lang w:val="en-US"/>
        </w:rPr>
      </w:pPr>
      <w:r>
        <w:rPr>
          <w:rStyle w:val="FootnoteReference"/>
        </w:rPr>
        <w:footnoteRef/>
      </w:r>
      <w:r>
        <w:t xml:space="preserve"> </w:t>
      </w:r>
      <w:proofErr w:type="spellStart"/>
      <w:r w:rsidRPr="00787092">
        <w:rPr>
          <w:sz w:val="16"/>
          <w:szCs w:val="16"/>
        </w:rPr>
        <w:t>Jelenic</w:t>
      </w:r>
      <w:proofErr w:type="spellEnd"/>
      <w:r w:rsidRPr="00787092">
        <w:rPr>
          <w:sz w:val="16"/>
          <w:szCs w:val="16"/>
        </w:rPr>
        <w:t xml:space="preserve">, T. and Keeley, M. (2013A). </w:t>
      </w:r>
      <w:r w:rsidRPr="00787092">
        <w:rPr>
          <w:sz w:val="16"/>
          <w:szCs w:val="16"/>
          <w:u w:val="single"/>
        </w:rPr>
        <w:t>End Child Marriage Australia: research report on the forced marriage of children in Australia</w:t>
      </w:r>
      <w:r w:rsidRPr="00787092">
        <w:rPr>
          <w:sz w:val="16"/>
          <w:szCs w:val="16"/>
        </w:rPr>
        <w:t>. National Children's and Youth Law Centre</w:t>
      </w:r>
    </w:p>
  </w:footnote>
  <w:footnote w:id="12">
    <w:p w14:paraId="28B7DAD5" w14:textId="77777777" w:rsidR="00660B61" w:rsidRPr="00787092" w:rsidRDefault="00660B61" w:rsidP="00660B61">
      <w:pPr>
        <w:jc w:val="both"/>
        <w:rPr>
          <w:sz w:val="20"/>
          <w:szCs w:val="20"/>
          <w:lang w:val="en-US"/>
        </w:rPr>
      </w:pPr>
      <w:r>
        <w:rPr>
          <w:rStyle w:val="FootnoteReference"/>
        </w:rPr>
        <w:footnoteRef/>
      </w:r>
      <w:r>
        <w:t xml:space="preserve"> </w:t>
      </w:r>
      <w:r w:rsidRPr="00787092">
        <w:rPr>
          <w:sz w:val="16"/>
          <w:szCs w:val="16"/>
        </w:rPr>
        <w:t xml:space="preserve">Lyneham, S. and </w:t>
      </w:r>
      <w:proofErr w:type="spellStart"/>
      <w:r w:rsidRPr="00787092">
        <w:rPr>
          <w:sz w:val="16"/>
          <w:szCs w:val="16"/>
        </w:rPr>
        <w:t>Bricknell</w:t>
      </w:r>
      <w:proofErr w:type="spellEnd"/>
      <w:r w:rsidRPr="00787092">
        <w:rPr>
          <w:sz w:val="16"/>
          <w:szCs w:val="16"/>
        </w:rPr>
        <w:t xml:space="preserve">, S. (2018). </w:t>
      </w:r>
      <w:r w:rsidRPr="00787092">
        <w:rPr>
          <w:sz w:val="16"/>
          <w:szCs w:val="16"/>
          <w:u w:val="single"/>
        </w:rPr>
        <w:t>When saying no is not an option: Forced marriage in Australia and New Zealand</w:t>
      </w:r>
      <w:r w:rsidRPr="00787092">
        <w:rPr>
          <w:sz w:val="16"/>
          <w:szCs w:val="16"/>
        </w:rPr>
        <w:t xml:space="preserve">. </w:t>
      </w:r>
    </w:p>
  </w:footnote>
  <w:footnote w:id="13">
    <w:p w14:paraId="3052F45F" w14:textId="77777777" w:rsidR="00660B61" w:rsidRPr="00787092" w:rsidRDefault="00660B61" w:rsidP="00660B61">
      <w:pPr>
        <w:pStyle w:val="FootnoteText"/>
        <w:rPr>
          <w:lang w:val="en-AU"/>
        </w:rPr>
      </w:pPr>
      <w:r>
        <w:rPr>
          <w:rStyle w:val="FootnoteReference"/>
        </w:rPr>
        <w:footnoteRef/>
      </w:r>
      <w:r>
        <w:t xml:space="preserve"> </w:t>
      </w:r>
      <w:proofErr w:type="spellStart"/>
      <w:r w:rsidRPr="0041360E">
        <w:rPr>
          <w:sz w:val="16"/>
          <w:szCs w:val="16"/>
        </w:rPr>
        <w:t>Heselev</w:t>
      </w:r>
      <w:proofErr w:type="spellEnd"/>
      <w:r w:rsidRPr="0041360E">
        <w:rPr>
          <w:sz w:val="16"/>
          <w:szCs w:val="16"/>
        </w:rPr>
        <w:t xml:space="preserve">, R. (2019). </w:t>
      </w:r>
      <w:r w:rsidRPr="0041360E">
        <w:rPr>
          <w:sz w:val="16"/>
          <w:szCs w:val="16"/>
          <w:u w:val="single"/>
        </w:rPr>
        <w:t>Forced Marriage in Australia: a literature review</w:t>
      </w:r>
      <w:r w:rsidRPr="0041360E">
        <w:rPr>
          <w:sz w:val="16"/>
          <w:szCs w:val="16"/>
        </w:rPr>
        <w:t>. Federation of Ethnic Communities’ Councils of Australia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C00270"/>
    <w:multiLevelType w:val="hybridMultilevel"/>
    <w:tmpl w:val="B7FA81CA"/>
    <w:lvl w:ilvl="0" w:tplc="862004F0">
      <w:numFmt w:val="bullet"/>
      <w:lvlText w:val=""/>
      <w:lvlJc w:val="left"/>
      <w:pPr>
        <w:ind w:left="720" w:hanging="360"/>
      </w:pPr>
      <w:rPr>
        <w:rFonts w:ascii="Symbol" w:eastAsia="Calibri" w:hAnsi="Symbol" w:cs="Times New Roman"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 w15:restartNumberingAfterBreak="0">
    <w:nsid w:val="60985FDA"/>
    <w:multiLevelType w:val="hybridMultilevel"/>
    <w:tmpl w:val="1618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99628E"/>
    <w:multiLevelType w:val="hybridMultilevel"/>
    <w:tmpl w:val="47B2F6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D1A"/>
    <w:rsid w:val="00010B2C"/>
    <w:rsid w:val="0001349E"/>
    <w:rsid w:val="0001463B"/>
    <w:rsid w:val="00021C39"/>
    <w:rsid w:val="000231E7"/>
    <w:rsid w:val="00045381"/>
    <w:rsid w:val="000726D5"/>
    <w:rsid w:val="00076FE4"/>
    <w:rsid w:val="000874D7"/>
    <w:rsid w:val="00097806"/>
    <w:rsid w:val="000C3E79"/>
    <w:rsid w:val="000D3DCA"/>
    <w:rsid w:val="000F3175"/>
    <w:rsid w:val="000F3517"/>
    <w:rsid w:val="000F6EF1"/>
    <w:rsid w:val="00104AA9"/>
    <w:rsid w:val="00117B49"/>
    <w:rsid w:val="00136860"/>
    <w:rsid w:val="001432F7"/>
    <w:rsid w:val="00156762"/>
    <w:rsid w:val="00167FBA"/>
    <w:rsid w:val="00186631"/>
    <w:rsid w:val="00187850"/>
    <w:rsid w:val="001A6E0C"/>
    <w:rsid w:val="001C0C4F"/>
    <w:rsid w:val="001C4541"/>
    <w:rsid w:val="001E1B2A"/>
    <w:rsid w:val="00204429"/>
    <w:rsid w:val="00211725"/>
    <w:rsid w:val="0021241A"/>
    <w:rsid w:val="0022158C"/>
    <w:rsid w:val="00224F98"/>
    <w:rsid w:val="00231661"/>
    <w:rsid w:val="002323AD"/>
    <w:rsid w:val="00247E9D"/>
    <w:rsid w:val="002579F6"/>
    <w:rsid w:val="00261507"/>
    <w:rsid w:val="00277316"/>
    <w:rsid w:val="0028053E"/>
    <w:rsid w:val="0028442B"/>
    <w:rsid w:val="0029463F"/>
    <w:rsid w:val="0029526C"/>
    <w:rsid w:val="0029724E"/>
    <w:rsid w:val="002A050C"/>
    <w:rsid w:val="002A47EF"/>
    <w:rsid w:val="002B1057"/>
    <w:rsid w:val="002B6A61"/>
    <w:rsid w:val="002C42B6"/>
    <w:rsid w:val="002C4E9A"/>
    <w:rsid w:val="002C5D6F"/>
    <w:rsid w:val="002D55D9"/>
    <w:rsid w:val="002E24A1"/>
    <w:rsid w:val="002E456D"/>
    <w:rsid w:val="002E5CD7"/>
    <w:rsid w:val="002F0DD9"/>
    <w:rsid w:val="0031016A"/>
    <w:rsid w:val="00314D52"/>
    <w:rsid w:val="00315414"/>
    <w:rsid w:val="00315E79"/>
    <w:rsid w:val="00317346"/>
    <w:rsid w:val="003225EF"/>
    <w:rsid w:val="00323A77"/>
    <w:rsid w:val="0036219A"/>
    <w:rsid w:val="00366244"/>
    <w:rsid w:val="00374F8F"/>
    <w:rsid w:val="00376F03"/>
    <w:rsid w:val="00391A77"/>
    <w:rsid w:val="00395664"/>
    <w:rsid w:val="003A5732"/>
    <w:rsid w:val="003D53F8"/>
    <w:rsid w:val="003E7AD0"/>
    <w:rsid w:val="00403AF7"/>
    <w:rsid w:val="004121BF"/>
    <w:rsid w:val="00416CAF"/>
    <w:rsid w:val="00417FF4"/>
    <w:rsid w:val="00426B8B"/>
    <w:rsid w:val="004318FB"/>
    <w:rsid w:val="00433E10"/>
    <w:rsid w:val="004369F6"/>
    <w:rsid w:val="00440CC6"/>
    <w:rsid w:val="00467E40"/>
    <w:rsid w:val="00471092"/>
    <w:rsid w:val="004901F2"/>
    <w:rsid w:val="00495ACA"/>
    <w:rsid w:val="004B0C07"/>
    <w:rsid w:val="004B6536"/>
    <w:rsid w:val="004C600F"/>
    <w:rsid w:val="004C7978"/>
    <w:rsid w:val="004D59F2"/>
    <w:rsid w:val="004F3291"/>
    <w:rsid w:val="005044A4"/>
    <w:rsid w:val="00504B7D"/>
    <w:rsid w:val="00522FA4"/>
    <w:rsid w:val="0052500F"/>
    <w:rsid w:val="005338E0"/>
    <w:rsid w:val="0055197F"/>
    <w:rsid w:val="005725BE"/>
    <w:rsid w:val="00573079"/>
    <w:rsid w:val="0057316C"/>
    <w:rsid w:val="00577263"/>
    <w:rsid w:val="0058670E"/>
    <w:rsid w:val="005879C9"/>
    <w:rsid w:val="005A1CD3"/>
    <w:rsid w:val="005A734C"/>
    <w:rsid w:val="005D0D0C"/>
    <w:rsid w:val="005D3D29"/>
    <w:rsid w:val="005D6CB3"/>
    <w:rsid w:val="005E33A2"/>
    <w:rsid w:val="005E4FBE"/>
    <w:rsid w:val="005F3253"/>
    <w:rsid w:val="00602B7F"/>
    <w:rsid w:val="00613849"/>
    <w:rsid w:val="006152E0"/>
    <w:rsid w:val="00636D40"/>
    <w:rsid w:val="00655167"/>
    <w:rsid w:val="00660B61"/>
    <w:rsid w:val="00660EB0"/>
    <w:rsid w:val="00665105"/>
    <w:rsid w:val="00670028"/>
    <w:rsid w:val="00677B10"/>
    <w:rsid w:val="00680600"/>
    <w:rsid w:val="00694E31"/>
    <w:rsid w:val="006A43EB"/>
    <w:rsid w:val="006B58DC"/>
    <w:rsid w:val="006E143B"/>
    <w:rsid w:val="00705EA6"/>
    <w:rsid w:val="0071025A"/>
    <w:rsid w:val="0071504D"/>
    <w:rsid w:val="00715237"/>
    <w:rsid w:val="00716CCE"/>
    <w:rsid w:val="00721695"/>
    <w:rsid w:val="007267E3"/>
    <w:rsid w:val="00763D22"/>
    <w:rsid w:val="007843D4"/>
    <w:rsid w:val="0079701B"/>
    <w:rsid w:val="007A751B"/>
    <w:rsid w:val="007B1A7C"/>
    <w:rsid w:val="007B34BB"/>
    <w:rsid w:val="007B3B3A"/>
    <w:rsid w:val="007B5D1A"/>
    <w:rsid w:val="007D4438"/>
    <w:rsid w:val="007F60ED"/>
    <w:rsid w:val="00812561"/>
    <w:rsid w:val="00817ADB"/>
    <w:rsid w:val="008523A0"/>
    <w:rsid w:val="008535A9"/>
    <w:rsid w:val="00865C5E"/>
    <w:rsid w:val="0086700A"/>
    <w:rsid w:val="00870B4C"/>
    <w:rsid w:val="00877B89"/>
    <w:rsid w:val="00884199"/>
    <w:rsid w:val="008B4359"/>
    <w:rsid w:val="008C1E25"/>
    <w:rsid w:val="008C3E5F"/>
    <w:rsid w:val="008F00FE"/>
    <w:rsid w:val="008F2B2C"/>
    <w:rsid w:val="008F2EF4"/>
    <w:rsid w:val="00906D59"/>
    <w:rsid w:val="00907AC9"/>
    <w:rsid w:val="0092308B"/>
    <w:rsid w:val="00930468"/>
    <w:rsid w:val="0094124A"/>
    <w:rsid w:val="0095560E"/>
    <w:rsid w:val="00957AE6"/>
    <w:rsid w:val="0096038C"/>
    <w:rsid w:val="0096575F"/>
    <w:rsid w:val="00967272"/>
    <w:rsid w:val="00967368"/>
    <w:rsid w:val="00985C66"/>
    <w:rsid w:val="0099337F"/>
    <w:rsid w:val="009A4C6C"/>
    <w:rsid w:val="009B5FD7"/>
    <w:rsid w:val="009C03B7"/>
    <w:rsid w:val="009C5B19"/>
    <w:rsid w:val="009D28D1"/>
    <w:rsid w:val="009E5A8B"/>
    <w:rsid w:val="009F00D8"/>
    <w:rsid w:val="00A05A90"/>
    <w:rsid w:val="00A233B4"/>
    <w:rsid w:val="00A26B9C"/>
    <w:rsid w:val="00A32AB4"/>
    <w:rsid w:val="00A3553F"/>
    <w:rsid w:val="00A3654C"/>
    <w:rsid w:val="00A52CD1"/>
    <w:rsid w:val="00A6516A"/>
    <w:rsid w:val="00A83C93"/>
    <w:rsid w:val="00A959A7"/>
    <w:rsid w:val="00AA0A1A"/>
    <w:rsid w:val="00AA31A8"/>
    <w:rsid w:val="00AB0FFC"/>
    <w:rsid w:val="00AB20A3"/>
    <w:rsid w:val="00AB3F38"/>
    <w:rsid w:val="00AB3FE1"/>
    <w:rsid w:val="00AC599F"/>
    <w:rsid w:val="00AC6F6B"/>
    <w:rsid w:val="00AC6FB9"/>
    <w:rsid w:val="00AD67EA"/>
    <w:rsid w:val="00AE0A8A"/>
    <w:rsid w:val="00AF793D"/>
    <w:rsid w:val="00B10F24"/>
    <w:rsid w:val="00B132F1"/>
    <w:rsid w:val="00B261A3"/>
    <w:rsid w:val="00B30C73"/>
    <w:rsid w:val="00B30E9C"/>
    <w:rsid w:val="00B330C2"/>
    <w:rsid w:val="00B400BF"/>
    <w:rsid w:val="00B42693"/>
    <w:rsid w:val="00B433F1"/>
    <w:rsid w:val="00B47317"/>
    <w:rsid w:val="00B515DE"/>
    <w:rsid w:val="00B54B87"/>
    <w:rsid w:val="00B753C8"/>
    <w:rsid w:val="00B754B2"/>
    <w:rsid w:val="00B82F66"/>
    <w:rsid w:val="00B830EF"/>
    <w:rsid w:val="00B90D15"/>
    <w:rsid w:val="00BB1811"/>
    <w:rsid w:val="00BC4023"/>
    <w:rsid w:val="00BF0FFC"/>
    <w:rsid w:val="00C2314E"/>
    <w:rsid w:val="00C317EC"/>
    <w:rsid w:val="00C517A8"/>
    <w:rsid w:val="00C535CE"/>
    <w:rsid w:val="00C6395D"/>
    <w:rsid w:val="00C63E72"/>
    <w:rsid w:val="00C74727"/>
    <w:rsid w:val="00C914E8"/>
    <w:rsid w:val="00C91CCC"/>
    <w:rsid w:val="00CB454B"/>
    <w:rsid w:val="00CB65C9"/>
    <w:rsid w:val="00CD7940"/>
    <w:rsid w:val="00CF0033"/>
    <w:rsid w:val="00CF2FF7"/>
    <w:rsid w:val="00D1324F"/>
    <w:rsid w:val="00D153F6"/>
    <w:rsid w:val="00D450A3"/>
    <w:rsid w:val="00D62D46"/>
    <w:rsid w:val="00D64C3D"/>
    <w:rsid w:val="00D65ECB"/>
    <w:rsid w:val="00D669C4"/>
    <w:rsid w:val="00D7537C"/>
    <w:rsid w:val="00D809F5"/>
    <w:rsid w:val="00D85824"/>
    <w:rsid w:val="00D85AA8"/>
    <w:rsid w:val="00D91E81"/>
    <w:rsid w:val="00D92C52"/>
    <w:rsid w:val="00DA67F8"/>
    <w:rsid w:val="00DB03F1"/>
    <w:rsid w:val="00DD48D0"/>
    <w:rsid w:val="00DE69EE"/>
    <w:rsid w:val="00E017BF"/>
    <w:rsid w:val="00E03EBF"/>
    <w:rsid w:val="00E15727"/>
    <w:rsid w:val="00E25E87"/>
    <w:rsid w:val="00E322D3"/>
    <w:rsid w:val="00E36CDD"/>
    <w:rsid w:val="00E4414C"/>
    <w:rsid w:val="00E47F9B"/>
    <w:rsid w:val="00E5016D"/>
    <w:rsid w:val="00E535ED"/>
    <w:rsid w:val="00E60C7F"/>
    <w:rsid w:val="00E8046F"/>
    <w:rsid w:val="00E83CBA"/>
    <w:rsid w:val="00E8529A"/>
    <w:rsid w:val="00E90E78"/>
    <w:rsid w:val="00EA1835"/>
    <w:rsid w:val="00EA3FC2"/>
    <w:rsid w:val="00EA65A4"/>
    <w:rsid w:val="00EB264E"/>
    <w:rsid w:val="00EB4250"/>
    <w:rsid w:val="00EB42F5"/>
    <w:rsid w:val="00EB6CEC"/>
    <w:rsid w:val="00EC3CC8"/>
    <w:rsid w:val="00ED24ED"/>
    <w:rsid w:val="00EE2070"/>
    <w:rsid w:val="00F13805"/>
    <w:rsid w:val="00F173AA"/>
    <w:rsid w:val="00F20F0F"/>
    <w:rsid w:val="00F23F2A"/>
    <w:rsid w:val="00F2443F"/>
    <w:rsid w:val="00F414C7"/>
    <w:rsid w:val="00F47598"/>
    <w:rsid w:val="00F625A4"/>
    <w:rsid w:val="00F66AE2"/>
    <w:rsid w:val="00F70EBC"/>
    <w:rsid w:val="00F77EE6"/>
    <w:rsid w:val="00F83C1A"/>
    <w:rsid w:val="00F83DD2"/>
    <w:rsid w:val="00FA38B5"/>
    <w:rsid w:val="00FA3D61"/>
    <w:rsid w:val="00FD1CC2"/>
    <w:rsid w:val="00FE3B50"/>
    <w:rsid w:val="00FF5E7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036D2"/>
  <w15:docId w15:val="{493B9560-7F50-448A-9615-231FC6A7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30C73"/>
    <w:rPr>
      <w:rFonts w:ascii="Times New (W1)" w:hAnsi="Times New (W1)"/>
      <w:sz w:val="24"/>
      <w:szCs w:val="24"/>
      <w:lang w:eastAsia="en-US"/>
    </w:rPr>
  </w:style>
  <w:style w:type="paragraph" w:styleId="Heading1">
    <w:name w:val="heading 1"/>
    <w:basedOn w:val="Normal"/>
    <w:next w:val="Normal"/>
    <w:qFormat/>
    <w:rsid w:val="0079701B"/>
    <w:pPr>
      <w:keepNext/>
      <w:spacing w:before="240" w:after="60"/>
      <w:outlineLvl w:val="0"/>
    </w:pPr>
    <w:rPr>
      <w:rFonts w:ascii="Arial" w:hAnsi="Arial" w:cs="Arial"/>
      <w:b/>
      <w:bCs/>
      <w:kern w:val="32"/>
      <w:sz w:val="44"/>
      <w:szCs w:val="32"/>
    </w:rPr>
  </w:style>
  <w:style w:type="paragraph" w:styleId="Heading2">
    <w:name w:val="heading 2"/>
    <w:basedOn w:val="Normal"/>
    <w:next w:val="Normal"/>
    <w:qFormat/>
    <w:rsid w:val="0079701B"/>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0E78"/>
    <w:pPr>
      <w:tabs>
        <w:tab w:val="center" w:pos="4320"/>
        <w:tab w:val="right" w:pos="8640"/>
      </w:tabs>
    </w:pPr>
  </w:style>
  <w:style w:type="paragraph" w:styleId="Footer">
    <w:name w:val="footer"/>
    <w:basedOn w:val="Normal"/>
    <w:rsid w:val="00E90E78"/>
    <w:pPr>
      <w:tabs>
        <w:tab w:val="center" w:pos="4320"/>
        <w:tab w:val="right" w:pos="8640"/>
      </w:tabs>
    </w:pPr>
  </w:style>
  <w:style w:type="character" w:styleId="PageNumber">
    <w:name w:val="page number"/>
    <w:basedOn w:val="DefaultParagraphFont"/>
    <w:rsid w:val="00E90E78"/>
  </w:style>
  <w:style w:type="paragraph" w:styleId="ListParagraph">
    <w:name w:val="List Paragraph"/>
    <w:basedOn w:val="Normal"/>
    <w:uiPriority w:val="34"/>
    <w:qFormat/>
    <w:rsid w:val="00865C5E"/>
    <w:pPr>
      <w:ind w:left="720"/>
    </w:pPr>
    <w:rPr>
      <w:rFonts w:ascii="Times New Roman" w:hAnsi="Times New Roman"/>
      <w:lang w:val="en-US"/>
    </w:rPr>
  </w:style>
  <w:style w:type="paragraph" w:styleId="BalloonText">
    <w:name w:val="Balloon Text"/>
    <w:basedOn w:val="Normal"/>
    <w:link w:val="BalloonTextChar"/>
    <w:rsid w:val="000F6EF1"/>
    <w:rPr>
      <w:rFonts w:ascii="Tahoma" w:hAnsi="Tahoma" w:cs="Tahoma"/>
      <w:sz w:val="16"/>
      <w:szCs w:val="16"/>
    </w:rPr>
  </w:style>
  <w:style w:type="character" w:customStyle="1" w:styleId="BalloonTextChar">
    <w:name w:val="Balloon Text Char"/>
    <w:link w:val="BalloonText"/>
    <w:rsid w:val="000F6EF1"/>
    <w:rPr>
      <w:rFonts w:ascii="Tahoma" w:hAnsi="Tahoma" w:cs="Tahoma"/>
      <w:sz w:val="16"/>
      <w:szCs w:val="16"/>
      <w:lang w:eastAsia="en-US"/>
    </w:rPr>
  </w:style>
  <w:style w:type="paragraph" w:styleId="FootnoteText">
    <w:name w:val="footnote text"/>
    <w:basedOn w:val="Normal"/>
    <w:link w:val="FootnoteTextChar"/>
    <w:uiPriority w:val="99"/>
    <w:semiHidden/>
    <w:unhideWhenUsed/>
    <w:rsid w:val="00660B61"/>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660B61"/>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660B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19571">
      <w:bodyDiv w:val="1"/>
      <w:marLeft w:val="0"/>
      <w:marRight w:val="0"/>
      <w:marTop w:val="0"/>
      <w:marBottom w:val="0"/>
      <w:divBdr>
        <w:top w:val="none" w:sz="0" w:space="0" w:color="auto"/>
        <w:left w:val="none" w:sz="0" w:space="0" w:color="auto"/>
        <w:bottom w:val="none" w:sz="0" w:space="0" w:color="auto"/>
        <w:right w:val="none" w:sz="0" w:space="0" w:color="auto"/>
      </w:divBdr>
    </w:div>
    <w:div w:id="1042437139">
      <w:bodyDiv w:val="1"/>
      <w:marLeft w:val="0"/>
      <w:marRight w:val="0"/>
      <w:marTop w:val="0"/>
      <w:marBottom w:val="0"/>
      <w:divBdr>
        <w:top w:val="none" w:sz="0" w:space="0" w:color="auto"/>
        <w:left w:val="none" w:sz="0" w:space="0" w:color="auto"/>
        <w:bottom w:val="none" w:sz="0" w:space="0" w:color="auto"/>
        <w:right w:val="none" w:sz="0" w:space="0" w:color="auto"/>
      </w:divBdr>
    </w:div>
    <w:div w:id="1538395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jpeg" Id="rId13" /><Relationship Type="http://schemas.openxmlformats.org/officeDocument/2006/relationships/image" Target="media/image11.jpeg" Id="rId18" /><Relationship Type="http://schemas.openxmlformats.org/officeDocument/2006/relationships/image" Target="media/image19.jpeg" Id="rId26" /><Relationship Type="http://schemas.openxmlformats.org/officeDocument/2006/relationships/styles" Target="styles.xml" Id="rId3" /><Relationship Type="http://schemas.openxmlformats.org/officeDocument/2006/relationships/image" Target="media/image14.jpeg" Id="rId21" /><Relationship Type="http://schemas.openxmlformats.org/officeDocument/2006/relationships/theme" Target="theme/theme1.xml" Id="rId34" /><Relationship Type="http://schemas.openxmlformats.org/officeDocument/2006/relationships/endnotes" Target="endnotes.xml" Id="rId7" /><Relationship Type="http://schemas.openxmlformats.org/officeDocument/2006/relationships/image" Target="media/image5.jpeg" Id="rId12" /><Relationship Type="http://schemas.openxmlformats.org/officeDocument/2006/relationships/image" Target="media/image10.jpeg" Id="rId17" /><Relationship Type="http://schemas.openxmlformats.org/officeDocument/2006/relationships/image" Target="media/image18.jpeg" Id="rId25" /><Relationship Type="http://schemas.openxmlformats.org/officeDocument/2006/relationships/fontTable" Target="fontTable.xml" Id="rId33" /><Relationship Type="http://schemas.openxmlformats.org/officeDocument/2006/relationships/numbering" Target="numbering.xml" Id="rId2" /><Relationship Type="http://schemas.openxmlformats.org/officeDocument/2006/relationships/image" Target="media/image9.jpeg" Id="rId16" /><Relationship Type="http://schemas.openxmlformats.org/officeDocument/2006/relationships/image" Target="media/image13.png" Id="rId20" /><Relationship Type="http://schemas.openxmlformats.org/officeDocument/2006/relationships/image" Target="media/image22.jpeg" Id="rId29"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image" Target="media/image17.png" Id="rId24" /><Relationship Type="http://schemas.openxmlformats.org/officeDocument/2006/relationships/image" Target="media/image25.jpeg" Id="rId32" /><Relationship Type="http://schemas.openxmlformats.org/officeDocument/2006/relationships/webSettings" Target="webSettings.xml" Id="rId5" /><Relationship Type="http://schemas.openxmlformats.org/officeDocument/2006/relationships/image" Target="media/image8.png" Id="rId15" /><Relationship Type="http://schemas.openxmlformats.org/officeDocument/2006/relationships/image" Target="media/image16.jpeg" Id="rId23" /><Relationship Type="http://schemas.openxmlformats.org/officeDocument/2006/relationships/image" Target="media/image21.png" Id="rId28" /><Relationship Type="http://schemas.openxmlformats.org/officeDocument/2006/relationships/image" Target="media/image3.emf" Id="rId10" /><Relationship Type="http://schemas.openxmlformats.org/officeDocument/2006/relationships/image" Target="media/image12.jpeg" Id="rId19" /><Relationship Type="http://schemas.openxmlformats.org/officeDocument/2006/relationships/image" Target="media/image24.jpeg"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7.jpeg" Id="rId14" /><Relationship Type="http://schemas.openxmlformats.org/officeDocument/2006/relationships/image" Target="media/image15.jpeg" Id="rId22" /><Relationship Type="http://schemas.openxmlformats.org/officeDocument/2006/relationships/image" Target="media/image20.jpeg" Id="rId27" /><Relationship Type="http://schemas.openxmlformats.org/officeDocument/2006/relationships/image" Target="media/image23.jpeg" Id="rId30" /><Relationship Type="http://schemas.openxmlformats.org/officeDocument/2006/relationships/customXml" Target="/customXml/item2.xml" Id="R4ee4329f056443a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A6819539</value>
    </field>
    <field name="Objective-Title">
      <value order="0">H Families and Children</value>
    </field>
    <field name="Objective-Description">
      <value order="0"/>
    </field>
    <field name="Objective-CreationStamp">
      <value order="0">2020-08-30T21:38:04Z</value>
    </field>
    <field name="Objective-IsApproved">
      <value order="0">false</value>
    </field>
    <field name="Objective-IsPublished">
      <value order="0">true</value>
    </field>
    <field name="Objective-DatePublished">
      <value order="0">2021-04-23T02:39:12Z</value>
    </field>
    <field name="Objective-ModificationStamp">
      <value order="0">2021-04-23T02:39:12Z</value>
    </field>
    <field name="Objective-Owner">
      <value order="0">Fran McKechnie</value>
    </field>
    <field name="Objective-Path">
      <value order="0">Classified Object:Classified Object:Classified Object:Classified Object:Webpage Stats A Summaries of Social Information</value>
    </field>
    <field name="Objective-Parent">
      <value order="0">Webpage Stats A Summaries of Social Information</value>
    </field>
    <field name="Objective-State">
      <value order="0">Published</value>
    </field>
    <field name="Objective-VersionId">
      <value order="0">vA9844398</value>
    </field>
    <field name="Objective-Version">
      <value order="0">2.0</value>
    </field>
    <field name="Objective-VersionNumber">
      <value order="0">2</value>
    </field>
    <field name="Objective-VersionComment">
      <value order="0"/>
    </field>
    <field name="Objective-FileNumber">
      <value order="0">qA1096</value>
    </field>
    <field name="Objective-Classification">
      <value order="0"/>
    </field>
    <field name="Objective-Caveats">
      <value order="0"/>
    </field>
  </systemFields>
  <catalogues>
    <catalogue name="Document Type Catalogue" type="type" ori="id:cA11">
      <field name="Objective-Business Unit">
        <value order="0">Community Development</value>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1742</Words>
  <Characters>9934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Births, Children and Families</vt:lpstr>
    </vt:vector>
  </TitlesOfParts>
  <Company>City of Greater Dandenong</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Children and Families</dc:title>
  <dc:creator>hbrown</dc:creator>
  <cp:lastModifiedBy>Hayden Brown</cp:lastModifiedBy>
  <cp:revision>3</cp:revision>
  <cp:lastPrinted>2017-10-25T21:52:00Z</cp:lastPrinted>
  <dcterms:created xsi:type="dcterms:W3CDTF">2020-08-23T12:22:00Z</dcterms:created>
  <dcterms:modified xsi:type="dcterms:W3CDTF">2021-04-23T02:39:00Z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A6819539</vt:lpwstr>
  </op:property>
  <op:property fmtid="{D5CDD505-2E9C-101B-9397-08002B2CF9AE}" pid="6" name="Objective-Title">
    <vt:lpwstr>H Families and Children</vt:lpwstr>
  </op:property>
  <op:property fmtid="{D5CDD505-2E9C-101B-9397-08002B2CF9AE}" pid="7" name="Objective-Description">
    <vt:lpwstr/>
  </op:property>
  <op:property fmtid="{D5CDD505-2E9C-101B-9397-08002B2CF9AE}" pid="8" name="Objective-CreationStamp">
    <vt:filetime>2020-08-30T21:38:04Z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2021-04-23T02:39:12Z</vt:filetime>
  </op:property>
  <op:property fmtid="{D5CDD505-2E9C-101B-9397-08002B2CF9AE}" pid="12" name="Objective-ModificationStamp">
    <vt:filetime>2021-04-23T02:39:12Z</vt:filetime>
  </op:property>
  <op:property fmtid="{D5CDD505-2E9C-101B-9397-08002B2CF9AE}" pid="13" name="Objective-Owner">
    <vt:lpwstr>Fran McKechnie</vt:lpwstr>
  </op:property>
  <op:property fmtid="{D5CDD505-2E9C-101B-9397-08002B2CF9AE}" pid="14" name="Objective-Path">
    <vt:lpwstr>Classified Object:Classified Object:Classified Object:Classified Object:Webpage Stats A Summaries of Social Information</vt:lpwstr>
  </op:property>
  <op:property fmtid="{D5CDD505-2E9C-101B-9397-08002B2CF9AE}" pid="15" name="Objective-Parent">
    <vt:lpwstr>Webpage Stats A Summaries of Social Information</vt:lpwstr>
  </op:property>
  <op:property fmtid="{D5CDD505-2E9C-101B-9397-08002B2CF9AE}" pid="16" name="Objective-State">
    <vt:lpwstr>Published</vt:lpwstr>
  </op:property>
  <op:property fmtid="{D5CDD505-2E9C-101B-9397-08002B2CF9AE}" pid="17" name="Objective-VersionId">
    <vt:lpwstr>vA9844398</vt:lpwstr>
  </op:property>
  <op:property fmtid="{D5CDD505-2E9C-101B-9397-08002B2CF9AE}" pid="18" name="Objective-Version">
    <vt:lpwstr>2.0</vt:lpwstr>
  </op:property>
  <op:property fmtid="{D5CDD505-2E9C-101B-9397-08002B2CF9AE}" pid="19" name="Objective-VersionNumber">
    <vt:r8>2</vt:r8>
  </op:property>
  <op:property fmtid="{D5CDD505-2E9C-101B-9397-08002B2CF9AE}" pid="20" name="Objective-VersionComment">
    <vt:lpwstr/>
  </op:property>
  <op:property fmtid="{D5CDD505-2E9C-101B-9397-08002B2CF9AE}" pid="21" name="Objective-FileNumber">
    <vt:lpwstr>qA1096</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Community Development</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