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0580F" w14:textId="77777777" w:rsidR="001D1DE0" w:rsidRPr="001A72AF" w:rsidRDefault="001D1DE0" w:rsidP="001D1DE0">
      <w:pPr>
        <w:pBdr>
          <w:top w:val="single" w:sz="4" w:space="1" w:color="auto"/>
          <w:bottom w:val="single" w:sz="4" w:space="1" w:color="auto"/>
        </w:pBdr>
        <w:tabs>
          <w:tab w:val="center" w:pos="4678"/>
        </w:tabs>
        <w:rPr>
          <w:rFonts w:ascii="Calibri" w:hAnsi="Calibri"/>
          <w:sz w:val="32"/>
          <w:szCs w:val="32"/>
        </w:rPr>
      </w:pPr>
      <w:r>
        <w:rPr>
          <w:noProof/>
          <w:lang w:eastAsia="en-AU"/>
        </w:rPr>
        <w:drawing>
          <wp:anchor distT="0" distB="210820" distL="382524" distR="579120" simplePos="0" relativeHeight="251665408" behindDoc="1" locked="0" layoutInCell="1" allowOverlap="1" wp14:anchorId="0207A47D" wp14:editId="7A3E12EB">
            <wp:simplePos x="0" y="0"/>
            <wp:positionH relativeFrom="column">
              <wp:posOffset>4742815</wp:posOffset>
            </wp:positionH>
            <wp:positionV relativeFrom="paragraph">
              <wp:posOffset>217170</wp:posOffset>
            </wp:positionV>
            <wp:extent cx="1267460" cy="1515110"/>
            <wp:effectExtent l="9525" t="0" r="0" b="0"/>
            <wp:wrapTight wrapText="bothSides">
              <wp:wrapPolygon edited="0">
                <wp:start x="21438" y="951"/>
                <wp:lineTo x="19165" y="-136"/>
                <wp:lineTo x="660" y="-136"/>
                <wp:lineTo x="335" y="951"/>
                <wp:lineTo x="335" y="20233"/>
                <wp:lineTo x="660" y="21048"/>
                <wp:lineTo x="5530" y="21319"/>
                <wp:lineTo x="16243" y="21319"/>
                <wp:lineTo x="21113" y="20233"/>
                <wp:lineTo x="21438" y="20233"/>
                <wp:lineTo x="21438" y="951"/>
              </wp:wrapPolygon>
            </wp:wrapTight>
            <wp:docPr id="36" name="Picture 3" descr="Alma 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descr="Alma short.jpg"/>
                    <pic:cNvPicPr>
                      <a:picLocks noChangeAspect="1" noChangeArrowheads="1"/>
                    </pic:cNvPicPr>
                  </pic:nvPicPr>
                  <pic:blipFill>
                    <a:blip r:embed="rId9" cstate="print"/>
                    <a:srcRect l="33391" r="24361" b="21948"/>
                    <a:stretch>
                      <a:fillRect/>
                    </a:stretch>
                  </pic:blipFill>
                  <pic:spPr bwMode="auto">
                    <a:xfrm rot="-5400000">
                      <a:off x="0" y="0"/>
                      <a:ext cx="1267460" cy="1515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A72AF">
        <w:rPr>
          <w:rFonts w:ascii="Calibri" w:hAnsi="Calibri"/>
          <w:b/>
          <w:noProof/>
          <w:sz w:val="32"/>
          <w:szCs w:val="32"/>
          <w:lang w:val="en-US"/>
        </w:rPr>
        <w:tab/>
      </w:r>
      <w:r w:rsidRPr="001A72AF">
        <w:rPr>
          <w:rFonts w:ascii="Calibri" w:hAnsi="Calibri"/>
          <w:noProof/>
          <w:sz w:val="32"/>
          <w:szCs w:val="32"/>
          <w:lang w:val="en-US"/>
        </w:rPr>
        <w:t>Older Residents</w:t>
      </w:r>
    </w:p>
    <w:p w14:paraId="673F1D0D" w14:textId="77777777" w:rsidR="001D1DE0" w:rsidRDefault="001D1DE0" w:rsidP="001D1DE0">
      <w:pPr>
        <w:tabs>
          <w:tab w:val="left" w:pos="284"/>
        </w:tabs>
        <w:jc w:val="both"/>
        <w:rPr>
          <w:sz w:val="10"/>
          <w:szCs w:val="10"/>
        </w:rPr>
      </w:pPr>
    </w:p>
    <w:p w14:paraId="7B4A613F" w14:textId="77777777" w:rsidR="001D1DE0" w:rsidRPr="00861359" w:rsidRDefault="001D1DE0" w:rsidP="001D1DE0">
      <w:pPr>
        <w:tabs>
          <w:tab w:val="left" w:pos="284"/>
        </w:tabs>
        <w:spacing w:line="360" w:lineRule="auto"/>
        <w:jc w:val="both"/>
        <w:rPr>
          <w:rFonts w:ascii="Calibri" w:hAnsi="Calibri"/>
          <w:sz w:val="22"/>
          <w:szCs w:val="22"/>
        </w:rPr>
      </w:pPr>
      <w:r w:rsidRPr="00861359">
        <w:rPr>
          <w:rFonts w:ascii="Calibri" w:hAnsi="Calibri"/>
          <w:b/>
          <w:sz w:val="22"/>
          <w:szCs w:val="22"/>
        </w:rPr>
        <w:t>Population</w:t>
      </w:r>
      <w:r w:rsidRPr="00861359">
        <w:rPr>
          <w:rFonts w:ascii="Calibri" w:hAnsi="Calibri"/>
          <w:sz w:val="22"/>
          <w:szCs w:val="22"/>
        </w:rPr>
        <w:t>: In 2021, approximately 1</w:t>
      </w:r>
      <w:r>
        <w:rPr>
          <w:rFonts w:ascii="Calibri" w:hAnsi="Calibri"/>
          <w:sz w:val="22"/>
          <w:szCs w:val="22"/>
        </w:rPr>
        <w:t>8</w:t>
      </w:r>
      <w:r w:rsidRPr="00861359">
        <w:rPr>
          <w:rFonts w:ascii="Calibri" w:hAnsi="Calibri"/>
          <w:sz w:val="22"/>
          <w:szCs w:val="22"/>
        </w:rPr>
        <w:t>,000 people in Greater Dandenong – or one in ten residents – were aged 70 years or more. In the decade to 20</w:t>
      </w:r>
      <w:r>
        <w:rPr>
          <w:rFonts w:ascii="Calibri" w:hAnsi="Calibri"/>
          <w:sz w:val="22"/>
          <w:szCs w:val="22"/>
        </w:rPr>
        <w:t>31</w:t>
      </w:r>
      <w:r w:rsidRPr="00861359">
        <w:rPr>
          <w:rFonts w:ascii="Calibri" w:hAnsi="Calibri"/>
          <w:sz w:val="22"/>
          <w:szCs w:val="22"/>
        </w:rPr>
        <w:t>, this number may increase by 4,</w:t>
      </w:r>
      <w:r>
        <w:rPr>
          <w:rFonts w:ascii="Calibri" w:hAnsi="Calibri"/>
          <w:sz w:val="22"/>
          <w:szCs w:val="22"/>
        </w:rPr>
        <w:t>560</w:t>
      </w:r>
      <w:r w:rsidRPr="00861359">
        <w:rPr>
          <w:rFonts w:ascii="Calibri" w:hAnsi="Calibri"/>
          <w:sz w:val="22"/>
          <w:szCs w:val="22"/>
        </w:rPr>
        <w:t>, or 2</w:t>
      </w:r>
      <w:r>
        <w:rPr>
          <w:rFonts w:ascii="Calibri" w:hAnsi="Calibri"/>
          <w:sz w:val="22"/>
          <w:szCs w:val="22"/>
        </w:rPr>
        <w:t>5</w:t>
      </w:r>
      <w:r w:rsidRPr="00861359">
        <w:rPr>
          <w:rFonts w:ascii="Calibri" w:hAnsi="Calibri"/>
          <w:sz w:val="22"/>
          <w:szCs w:val="22"/>
        </w:rPr>
        <w:t>%, to 2</w:t>
      </w:r>
      <w:r>
        <w:rPr>
          <w:rFonts w:ascii="Calibri" w:hAnsi="Calibri"/>
          <w:sz w:val="22"/>
          <w:szCs w:val="22"/>
        </w:rPr>
        <w:t>2</w:t>
      </w:r>
      <w:r w:rsidRPr="00861359">
        <w:rPr>
          <w:rFonts w:ascii="Calibri" w:hAnsi="Calibri"/>
          <w:sz w:val="22"/>
          <w:szCs w:val="22"/>
        </w:rPr>
        <w:t>,700. Meantime, the population aged 85+ is forecast to swell by 1,</w:t>
      </w:r>
      <w:r>
        <w:rPr>
          <w:rFonts w:ascii="Calibri" w:hAnsi="Calibri"/>
          <w:sz w:val="22"/>
          <w:szCs w:val="22"/>
        </w:rPr>
        <w:t>460</w:t>
      </w:r>
      <w:r w:rsidRPr="00861359">
        <w:rPr>
          <w:rFonts w:ascii="Calibri" w:hAnsi="Calibri"/>
          <w:sz w:val="22"/>
          <w:szCs w:val="22"/>
        </w:rPr>
        <w:t xml:space="preserve"> – a rise of </w:t>
      </w:r>
      <w:r>
        <w:rPr>
          <w:rFonts w:ascii="Calibri" w:hAnsi="Calibri"/>
          <w:sz w:val="22"/>
          <w:szCs w:val="22"/>
        </w:rPr>
        <w:t>40</w:t>
      </w:r>
      <w:r w:rsidRPr="00861359">
        <w:rPr>
          <w:rFonts w:ascii="Calibri" w:hAnsi="Calibri"/>
          <w:sz w:val="22"/>
          <w:szCs w:val="22"/>
        </w:rPr>
        <w:t>%.</w:t>
      </w:r>
    </w:p>
    <w:p w14:paraId="6F81B2CF" w14:textId="77777777" w:rsidR="001D1DE0" w:rsidRPr="00C9604B" w:rsidRDefault="001D1DE0" w:rsidP="001D1DE0">
      <w:pPr>
        <w:tabs>
          <w:tab w:val="left" w:pos="284"/>
        </w:tabs>
        <w:jc w:val="both"/>
        <w:rPr>
          <w:rFonts w:ascii="Calibri" w:hAnsi="Calibri"/>
          <w:color w:val="7F7F7F"/>
          <w:sz w:val="20"/>
          <w:szCs w:val="20"/>
        </w:rPr>
      </w:pPr>
      <w:r w:rsidRPr="00C9604B">
        <w:rPr>
          <w:rFonts w:ascii="Calibri" w:hAnsi="Calibri"/>
          <w:color w:val="7F7F7F"/>
          <w:sz w:val="20"/>
          <w:szCs w:val="20"/>
        </w:rPr>
        <w:t>Persons aged 70 years or more, by selected birthplaces, 2016</w:t>
      </w:r>
    </w:p>
    <w:p w14:paraId="5DB59207" w14:textId="77777777" w:rsidR="001D1DE0" w:rsidRPr="000030B5" w:rsidRDefault="001D1DE0" w:rsidP="001D1DE0">
      <w:pPr>
        <w:tabs>
          <w:tab w:val="left" w:pos="284"/>
        </w:tabs>
        <w:spacing w:before="60" w:line="360" w:lineRule="auto"/>
        <w:jc w:val="both"/>
        <w:rPr>
          <w:rFonts w:ascii="Calibri" w:hAnsi="Calibri"/>
          <w:b/>
          <w:sz w:val="22"/>
          <w:szCs w:val="22"/>
        </w:rPr>
      </w:pPr>
      <w:r>
        <w:rPr>
          <w:rFonts w:ascii="Calibri" w:hAnsi="Calibri"/>
          <w:b/>
          <w:noProof/>
          <w:sz w:val="22"/>
          <w:szCs w:val="22"/>
          <w:lang w:eastAsia="en-AU"/>
        </w:rPr>
        <w:drawing>
          <wp:anchor distT="0" distB="0" distL="114300" distR="114300" simplePos="0" relativeHeight="251659264" behindDoc="1" locked="0" layoutInCell="1" allowOverlap="1" wp14:anchorId="3A68B477" wp14:editId="5DE003C8">
            <wp:simplePos x="0" y="0"/>
            <wp:positionH relativeFrom="margin">
              <wp:align>left</wp:align>
            </wp:positionH>
            <wp:positionV relativeFrom="paragraph">
              <wp:posOffset>48260</wp:posOffset>
            </wp:positionV>
            <wp:extent cx="3133725" cy="2928620"/>
            <wp:effectExtent l="0" t="0" r="0" b="5080"/>
            <wp:wrapTight wrapText="bothSides">
              <wp:wrapPolygon edited="0">
                <wp:start x="0" y="0"/>
                <wp:lineTo x="0" y="21497"/>
                <wp:lineTo x="21403" y="21497"/>
                <wp:lineTo x="2140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r="2242" b="1416"/>
                    <a:stretch>
                      <a:fillRect/>
                    </a:stretch>
                  </pic:blipFill>
                  <pic:spPr bwMode="auto">
                    <a:xfrm>
                      <a:off x="0" y="0"/>
                      <a:ext cx="3134968" cy="2929877"/>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b/>
          <w:sz w:val="22"/>
          <w:szCs w:val="22"/>
        </w:rPr>
        <w:t>Cultural Diversity</w:t>
      </w:r>
    </w:p>
    <w:p w14:paraId="19B006DD" w14:textId="77777777" w:rsidR="001D1DE0" w:rsidRPr="000030B5" w:rsidRDefault="001D1DE0" w:rsidP="001D1DE0">
      <w:pPr>
        <w:tabs>
          <w:tab w:val="left" w:pos="284"/>
        </w:tabs>
        <w:spacing w:line="360" w:lineRule="auto"/>
        <w:jc w:val="both"/>
        <w:rPr>
          <w:rFonts w:ascii="Calibri" w:hAnsi="Calibri"/>
          <w:sz w:val="22"/>
          <w:szCs w:val="22"/>
        </w:rPr>
      </w:pPr>
      <w:r>
        <w:rPr>
          <w:rFonts w:ascii="Calibri" w:hAnsi="Calibri"/>
          <w:sz w:val="22"/>
          <w:szCs w:val="22"/>
        </w:rPr>
        <w:t>In 2016, n</w:t>
      </w:r>
      <w:r w:rsidRPr="000030B5">
        <w:rPr>
          <w:rFonts w:ascii="Calibri" w:hAnsi="Calibri"/>
          <w:sz w:val="22"/>
          <w:szCs w:val="22"/>
        </w:rPr>
        <w:t>early three-quarters (7</w:t>
      </w:r>
      <w:r>
        <w:rPr>
          <w:rFonts w:ascii="Calibri" w:hAnsi="Calibri"/>
          <w:sz w:val="22"/>
          <w:szCs w:val="22"/>
        </w:rPr>
        <w:t>3</w:t>
      </w:r>
      <w:r w:rsidRPr="000030B5">
        <w:rPr>
          <w:rFonts w:ascii="Calibri" w:hAnsi="Calibri"/>
          <w:sz w:val="22"/>
          <w:szCs w:val="22"/>
        </w:rPr>
        <w:t>%) of residents in Greater Dandenong aged 7</w:t>
      </w:r>
      <w:r>
        <w:rPr>
          <w:rFonts w:ascii="Calibri" w:hAnsi="Calibri"/>
          <w:sz w:val="22"/>
          <w:szCs w:val="22"/>
        </w:rPr>
        <w:t>0 or more</w:t>
      </w:r>
      <w:r w:rsidRPr="000030B5">
        <w:rPr>
          <w:rFonts w:ascii="Calibri" w:hAnsi="Calibri"/>
          <w:sz w:val="22"/>
          <w:szCs w:val="22"/>
        </w:rPr>
        <w:t xml:space="preserve"> </w:t>
      </w:r>
      <w:r>
        <w:rPr>
          <w:rFonts w:ascii="Calibri" w:hAnsi="Calibri"/>
          <w:sz w:val="22"/>
          <w:szCs w:val="22"/>
        </w:rPr>
        <w:t>were</w:t>
      </w:r>
      <w:r w:rsidRPr="000030B5">
        <w:rPr>
          <w:rFonts w:ascii="Calibri" w:hAnsi="Calibri"/>
          <w:sz w:val="22"/>
          <w:szCs w:val="22"/>
        </w:rPr>
        <w:t xml:space="preserve"> born overseas – higher than the metropolitan level of 5</w:t>
      </w:r>
      <w:r>
        <w:rPr>
          <w:rFonts w:ascii="Calibri" w:hAnsi="Calibri"/>
          <w:sz w:val="22"/>
          <w:szCs w:val="22"/>
        </w:rPr>
        <w:t>1</w:t>
      </w:r>
      <w:r w:rsidRPr="000030B5">
        <w:rPr>
          <w:rFonts w:ascii="Calibri" w:hAnsi="Calibri"/>
          <w:sz w:val="22"/>
          <w:szCs w:val="22"/>
        </w:rPr>
        <w:t>%</w:t>
      </w:r>
      <w:r>
        <w:rPr>
          <w:rFonts w:ascii="Calibri" w:hAnsi="Calibri"/>
          <w:sz w:val="22"/>
          <w:szCs w:val="22"/>
        </w:rPr>
        <w:t>,</w:t>
      </w:r>
      <w:r w:rsidRPr="000030B5">
        <w:rPr>
          <w:rFonts w:ascii="Calibri" w:hAnsi="Calibri"/>
          <w:sz w:val="22"/>
          <w:szCs w:val="22"/>
        </w:rPr>
        <w:t xml:space="preserve"> and the largest proportion in Victoria. </w:t>
      </w:r>
    </w:p>
    <w:p w14:paraId="11040A7B" w14:textId="77777777" w:rsidR="001D1DE0" w:rsidRDefault="001D1DE0" w:rsidP="001D1DE0">
      <w:pPr>
        <w:tabs>
          <w:tab w:val="left" w:pos="284"/>
        </w:tabs>
        <w:spacing w:line="360" w:lineRule="auto"/>
        <w:jc w:val="both"/>
        <w:rPr>
          <w:rFonts w:ascii="Calibri" w:hAnsi="Calibri"/>
          <w:sz w:val="22"/>
          <w:szCs w:val="22"/>
        </w:rPr>
      </w:pPr>
      <w:r>
        <w:rPr>
          <w:rFonts w:ascii="Calibri" w:hAnsi="Calibri"/>
          <w:sz w:val="22"/>
          <w:szCs w:val="22"/>
        </w:rPr>
        <w:t>Their birthplaces include</w:t>
      </w:r>
      <w:r w:rsidRPr="000030B5">
        <w:rPr>
          <w:rFonts w:ascii="Calibri" w:hAnsi="Calibri"/>
          <w:sz w:val="22"/>
          <w:szCs w:val="22"/>
        </w:rPr>
        <w:t xml:space="preserve"> Italy</w:t>
      </w:r>
      <w:r>
        <w:rPr>
          <w:rFonts w:ascii="Calibri" w:hAnsi="Calibri"/>
          <w:sz w:val="22"/>
          <w:szCs w:val="22"/>
        </w:rPr>
        <w:t>,</w:t>
      </w:r>
      <w:r w:rsidRPr="000030B5">
        <w:rPr>
          <w:rFonts w:ascii="Calibri" w:hAnsi="Calibri"/>
          <w:sz w:val="22"/>
          <w:szCs w:val="22"/>
        </w:rPr>
        <w:t xml:space="preserve"> Vietnam,</w:t>
      </w:r>
      <w:r>
        <w:rPr>
          <w:rFonts w:ascii="Calibri" w:hAnsi="Calibri"/>
          <w:sz w:val="22"/>
          <w:szCs w:val="22"/>
        </w:rPr>
        <w:t xml:space="preserve"> Greece, England</w:t>
      </w:r>
      <w:r w:rsidRPr="000030B5">
        <w:rPr>
          <w:rFonts w:ascii="Calibri" w:hAnsi="Calibri"/>
          <w:sz w:val="22"/>
          <w:szCs w:val="22"/>
        </w:rPr>
        <w:t>, Sri Lanka</w:t>
      </w:r>
      <w:r>
        <w:rPr>
          <w:rFonts w:ascii="Calibri" w:hAnsi="Calibri"/>
          <w:sz w:val="22"/>
          <w:szCs w:val="22"/>
        </w:rPr>
        <w:t xml:space="preserve"> and China.</w:t>
      </w:r>
    </w:p>
    <w:p w14:paraId="6312BB04" w14:textId="77777777" w:rsidR="001D1DE0" w:rsidRPr="00073937" w:rsidRDefault="001D1DE0" w:rsidP="001D1DE0">
      <w:pPr>
        <w:tabs>
          <w:tab w:val="left" w:pos="284"/>
        </w:tabs>
        <w:jc w:val="both"/>
        <w:rPr>
          <w:rFonts w:ascii="Calibri" w:hAnsi="Calibri"/>
          <w:color w:val="7F7F7F"/>
          <w:sz w:val="6"/>
          <w:szCs w:val="6"/>
        </w:rPr>
      </w:pPr>
    </w:p>
    <w:p w14:paraId="609D7A58" w14:textId="77777777" w:rsidR="001D1DE0" w:rsidRPr="008D7367" w:rsidRDefault="001D1DE0" w:rsidP="001D1DE0">
      <w:pPr>
        <w:tabs>
          <w:tab w:val="left" w:pos="284"/>
        </w:tabs>
        <w:jc w:val="both"/>
        <w:rPr>
          <w:rFonts w:ascii="Calibri" w:hAnsi="Calibri"/>
          <w:color w:val="7F7F7F"/>
          <w:sz w:val="20"/>
          <w:szCs w:val="20"/>
        </w:rPr>
      </w:pPr>
      <w:r w:rsidRPr="008D7367">
        <w:rPr>
          <w:rFonts w:ascii="Calibri" w:hAnsi="Calibri"/>
          <w:color w:val="7F7F7F"/>
          <w:sz w:val="20"/>
          <w:szCs w:val="20"/>
        </w:rPr>
        <w:t>Change in population aged 70+, by selected birthplaces, 2006 to 2016</w:t>
      </w:r>
    </w:p>
    <w:p w14:paraId="146B5F68" w14:textId="77777777" w:rsidR="001D1DE0" w:rsidRPr="00073937" w:rsidRDefault="001D1DE0" w:rsidP="001D1DE0">
      <w:pPr>
        <w:tabs>
          <w:tab w:val="left" w:pos="284"/>
        </w:tabs>
        <w:jc w:val="both"/>
        <w:rPr>
          <w:rFonts w:ascii="Calibri" w:hAnsi="Calibri"/>
          <w:sz w:val="6"/>
          <w:szCs w:val="6"/>
        </w:rPr>
      </w:pPr>
      <w:r>
        <w:rPr>
          <w:rFonts w:ascii="Calibri" w:hAnsi="Calibri"/>
          <w:noProof/>
          <w:sz w:val="22"/>
          <w:szCs w:val="22"/>
          <w:lang w:eastAsia="en-AU"/>
        </w:rPr>
        <w:drawing>
          <wp:anchor distT="0" distB="0" distL="114300" distR="114300" simplePos="0" relativeHeight="251664384" behindDoc="1" locked="0" layoutInCell="1" allowOverlap="1" wp14:anchorId="75FE0597" wp14:editId="2D296E50">
            <wp:simplePos x="0" y="0"/>
            <wp:positionH relativeFrom="column">
              <wp:posOffset>3145155</wp:posOffset>
            </wp:positionH>
            <wp:positionV relativeFrom="paragraph">
              <wp:posOffset>127000</wp:posOffset>
            </wp:positionV>
            <wp:extent cx="3123565" cy="5140325"/>
            <wp:effectExtent l="0" t="0" r="635" b="3175"/>
            <wp:wrapTight wrapText="bothSides">
              <wp:wrapPolygon edited="0">
                <wp:start x="0" y="0"/>
                <wp:lineTo x="0" y="21533"/>
                <wp:lineTo x="21473" y="21533"/>
                <wp:lineTo x="2147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l="10440" r="6786"/>
                    <a:stretch>
                      <a:fillRect/>
                    </a:stretch>
                  </pic:blipFill>
                  <pic:spPr bwMode="auto">
                    <a:xfrm>
                      <a:off x="0" y="0"/>
                      <a:ext cx="3123565" cy="5140325"/>
                    </a:xfrm>
                    <a:prstGeom prst="rect">
                      <a:avLst/>
                    </a:prstGeom>
                    <a:noFill/>
                  </pic:spPr>
                </pic:pic>
              </a:graphicData>
            </a:graphic>
            <wp14:sizeRelH relativeFrom="page">
              <wp14:pctWidth>0</wp14:pctWidth>
            </wp14:sizeRelH>
            <wp14:sizeRelV relativeFrom="page">
              <wp14:pctHeight>0</wp14:pctHeight>
            </wp14:sizeRelV>
          </wp:anchor>
        </w:drawing>
      </w:r>
    </w:p>
    <w:p w14:paraId="7637DFA9" w14:textId="77777777" w:rsidR="001D1DE0" w:rsidRDefault="001D1DE0" w:rsidP="001D1DE0">
      <w:pPr>
        <w:tabs>
          <w:tab w:val="left" w:pos="284"/>
        </w:tabs>
        <w:spacing w:line="360" w:lineRule="auto"/>
        <w:jc w:val="both"/>
        <w:rPr>
          <w:rFonts w:ascii="Calibri" w:hAnsi="Calibri"/>
          <w:sz w:val="22"/>
          <w:szCs w:val="22"/>
        </w:rPr>
      </w:pPr>
    </w:p>
    <w:p w14:paraId="588C5027" w14:textId="77777777" w:rsidR="001D1DE0" w:rsidRDefault="001D1DE0" w:rsidP="001D1DE0">
      <w:pPr>
        <w:tabs>
          <w:tab w:val="left" w:pos="284"/>
        </w:tabs>
        <w:spacing w:line="360" w:lineRule="auto"/>
        <w:jc w:val="both"/>
        <w:rPr>
          <w:rFonts w:ascii="Calibri" w:hAnsi="Calibri"/>
          <w:sz w:val="22"/>
          <w:szCs w:val="22"/>
        </w:rPr>
      </w:pPr>
    </w:p>
    <w:p w14:paraId="19EBC874" w14:textId="77777777" w:rsidR="001D1DE0" w:rsidRDefault="001D1DE0" w:rsidP="001D1DE0">
      <w:pPr>
        <w:tabs>
          <w:tab w:val="left" w:pos="284"/>
        </w:tabs>
        <w:spacing w:line="360" w:lineRule="auto"/>
        <w:jc w:val="both"/>
        <w:rPr>
          <w:rFonts w:ascii="Calibri" w:hAnsi="Calibri"/>
          <w:sz w:val="22"/>
          <w:szCs w:val="22"/>
        </w:rPr>
      </w:pPr>
    </w:p>
    <w:p w14:paraId="0575CD48" w14:textId="77777777" w:rsidR="001D1DE0" w:rsidRPr="003E1B64" w:rsidRDefault="001D1DE0" w:rsidP="001D1DE0">
      <w:pPr>
        <w:tabs>
          <w:tab w:val="left" w:pos="284"/>
        </w:tabs>
        <w:spacing w:line="360" w:lineRule="auto"/>
        <w:jc w:val="both"/>
        <w:rPr>
          <w:rFonts w:ascii="Calibri" w:hAnsi="Calibri"/>
          <w:sz w:val="22"/>
          <w:szCs w:val="22"/>
        </w:rPr>
      </w:pPr>
      <w:r w:rsidRPr="003E1B64">
        <w:rPr>
          <w:rFonts w:ascii="Calibri" w:hAnsi="Calibri"/>
          <w:sz w:val="22"/>
          <w:szCs w:val="22"/>
        </w:rPr>
        <w:t xml:space="preserve">The 2016 Census recorded that 27 residents were Aboriginal or Torres Strait Islanders aged 70 or more. </w:t>
      </w:r>
    </w:p>
    <w:p w14:paraId="1350ED0B" w14:textId="77777777" w:rsidR="001D1DE0" w:rsidRPr="003E1B64" w:rsidRDefault="001D1DE0" w:rsidP="001D1DE0">
      <w:pPr>
        <w:tabs>
          <w:tab w:val="left" w:pos="284"/>
        </w:tabs>
        <w:spacing w:line="360" w:lineRule="auto"/>
        <w:jc w:val="both"/>
        <w:rPr>
          <w:rFonts w:ascii="Calibri" w:hAnsi="Calibri"/>
          <w:sz w:val="22"/>
          <w:szCs w:val="22"/>
        </w:rPr>
      </w:pPr>
      <w:r w:rsidRPr="003E1B64">
        <w:rPr>
          <w:rFonts w:ascii="Calibri" w:hAnsi="Calibri"/>
          <w:sz w:val="22"/>
          <w:szCs w:val="22"/>
        </w:rPr>
        <w:t xml:space="preserve">The number of older residents from many European sources of migration has declined in recent years, resulting in fewer from Britain, Poland and elsewhere. Meantime, many residents from Vietnam, Cambodia, India and China are passing into their older age. These two trends have caused a steady rise in the number of older residents in our municipality, coupled with a gradual change in their blend of birthplaces. </w:t>
      </w:r>
    </w:p>
    <w:p w14:paraId="22A28714" w14:textId="77777777" w:rsidR="001D1DE0" w:rsidRPr="007A623F" w:rsidRDefault="001D1DE0" w:rsidP="001D1DE0">
      <w:pPr>
        <w:tabs>
          <w:tab w:val="left" w:pos="284"/>
          <w:tab w:val="left" w:pos="6096"/>
        </w:tabs>
        <w:jc w:val="both"/>
        <w:rPr>
          <w:rFonts w:ascii="Calibri" w:hAnsi="Calibri"/>
          <w:b/>
          <w:sz w:val="22"/>
          <w:szCs w:val="22"/>
        </w:rPr>
      </w:pPr>
      <w:r>
        <w:rPr>
          <w:rFonts w:ascii="Calibri" w:hAnsi="Calibri"/>
          <w:b/>
          <w:noProof/>
          <w:sz w:val="22"/>
          <w:szCs w:val="22"/>
          <w:lang w:eastAsia="en-AU"/>
        </w:rPr>
        <w:lastRenderedPageBreak/>
        <w:drawing>
          <wp:anchor distT="0" distB="0" distL="114300" distR="114300" simplePos="0" relativeHeight="251660288" behindDoc="1" locked="0" layoutInCell="1" allowOverlap="1" wp14:anchorId="2979C1AA" wp14:editId="3F075EFD">
            <wp:simplePos x="0" y="0"/>
            <wp:positionH relativeFrom="column">
              <wp:posOffset>-43815</wp:posOffset>
            </wp:positionH>
            <wp:positionV relativeFrom="paragraph">
              <wp:posOffset>179705</wp:posOffset>
            </wp:positionV>
            <wp:extent cx="3886200" cy="3905885"/>
            <wp:effectExtent l="0" t="0" r="0" b="0"/>
            <wp:wrapTight wrapText="bothSides">
              <wp:wrapPolygon edited="0">
                <wp:start x="0" y="0"/>
                <wp:lineTo x="0" y="21491"/>
                <wp:lineTo x="21494" y="21491"/>
                <wp:lineTo x="21494"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3905885"/>
                    </a:xfrm>
                    <a:prstGeom prst="rect">
                      <a:avLst/>
                    </a:prstGeom>
                    <a:noFill/>
                  </pic:spPr>
                </pic:pic>
              </a:graphicData>
            </a:graphic>
            <wp14:sizeRelH relativeFrom="page">
              <wp14:pctWidth>0</wp14:pctWidth>
            </wp14:sizeRelH>
            <wp14:sizeRelV relativeFrom="page">
              <wp14:pctHeight>0</wp14:pctHeight>
            </wp14:sizeRelV>
          </wp:anchor>
        </w:drawing>
      </w:r>
      <w:r w:rsidRPr="007A623F">
        <w:rPr>
          <w:rFonts w:ascii="Calibri" w:hAnsi="Calibri"/>
          <w:color w:val="7F7F7F"/>
          <w:sz w:val="20"/>
          <w:szCs w:val="20"/>
        </w:rPr>
        <w:t xml:space="preserve">Persons aged 70 years or more, by selected </w:t>
      </w:r>
      <w:r>
        <w:rPr>
          <w:rFonts w:ascii="Calibri" w:hAnsi="Calibri"/>
          <w:color w:val="7F7F7F"/>
          <w:sz w:val="20"/>
          <w:szCs w:val="20"/>
        </w:rPr>
        <w:t>languages</w:t>
      </w:r>
      <w:r w:rsidRPr="007A623F">
        <w:rPr>
          <w:rFonts w:ascii="Calibri" w:hAnsi="Calibri"/>
          <w:color w:val="7F7F7F"/>
          <w:sz w:val="20"/>
          <w:szCs w:val="20"/>
        </w:rPr>
        <w:t>, 2016</w:t>
      </w:r>
      <w:r>
        <w:rPr>
          <w:rFonts w:ascii="Calibri" w:hAnsi="Calibri"/>
          <w:color w:val="7F7F7F"/>
          <w:sz w:val="20"/>
          <w:szCs w:val="20"/>
        </w:rPr>
        <w:tab/>
      </w:r>
      <w:r w:rsidRPr="000030B5">
        <w:rPr>
          <w:rFonts w:ascii="Calibri" w:hAnsi="Calibri"/>
          <w:b/>
          <w:sz w:val="22"/>
          <w:szCs w:val="22"/>
        </w:rPr>
        <w:t>Spoken Languages</w:t>
      </w:r>
    </w:p>
    <w:p w14:paraId="5024DA10" w14:textId="77777777" w:rsidR="001D1DE0" w:rsidRPr="000030B5" w:rsidRDefault="001D1DE0" w:rsidP="001D1DE0">
      <w:pPr>
        <w:tabs>
          <w:tab w:val="left" w:pos="284"/>
        </w:tabs>
        <w:spacing w:line="360" w:lineRule="auto"/>
        <w:jc w:val="both"/>
        <w:rPr>
          <w:rFonts w:ascii="Calibri" w:hAnsi="Calibri"/>
          <w:sz w:val="22"/>
          <w:szCs w:val="22"/>
        </w:rPr>
      </w:pPr>
      <w:r>
        <w:rPr>
          <w:rFonts w:ascii="Calibri" w:hAnsi="Calibri"/>
          <w:noProof/>
          <w:lang w:eastAsia="en-AU"/>
        </w:rPr>
        <w:drawing>
          <wp:anchor distT="0" distB="0" distL="114300" distR="114300" simplePos="0" relativeHeight="251666432" behindDoc="0" locked="0" layoutInCell="1" allowOverlap="1" wp14:anchorId="18D3EDA6" wp14:editId="1550B5B3">
            <wp:simplePos x="0" y="0"/>
            <wp:positionH relativeFrom="column">
              <wp:posOffset>2379028</wp:posOffset>
            </wp:positionH>
            <wp:positionV relativeFrom="paragraph">
              <wp:posOffset>2161858</wp:posOffset>
            </wp:positionV>
            <wp:extent cx="1217415" cy="1743075"/>
            <wp:effectExtent l="0" t="0" r="1905" b="0"/>
            <wp:wrapNone/>
            <wp:docPr id="58" name="Picture 57" descr="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13" cstate="print"/>
                    <a:stretch>
                      <a:fillRect/>
                    </a:stretch>
                  </pic:blipFill>
                  <pic:spPr>
                    <a:xfrm>
                      <a:off x="0" y="0"/>
                      <a:ext cx="1217415" cy="1743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030B5">
        <w:rPr>
          <w:rFonts w:ascii="Calibri" w:hAnsi="Calibri"/>
          <w:sz w:val="22"/>
          <w:szCs w:val="22"/>
        </w:rPr>
        <w:t>Reflecting the cultural diversity of residents aged 70</w:t>
      </w:r>
      <w:r>
        <w:rPr>
          <w:rFonts w:ascii="Calibri" w:hAnsi="Calibri"/>
          <w:sz w:val="22"/>
          <w:szCs w:val="22"/>
        </w:rPr>
        <w:t xml:space="preserve"> or more, over</w:t>
      </w:r>
      <w:r w:rsidRPr="000030B5">
        <w:rPr>
          <w:rFonts w:ascii="Calibri" w:hAnsi="Calibri"/>
          <w:sz w:val="22"/>
          <w:szCs w:val="22"/>
        </w:rPr>
        <w:t xml:space="preserve"> half (54%) speak languages other than English at home, including Italian (spoken by </w:t>
      </w:r>
      <w:r>
        <w:rPr>
          <w:rFonts w:ascii="Calibri" w:hAnsi="Calibri"/>
          <w:sz w:val="22"/>
          <w:szCs w:val="22"/>
        </w:rPr>
        <w:t>8.1</w:t>
      </w:r>
      <w:r w:rsidRPr="000030B5">
        <w:rPr>
          <w:rFonts w:ascii="Calibri" w:hAnsi="Calibri"/>
          <w:sz w:val="22"/>
          <w:szCs w:val="22"/>
        </w:rPr>
        <w:t>% of older residents), Greek (</w:t>
      </w:r>
      <w:r>
        <w:rPr>
          <w:rFonts w:ascii="Calibri" w:hAnsi="Calibri"/>
          <w:sz w:val="22"/>
          <w:szCs w:val="22"/>
        </w:rPr>
        <w:t>6.7</w:t>
      </w:r>
      <w:r w:rsidRPr="000030B5">
        <w:rPr>
          <w:rFonts w:ascii="Calibri" w:hAnsi="Calibri"/>
          <w:sz w:val="22"/>
          <w:szCs w:val="22"/>
        </w:rPr>
        <w:t>%), Vietnamese (5</w:t>
      </w:r>
      <w:r>
        <w:rPr>
          <w:rFonts w:ascii="Calibri" w:hAnsi="Calibri"/>
          <w:sz w:val="22"/>
          <w:szCs w:val="22"/>
        </w:rPr>
        <w:t>.5</w:t>
      </w:r>
      <w:r w:rsidRPr="000030B5">
        <w:rPr>
          <w:rFonts w:ascii="Calibri" w:hAnsi="Calibri"/>
          <w:sz w:val="22"/>
          <w:szCs w:val="22"/>
        </w:rPr>
        <w:t>%), Cantonese (</w:t>
      </w:r>
      <w:r>
        <w:rPr>
          <w:rFonts w:ascii="Calibri" w:hAnsi="Calibri"/>
          <w:sz w:val="22"/>
          <w:szCs w:val="22"/>
        </w:rPr>
        <w:t>2.9</w:t>
      </w:r>
      <w:r w:rsidRPr="000030B5">
        <w:rPr>
          <w:rFonts w:ascii="Calibri" w:hAnsi="Calibri"/>
          <w:sz w:val="22"/>
          <w:szCs w:val="22"/>
        </w:rPr>
        <w:t xml:space="preserve">%), </w:t>
      </w:r>
      <w:r>
        <w:rPr>
          <w:rFonts w:ascii="Calibri" w:hAnsi="Calibri"/>
          <w:sz w:val="22"/>
          <w:szCs w:val="22"/>
        </w:rPr>
        <w:t>Mandarin (2.6%), Serbian, Spanish, Khmer and French</w:t>
      </w:r>
      <w:r w:rsidRPr="000030B5">
        <w:rPr>
          <w:rFonts w:ascii="Calibri" w:hAnsi="Calibri"/>
          <w:sz w:val="22"/>
          <w:szCs w:val="22"/>
        </w:rPr>
        <w:t xml:space="preserve"> (</w:t>
      </w:r>
      <w:r>
        <w:rPr>
          <w:rFonts w:ascii="Calibri" w:hAnsi="Calibri"/>
          <w:sz w:val="22"/>
          <w:szCs w:val="22"/>
        </w:rPr>
        <w:t>a little over</w:t>
      </w:r>
      <w:r w:rsidRPr="000030B5">
        <w:rPr>
          <w:rFonts w:ascii="Calibri" w:hAnsi="Calibri"/>
          <w:sz w:val="22"/>
          <w:szCs w:val="22"/>
        </w:rPr>
        <w:t xml:space="preserve"> 2% each). The </w:t>
      </w:r>
      <w:r>
        <w:rPr>
          <w:rFonts w:ascii="Calibri" w:hAnsi="Calibri"/>
          <w:sz w:val="22"/>
          <w:szCs w:val="22"/>
        </w:rPr>
        <w:t>percentage</w:t>
      </w:r>
      <w:r w:rsidRPr="000030B5">
        <w:rPr>
          <w:rFonts w:ascii="Calibri" w:hAnsi="Calibri"/>
          <w:sz w:val="22"/>
          <w:szCs w:val="22"/>
        </w:rPr>
        <w:t xml:space="preserve"> of residents </w:t>
      </w:r>
      <w:r>
        <w:rPr>
          <w:rFonts w:ascii="Calibri" w:hAnsi="Calibri"/>
          <w:sz w:val="22"/>
          <w:szCs w:val="22"/>
        </w:rPr>
        <w:t>aged 70 or more</w:t>
      </w:r>
      <w:r w:rsidRPr="000030B5">
        <w:rPr>
          <w:rFonts w:ascii="Calibri" w:hAnsi="Calibri"/>
          <w:sz w:val="22"/>
          <w:szCs w:val="22"/>
        </w:rPr>
        <w:t xml:space="preserve"> who speak each of a selection of </w:t>
      </w:r>
      <w:r>
        <w:rPr>
          <w:rFonts w:ascii="Calibri" w:hAnsi="Calibri"/>
          <w:sz w:val="22"/>
          <w:szCs w:val="22"/>
        </w:rPr>
        <w:t xml:space="preserve">non-English </w:t>
      </w:r>
      <w:r w:rsidRPr="000030B5">
        <w:rPr>
          <w:rFonts w:ascii="Calibri" w:hAnsi="Calibri"/>
          <w:sz w:val="22"/>
          <w:szCs w:val="22"/>
        </w:rPr>
        <w:t>languages, is illustrated in the accompanying diagram.</w:t>
      </w:r>
    </w:p>
    <w:p w14:paraId="30CE82D0" w14:textId="77777777" w:rsidR="001D1DE0" w:rsidRDefault="001D1DE0" w:rsidP="001D1DE0">
      <w:pPr>
        <w:tabs>
          <w:tab w:val="left" w:pos="284"/>
        </w:tabs>
        <w:spacing w:before="60" w:line="360" w:lineRule="auto"/>
        <w:jc w:val="both"/>
        <w:rPr>
          <w:rFonts w:ascii="Calibri" w:hAnsi="Calibri"/>
          <w:b/>
          <w:sz w:val="22"/>
          <w:szCs w:val="22"/>
        </w:rPr>
      </w:pPr>
    </w:p>
    <w:p w14:paraId="7D7D27B9" w14:textId="77777777" w:rsidR="001D1DE0" w:rsidRDefault="001D1DE0" w:rsidP="001D1DE0">
      <w:pPr>
        <w:tabs>
          <w:tab w:val="left" w:pos="284"/>
        </w:tabs>
        <w:spacing w:before="60" w:line="360" w:lineRule="auto"/>
        <w:jc w:val="both"/>
        <w:rPr>
          <w:rFonts w:ascii="Calibri" w:hAnsi="Calibri"/>
          <w:b/>
          <w:sz w:val="22"/>
          <w:szCs w:val="22"/>
        </w:rPr>
      </w:pPr>
    </w:p>
    <w:p w14:paraId="4569CCF5" w14:textId="77777777" w:rsidR="001D1DE0" w:rsidRDefault="001D1DE0" w:rsidP="001D1DE0">
      <w:pPr>
        <w:tabs>
          <w:tab w:val="left" w:pos="284"/>
        </w:tabs>
        <w:spacing w:before="60" w:line="360" w:lineRule="auto"/>
        <w:jc w:val="both"/>
        <w:rPr>
          <w:rFonts w:ascii="Calibri" w:hAnsi="Calibri"/>
          <w:b/>
          <w:sz w:val="22"/>
          <w:szCs w:val="22"/>
        </w:rPr>
      </w:pPr>
    </w:p>
    <w:p w14:paraId="06E8AA73" w14:textId="77777777" w:rsidR="001D1DE0" w:rsidRDefault="001D1DE0" w:rsidP="001D1DE0">
      <w:pPr>
        <w:tabs>
          <w:tab w:val="left" w:pos="284"/>
        </w:tabs>
        <w:spacing w:before="60" w:line="360" w:lineRule="auto"/>
        <w:jc w:val="both"/>
        <w:rPr>
          <w:rFonts w:ascii="Calibri" w:hAnsi="Calibri"/>
          <w:b/>
          <w:sz w:val="22"/>
          <w:szCs w:val="22"/>
        </w:rPr>
      </w:pPr>
    </w:p>
    <w:p w14:paraId="26DFB048" w14:textId="77777777" w:rsidR="001D1DE0" w:rsidRDefault="001D1DE0" w:rsidP="001D1DE0">
      <w:pPr>
        <w:tabs>
          <w:tab w:val="left" w:pos="284"/>
        </w:tabs>
        <w:spacing w:before="60" w:line="360" w:lineRule="auto"/>
        <w:jc w:val="both"/>
        <w:rPr>
          <w:rFonts w:ascii="Calibri" w:hAnsi="Calibri"/>
          <w:b/>
          <w:sz w:val="22"/>
          <w:szCs w:val="22"/>
        </w:rPr>
      </w:pPr>
    </w:p>
    <w:p w14:paraId="6E7A7DF7" w14:textId="77777777" w:rsidR="001D1DE0" w:rsidRPr="000030B5" w:rsidRDefault="001D1DE0" w:rsidP="001D1DE0">
      <w:pPr>
        <w:tabs>
          <w:tab w:val="left" w:pos="284"/>
        </w:tabs>
        <w:spacing w:before="60" w:line="360" w:lineRule="auto"/>
        <w:jc w:val="both"/>
        <w:rPr>
          <w:rFonts w:ascii="Calibri" w:hAnsi="Calibri"/>
          <w:b/>
          <w:sz w:val="22"/>
          <w:szCs w:val="22"/>
        </w:rPr>
      </w:pPr>
      <w:r w:rsidRPr="000030B5">
        <w:rPr>
          <w:rFonts w:ascii="Calibri" w:hAnsi="Calibri"/>
          <w:b/>
          <w:sz w:val="22"/>
          <w:szCs w:val="22"/>
        </w:rPr>
        <w:t>English Fluency</w:t>
      </w:r>
    </w:p>
    <w:p w14:paraId="6C3F5554" w14:textId="77777777" w:rsidR="001D1DE0" w:rsidRDefault="001D1DE0" w:rsidP="001D1DE0">
      <w:pPr>
        <w:tabs>
          <w:tab w:val="left" w:pos="284"/>
        </w:tabs>
        <w:spacing w:line="360" w:lineRule="auto"/>
        <w:jc w:val="both"/>
        <w:rPr>
          <w:rFonts w:ascii="Calibri" w:hAnsi="Calibri"/>
          <w:sz w:val="22"/>
          <w:szCs w:val="22"/>
        </w:rPr>
      </w:pPr>
      <w:r>
        <w:rPr>
          <w:rFonts w:ascii="Calibri" w:hAnsi="Calibri"/>
          <w:noProof/>
          <w:color w:val="7F7F7F"/>
          <w:sz w:val="20"/>
          <w:szCs w:val="20"/>
          <w:lang w:eastAsia="en-AU"/>
        </w:rPr>
        <w:drawing>
          <wp:anchor distT="0" distB="0" distL="114300" distR="114300" simplePos="0" relativeHeight="251661312" behindDoc="1" locked="0" layoutInCell="1" allowOverlap="1" wp14:anchorId="545756F0" wp14:editId="35AF16E5">
            <wp:simplePos x="0" y="0"/>
            <wp:positionH relativeFrom="column">
              <wp:posOffset>1908810</wp:posOffset>
            </wp:positionH>
            <wp:positionV relativeFrom="paragraph">
              <wp:posOffset>39370</wp:posOffset>
            </wp:positionV>
            <wp:extent cx="4184650" cy="3864610"/>
            <wp:effectExtent l="0" t="0" r="6350" b="2540"/>
            <wp:wrapTight wrapText="bothSides">
              <wp:wrapPolygon edited="0">
                <wp:start x="0" y="0"/>
                <wp:lineTo x="0" y="21508"/>
                <wp:lineTo x="21534" y="21508"/>
                <wp:lineTo x="21534"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4650" cy="3864610"/>
                    </a:xfrm>
                    <a:prstGeom prst="rect">
                      <a:avLst/>
                    </a:prstGeom>
                    <a:noFill/>
                  </pic:spPr>
                </pic:pic>
              </a:graphicData>
            </a:graphic>
            <wp14:sizeRelH relativeFrom="page">
              <wp14:pctWidth>0</wp14:pctWidth>
            </wp14:sizeRelH>
            <wp14:sizeRelV relativeFrom="page">
              <wp14:pctHeight>0</wp14:pctHeight>
            </wp14:sizeRelV>
          </wp:anchor>
        </w:drawing>
      </w:r>
      <w:r w:rsidRPr="000030B5">
        <w:rPr>
          <w:rFonts w:ascii="Calibri" w:hAnsi="Calibri"/>
          <w:sz w:val="22"/>
          <w:szCs w:val="22"/>
        </w:rPr>
        <w:t xml:space="preserve">Over </w:t>
      </w:r>
      <w:r>
        <w:rPr>
          <w:rFonts w:ascii="Calibri" w:hAnsi="Calibri"/>
          <w:sz w:val="22"/>
          <w:szCs w:val="22"/>
        </w:rPr>
        <w:t>one-</w:t>
      </w:r>
      <w:r w:rsidRPr="000030B5">
        <w:rPr>
          <w:rFonts w:ascii="Calibri" w:hAnsi="Calibri"/>
          <w:sz w:val="22"/>
          <w:szCs w:val="22"/>
        </w:rPr>
        <w:t>quarter (2</w:t>
      </w:r>
      <w:r>
        <w:rPr>
          <w:rFonts w:ascii="Calibri" w:hAnsi="Calibri"/>
          <w:sz w:val="22"/>
          <w:szCs w:val="22"/>
        </w:rPr>
        <w:t>9</w:t>
      </w:r>
      <w:r w:rsidRPr="000030B5">
        <w:rPr>
          <w:rFonts w:ascii="Calibri" w:hAnsi="Calibri"/>
          <w:sz w:val="22"/>
          <w:szCs w:val="22"/>
        </w:rPr>
        <w:t>%) of residents aged 70</w:t>
      </w:r>
      <w:r>
        <w:rPr>
          <w:rFonts w:ascii="Calibri" w:hAnsi="Calibri"/>
          <w:sz w:val="22"/>
          <w:szCs w:val="22"/>
        </w:rPr>
        <w:t xml:space="preserve"> or more </w:t>
      </w:r>
      <w:r w:rsidRPr="000030B5">
        <w:rPr>
          <w:rFonts w:ascii="Calibri" w:hAnsi="Calibri"/>
          <w:sz w:val="22"/>
          <w:szCs w:val="22"/>
        </w:rPr>
        <w:t>ha</w:t>
      </w:r>
      <w:r>
        <w:rPr>
          <w:rFonts w:ascii="Calibri" w:hAnsi="Calibri"/>
          <w:sz w:val="22"/>
          <w:szCs w:val="22"/>
        </w:rPr>
        <w:t>s</w:t>
      </w:r>
      <w:r w:rsidRPr="000030B5">
        <w:rPr>
          <w:rFonts w:ascii="Calibri" w:hAnsi="Calibri"/>
          <w:sz w:val="22"/>
          <w:szCs w:val="22"/>
        </w:rPr>
        <w:t xml:space="preserve"> limited fluency in the use of spoken English, the highest proportion in Victoria.</w:t>
      </w:r>
      <w:r>
        <w:rPr>
          <w:rFonts w:ascii="Calibri" w:hAnsi="Calibri"/>
          <w:sz w:val="22"/>
          <w:szCs w:val="22"/>
        </w:rPr>
        <w:t xml:space="preserve"> These include over four-fifths </w:t>
      </w:r>
      <w:r w:rsidRPr="000030B5">
        <w:rPr>
          <w:rFonts w:ascii="Calibri" w:hAnsi="Calibri"/>
          <w:sz w:val="22"/>
          <w:szCs w:val="22"/>
        </w:rPr>
        <w:t xml:space="preserve">of </w:t>
      </w:r>
      <w:r>
        <w:rPr>
          <w:rFonts w:ascii="Calibri" w:hAnsi="Calibri"/>
          <w:sz w:val="22"/>
          <w:szCs w:val="22"/>
        </w:rPr>
        <w:t>those</w:t>
      </w:r>
      <w:r w:rsidRPr="000030B5">
        <w:rPr>
          <w:rFonts w:ascii="Calibri" w:hAnsi="Calibri"/>
          <w:sz w:val="22"/>
          <w:szCs w:val="22"/>
        </w:rPr>
        <w:t xml:space="preserve"> who speak Cantonese, Khmer, Mandarin </w:t>
      </w:r>
      <w:r>
        <w:rPr>
          <w:rFonts w:ascii="Calibri" w:hAnsi="Calibri"/>
          <w:sz w:val="22"/>
          <w:szCs w:val="22"/>
        </w:rPr>
        <w:t xml:space="preserve">and </w:t>
      </w:r>
      <w:r w:rsidRPr="000030B5">
        <w:rPr>
          <w:rFonts w:ascii="Calibri" w:hAnsi="Calibri"/>
          <w:sz w:val="22"/>
          <w:szCs w:val="22"/>
        </w:rPr>
        <w:t>Vietnamese</w:t>
      </w:r>
      <w:r>
        <w:rPr>
          <w:rFonts w:ascii="Calibri" w:hAnsi="Calibri"/>
          <w:sz w:val="22"/>
          <w:szCs w:val="22"/>
        </w:rPr>
        <w:t>.</w:t>
      </w:r>
    </w:p>
    <w:p w14:paraId="54B9673C" w14:textId="77777777" w:rsidR="001D1DE0" w:rsidRDefault="001D1DE0" w:rsidP="001D1DE0">
      <w:pPr>
        <w:tabs>
          <w:tab w:val="left" w:pos="284"/>
        </w:tabs>
        <w:spacing w:line="360" w:lineRule="auto"/>
        <w:jc w:val="both"/>
        <w:rPr>
          <w:rFonts w:ascii="Calibri" w:hAnsi="Calibri"/>
          <w:sz w:val="22"/>
          <w:szCs w:val="22"/>
        </w:rPr>
      </w:pPr>
    </w:p>
    <w:p w14:paraId="67BA3C0A" w14:textId="77777777" w:rsidR="001D1DE0" w:rsidRPr="00C9604B" w:rsidRDefault="001D1DE0" w:rsidP="001D1DE0">
      <w:pPr>
        <w:tabs>
          <w:tab w:val="left" w:pos="284"/>
        </w:tabs>
        <w:jc w:val="both"/>
        <w:rPr>
          <w:rFonts w:ascii="Calibri" w:hAnsi="Calibri"/>
          <w:color w:val="7F7F7F"/>
          <w:sz w:val="20"/>
          <w:szCs w:val="20"/>
        </w:rPr>
      </w:pPr>
      <w:r w:rsidRPr="00C9604B">
        <w:rPr>
          <w:rFonts w:ascii="Calibri" w:hAnsi="Calibri"/>
          <w:color w:val="7F7F7F"/>
          <w:sz w:val="20"/>
          <w:szCs w:val="20"/>
        </w:rPr>
        <w:t>Per cent of residents aged 70 years or more, who have limited English fluency, by age, 2016</w:t>
      </w:r>
    </w:p>
    <w:p w14:paraId="6E9E4444" w14:textId="77777777" w:rsidR="001D1DE0" w:rsidRDefault="001D1DE0" w:rsidP="001D1DE0">
      <w:pPr>
        <w:tabs>
          <w:tab w:val="left" w:pos="284"/>
        </w:tabs>
        <w:spacing w:line="360" w:lineRule="auto"/>
        <w:jc w:val="both"/>
        <w:rPr>
          <w:rFonts w:ascii="Calibri" w:hAnsi="Calibri"/>
          <w:sz w:val="22"/>
          <w:szCs w:val="22"/>
        </w:rPr>
      </w:pPr>
    </w:p>
    <w:p w14:paraId="48ADCF7A" w14:textId="77777777" w:rsidR="001D1DE0" w:rsidRDefault="001D1DE0" w:rsidP="001D1DE0">
      <w:pPr>
        <w:tabs>
          <w:tab w:val="left" w:pos="284"/>
        </w:tabs>
        <w:spacing w:line="360" w:lineRule="auto"/>
        <w:jc w:val="both"/>
        <w:rPr>
          <w:rFonts w:ascii="Calibri" w:hAnsi="Calibri"/>
          <w:sz w:val="22"/>
          <w:szCs w:val="22"/>
        </w:rPr>
      </w:pPr>
    </w:p>
    <w:p w14:paraId="4EFD4F04" w14:textId="77777777" w:rsidR="001D1DE0" w:rsidRDefault="001D1DE0" w:rsidP="001D1DE0">
      <w:pPr>
        <w:tabs>
          <w:tab w:val="left" w:pos="284"/>
        </w:tabs>
        <w:spacing w:line="360" w:lineRule="auto"/>
        <w:jc w:val="both"/>
        <w:rPr>
          <w:rFonts w:ascii="Calibri" w:hAnsi="Calibri"/>
          <w:sz w:val="22"/>
          <w:szCs w:val="22"/>
        </w:rPr>
      </w:pPr>
    </w:p>
    <w:p w14:paraId="66CD222B" w14:textId="77777777" w:rsidR="001D1DE0" w:rsidRDefault="001D1DE0" w:rsidP="001D1DE0">
      <w:pPr>
        <w:tabs>
          <w:tab w:val="left" w:pos="284"/>
        </w:tabs>
        <w:spacing w:line="360" w:lineRule="auto"/>
        <w:jc w:val="both"/>
        <w:rPr>
          <w:rFonts w:ascii="Calibri" w:hAnsi="Calibri"/>
          <w:sz w:val="22"/>
          <w:szCs w:val="22"/>
        </w:rPr>
      </w:pPr>
    </w:p>
    <w:p w14:paraId="66A4C407" w14:textId="77777777" w:rsidR="001D1DE0" w:rsidRDefault="001D1DE0" w:rsidP="001D1DE0">
      <w:pPr>
        <w:tabs>
          <w:tab w:val="left" w:pos="284"/>
        </w:tabs>
        <w:spacing w:line="360" w:lineRule="auto"/>
        <w:jc w:val="both"/>
        <w:rPr>
          <w:rFonts w:ascii="Calibri" w:hAnsi="Calibri"/>
          <w:sz w:val="22"/>
          <w:szCs w:val="22"/>
        </w:rPr>
      </w:pPr>
    </w:p>
    <w:p w14:paraId="5A013CC6" w14:textId="77777777" w:rsidR="001D1DE0" w:rsidRDefault="001D1DE0" w:rsidP="001D1DE0">
      <w:pPr>
        <w:tabs>
          <w:tab w:val="left" w:pos="284"/>
          <w:tab w:val="left" w:pos="5245"/>
        </w:tabs>
        <w:spacing w:line="360" w:lineRule="auto"/>
        <w:jc w:val="both"/>
        <w:rPr>
          <w:rFonts w:ascii="Calibri" w:hAnsi="Calibri"/>
          <w:b/>
          <w:sz w:val="22"/>
          <w:szCs w:val="22"/>
        </w:rPr>
      </w:pPr>
      <w:r w:rsidRPr="000030B5">
        <w:rPr>
          <w:rFonts w:ascii="Calibri" w:hAnsi="Calibri"/>
          <w:b/>
          <w:sz w:val="22"/>
          <w:szCs w:val="22"/>
        </w:rPr>
        <w:lastRenderedPageBreak/>
        <w:t>Household Types</w:t>
      </w:r>
    </w:p>
    <w:p w14:paraId="7C8557E9" w14:textId="77777777" w:rsidR="001D1DE0" w:rsidRDefault="001D1DE0" w:rsidP="001D1DE0">
      <w:pPr>
        <w:tabs>
          <w:tab w:val="left" w:pos="284"/>
          <w:tab w:val="left" w:pos="5670"/>
        </w:tabs>
        <w:jc w:val="both"/>
        <w:rPr>
          <w:rFonts w:ascii="Calibri" w:hAnsi="Calibri"/>
          <w:color w:val="7F7F7F"/>
          <w:sz w:val="20"/>
          <w:szCs w:val="20"/>
        </w:rPr>
      </w:pPr>
      <w:r w:rsidRPr="0074374B">
        <w:rPr>
          <w:rFonts w:ascii="Calibri" w:hAnsi="Calibri"/>
          <w:color w:val="7F7F7F"/>
          <w:sz w:val="20"/>
          <w:szCs w:val="20"/>
        </w:rPr>
        <w:t>Household Types, Persons aged 70+ and living in a private dwelling, 2016</w:t>
      </w:r>
    </w:p>
    <w:p w14:paraId="228A79A3" w14:textId="77777777" w:rsidR="001D1DE0" w:rsidRDefault="001D1DE0" w:rsidP="001D1DE0">
      <w:pPr>
        <w:tabs>
          <w:tab w:val="left" w:pos="284"/>
          <w:tab w:val="left" w:pos="5670"/>
        </w:tabs>
        <w:jc w:val="both"/>
        <w:rPr>
          <w:rFonts w:ascii="Calibri" w:hAnsi="Calibri"/>
          <w:sz w:val="20"/>
          <w:szCs w:val="20"/>
        </w:rPr>
      </w:pPr>
      <w:r>
        <w:rPr>
          <w:rFonts w:ascii="Calibri" w:hAnsi="Calibri"/>
          <w:noProof/>
          <w:sz w:val="22"/>
          <w:szCs w:val="22"/>
          <w:lang w:eastAsia="en-AU"/>
        </w:rPr>
        <w:drawing>
          <wp:anchor distT="0" distB="0" distL="114300" distR="114300" simplePos="0" relativeHeight="251662336" behindDoc="1" locked="0" layoutInCell="1" allowOverlap="1" wp14:anchorId="190E23A3" wp14:editId="4E79F2E4">
            <wp:simplePos x="0" y="0"/>
            <wp:positionH relativeFrom="column">
              <wp:posOffset>3175</wp:posOffset>
            </wp:positionH>
            <wp:positionV relativeFrom="paragraph">
              <wp:posOffset>137795</wp:posOffset>
            </wp:positionV>
            <wp:extent cx="3261360" cy="1840865"/>
            <wp:effectExtent l="0" t="0" r="0" b="6985"/>
            <wp:wrapTight wrapText="bothSides">
              <wp:wrapPolygon edited="0">
                <wp:start x="0" y="0"/>
                <wp:lineTo x="0" y="21458"/>
                <wp:lineTo x="21449" y="21458"/>
                <wp:lineTo x="2144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l="5093" t="3281" r="7307" b="8792"/>
                    <a:stretch>
                      <a:fillRect/>
                    </a:stretch>
                  </pic:blipFill>
                  <pic:spPr bwMode="auto">
                    <a:xfrm>
                      <a:off x="0" y="0"/>
                      <a:ext cx="3261360" cy="1840865"/>
                    </a:xfrm>
                    <a:prstGeom prst="rect">
                      <a:avLst/>
                    </a:prstGeom>
                    <a:noFill/>
                  </pic:spPr>
                </pic:pic>
              </a:graphicData>
            </a:graphic>
            <wp14:sizeRelH relativeFrom="page">
              <wp14:pctWidth>0</wp14:pctWidth>
            </wp14:sizeRelH>
            <wp14:sizeRelV relativeFrom="page">
              <wp14:pctHeight>0</wp14:pctHeight>
            </wp14:sizeRelV>
          </wp:anchor>
        </w:drawing>
      </w:r>
    </w:p>
    <w:p w14:paraId="35691C96" w14:textId="77777777" w:rsidR="001D1DE0" w:rsidRDefault="001D1DE0" w:rsidP="001D1DE0">
      <w:pPr>
        <w:tabs>
          <w:tab w:val="left" w:pos="284"/>
          <w:tab w:val="left" w:pos="5670"/>
        </w:tabs>
        <w:jc w:val="both"/>
        <w:rPr>
          <w:rFonts w:ascii="Calibri" w:hAnsi="Calibri"/>
          <w:sz w:val="20"/>
          <w:szCs w:val="20"/>
        </w:rPr>
      </w:pPr>
    </w:p>
    <w:p w14:paraId="1C7A6D14" w14:textId="77777777" w:rsidR="001D1DE0" w:rsidRPr="0074374B" w:rsidRDefault="001D1DE0" w:rsidP="001D1DE0">
      <w:pPr>
        <w:tabs>
          <w:tab w:val="left" w:pos="284"/>
          <w:tab w:val="left" w:pos="5670"/>
        </w:tabs>
        <w:jc w:val="both"/>
        <w:rPr>
          <w:rFonts w:ascii="Calibri" w:hAnsi="Calibri"/>
          <w:sz w:val="20"/>
          <w:szCs w:val="20"/>
        </w:rPr>
      </w:pPr>
    </w:p>
    <w:p w14:paraId="1FB74FCA" w14:textId="77777777" w:rsidR="001D1DE0" w:rsidRPr="000030B5" w:rsidRDefault="001D1DE0" w:rsidP="001D1DE0">
      <w:pPr>
        <w:tabs>
          <w:tab w:val="left" w:pos="284"/>
          <w:tab w:val="left" w:pos="5670"/>
        </w:tabs>
        <w:spacing w:line="360" w:lineRule="auto"/>
        <w:jc w:val="both"/>
        <w:rPr>
          <w:rFonts w:ascii="Calibri" w:hAnsi="Calibri"/>
          <w:sz w:val="22"/>
          <w:szCs w:val="22"/>
        </w:rPr>
      </w:pPr>
      <w:r w:rsidRPr="000030B5">
        <w:rPr>
          <w:rFonts w:ascii="Calibri" w:hAnsi="Calibri"/>
          <w:sz w:val="22"/>
          <w:szCs w:val="22"/>
        </w:rPr>
        <w:t>More than half (5</w:t>
      </w:r>
      <w:r>
        <w:rPr>
          <w:rFonts w:ascii="Calibri" w:hAnsi="Calibri"/>
          <w:sz w:val="22"/>
          <w:szCs w:val="22"/>
        </w:rPr>
        <w:t>4</w:t>
      </w:r>
      <w:r w:rsidRPr="000030B5">
        <w:rPr>
          <w:rFonts w:ascii="Calibri" w:hAnsi="Calibri"/>
          <w:sz w:val="22"/>
          <w:szCs w:val="22"/>
        </w:rPr>
        <w:t xml:space="preserve">%) of older </w:t>
      </w:r>
      <w:r>
        <w:rPr>
          <w:rFonts w:ascii="Calibri" w:hAnsi="Calibri"/>
          <w:sz w:val="22"/>
          <w:szCs w:val="22"/>
        </w:rPr>
        <w:t>residents aged 70 or more, live with a partner and</w:t>
      </w:r>
      <w:r w:rsidRPr="000030B5">
        <w:rPr>
          <w:rFonts w:ascii="Calibri" w:hAnsi="Calibri"/>
          <w:sz w:val="22"/>
          <w:szCs w:val="22"/>
        </w:rPr>
        <w:t xml:space="preserve"> </w:t>
      </w:r>
      <w:r>
        <w:rPr>
          <w:rFonts w:ascii="Calibri" w:hAnsi="Calibri"/>
          <w:sz w:val="22"/>
          <w:szCs w:val="22"/>
        </w:rPr>
        <w:t xml:space="preserve">just over </w:t>
      </w:r>
      <w:r w:rsidRPr="000030B5">
        <w:rPr>
          <w:rFonts w:ascii="Calibri" w:hAnsi="Calibri"/>
          <w:sz w:val="22"/>
          <w:szCs w:val="22"/>
        </w:rPr>
        <w:t>a quarter (2</w:t>
      </w:r>
      <w:r>
        <w:rPr>
          <w:rFonts w:ascii="Calibri" w:hAnsi="Calibri"/>
          <w:sz w:val="22"/>
          <w:szCs w:val="22"/>
        </w:rPr>
        <w:t>6</w:t>
      </w:r>
      <w:r w:rsidRPr="000030B5">
        <w:rPr>
          <w:rFonts w:ascii="Calibri" w:hAnsi="Calibri"/>
          <w:sz w:val="22"/>
          <w:szCs w:val="22"/>
        </w:rPr>
        <w:t xml:space="preserve">%) alone. </w:t>
      </w:r>
      <w:r>
        <w:rPr>
          <w:rFonts w:ascii="Calibri" w:hAnsi="Calibri"/>
          <w:sz w:val="22"/>
          <w:szCs w:val="22"/>
        </w:rPr>
        <w:t>O</w:t>
      </w:r>
      <w:r w:rsidRPr="000030B5">
        <w:rPr>
          <w:rFonts w:ascii="Calibri" w:hAnsi="Calibri"/>
          <w:sz w:val="22"/>
          <w:szCs w:val="22"/>
        </w:rPr>
        <w:t xml:space="preserve">thers </w:t>
      </w:r>
      <w:r>
        <w:rPr>
          <w:rFonts w:ascii="Calibri" w:hAnsi="Calibri"/>
          <w:sz w:val="22"/>
          <w:szCs w:val="22"/>
        </w:rPr>
        <w:t>reside with their children or</w:t>
      </w:r>
      <w:r w:rsidRPr="000030B5">
        <w:rPr>
          <w:rFonts w:ascii="Calibri" w:hAnsi="Calibri"/>
          <w:sz w:val="22"/>
          <w:szCs w:val="22"/>
        </w:rPr>
        <w:t xml:space="preserve"> other relatives</w:t>
      </w:r>
      <w:r>
        <w:rPr>
          <w:rFonts w:ascii="Calibri" w:hAnsi="Calibri"/>
          <w:sz w:val="22"/>
          <w:szCs w:val="22"/>
        </w:rPr>
        <w:t>.</w:t>
      </w:r>
    </w:p>
    <w:p w14:paraId="567CC2B6" w14:textId="77777777" w:rsidR="001D1DE0" w:rsidRPr="000030B5" w:rsidRDefault="001D1DE0" w:rsidP="001D1DE0">
      <w:pPr>
        <w:tabs>
          <w:tab w:val="left" w:pos="284"/>
        </w:tabs>
        <w:spacing w:line="360" w:lineRule="auto"/>
        <w:jc w:val="both"/>
        <w:rPr>
          <w:rFonts w:ascii="Calibri" w:hAnsi="Calibri"/>
          <w:sz w:val="22"/>
          <w:szCs w:val="22"/>
        </w:rPr>
      </w:pPr>
      <w:r>
        <w:rPr>
          <w:rFonts w:ascii="Calibri" w:hAnsi="Calibri"/>
          <w:b/>
          <w:noProof/>
          <w:sz w:val="22"/>
          <w:szCs w:val="22"/>
        </w:rPr>
        <w:drawing>
          <wp:anchor distT="0" distB="0" distL="114300" distR="114300" simplePos="0" relativeHeight="251663360" behindDoc="0" locked="0" layoutInCell="1" allowOverlap="1" wp14:anchorId="3767E407" wp14:editId="27A3BA29">
            <wp:simplePos x="0" y="0"/>
            <wp:positionH relativeFrom="column">
              <wp:posOffset>3884930</wp:posOffset>
            </wp:positionH>
            <wp:positionV relativeFrom="line">
              <wp:posOffset>199390</wp:posOffset>
            </wp:positionV>
            <wp:extent cx="1323340" cy="880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ily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3340" cy="8801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B46A127" w14:textId="77777777" w:rsidR="001D1DE0" w:rsidRDefault="001D1DE0" w:rsidP="001D1DE0">
      <w:pPr>
        <w:tabs>
          <w:tab w:val="left" w:pos="284"/>
        </w:tabs>
        <w:spacing w:line="360" w:lineRule="auto"/>
        <w:jc w:val="both"/>
        <w:rPr>
          <w:rFonts w:ascii="Calibri" w:hAnsi="Calibri"/>
          <w:b/>
          <w:sz w:val="22"/>
          <w:szCs w:val="22"/>
        </w:rPr>
      </w:pPr>
    </w:p>
    <w:p w14:paraId="2FA11143" w14:textId="77777777" w:rsidR="001D1DE0" w:rsidRDefault="001D1DE0" w:rsidP="001D1DE0">
      <w:pPr>
        <w:tabs>
          <w:tab w:val="left" w:pos="284"/>
        </w:tabs>
        <w:spacing w:line="360" w:lineRule="auto"/>
        <w:jc w:val="both"/>
        <w:rPr>
          <w:rFonts w:ascii="Calibri" w:hAnsi="Calibri"/>
          <w:b/>
          <w:sz w:val="22"/>
          <w:szCs w:val="22"/>
        </w:rPr>
      </w:pPr>
    </w:p>
    <w:p w14:paraId="512004BD" w14:textId="77777777" w:rsidR="001D1DE0" w:rsidRDefault="001D1DE0" w:rsidP="001D1DE0">
      <w:pPr>
        <w:tabs>
          <w:tab w:val="left" w:pos="284"/>
        </w:tabs>
        <w:spacing w:line="360" w:lineRule="auto"/>
        <w:jc w:val="both"/>
        <w:rPr>
          <w:rFonts w:ascii="Calibri" w:hAnsi="Calibri"/>
          <w:b/>
          <w:sz w:val="22"/>
          <w:szCs w:val="22"/>
        </w:rPr>
      </w:pPr>
    </w:p>
    <w:p w14:paraId="5462B8DA" w14:textId="77777777" w:rsidR="001D1DE0" w:rsidRDefault="001D1DE0" w:rsidP="001D1DE0">
      <w:pPr>
        <w:tabs>
          <w:tab w:val="left" w:pos="284"/>
        </w:tabs>
        <w:spacing w:line="360" w:lineRule="auto"/>
        <w:jc w:val="both"/>
        <w:rPr>
          <w:rFonts w:ascii="Calibri" w:hAnsi="Calibri"/>
          <w:b/>
          <w:sz w:val="22"/>
          <w:szCs w:val="22"/>
        </w:rPr>
      </w:pPr>
    </w:p>
    <w:p w14:paraId="6A5A5624" w14:textId="77777777" w:rsidR="001D1DE0" w:rsidRDefault="001D1DE0" w:rsidP="001D1DE0">
      <w:pPr>
        <w:tabs>
          <w:tab w:val="left" w:pos="284"/>
        </w:tabs>
        <w:spacing w:line="360" w:lineRule="auto"/>
        <w:jc w:val="both"/>
        <w:rPr>
          <w:rFonts w:ascii="Calibri" w:hAnsi="Calibri"/>
          <w:b/>
          <w:sz w:val="22"/>
          <w:szCs w:val="22"/>
        </w:rPr>
      </w:pPr>
    </w:p>
    <w:p w14:paraId="26A77FD7" w14:textId="77777777" w:rsidR="001D1DE0" w:rsidRPr="00A5391C" w:rsidRDefault="001D1DE0" w:rsidP="001D1DE0">
      <w:pPr>
        <w:tabs>
          <w:tab w:val="left" w:pos="284"/>
        </w:tabs>
        <w:spacing w:line="360" w:lineRule="auto"/>
        <w:jc w:val="both"/>
        <w:rPr>
          <w:rFonts w:ascii="Calibri" w:hAnsi="Calibri"/>
          <w:b/>
          <w:sz w:val="22"/>
          <w:szCs w:val="22"/>
        </w:rPr>
      </w:pPr>
      <w:r w:rsidRPr="00A5391C">
        <w:rPr>
          <w:rFonts w:ascii="Calibri" w:hAnsi="Calibri"/>
          <w:b/>
          <w:sz w:val="22"/>
          <w:szCs w:val="22"/>
        </w:rPr>
        <w:t xml:space="preserve">Incomes, Employment and Welfare Dependence </w:t>
      </w:r>
    </w:p>
    <w:p w14:paraId="02E03001" w14:textId="77777777" w:rsidR="001D1DE0" w:rsidRDefault="001D1DE0" w:rsidP="001D1DE0">
      <w:pPr>
        <w:jc w:val="both"/>
        <w:rPr>
          <w:rFonts w:ascii="Garamond" w:hAnsi="Garamond"/>
          <w:sz w:val="6"/>
          <w:szCs w:val="6"/>
          <w:lang w:val="en-US"/>
        </w:rPr>
      </w:pPr>
    </w:p>
    <w:p w14:paraId="6D9E421E" w14:textId="77777777" w:rsidR="001D1DE0" w:rsidRPr="00A5391C" w:rsidRDefault="001D1DE0" w:rsidP="001D1DE0">
      <w:pPr>
        <w:tabs>
          <w:tab w:val="left" w:pos="284"/>
        </w:tabs>
        <w:spacing w:before="120" w:line="360" w:lineRule="auto"/>
        <w:jc w:val="both"/>
        <w:rPr>
          <w:rFonts w:ascii="Calibri" w:hAnsi="Calibri"/>
          <w:i/>
          <w:sz w:val="22"/>
          <w:szCs w:val="22"/>
        </w:rPr>
      </w:pPr>
      <w:r w:rsidRPr="00A5391C">
        <w:rPr>
          <w:rFonts w:ascii="Calibri" w:hAnsi="Calibri"/>
          <w:i/>
          <w:sz w:val="22"/>
          <w:szCs w:val="22"/>
        </w:rPr>
        <w:t>Incomes and employment</w:t>
      </w:r>
    </w:p>
    <w:p w14:paraId="6B5B7C19" w14:textId="77777777" w:rsidR="001D1DE0" w:rsidRPr="002B445E" w:rsidRDefault="001D1DE0" w:rsidP="001D1DE0">
      <w:pPr>
        <w:tabs>
          <w:tab w:val="left" w:pos="284"/>
        </w:tabs>
        <w:spacing w:line="360" w:lineRule="auto"/>
        <w:jc w:val="both"/>
        <w:rPr>
          <w:rFonts w:ascii="Calibri" w:hAnsi="Calibri"/>
          <w:sz w:val="22"/>
          <w:szCs w:val="22"/>
        </w:rPr>
      </w:pPr>
      <w:r w:rsidRPr="00A5391C">
        <w:rPr>
          <w:rFonts w:ascii="Calibri" w:hAnsi="Calibri"/>
          <w:sz w:val="22"/>
          <w:szCs w:val="22"/>
        </w:rPr>
        <w:t>At $</w:t>
      </w:r>
      <w:r>
        <w:rPr>
          <w:rFonts w:ascii="Calibri" w:hAnsi="Calibri"/>
          <w:sz w:val="22"/>
          <w:szCs w:val="22"/>
        </w:rPr>
        <w:t>554</w:t>
      </w:r>
      <w:r w:rsidRPr="00A5391C">
        <w:rPr>
          <w:rFonts w:ascii="Calibri" w:hAnsi="Calibri"/>
          <w:sz w:val="22"/>
          <w:szCs w:val="22"/>
        </w:rPr>
        <w:t>, the median income among Greater Dandenong residents aged 55-59, and therefore approaching retirement, was the lowest in Melbourne in 201</w:t>
      </w:r>
      <w:r>
        <w:rPr>
          <w:rFonts w:ascii="Calibri" w:hAnsi="Calibri"/>
          <w:sz w:val="22"/>
          <w:szCs w:val="22"/>
        </w:rPr>
        <w:t>6</w:t>
      </w:r>
      <w:r w:rsidRPr="00A5391C">
        <w:rPr>
          <w:rFonts w:ascii="Calibri" w:hAnsi="Calibri"/>
          <w:sz w:val="22"/>
          <w:szCs w:val="22"/>
        </w:rPr>
        <w:t>, and substantially less than the corresponding Victorian median of $</w:t>
      </w:r>
      <w:r>
        <w:rPr>
          <w:rFonts w:ascii="Calibri" w:hAnsi="Calibri"/>
          <w:sz w:val="22"/>
          <w:szCs w:val="22"/>
        </w:rPr>
        <w:t>819</w:t>
      </w:r>
      <w:r w:rsidRPr="00A5391C">
        <w:rPr>
          <w:rFonts w:ascii="Calibri" w:hAnsi="Calibri"/>
          <w:sz w:val="22"/>
          <w:szCs w:val="22"/>
        </w:rPr>
        <w:t xml:space="preserve">. Among people </w:t>
      </w:r>
      <w:r>
        <w:rPr>
          <w:rFonts w:ascii="Calibri" w:hAnsi="Calibri"/>
          <w:sz w:val="22"/>
          <w:szCs w:val="22"/>
        </w:rPr>
        <w:t>aged 55 to 59 years</w:t>
      </w:r>
      <w:r w:rsidRPr="00A5391C">
        <w:rPr>
          <w:rFonts w:ascii="Calibri" w:hAnsi="Calibri"/>
          <w:sz w:val="22"/>
          <w:szCs w:val="22"/>
        </w:rPr>
        <w:t xml:space="preserve"> in Greater Dandenong, 5</w:t>
      </w:r>
      <w:r>
        <w:rPr>
          <w:rFonts w:ascii="Calibri" w:hAnsi="Calibri"/>
          <w:sz w:val="22"/>
          <w:szCs w:val="22"/>
        </w:rPr>
        <w:t>4</w:t>
      </w:r>
      <w:r w:rsidRPr="00A5391C">
        <w:rPr>
          <w:rFonts w:ascii="Calibri" w:hAnsi="Calibri"/>
          <w:sz w:val="22"/>
          <w:szCs w:val="22"/>
        </w:rPr>
        <w:t>% were in paid employment</w:t>
      </w:r>
      <w:r>
        <w:rPr>
          <w:rFonts w:ascii="Calibri" w:hAnsi="Calibri"/>
          <w:sz w:val="22"/>
          <w:szCs w:val="22"/>
        </w:rPr>
        <w:t xml:space="preserve"> in 2016</w:t>
      </w:r>
      <w:r w:rsidRPr="00A5391C">
        <w:rPr>
          <w:rFonts w:ascii="Calibri" w:hAnsi="Calibri"/>
          <w:sz w:val="22"/>
          <w:szCs w:val="22"/>
        </w:rPr>
        <w:t xml:space="preserve">, compared with a metropolitan level of </w:t>
      </w:r>
      <w:r>
        <w:rPr>
          <w:rFonts w:ascii="Calibri" w:hAnsi="Calibri"/>
          <w:sz w:val="22"/>
          <w:szCs w:val="22"/>
        </w:rPr>
        <w:t>69</w:t>
      </w:r>
      <w:r w:rsidRPr="00A5391C">
        <w:rPr>
          <w:rFonts w:ascii="Calibri" w:hAnsi="Calibri"/>
          <w:sz w:val="22"/>
          <w:szCs w:val="22"/>
        </w:rPr>
        <w:t>%.</w:t>
      </w:r>
      <w:r>
        <w:rPr>
          <w:rFonts w:ascii="Calibri" w:hAnsi="Calibri"/>
          <w:sz w:val="22"/>
          <w:szCs w:val="22"/>
        </w:rPr>
        <w:t xml:space="preserve"> </w:t>
      </w:r>
      <w:r w:rsidRPr="002B445E">
        <w:rPr>
          <w:rFonts w:ascii="Calibri" w:hAnsi="Calibri"/>
          <w:sz w:val="22"/>
          <w:szCs w:val="22"/>
        </w:rPr>
        <w:t>Consequently a substantial proportion of residents reach older age with limited savings, exposing them to the risk of financial hardship</w:t>
      </w:r>
      <w:r>
        <w:rPr>
          <w:rFonts w:ascii="Calibri" w:hAnsi="Calibri"/>
          <w:sz w:val="22"/>
          <w:szCs w:val="22"/>
        </w:rPr>
        <w:t xml:space="preserve"> in retirement</w:t>
      </w:r>
      <w:r w:rsidRPr="002B445E">
        <w:rPr>
          <w:rFonts w:ascii="Calibri" w:hAnsi="Calibri"/>
          <w:sz w:val="22"/>
          <w:szCs w:val="22"/>
        </w:rPr>
        <w:t xml:space="preserve">. </w:t>
      </w:r>
    </w:p>
    <w:p w14:paraId="2FB4BDF3" w14:textId="77777777" w:rsidR="001D1DE0" w:rsidRPr="00A5391C" w:rsidRDefault="001D1DE0" w:rsidP="001D1DE0">
      <w:pPr>
        <w:tabs>
          <w:tab w:val="left" w:pos="284"/>
        </w:tabs>
        <w:spacing w:before="120" w:line="360" w:lineRule="auto"/>
        <w:jc w:val="both"/>
        <w:rPr>
          <w:rFonts w:ascii="Calibri" w:hAnsi="Calibri"/>
          <w:i/>
          <w:sz w:val="22"/>
          <w:szCs w:val="22"/>
        </w:rPr>
      </w:pPr>
      <w:r w:rsidRPr="00A5391C">
        <w:rPr>
          <w:rFonts w:ascii="Calibri" w:hAnsi="Calibri"/>
          <w:i/>
          <w:sz w:val="22"/>
          <w:szCs w:val="22"/>
        </w:rPr>
        <w:t>Pensions</w:t>
      </w:r>
    </w:p>
    <w:p w14:paraId="43E7D849" w14:textId="77777777" w:rsidR="001D1DE0" w:rsidRPr="00A5391C" w:rsidRDefault="001D1DE0" w:rsidP="001D1DE0">
      <w:pPr>
        <w:tabs>
          <w:tab w:val="left" w:pos="284"/>
        </w:tabs>
        <w:spacing w:line="360" w:lineRule="auto"/>
        <w:jc w:val="both"/>
        <w:rPr>
          <w:rFonts w:ascii="Calibri" w:hAnsi="Calibri"/>
          <w:sz w:val="22"/>
          <w:szCs w:val="22"/>
        </w:rPr>
      </w:pPr>
      <w:r w:rsidRPr="00A5391C">
        <w:rPr>
          <w:rFonts w:ascii="Calibri" w:hAnsi="Calibri"/>
          <w:sz w:val="22"/>
          <w:szCs w:val="22"/>
        </w:rPr>
        <w:t xml:space="preserve">In </w:t>
      </w:r>
      <w:r>
        <w:rPr>
          <w:rFonts w:ascii="Calibri" w:hAnsi="Calibri"/>
          <w:sz w:val="22"/>
          <w:szCs w:val="22"/>
        </w:rPr>
        <w:t>June</w:t>
      </w:r>
      <w:r w:rsidRPr="00A5391C">
        <w:rPr>
          <w:rFonts w:ascii="Calibri" w:hAnsi="Calibri"/>
          <w:sz w:val="22"/>
          <w:szCs w:val="22"/>
        </w:rPr>
        <w:t xml:space="preserve"> 20</w:t>
      </w:r>
      <w:r>
        <w:rPr>
          <w:rFonts w:ascii="Calibri" w:hAnsi="Calibri"/>
          <w:sz w:val="22"/>
          <w:szCs w:val="22"/>
        </w:rPr>
        <w:t>20</w:t>
      </w:r>
      <w:r w:rsidRPr="00A5391C">
        <w:rPr>
          <w:rFonts w:ascii="Calibri" w:hAnsi="Calibri"/>
          <w:sz w:val="22"/>
          <w:szCs w:val="22"/>
        </w:rPr>
        <w:t xml:space="preserve">, the ratio of Aged Pension recipients to persons aged 65 years or more in Greater Dandenong </w:t>
      </w:r>
      <w:r>
        <w:rPr>
          <w:rFonts w:ascii="Calibri" w:hAnsi="Calibri"/>
          <w:sz w:val="22"/>
          <w:szCs w:val="22"/>
        </w:rPr>
        <w:t xml:space="preserve">(expressed as a percentage) </w:t>
      </w:r>
      <w:r w:rsidRPr="00A5391C">
        <w:rPr>
          <w:rFonts w:ascii="Calibri" w:hAnsi="Calibri"/>
          <w:sz w:val="22"/>
          <w:szCs w:val="22"/>
        </w:rPr>
        <w:t xml:space="preserve">was </w:t>
      </w:r>
      <w:r>
        <w:rPr>
          <w:rFonts w:ascii="Calibri" w:hAnsi="Calibri"/>
          <w:sz w:val="22"/>
          <w:szCs w:val="22"/>
        </w:rPr>
        <w:t>69</w:t>
      </w:r>
      <w:r w:rsidRPr="00A5391C">
        <w:rPr>
          <w:rFonts w:ascii="Calibri" w:hAnsi="Calibri"/>
          <w:sz w:val="22"/>
          <w:szCs w:val="22"/>
        </w:rPr>
        <w:t xml:space="preserve">% - the </w:t>
      </w:r>
      <w:r>
        <w:rPr>
          <w:rFonts w:ascii="Calibri" w:hAnsi="Calibri"/>
          <w:sz w:val="22"/>
          <w:szCs w:val="22"/>
        </w:rPr>
        <w:t>third</w:t>
      </w:r>
      <w:r w:rsidRPr="00A5391C">
        <w:rPr>
          <w:rFonts w:ascii="Calibri" w:hAnsi="Calibri"/>
          <w:sz w:val="22"/>
          <w:szCs w:val="22"/>
        </w:rPr>
        <w:t xml:space="preserve"> highest in Melbourne. By contrast the ratio of Aged Pension recipients to older persons in </w:t>
      </w:r>
      <w:r>
        <w:rPr>
          <w:rFonts w:ascii="Calibri" w:hAnsi="Calibri"/>
          <w:sz w:val="22"/>
          <w:szCs w:val="22"/>
        </w:rPr>
        <w:t xml:space="preserve">metropolitan Melbourne was 55% and in </w:t>
      </w:r>
      <w:r w:rsidRPr="00A5391C">
        <w:rPr>
          <w:rFonts w:ascii="Calibri" w:hAnsi="Calibri"/>
          <w:sz w:val="22"/>
          <w:szCs w:val="22"/>
        </w:rPr>
        <w:t xml:space="preserve">Boroondara </w:t>
      </w:r>
      <w:r>
        <w:rPr>
          <w:rFonts w:ascii="Calibri" w:hAnsi="Calibri"/>
          <w:sz w:val="22"/>
          <w:szCs w:val="22"/>
        </w:rPr>
        <w:t>29</w:t>
      </w:r>
      <w:r w:rsidRPr="00A5391C">
        <w:rPr>
          <w:rFonts w:ascii="Calibri" w:hAnsi="Calibri"/>
          <w:sz w:val="22"/>
          <w:szCs w:val="22"/>
        </w:rPr>
        <w:t xml:space="preserve">%, reflecting a lower dependency upon the pension for income support among these residents. </w:t>
      </w:r>
    </w:p>
    <w:p w14:paraId="30614D86" w14:textId="77777777" w:rsidR="001D1DE0" w:rsidRDefault="001D1DE0" w:rsidP="001D1DE0">
      <w:pPr>
        <w:tabs>
          <w:tab w:val="left" w:pos="284"/>
        </w:tabs>
        <w:spacing w:line="360" w:lineRule="auto"/>
        <w:jc w:val="both"/>
        <w:rPr>
          <w:rFonts w:ascii="Calibri" w:hAnsi="Calibri"/>
          <w:sz w:val="22"/>
          <w:szCs w:val="22"/>
        </w:rPr>
      </w:pPr>
    </w:p>
    <w:p w14:paraId="1FE7E1D4" w14:textId="77777777" w:rsidR="001D1DE0" w:rsidRDefault="001D1DE0" w:rsidP="001D1DE0">
      <w:pPr>
        <w:tabs>
          <w:tab w:val="left" w:pos="284"/>
        </w:tabs>
        <w:spacing w:line="360" w:lineRule="auto"/>
        <w:jc w:val="both"/>
        <w:rPr>
          <w:rFonts w:ascii="Calibri" w:hAnsi="Calibri"/>
          <w:sz w:val="22"/>
          <w:szCs w:val="22"/>
        </w:rPr>
      </w:pPr>
    </w:p>
    <w:p w14:paraId="1DCF34D2" w14:textId="77777777" w:rsidR="001D1DE0" w:rsidRPr="00006B6C" w:rsidRDefault="001D1DE0" w:rsidP="001D1DE0">
      <w:pPr>
        <w:tabs>
          <w:tab w:val="left" w:pos="284"/>
        </w:tabs>
        <w:spacing w:line="360" w:lineRule="auto"/>
        <w:jc w:val="both"/>
        <w:rPr>
          <w:rFonts w:ascii="Calibri" w:hAnsi="Calibri"/>
          <w:b/>
          <w:sz w:val="22"/>
          <w:szCs w:val="22"/>
        </w:rPr>
      </w:pPr>
      <w:r w:rsidRPr="00006B6C">
        <w:rPr>
          <w:rFonts w:ascii="Calibri" w:hAnsi="Calibri"/>
          <w:b/>
          <w:sz w:val="22"/>
          <w:szCs w:val="22"/>
        </w:rPr>
        <w:t>Geographic Distribution of Older Residents</w:t>
      </w:r>
    </w:p>
    <w:p w14:paraId="312A159C" w14:textId="77777777" w:rsidR="001D1DE0" w:rsidRDefault="001D1DE0" w:rsidP="001D1DE0">
      <w:pPr>
        <w:tabs>
          <w:tab w:val="left" w:pos="284"/>
        </w:tabs>
        <w:spacing w:line="360" w:lineRule="auto"/>
        <w:jc w:val="both"/>
        <w:rPr>
          <w:rFonts w:ascii="Calibri" w:hAnsi="Calibri"/>
          <w:sz w:val="22"/>
          <w:szCs w:val="22"/>
        </w:rPr>
      </w:pPr>
      <w:r>
        <w:rPr>
          <w:rFonts w:ascii="Calibri" w:hAnsi="Calibri"/>
          <w:sz w:val="22"/>
          <w:szCs w:val="22"/>
        </w:rPr>
        <w:t>The map presented below, illustrates the distribution of older residents across metropolitan Melbourne. Areas of Frankston and Mornington, as well as a selection of inner and eastern regions, have a high proportion of older residents (darker shades). By contrast, the municipality of Melbourne itself, as well as portions of Yarra, Maribyrnong, Port Phillip and recently-established growth suburbs in the outer municipalities have lesser proportions of older people among their populations (shaded light blue)</w:t>
      </w:r>
    </w:p>
    <w:p w14:paraId="368BD9CA" w14:textId="77777777" w:rsidR="001D1DE0" w:rsidRDefault="001D1DE0" w:rsidP="001D1DE0">
      <w:pPr>
        <w:tabs>
          <w:tab w:val="left" w:pos="284"/>
        </w:tabs>
        <w:spacing w:line="360" w:lineRule="auto"/>
        <w:jc w:val="both"/>
        <w:rPr>
          <w:rFonts w:ascii="Calibri" w:hAnsi="Calibri"/>
          <w:sz w:val="22"/>
          <w:szCs w:val="22"/>
        </w:rPr>
      </w:pPr>
    </w:p>
    <w:p w14:paraId="2E2EE53D" w14:textId="77777777" w:rsidR="001D1DE0" w:rsidRDefault="001D1DE0" w:rsidP="001D1DE0">
      <w:pPr>
        <w:tabs>
          <w:tab w:val="left" w:pos="284"/>
        </w:tabs>
        <w:spacing w:line="360" w:lineRule="auto"/>
        <w:jc w:val="both"/>
        <w:rPr>
          <w:rFonts w:ascii="Calibri" w:hAnsi="Calibri"/>
          <w:sz w:val="22"/>
          <w:szCs w:val="22"/>
        </w:rPr>
      </w:pPr>
    </w:p>
    <w:p w14:paraId="581D1A3E" w14:textId="77777777" w:rsidR="001D1DE0" w:rsidRPr="00EB47CB" w:rsidRDefault="001D1DE0" w:rsidP="001D1DE0">
      <w:pPr>
        <w:tabs>
          <w:tab w:val="left" w:pos="284"/>
        </w:tabs>
        <w:spacing w:line="360" w:lineRule="auto"/>
        <w:jc w:val="both"/>
        <w:rPr>
          <w:rFonts w:ascii="Calibri" w:hAnsi="Calibri"/>
          <w:color w:val="7F7F7F"/>
          <w:sz w:val="20"/>
          <w:szCs w:val="20"/>
        </w:rPr>
      </w:pPr>
      <w:r>
        <w:rPr>
          <w:rFonts w:ascii="Calibri" w:hAnsi="Calibri"/>
          <w:color w:val="7F7F7F"/>
          <w:sz w:val="20"/>
          <w:szCs w:val="20"/>
        </w:rPr>
        <w:lastRenderedPageBreak/>
        <w:t>Per cent Population who are aged 65 years or more</w:t>
      </w:r>
      <w:r w:rsidRPr="00EB47CB">
        <w:rPr>
          <w:rFonts w:ascii="Calibri" w:hAnsi="Calibri"/>
          <w:color w:val="7F7F7F"/>
          <w:sz w:val="20"/>
          <w:szCs w:val="20"/>
        </w:rPr>
        <w:t>: metropolitan Melbourne, 2016</w:t>
      </w:r>
    </w:p>
    <w:p w14:paraId="6F84A87E" w14:textId="77777777" w:rsidR="001D1DE0" w:rsidRDefault="001D1DE0" w:rsidP="001D1DE0">
      <w:pPr>
        <w:tabs>
          <w:tab w:val="left" w:pos="284"/>
        </w:tabs>
        <w:spacing w:line="360" w:lineRule="auto"/>
        <w:jc w:val="center"/>
        <w:rPr>
          <w:rFonts w:ascii="Calibri" w:hAnsi="Calibri"/>
          <w:sz w:val="22"/>
          <w:szCs w:val="22"/>
        </w:rPr>
      </w:pPr>
      <w:r>
        <w:rPr>
          <w:rFonts w:ascii="Calibri" w:hAnsi="Calibri"/>
          <w:noProof/>
          <w:sz w:val="22"/>
          <w:szCs w:val="22"/>
          <w:lang w:eastAsia="en-AU"/>
        </w:rPr>
        <w:drawing>
          <wp:anchor distT="0" distB="0" distL="114300" distR="114300" simplePos="0" relativeHeight="251667456" behindDoc="0" locked="0" layoutInCell="1" allowOverlap="1" wp14:anchorId="4F2973A9" wp14:editId="04470027">
            <wp:simplePos x="0" y="0"/>
            <wp:positionH relativeFrom="column">
              <wp:posOffset>851535</wp:posOffset>
            </wp:positionH>
            <wp:positionV relativeFrom="line">
              <wp:posOffset>5286375</wp:posOffset>
            </wp:positionV>
            <wp:extent cx="2124016" cy="1485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Older 4.jpg"/>
                    <pic:cNvPicPr/>
                  </pic:nvPicPr>
                  <pic:blipFill>
                    <a:blip r:embed="rId17">
                      <a:extLst>
                        <a:ext uri="{28A0092B-C50C-407E-A947-70E740481C1C}">
                          <a14:useLocalDpi xmlns:a14="http://schemas.microsoft.com/office/drawing/2010/main" val="0"/>
                        </a:ext>
                      </a:extLst>
                    </a:blip>
                    <a:stretch>
                      <a:fillRect/>
                    </a:stretch>
                  </pic:blipFill>
                  <pic:spPr>
                    <a:xfrm>
                      <a:off x="0" y="0"/>
                      <a:ext cx="2124016" cy="1485900"/>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eastAsia="en-AU"/>
        </w:rPr>
        <w:drawing>
          <wp:inline distT="0" distB="0" distL="0" distR="0" wp14:anchorId="32DD7EE8" wp14:editId="765A6098">
            <wp:extent cx="6105525" cy="7553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Age 65 or more years B (%).jpg"/>
                    <pic:cNvPicPr/>
                  </pic:nvPicPr>
                  <pic:blipFill rotWithShape="1">
                    <a:blip r:embed="rId18" cstate="print">
                      <a:extLst>
                        <a:ext uri="{28A0092B-C50C-407E-A947-70E740481C1C}">
                          <a14:useLocalDpi xmlns:a14="http://schemas.microsoft.com/office/drawing/2010/main" val="0"/>
                        </a:ext>
                      </a:extLst>
                    </a:blip>
                    <a:srcRect l="2801" t="16630" r="1498" b="6057"/>
                    <a:stretch/>
                  </pic:blipFill>
                  <pic:spPr bwMode="auto">
                    <a:xfrm>
                      <a:off x="0" y="0"/>
                      <a:ext cx="6105664" cy="755349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F40E029" w14:textId="77777777" w:rsidR="001D1DE0" w:rsidRDefault="001D1DE0" w:rsidP="001D1DE0">
      <w:pPr>
        <w:tabs>
          <w:tab w:val="left" w:pos="284"/>
        </w:tabs>
        <w:spacing w:line="360" w:lineRule="auto"/>
        <w:jc w:val="center"/>
        <w:rPr>
          <w:rFonts w:ascii="Calibri" w:hAnsi="Calibri"/>
          <w:sz w:val="22"/>
          <w:szCs w:val="22"/>
        </w:rPr>
      </w:pPr>
    </w:p>
    <w:p w14:paraId="06E45E70" w14:textId="77777777" w:rsidR="001D1DE0" w:rsidRDefault="001D1DE0" w:rsidP="001D1DE0">
      <w:pPr>
        <w:rPr>
          <w:rFonts w:ascii="Calibri" w:hAnsi="Calibri"/>
          <w:sz w:val="22"/>
          <w:szCs w:val="22"/>
        </w:rPr>
      </w:pPr>
    </w:p>
    <w:p w14:paraId="4D98306D" w14:textId="77777777" w:rsidR="00AD394F" w:rsidRPr="001D1DE0" w:rsidRDefault="00AD394F" w:rsidP="001D1DE0">
      <w:bookmarkStart w:id="0" w:name="_GoBack"/>
      <w:bookmarkEnd w:id="0"/>
    </w:p>
    <w:sectPr w:rsidR="00AD394F" w:rsidRPr="001D1DE0" w:rsidSect="00CA045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7A5FC" w14:textId="77777777" w:rsidR="0044332D" w:rsidRDefault="0044332D">
      <w:r>
        <w:separator/>
      </w:r>
    </w:p>
  </w:endnote>
  <w:endnote w:type="continuationSeparator" w:id="0">
    <w:p w14:paraId="0B513251" w14:textId="77777777" w:rsidR="0044332D" w:rsidRDefault="0044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42C6F" w14:textId="77777777" w:rsidR="0044332D" w:rsidRDefault="0044332D">
      <w:r>
        <w:separator/>
      </w:r>
    </w:p>
  </w:footnote>
  <w:footnote w:type="continuationSeparator" w:id="0">
    <w:p w14:paraId="1BA1728C" w14:textId="77777777" w:rsidR="0044332D" w:rsidRDefault="00443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436"/>
    <w:multiLevelType w:val="hybridMultilevel"/>
    <w:tmpl w:val="7F5E9B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98"/>
    <w:rsid w:val="000030B5"/>
    <w:rsid w:val="0000439F"/>
    <w:rsid w:val="00006B6C"/>
    <w:rsid w:val="00021244"/>
    <w:rsid w:val="00061CFC"/>
    <w:rsid w:val="000717E4"/>
    <w:rsid w:val="00073937"/>
    <w:rsid w:val="000A16D4"/>
    <w:rsid w:val="000A7E4D"/>
    <w:rsid w:val="000C28EC"/>
    <w:rsid w:val="000C30E7"/>
    <w:rsid w:val="000C62A9"/>
    <w:rsid w:val="000C7A29"/>
    <w:rsid w:val="000D4A76"/>
    <w:rsid w:val="000E3D24"/>
    <w:rsid w:val="0011552E"/>
    <w:rsid w:val="00145C11"/>
    <w:rsid w:val="00147085"/>
    <w:rsid w:val="0016412C"/>
    <w:rsid w:val="00182BDB"/>
    <w:rsid w:val="00190DD5"/>
    <w:rsid w:val="00195BAA"/>
    <w:rsid w:val="001A72AF"/>
    <w:rsid w:val="001B389C"/>
    <w:rsid w:val="001C5449"/>
    <w:rsid w:val="001D1DE0"/>
    <w:rsid w:val="001E5153"/>
    <w:rsid w:val="001F2864"/>
    <w:rsid w:val="002100BE"/>
    <w:rsid w:val="00230D6D"/>
    <w:rsid w:val="00244BEB"/>
    <w:rsid w:val="00275FDF"/>
    <w:rsid w:val="00295DFC"/>
    <w:rsid w:val="002B2D09"/>
    <w:rsid w:val="002B3149"/>
    <w:rsid w:val="002B3548"/>
    <w:rsid w:val="002B445E"/>
    <w:rsid w:val="002C2F64"/>
    <w:rsid w:val="002E5F36"/>
    <w:rsid w:val="00361995"/>
    <w:rsid w:val="00362B88"/>
    <w:rsid w:val="00370434"/>
    <w:rsid w:val="00376EC3"/>
    <w:rsid w:val="0039596A"/>
    <w:rsid w:val="003A00ED"/>
    <w:rsid w:val="003A33C5"/>
    <w:rsid w:val="003A7DB1"/>
    <w:rsid w:val="003C5582"/>
    <w:rsid w:val="003C659A"/>
    <w:rsid w:val="003D12D7"/>
    <w:rsid w:val="003D1387"/>
    <w:rsid w:val="003D33C5"/>
    <w:rsid w:val="003E0F08"/>
    <w:rsid w:val="0040395E"/>
    <w:rsid w:val="00412391"/>
    <w:rsid w:val="004320BB"/>
    <w:rsid w:val="0044332D"/>
    <w:rsid w:val="00482332"/>
    <w:rsid w:val="00486A69"/>
    <w:rsid w:val="00492692"/>
    <w:rsid w:val="004C3806"/>
    <w:rsid w:val="004C6E43"/>
    <w:rsid w:val="004E3C68"/>
    <w:rsid w:val="00503C10"/>
    <w:rsid w:val="005163DF"/>
    <w:rsid w:val="005224CD"/>
    <w:rsid w:val="00536A3A"/>
    <w:rsid w:val="005516E5"/>
    <w:rsid w:val="00564742"/>
    <w:rsid w:val="005A197E"/>
    <w:rsid w:val="005D42CE"/>
    <w:rsid w:val="005D4EF5"/>
    <w:rsid w:val="00601CD6"/>
    <w:rsid w:val="006161E2"/>
    <w:rsid w:val="00643A02"/>
    <w:rsid w:val="006478D4"/>
    <w:rsid w:val="00657A29"/>
    <w:rsid w:val="00660AFE"/>
    <w:rsid w:val="00691588"/>
    <w:rsid w:val="00691725"/>
    <w:rsid w:val="00697D1E"/>
    <w:rsid w:val="006A272C"/>
    <w:rsid w:val="006A3CCD"/>
    <w:rsid w:val="006F3E68"/>
    <w:rsid w:val="007000F9"/>
    <w:rsid w:val="00701429"/>
    <w:rsid w:val="00722E05"/>
    <w:rsid w:val="00727754"/>
    <w:rsid w:val="00734228"/>
    <w:rsid w:val="0074374B"/>
    <w:rsid w:val="00746098"/>
    <w:rsid w:val="007527B7"/>
    <w:rsid w:val="00755FF0"/>
    <w:rsid w:val="00763055"/>
    <w:rsid w:val="007711CB"/>
    <w:rsid w:val="007807C1"/>
    <w:rsid w:val="007A623F"/>
    <w:rsid w:val="007A6F2D"/>
    <w:rsid w:val="007D3EDF"/>
    <w:rsid w:val="007E65FF"/>
    <w:rsid w:val="00801850"/>
    <w:rsid w:val="008205A9"/>
    <w:rsid w:val="00823259"/>
    <w:rsid w:val="00862585"/>
    <w:rsid w:val="008652AC"/>
    <w:rsid w:val="00873787"/>
    <w:rsid w:val="00876277"/>
    <w:rsid w:val="00885497"/>
    <w:rsid w:val="00890A70"/>
    <w:rsid w:val="008951B0"/>
    <w:rsid w:val="008A7D6D"/>
    <w:rsid w:val="008B413F"/>
    <w:rsid w:val="008B7958"/>
    <w:rsid w:val="008C1CE4"/>
    <w:rsid w:val="008D7367"/>
    <w:rsid w:val="008E5CEB"/>
    <w:rsid w:val="00905FD5"/>
    <w:rsid w:val="00935442"/>
    <w:rsid w:val="0094772A"/>
    <w:rsid w:val="009875F4"/>
    <w:rsid w:val="0099499B"/>
    <w:rsid w:val="00997579"/>
    <w:rsid w:val="009B1E94"/>
    <w:rsid w:val="009C103E"/>
    <w:rsid w:val="009D0584"/>
    <w:rsid w:val="00A02508"/>
    <w:rsid w:val="00A25132"/>
    <w:rsid w:val="00A27010"/>
    <w:rsid w:val="00A420D9"/>
    <w:rsid w:val="00A5183B"/>
    <w:rsid w:val="00A5391C"/>
    <w:rsid w:val="00A558FD"/>
    <w:rsid w:val="00A846B5"/>
    <w:rsid w:val="00A97722"/>
    <w:rsid w:val="00A97A9E"/>
    <w:rsid w:val="00A97E78"/>
    <w:rsid w:val="00AD0466"/>
    <w:rsid w:val="00AD394F"/>
    <w:rsid w:val="00AF478B"/>
    <w:rsid w:val="00AF7144"/>
    <w:rsid w:val="00AF7891"/>
    <w:rsid w:val="00B578D0"/>
    <w:rsid w:val="00B65630"/>
    <w:rsid w:val="00B662F5"/>
    <w:rsid w:val="00BA7D1F"/>
    <w:rsid w:val="00BC3E12"/>
    <w:rsid w:val="00BD08E3"/>
    <w:rsid w:val="00C10C1D"/>
    <w:rsid w:val="00C226ED"/>
    <w:rsid w:val="00C4352E"/>
    <w:rsid w:val="00C52290"/>
    <w:rsid w:val="00C8390C"/>
    <w:rsid w:val="00C87592"/>
    <w:rsid w:val="00C9273A"/>
    <w:rsid w:val="00C9604B"/>
    <w:rsid w:val="00CA0452"/>
    <w:rsid w:val="00D14106"/>
    <w:rsid w:val="00D622DD"/>
    <w:rsid w:val="00D70AD9"/>
    <w:rsid w:val="00D7767C"/>
    <w:rsid w:val="00DC601C"/>
    <w:rsid w:val="00DC62E6"/>
    <w:rsid w:val="00DC68AC"/>
    <w:rsid w:val="00DD7607"/>
    <w:rsid w:val="00DF1A6E"/>
    <w:rsid w:val="00E04FC9"/>
    <w:rsid w:val="00E25EA0"/>
    <w:rsid w:val="00E26C7B"/>
    <w:rsid w:val="00E454D2"/>
    <w:rsid w:val="00E544F5"/>
    <w:rsid w:val="00E5657D"/>
    <w:rsid w:val="00E6386B"/>
    <w:rsid w:val="00E93228"/>
    <w:rsid w:val="00E97314"/>
    <w:rsid w:val="00EA2580"/>
    <w:rsid w:val="00EB2DD3"/>
    <w:rsid w:val="00EB47CB"/>
    <w:rsid w:val="00EB5F13"/>
    <w:rsid w:val="00EC2B8D"/>
    <w:rsid w:val="00EC338F"/>
    <w:rsid w:val="00EE4066"/>
    <w:rsid w:val="00EE63C2"/>
    <w:rsid w:val="00F2328A"/>
    <w:rsid w:val="00F76E8F"/>
    <w:rsid w:val="00F86448"/>
    <w:rsid w:val="00FA6BBD"/>
    <w:rsid w:val="00FB0D8B"/>
    <w:rsid w:val="00FB58B6"/>
    <w:rsid w:val="00FC1511"/>
    <w:rsid w:val="00FD0930"/>
    <w:rsid w:val="00FD22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4CB2AA4E"/>
  <w15:docId w15:val="{4D5E6F83-617E-434F-B506-5D3743A8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eastAsia="zh-TW"/>
    </w:rPr>
  </w:style>
  <w:style w:type="paragraph" w:styleId="Heading1">
    <w:name w:val="heading 1"/>
    <w:basedOn w:val="Normal"/>
    <w:link w:val="Heading1Char"/>
    <w:uiPriority w:val="9"/>
    <w:qFormat/>
    <w:rsid w:val="00E454D2"/>
    <w:pPr>
      <w:keepNext/>
      <w:spacing w:before="480"/>
      <w:outlineLvl w:val="0"/>
    </w:pPr>
    <w:rPr>
      <w:rFonts w:ascii="Cambria" w:eastAsia="Calibri" w:hAnsi="Cambria"/>
      <w:b/>
      <w:bCs/>
      <w:color w:val="365F91"/>
      <w:kern w:val="36"/>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6F2D"/>
    <w:pPr>
      <w:tabs>
        <w:tab w:val="center" w:pos="4320"/>
        <w:tab w:val="right" w:pos="8640"/>
      </w:tabs>
    </w:pPr>
  </w:style>
  <w:style w:type="paragraph" w:styleId="Footer">
    <w:name w:val="footer"/>
    <w:basedOn w:val="Normal"/>
    <w:rsid w:val="007A6F2D"/>
    <w:pPr>
      <w:tabs>
        <w:tab w:val="center" w:pos="4320"/>
        <w:tab w:val="right" w:pos="8640"/>
      </w:tabs>
    </w:pPr>
  </w:style>
  <w:style w:type="character" w:styleId="PageNumber">
    <w:name w:val="page number"/>
    <w:basedOn w:val="DefaultParagraphFont"/>
    <w:rsid w:val="007A6F2D"/>
  </w:style>
  <w:style w:type="paragraph" w:styleId="FootnoteText">
    <w:name w:val="footnote text"/>
    <w:basedOn w:val="Normal"/>
    <w:link w:val="FootnoteTextChar"/>
    <w:uiPriority w:val="99"/>
    <w:semiHidden/>
    <w:rsid w:val="00905FD5"/>
    <w:rPr>
      <w:sz w:val="20"/>
      <w:szCs w:val="20"/>
    </w:rPr>
  </w:style>
  <w:style w:type="character" w:styleId="FootnoteReference">
    <w:name w:val="footnote reference"/>
    <w:uiPriority w:val="99"/>
    <w:semiHidden/>
    <w:rsid w:val="00905FD5"/>
    <w:rPr>
      <w:vertAlign w:val="superscript"/>
    </w:rPr>
  </w:style>
  <w:style w:type="character" w:customStyle="1" w:styleId="Heading1Char">
    <w:name w:val="Heading 1 Char"/>
    <w:link w:val="Heading1"/>
    <w:uiPriority w:val="9"/>
    <w:rsid w:val="00E454D2"/>
    <w:rPr>
      <w:rFonts w:ascii="Cambria" w:eastAsia="Calibri" w:hAnsi="Cambria"/>
      <w:b/>
      <w:bCs/>
      <w:color w:val="365F91"/>
      <w:kern w:val="36"/>
      <w:sz w:val="28"/>
      <w:szCs w:val="28"/>
      <w:lang w:eastAsia="en-US"/>
    </w:rPr>
  </w:style>
  <w:style w:type="character" w:styleId="Hyperlink">
    <w:name w:val="Hyperlink"/>
    <w:uiPriority w:val="99"/>
    <w:unhideWhenUsed/>
    <w:rsid w:val="00E454D2"/>
    <w:rPr>
      <w:color w:val="0000FF"/>
      <w:u w:val="single"/>
    </w:rPr>
  </w:style>
  <w:style w:type="character" w:customStyle="1" w:styleId="FootnoteTextChar">
    <w:name w:val="Footnote Text Char"/>
    <w:link w:val="FootnoteText"/>
    <w:uiPriority w:val="99"/>
    <w:semiHidden/>
    <w:rsid w:val="00E454D2"/>
    <w:rPr>
      <w:lang w:eastAsia="zh-TW"/>
    </w:rPr>
  </w:style>
  <w:style w:type="character" w:customStyle="1" w:styleId="ListParagraphChar">
    <w:name w:val="List Paragraph Char"/>
    <w:link w:val="ListParagraph"/>
    <w:uiPriority w:val="34"/>
    <w:locked/>
    <w:rsid w:val="00E454D2"/>
  </w:style>
  <w:style w:type="paragraph" w:styleId="ListParagraph">
    <w:name w:val="List Paragraph"/>
    <w:basedOn w:val="Normal"/>
    <w:link w:val="ListParagraphChar"/>
    <w:uiPriority w:val="34"/>
    <w:qFormat/>
    <w:rsid w:val="00E454D2"/>
    <w:pPr>
      <w:spacing w:after="200" w:line="276" w:lineRule="auto"/>
      <w:ind w:left="720"/>
      <w:contextualSpacing/>
      <w:jc w:val="both"/>
    </w:pPr>
    <w:rPr>
      <w:sz w:val="20"/>
      <w:szCs w:val="20"/>
      <w:lang w:eastAsia="en-AU"/>
    </w:rPr>
  </w:style>
  <w:style w:type="paragraph" w:styleId="BalloonText">
    <w:name w:val="Balloon Text"/>
    <w:basedOn w:val="Normal"/>
    <w:link w:val="BalloonTextChar"/>
    <w:rsid w:val="00A25132"/>
    <w:rPr>
      <w:rFonts w:ascii="Tahoma" w:hAnsi="Tahoma" w:cs="Tahoma"/>
      <w:sz w:val="16"/>
      <w:szCs w:val="16"/>
    </w:rPr>
  </w:style>
  <w:style w:type="character" w:customStyle="1" w:styleId="BalloonTextChar">
    <w:name w:val="Balloon Text Char"/>
    <w:basedOn w:val="DefaultParagraphFont"/>
    <w:link w:val="BalloonText"/>
    <w:rsid w:val="00A25132"/>
    <w:rPr>
      <w:rFonts w:ascii="Tahoma" w:hAnsi="Tahoma" w:cs="Tahoma"/>
      <w:sz w:val="16"/>
      <w:szCs w:val="16"/>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136261">
      <w:bodyDiv w:val="1"/>
      <w:marLeft w:val="0"/>
      <w:marRight w:val="0"/>
      <w:marTop w:val="0"/>
      <w:marBottom w:val="0"/>
      <w:divBdr>
        <w:top w:val="none" w:sz="0" w:space="0" w:color="auto"/>
        <w:left w:val="none" w:sz="0" w:space="0" w:color="auto"/>
        <w:bottom w:val="none" w:sz="0" w:space="0" w:color="auto"/>
        <w:right w:val="none" w:sz="0" w:space="0" w:color="auto"/>
      </w:divBdr>
    </w:div>
    <w:div w:id="1456291117">
      <w:bodyDiv w:val="1"/>
      <w:marLeft w:val="0"/>
      <w:marRight w:val="0"/>
      <w:marTop w:val="0"/>
      <w:marBottom w:val="0"/>
      <w:divBdr>
        <w:top w:val="none" w:sz="0" w:space="0" w:color="auto"/>
        <w:left w:val="none" w:sz="0" w:space="0" w:color="auto"/>
        <w:bottom w:val="none" w:sz="0" w:space="0" w:color="auto"/>
        <w:right w:val="none" w:sz="0" w:space="0" w:color="auto"/>
      </w:divBdr>
    </w:div>
    <w:div w:id="1709380269">
      <w:bodyDiv w:val="1"/>
      <w:marLeft w:val="0"/>
      <w:marRight w:val="0"/>
      <w:marTop w:val="0"/>
      <w:marBottom w:val="0"/>
      <w:divBdr>
        <w:top w:val="none" w:sz="0" w:space="0" w:color="auto"/>
        <w:left w:val="none" w:sz="0" w:space="0" w:color="auto"/>
        <w:bottom w:val="none" w:sz="0" w:space="0" w:color="auto"/>
        <w:right w:val="none" w:sz="0" w:space="0" w:color="auto"/>
      </w:divBdr>
    </w:div>
    <w:div w:id="18790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image" Target="media/image10.jpeg"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g" Id="rId17"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image" Target="media/image2.jpeg"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customXml" Target="/customXml/item3.xml" Id="R86a835e6c0a34e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A6819545</value>
    </field>
    <field name="Objective-Title">
      <value order="0">M Older People</value>
    </field>
    <field name="Objective-Description">
      <value order="0"/>
    </field>
    <field name="Objective-CreationStamp">
      <value order="0">2020-08-30T21:38:06Z</value>
    </field>
    <field name="Objective-IsApproved">
      <value order="0">false</value>
    </field>
    <field name="Objective-IsPublished">
      <value order="0">true</value>
    </field>
    <field name="Objective-DatePublished">
      <value order="0">2021-04-23T02:46:45Z</value>
    </field>
    <field name="Objective-ModificationStamp">
      <value order="0">2021-04-23T02:46:45Z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vA9844440</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B421F2D6-FF17-471B-A280-9D4BF5A2D028}">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Cultural Diversity</vt:lpstr>
    </vt:vector>
  </TitlesOfParts>
  <Company>HOME</Company>
  <LinksUpToDate>false</LinksUpToDate>
  <CharactersWithSpaces>4004</CharactersWithSpaces>
  <SharedDoc>false</SharedDoc>
  <HLinks>
    <vt:vector size="6" baseType="variant">
      <vt:variant>
        <vt:i4>1572942</vt:i4>
      </vt:variant>
      <vt:variant>
        <vt:i4>0</vt:i4>
      </vt:variant>
      <vt:variant>
        <vt:i4>0</vt:i4>
      </vt:variant>
      <vt:variant>
        <vt:i4>5</vt:i4>
      </vt:variant>
      <vt:variant>
        <vt:lpwstr>http://www.growingupinaustralia.gov.au/pubs/asr/2015/asr2015b.pdf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Diversity</dc:title>
  <dc:creator>User</dc:creator>
  <cp:lastModifiedBy>Hayden Brown</cp:lastModifiedBy>
  <cp:revision>3</cp:revision>
  <cp:lastPrinted>2017-10-11T06:41:00Z</cp:lastPrinted>
  <dcterms:created xsi:type="dcterms:W3CDTF">2020-08-23T12:29:00Z</dcterms:created>
  <dcterms:modified xsi:type="dcterms:W3CDTF">2021-04-23T02:46:00Z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A6819545</vt:lpwstr>
  </op:property>
  <op:property fmtid="{D5CDD505-2E9C-101B-9397-08002B2CF9AE}" pid="6" name="Objective-Title">
    <vt:lpwstr>M Older People</vt:lpwstr>
  </op:property>
  <op:property fmtid="{D5CDD505-2E9C-101B-9397-08002B2CF9AE}" pid="7" name="Objective-Description">
    <vt:lpwstr/>
  </op:property>
  <op:property fmtid="{D5CDD505-2E9C-101B-9397-08002B2CF9AE}" pid="8" name="Objective-CreationStamp">
    <vt:filetime>2020-08-30T21:38:06Z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2021-04-23T02:46:45Z</vt:filetime>
  </op:property>
  <op:property fmtid="{D5CDD505-2E9C-101B-9397-08002B2CF9AE}" pid="12" name="Objective-ModificationStamp">
    <vt:filetime>2021-04-23T02:46:45Z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vA9844440</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