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38963" w14:textId="77777777" w:rsidR="00A628CB" w:rsidRPr="001E5011" w:rsidRDefault="00A628CB" w:rsidP="00A628CB">
      <w:pPr>
        <w:pBdr>
          <w:top w:val="single" w:sz="4" w:space="1" w:color="auto"/>
          <w:bottom w:val="single" w:sz="4" w:space="1" w:color="auto"/>
        </w:pBdr>
        <w:tabs>
          <w:tab w:val="center" w:pos="4678"/>
        </w:tabs>
        <w:jc w:val="center"/>
        <w:rPr>
          <w:rFonts w:ascii="Calibri" w:hAnsi="Calibri"/>
          <w:sz w:val="32"/>
          <w:szCs w:val="32"/>
        </w:rPr>
      </w:pPr>
      <w:r w:rsidRPr="001E5011">
        <w:rPr>
          <w:rFonts w:ascii="Calibri" w:hAnsi="Calibri"/>
          <w:noProof/>
          <w:sz w:val="32"/>
          <w:szCs w:val="32"/>
          <w:lang w:val="en-US"/>
        </w:rPr>
        <w:t>Young People</w:t>
      </w:r>
    </w:p>
    <w:p w14:paraId="09BA67D8" w14:textId="77777777" w:rsidR="00A628CB" w:rsidRDefault="00A628CB" w:rsidP="00A628CB">
      <w:pPr>
        <w:tabs>
          <w:tab w:val="left" w:pos="284"/>
        </w:tabs>
        <w:jc w:val="both"/>
        <w:rPr>
          <w:sz w:val="10"/>
          <w:szCs w:val="10"/>
        </w:rPr>
      </w:pPr>
    </w:p>
    <w:p w14:paraId="4F2E8AE1" w14:textId="77777777" w:rsidR="00A628CB" w:rsidRPr="002B7D52" w:rsidRDefault="00A628CB" w:rsidP="00A628CB">
      <w:pPr>
        <w:tabs>
          <w:tab w:val="left" w:pos="284"/>
        </w:tabs>
        <w:spacing w:line="360" w:lineRule="auto"/>
        <w:jc w:val="both"/>
        <w:rPr>
          <w:rFonts w:ascii="Calibri" w:hAnsi="Calibri"/>
          <w:sz w:val="22"/>
          <w:szCs w:val="22"/>
        </w:rPr>
      </w:pPr>
      <w:r w:rsidRPr="002B7D52">
        <w:rPr>
          <w:rFonts w:ascii="Calibri" w:hAnsi="Calibri"/>
          <w:sz w:val="22"/>
          <w:szCs w:val="22"/>
        </w:rPr>
        <w:t>Persons aged 12 to 2</w:t>
      </w:r>
      <w:r>
        <w:rPr>
          <w:rFonts w:ascii="Calibri" w:hAnsi="Calibri"/>
          <w:sz w:val="22"/>
          <w:szCs w:val="22"/>
        </w:rPr>
        <w:t>5</w:t>
      </w:r>
      <w:r w:rsidRPr="002B7D52">
        <w:rPr>
          <w:rFonts w:ascii="Calibri" w:hAnsi="Calibri"/>
          <w:sz w:val="22"/>
          <w:szCs w:val="22"/>
        </w:rPr>
        <w:t xml:space="preserve"> years are counted here as young people, as this </w:t>
      </w:r>
      <w:r>
        <w:rPr>
          <w:rFonts w:ascii="Calibri" w:hAnsi="Calibri"/>
          <w:sz w:val="22"/>
          <w:szCs w:val="22"/>
        </w:rPr>
        <w:t xml:space="preserve">range </w:t>
      </w:r>
      <w:r w:rsidRPr="002B7D52">
        <w:rPr>
          <w:rFonts w:ascii="Calibri" w:hAnsi="Calibri"/>
          <w:sz w:val="22"/>
          <w:szCs w:val="22"/>
        </w:rPr>
        <w:t xml:space="preserve">best matches the age span of those assisted by </w:t>
      </w:r>
      <w:r>
        <w:rPr>
          <w:rFonts w:ascii="Calibri" w:hAnsi="Calibri"/>
          <w:sz w:val="22"/>
          <w:szCs w:val="22"/>
        </w:rPr>
        <w:t>most youth service providers</w:t>
      </w:r>
      <w:r w:rsidRPr="002B7D52">
        <w:rPr>
          <w:rFonts w:ascii="Calibri" w:hAnsi="Calibri"/>
          <w:sz w:val="22"/>
          <w:szCs w:val="22"/>
        </w:rPr>
        <w:t xml:space="preserve">. In some </w:t>
      </w:r>
      <w:proofErr w:type="gramStart"/>
      <w:r w:rsidRPr="002B7D52">
        <w:rPr>
          <w:rFonts w:ascii="Calibri" w:hAnsi="Calibri"/>
          <w:sz w:val="22"/>
          <w:szCs w:val="22"/>
        </w:rPr>
        <w:t>instances</w:t>
      </w:r>
      <w:proofErr w:type="gramEnd"/>
      <w:r w:rsidRPr="002B7D52">
        <w:rPr>
          <w:rFonts w:ascii="Calibri" w:hAnsi="Calibri"/>
          <w:sz w:val="22"/>
          <w:szCs w:val="22"/>
        </w:rPr>
        <w:t xml:space="preserve"> </w:t>
      </w:r>
      <w:r>
        <w:rPr>
          <w:rFonts w:ascii="Calibri" w:hAnsi="Calibri"/>
          <w:sz w:val="22"/>
          <w:szCs w:val="22"/>
        </w:rPr>
        <w:t>though</w:t>
      </w:r>
      <w:r w:rsidRPr="002B7D52">
        <w:rPr>
          <w:rFonts w:ascii="Calibri" w:hAnsi="Calibri"/>
          <w:sz w:val="22"/>
          <w:szCs w:val="22"/>
        </w:rPr>
        <w:t xml:space="preserve">, other ages are specified, either to </w:t>
      </w:r>
      <w:r>
        <w:rPr>
          <w:rFonts w:ascii="Calibri" w:hAnsi="Calibri"/>
          <w:sz w:val="22"/>
          <w:szCs w:val="22"/>
        </w:rPr>
        <w:t>match</w:t>
      </w:r>
      <w:r w:rsidRPr="002B7D52">
        <w:rPr>
          <w:rFonts w:ascii="Calibri" w:hAnsi="Calibri"/>
          <w:sz w:val="22"/>
          <w:szCs w:val="22"/>
        </w:rPr>
        <w:t xml:space="preserve"> the structure of the available data or because an alternative range </w:t>
      </w:r>
      <w:r>
        <w:rPr>
          <w:rFonts w:ascii="Calibri" w:hAnsi="Calibri"/>
          <w:sz w:val="22"/>
          <w:szCs w:val="22"/>
        </w:rPr>
        <w:t>is more suitable</w:t>
      </w:r>
      <w:r w:rsidRPr="002B7D52">
        <w:rPr>
          <w:rFonts w:ascii="Calibri" w:hAnsi="Calibri"/>
          <w:sz w:val="22"/>
          <w:szCs w:val="22"/>
        </w:rPr>
        <w:t>.</w:t>
      </w:r>
    </w:p>
    <w:p w14:paraId="4792C988" w14:textId="77777777" w:rsidR="00A628CB" w:rsidRPr="002B7D52" w:rsidRDefault="00A628CB" w:rsidP="00A628CB">
      <w:pPr>
        <w:tabs>
          <w:tab w:val="left" w:pos="284"/>
        </w:tabs>
        <w:spacing w:after="60"/>
        <w:jc w:val="both"/>
        <w:rPr>
          <w:rFonts w:ascii="Calibri" w:hAnsi="Calibri"/>
          <w:b/>
          <w:sz w:val="22"/>
          <w:szCs w:val="22"/>
        </w:rPr>
      </w:pPr>
      <w:r w:rsidRPr="002B7D52">
        <w:rPr>
          <w:rFonts w:ascii="Calibri" w:hAnsi="Calibri"/>
          <w:b/>
          <w:sz w:val="22"/>
          <w:szCs w:val="22"/>
        </w:rPr>
        <w:t>Population</w:t>
      </w:r>
    </w:p>
    <w:p w14:paraId="654A408B"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The accompanying map illustrates the geographic distribution of young people (aged 15-24) across Melbourne, with darker shaded areas representing high proportions of young people among the population.</w:t>
      </w:r>
    </w:p>
    <w:p w14:paraId="6C9B020A" w14:textId="77777777" w:rsidR="00A628CB" w:rsidRPr="00F16B48" w:rsidRDefault="00A628CB" w:rsidP="00A628CB">
      <w:pPr>
        <w:tabs>
          <w:tab w:val="left" w:pos="284"/>
        </w:tabs>
        <w:jc w:val="both"/>
        <w:rPr>
          <w:rFonts w:ascii="Calibri" w:hAnsi="Calibri"/>
          <w:color w:val="7F7F7F"/>
          <w:sz w:val="20"/>
          <w:szCs w:val="20"/>
        </w:rPr>
      </w:pPr>
      <w:r>
        <w:rPr>
          <w:rFonts w:ascii="Calibri" w:hAnsi="Calibri"/>
          <w:color w:val="7F7F7F"/>
          <w:sz w:val="20"/>
          <w:szCs w:val="20"/>
        </w:rPr>
        <w:t>Percentage of Population who are</w:t>
      </w:r>
      <w:r w:rsidRPr="00F16B48">
        <w:rPr>
          <w:rFonts w:ascii="Calibri" w:hAnsi="Calibri"/>
          <w:color w:val="7F7F7F"/>
          <w:sz w:val="20"/>
          <w:szCs w:val="20"/>
        </w:rPr>
        <w:t xml:space="preserve"> Young People (aged 15 to 24 years): metropolitan Melbourne, 2016</w:t>
      </w:r>
    </w:p>
    <w:p w14:paraId="11AA28E8" w14:textId="77777777" w:rsidR="00A628CB" w:rsidRDefault="00A628CB" w:rsidP="00A628CB">
      <w:pPr>
        <w:tabs>
          <w:tab w:val="left" w:pos="284"/>
        </w:tabs>
        <w:spacing w:line="360" w:lineRule="auto"/>
        <w:jc w:val="center"/>
        <w:rPr>
          <w:rFonts w:ascii="Calibri" w:hAnsi="Calibri"/>
          <w:sz w:val="22"/>
          <w:szCs w:val="22"/>
        </w:rPr>
      </w:pPr>
      <w:r>
        <w:rPr>
          <w:rFonts w:ascii="Calibri" w:hAnsi="Calibri"/>
          <w:noProof/>
          <w:sz w:val="22"/>
          <w:szCs w:val="22"/>
          <w:lang w:eastAsia="en-AU"/>
        </w:rPr>
        <w:drawing>
          <wp:inline distT="0" distB="0" distL="0" distR="0" wp14:anchorId="36F86A75" wp14:editId="7318DA86">
            <wp:extent cx="6038850" cy="6878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Age 15 to 24 year olds B.jpg"/>
                    <pic:cNvPicPr/>
                  </pic:nvPicPr>
                  <pic:blipFill rotWithShape="1">
                    <a:blip r:embed="rId7" cstate="print">
                      <a:extLst>
                        <a:ext uri="{28A0092B-C50C-407E-A947-70E740481C1C}">
                          <a14:useLocalDpi xmlns:a14="http://schemas.microsoft.com/office/drawing/2010/main" val="0"/>
                        </a:ext>
                      </a:extLst>
                    </a:blip>
                    <a:srcRect l="2748" t="17018" r="1753" b="5997"/>
                    <a:stretch/>
                  </pic:blipFill>
                  <pic:spPr bwMode="auto">
                    <a:xfrm>
                      <a:off x="0" y="0"/>
                      <a:ext cx="6050217" cy="6891736"/>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sz w:val="10"/>
          <w:szCs w:val="10"/>
          <w:lang w:eastAsia="en-AU"/>
        </w:rPr>
        <w:drawing>
          <wp:anchor distT="0" distB="0" distL="114300" distR="114300" simplePos="0" relativeHeight="251665408" behindDoc="0" locked="0" layoutInCell="1" allowOverlap="1" wp14:anchorId="1B844696" wp14:editId="3C949E5E">
            <wp:simplePos x="0" y="0"/>
            <wp:positionH relativeFrom="column">
              <wp:posOffset>1451610</wp:posOffset>
            </wp:positionH>
            <wp:positionV relativeFrom="paragraph">
              <wp:posOffset>5360670</wp:posOffset>
            </wp:positionV>
            <wp:extent cx="1154026" cy="637224"/>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Diversity 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4026" cy="637224"/>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47EFF5B7" w14:textId="77777777" w:rsidR="00A628CB" w:rsidRPr="00B8674B" w:rsidRDefault="00A628CB" w:rsidP="00A628CB">
      <w:pPr>
        <w:tabs>
          <w:tab w:val="left" w:pos="284"/>
        </w:tabs>
        <w:spacing w:line="360" w:lineRule="auto"/>
        <w:jc w:val="both"/>
        <w:rPr>
          <w:rFonts w:ascii="Calibri" w:hAnsi="Calibri"/>
          <w:sz w:val="22"/>
          <w:szCs w:val="22"/>
        </w:rPr>
      </w:pPr>
      <w:r w:rsidRPr="00B8674B">
        <w:rPr>
          <w:rFonts w:ascii="Calibri" w:hAnsi="Calibri"/>
          <w:sz w:val="22"/>
          <w:szCs w:val="22"/>
        </w:rPr>
        <w:lastRenderedPageBreak/>
        <w:t>In 20</w:t>
      </w:r>
      <w:r>
        <w:rPr>
          <w:rFonts w:ascii="Calibri" w:hAnsi="Calibri"/>
          <w:sz w:val="22"/>
          <w:szCs w:val="22"/>
        </w:rPr>
        <w:t>21</w:t>
      </w:r>
      <w:r w:rsidRPr="00B8674B">
        <w:rPr>
          <w:rFonts w:ascii="Calibri" w:hAnsi="Calibri"/>
          <w:sz w:val="22"/>
          <w:szCs w:val="22"/>
        </w:rPr>
        <w:t xml:space="preserve">, </w:t>
      </w:r>
      <w:r>
        <w:rPr>
          <w:rFonts w:ascii="Calibri" w:hAnsi="Calibri"/>
          <w:sz w:val="22"/>
          <w:szCs w:val="22"/>
        </w:rPr>
        <w:t>nearly</w:t>
      </w:r>
      <w:r w:rsidRPr="00B8674B">
        <w:rPr>
          <w:rFonts w:ascii="Calibri" w:hAnsi="Calibri"/>
          <w:sz w:val="22"/>
          <w:szCs w:val="22"/>
        </w:rPr>
        <w:t xml:space="preserve"> 31,000 residents in Greater Dandenong were aged 12-25 years, representing approximately one in six residents. The findings of the 2016 Census indicate that about 130 young people were Aboriginal or Torres Strait Islanders.</w:t>
      </w:r>
    </w:p>
    <w:p w14:paraId="5BB2587A" w14:textId="77777777" w:rsidR="00A628CB" w:rsidRPr="002B7D52" w:rsidRDefault="00A628CB" w:rsidP="00A628CB">
      <w:pPr>
        <w:tabs>
          <w:tab w:val="left" w:pos="284"/>
        </w:tabs>
        <w:spacing w:after="60"/>
        <w:jc w:val="both"/>
        <w:rPr>
          <w:rFonts w:ascii="Calibri" w:hAnsi="Calibri"/>
          <w:b/>
          <w:sz w:val="22"/>
          <w:szCs w:val="22"/>
        </w:rPr>
      </w:pPr>
      <w:r>
        <w:rPr>
          <w:rFonts w:ascii="Calibri" w:hAnsi="Calibri"/>
          <w:b/>
          <w:noProof/>
          <w:sz w:val="22"/>
          <w:szCs w:val="22"/>
          <w:lang w:eastAsia="en-AU"/>
        </w:rPr>
        <w:drawing>
          <wp:anchor distT="0" distB="0" distL="114300" distR="114300" simplePos="0" relativeHeight="251659264" behindDoc="1" locked="0" layoutInCell="1" allowOverlap="1" wp14:anchorId="2C8C46A1" wp14:editId="1C7E5719">
            <wp:simplePos x="0" y="0"/>
            <wp:positionH relativeFrom="column">
              <wp:posOffset>2456180</wp:posOffset>
            </wp:positionH>
            <wp:positionV relativeFrom="paragraph">
              <wp:posOffset>31750</wp:posOffset>
            </wp:positionV>
            <wp:extent cx="3705860" cy="3718560"/>
            <wp:effectExtent l="0" t="0" r="8890" b="0"/>
            <wp:wrapTight wrapText="bothSides">
              <wp:wrapPolygon edited="0">
                <wp:start x="0" y="0"/>
                <wp:lineTo x="0" y="21467"/>
                <wp:lineTo x="21541" y="21467"/>
                <wp:lineTo x="2154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l="1250" r="4015" b="2681"/>
                    <a:stretch>
                      <a:fillRect/>
                    </a:stretch>
                  </pic:blipFill>
                  <pic:spPr bwMode="auto">
                    <a:xfrm>
                      <a:off x="0" y="0"/>
                      <a:ext cx="3705860" cy="3718560"/>
                    </a:xfrm>
                    <a:prstGeom prst="rect">
                      <a:avLst/>
                    </a:prstGeom>
                    <a:noFill/>
                  </pic:spPr>
                </pic:pic>
              </a:graphicData>
            </a:graphic>
            <wp14:sizeRelH relativeFrom="page">
              <wp14:pctWidth>0</wp14:pctWidth>
            </wp14:sizeRelH>
            <wp14:sizeRelV relativeFrom="page">
              <wp14:pctHeight>0</wp14:pctHeight>
            </wp14:sizeRelV>
          </wp:anchor>
        </w:drawing>
      </w:r>
      <w:r w:rsidRPr="002B7D52">
        <w:rPr>
          <w:rFonts w:ascii="Calibri" w:hAnsi="Calibri"/>
          <w:b/>
          <w:sz w:val="22"/>
          <w:szCs w:val="22"/>
        </w:rPr>
        <w:t xml:space="preserve">Cultural Diversity </w:t>
      </w:r>
    </w:p>
    <w:p w14:paraId="63F928D8" w14:textId="77777777" w:rsidR="00A628CB" w:rsidRPr="002B7D52" w:rsidRDefault="00A628CB" w:rsidP="00A628CB">
      <w:pPr>
        <w:tabs>
          <w:tab w:val="left" w:pos="284"/>
        </w:tabs>
        <w:spacing w:line="360" w:lineRule="auto"/>
        <w:ind w:right="5670"/>
        <w:jc w:val="both"/>
        <w:rPr>
          <w:rFonts w:ascii="Calibri" w:hAnsi="Calibri"/>
          <w:sz w:val="22"/>
          <w:szCs w:val="22"/>
        </w:rPr>
      </w:pPr>
      <w:r>
        <w:rPr>
          <w:rFonts w:ascii="Calibri" w:hAnsi="Calibri"/>
          <w:noProof/>
        </w:rPr>
        <w:t>In 2016, just over</w:t>
      </w:r>
      <w:r w:rsidRPr="002B7D52">
        <w:rPr>
          <w:rFonts w:ascii="Calibri" w:hAnsi="Calibri"/>
          <w:noProof/>
        </w:rPr>
        <w:t xml:space="preserve"> half</w:t>
      </w:r>
      <w:r w:rsidRPr="002B7D52">
        <w:rPr>
          <w:rFonts w:ascii="Calibri" w:hAnsi="Calibri"/>
          <w:sz w:val="22"/>
          <w:szCs w:val="22"/>
        </w:rPr>
        <w:t xml:space="preserve"> </w:t>
      </w:r>
      <w:r w:rsidRPr="002B7D52">
        <w:rPr>
          <w:rFonts w:ascii="Calibri" w:hAnsi="Calibri"/>
          <w:sz w:val="18"/>
          <w:szCs w:val="18"/>
        </w:rPr>
        <w:t>(</w:t>
      </w:r>
      <w:r>
        <w:rPr>
          <w:rFonts w:ascii="Calibri" w:hAnsi="Calibri"/>
          <w:sz w:val="18"/>
          <w:szCs w:val="18"/>
        </w:rPr>
        <w:t>50.1</w:t>
      </w:r>
      <w:r w:rsidRPr="002B7D52">
        <w:rPr>
          <w:rFonts w:ascii="Calibri" w:hAnsi="Calibri"/>
          <w:sz w:val="18"/>
          <w:szCs w:val="18"/>
        </w:rPr>
        <w:t>%)</w:t>
      </w:r>
      <w:r w:rsidRPr="002B7D52">
        <w:rPr>
          <w:rFonts w:ascii="Calibri" w:hAnsi="Calibri"/>
          <w:sz w:val="22"/>
          <w:szCs w:val="22"/>
        </w:rPr>
        <w:t xml:space="preserve"> of </w:t>
      </w:r>
      <w:r>
        <w:rPr>
          <w:rFonts w:ascii="Calibri" w:hAnsi="Calibri"/>
          <w:sz w:val="22"/>
          <w:szCs w:val="22"/>
        </w:rPr>
        <w:t xml:space="preserve">Greater Dandenong </w:t>
      </w:r>
      <w:r w:rsidRPr="002B7D52">
        <w:rPr>
          <w:rFonts w:ascii="Calibri" w:hAnsi="Calibri"/>
          <w:sz w:val="22"/>
          <w:szCs w:val="22"/>
        </w:rPr>
        <w:t xml:space="preserve">residents aged 12-25 were born overseas. They come from </w:t>
      </w:r>
      <w:r>
        <w:rPr>
          <w:rFonts w:ascii="Calibri" w:hAnsi="Calibri"/>
          <w:sz w:val="22"/>
          <w:szCs w:val="22"/>
        </w:rPr>
        <w:t>104</w:t>
      </w:r>
      <w:r w:rsidRPr="002B7D52">
        <w:rPr>
          <w:rFonts w:ascii="Calibri" w:hAnsi="Calibri"/>
          <w:sz w:val="22"/>
          <w:szCs w:val="22"/>
        </w:rPr>
        <w:t xml:space="preserve"> </w:t>
      </w:r>
      <w:r>
        <w:rPr>
          <w:rFonts w:ascii="Calibri" w:hAnsi="Calibri"/>
          <w:sz w:val="22"/>
          <w:szCs w:val="22"/>
        </w:rPr>
        <w:t xml:space="preserve">different </w:t>
      </w:r>
      <w:r w:rsidRPr="002B7D52">
        <w:rPr>
          <w:rFonts w:ascii="Calibri" w:hAnsi="Calibri"/>
          <w:sz w:val="22"/>
          <w:szCs w:val="22"/>
        </w:rPr>
        <w:t>birthplaces, including India</w:t>
      </w:r>
      <w:r>
        <w:rPr>
          <w:rFonts w:ascii="Calibri" w:hAnsi="Calibri"/>
          <w:sz w:val="22"/>
          <w:szCs w:val="22"/>
        </w:rPr>
        <w:t xml:space="preserve">, Afghanistan, </w:t>
      </w:r>
      <w:r w:rsidRPr="002B7D52">
        <w:rPr>
          <w:rFonts w:ascii="Calibri" w:hAnsi="Calibri"/>
          <w:sz w:val="22"/>
          <w:szCs w:val="22"/>
        </w:rPr>
        <w:t>Vietnam</w:t>
      </w:r>
      <w:r>
        <w:rPr>
          <w:rFonts w:ascii="Calibri" w:hAnsi="Calibri"/>
          <w:sz w:val="22"/>
          <w:szCs w:val="22"/>
        </w:rPr>
        <w:t xml:space="preserve">, </w:t>
      </w:r>
      <w:r w:rsidRPr="002B7D52">
        <w:rPr>
          <w:rFonts w:ascii="Calibri" w:hAnsi="Calibri"/>
          <w:sz w:val="22"/>
          <w:szCs w:val="22"/>
        </w:rPr>
        <w:t>Cambodia</w:t>
      </w:r>
      <w:r>
        <w:rPr>
          <w:rFonts w:ascii="Calibri" w:hAnsi="Calibri"/>
          <w:sz w:val="22"/>
          <w:szCs w:val="22"/>
        </w:rPr>
        <w:t xml:space="preserve">, </w:t>
      </w:r>
      <w:r w:rsidRPr="002B7D52">
        <w:rPr>
          <w:rFonts w:ascii="Calibri" w:hAnsi="Calibri"/>
          <w:sz w:val="22"/>
          <w:szCs w:val="22"/>
        </w:rPr>
        <w:t xml:space="preserve">Sri Lanka, China, </w:t>
      </w:r>
      <w:r>
        <w:rPr>
          <w:rFonts w:ascii="Calibri" w:hAnsi="Calibri"/>
          <w:sz w:val="22"/>
          <w:szCs w:val="22"/>
        </w:rPr>
        <w:t>Pakistan and Burma</w:t>
      </w:r>
      <w:r w:rsidRPr="002B7D52">
        <w:rPr>
          <w:rFonts w:ascii="Calibri" w:hAnsi="Calibri"/>
          <w:sz w:val="18"/>
          <w:szCs w:val="18"/>
        </w:rPr>
        <w:t>.</w:t>
      </w:r>
      <w:r w:rsidRPr="002B7D52">
        <w:rPr>
          <w:rFonts w:ascii="Calibri" w:hAnsi="Calibri"/>
          <w:sz w:val="22"/>
          <w:szCs w:val="22"/>
        </w:rPr>
        <w:t xml:space="preserve"> </w:t>
      </w:r>
    </w:p>
    <w:p w14:paraId="68A0CF37" w14:textId="77777777" w:rsidR="00A628CB" w:rsidRDefault="00A628CB" w:rsidP="00A628CB">
      <w:pPr>
        <w:tabs>
          <w:tab w:val="left" w:pos="284"/>
        </w:tabs>
        <w:spacing w:before="120" w:line="360" w:lineRule="auto"/>
        <w:jc w:val="both"/>
        <w:rPr>
          <w:rFonts w:ascii="Calibri" w:hAnsi="Calibri"/>
          <w:b/>
          <w:sz w:val="10"/>
          <w:szCs w:val="10"/>
        </w:rPr>
      </w:pPr>
    </w:p>
    <w:p w14:paraId="7C3A6EA2" w14:textId="77777777" w:rsidR="00A628CB" w:rsidRDefault="00A628CB" w:rsidP="00A628CB">
      <w:pPr>
        <w:tabs>
          <w:tab w:val="left" w:pos="284"/>
        </w:tabs>
        <w:spacing w:after="60"/>
        <w:jc w:val="both"/>
        <w:rPr>
          <w:rFonts w:ascii="Calibri" w:hAnsi="Calibri"/>
          <w:b/>
          <w:sz w:val="22"/>
          <w:szCs w:val="22"/>
        </w:rPr>
      </w:pPr>
      <w:r>
        <w:rPr>
          <w:rFonts w:ascii="Calibri" w:hAnsi="Calibri"/>
          <w:color w:val="7F7F7F"/>
          <w:sz w:val="20"/>
          <w:szCs w:val="20"/>
        </w:rPr>
        <w:t>Birthplaces</w:t>
      </w:r>
      <w:r w:rsidRPr="002874B0">
        <w:rPr>
          <w:rFonts w:ascii="Calibri" w:hAnsi="Calibri"/>
          <w:color w:val="7F7F7F"/>
          <w:sz w:val="20"/>
          <w:szCs w:val="20"/>
        </w:rPr>
        <w:t>: persons aged 12 to 24, Greater Dandenong, 201</w:t>
      </w:r>
      <w:r>
        <w:rPr>
          <w:rFonts w:ascii="Calibri" w:hAnsi="Calibri"/>
          <w:color w:val="7F7F7F"/>
          <w:sz w:val="20"/>
          <w:szCs w:val="20"/>
        </w:rPr>
        <w:t>6</w:t>
      </w:r>
    </w:p>
    <w:p w14:paraId="68B32E24" w14:textId="77777777" w:rsidR="00A628CB" w:rsidRDefault="00A628CB" w:rsidP="00A628CB">
      <w:pPr>
        <w:tabs>
          <w:tab w:val="left" w:pos="284"/>
        </w:tabs>
        <w:spacing w:before="120" w:line="360" w:lineRule="auto"/>
        <w:jc w:val="both"/>
        <w:rPr>
          <w:rFonts w:ascii="Calibri" w:hAnsi="Calibri"/>
          <w:b/>
          <w:sz w:val="10"/>
          <w:szCs w:val="10"/>
        </w:rPr>
      </w:pPr>
      <w:r>
        <w:rPr>
          <w:rFonts w:ascii="Calibri" w:hAnsi="Calibri"/>
          <w:b/>
          <w:noProof/>
          <w:sz w:val="10"/>
          <w:szCs w:val="10"/>
          <w:lang w:eastAsia="en-AU"/>
        </w:rPr>
        <w:drawing>
          <wp:anchor distT="0" distB="0" distL="114300" distR="114300" simplePos="0" relativeHeight="251667456" behindDoc="0" locked="0" layoutInCell="1" allowOverlap="1" wp14:anchorId="35E00DEF" wp14:editId="6F8357F9">
            <wp:simplePos x="0" y="0"/>
            <wp:positionH relativeFrom="column">
              <wp:posOffset>13335</wp:posOffset>
            </wp:positionH>
            <wp:positionV relativeFrom="paragraph">
              <wp:posOffset>163195</wp:posOffset>
            </wp:positionV>
            <wp:extent cx="1238250" cy="1225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Youth 3.JPG"/>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l="30657" t="15326" r="21898" b="14234"/>
                    <a:stretch/>
                  </pic:blipFill>
                  <pic:spPr bwMode="auto">
                    <a:xfrm>
                      <a:off x="0" y="0"/>
                      <a:ext cx="1238250" cy="12255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FE0D7E" w14:textId="77777777" w:rsidR="00A628CB" w:rsidRDefault="00A628CB" w:rsidP="00A628CB">
      <w:pPr>
        <w:tabs>
          <w:tab w:val="left" w:pos="284"/>
        </w:tabs>
        <w:spacing w:line="360" w:lineRule="auto"/>
        <w:jc w:val="both"/>
        <w:rPr>
          <w:rFonts w:ascii="Calibri" w:hAnsi="Calibri"/>
          <w:b/>
          <w:sz w:val="10"/>
          <w:szCs w:val="10"/>
        </w:rPr>
      </w:pPr>
    </w:p>
    <w:p w14:paraId="7958829F" w14:textId="77777777" w:rsidR="00A628CB" w:rsidRDefault="00A628CB" w:rsidP="00A628CB">
      <w:pPr>
        <w:tabs>
          <w:tab w:val="left" w:pos="284"/>
        </w:tabs>
        <w:spacing w:line="360" w:lineRule="auto"/>
        <w:jc w:val="both"/>
        <w:rPr>
          <w:rFonts w:ascii="Calibri" w:hAnsi="Calibri"/>
          <w:b/>
          <w:sz w:val="10"/>
          <w:szCs w:val="10"/>
        </w:rPr>
      </w:pPr>
    </w:p>
    <w:p w14:paraId="53980486" w14:textId="77777777" w:rsidR="00A628CB" w:rsidRDefault="00A628CB" w:rsidP="00A628CB">
      <w:pPr>
        <w:tabs>
          <w:tab w:val="left" w:pos="284"/>
        </w:tabs>
        <w:spacing w:line="360" w:lineRule="auto"/>
        <w:jc w:val="both"/>
        <w:rPr>
          <w:rFonts w:ascii="Calibri" w:hAnsi="Calibri"/>
          <w:b/>
          <w:sz w:val="10"/>
          <w:szCs w:val="10"/>
        </w:rPr>
      </w:pPr>
    </w:p>
    <w:p w14:paraId="09F25EC7" w14:textId="77777777" w:rsidR="00A628CB" w:rsidRDefault="00A628CB" w:rsidP="00A628CB">
      <w:pPr>
        <w:tabs>
          <w:tab w:val="left" w:pos="284"/>
        </w:tabs>
        <w:spacing w:line="360" w:lineRule="auto"/>
        <w:jc w:val="both"/>
        <w:rPr>
          <w:rFonts w:ascii="Calibri" w:hAnsi="Calibri"/>
          <w:b/>
          <w:sz w:val="10"/>
          <w:szCs w:val="10"/>
        </w:rPr>
      </w:pPr>
    </w:p>
    <w:p w14:paraId="322AA075" w14:textId="77777777" w:rsidR="00A628CB" w:rsidRDefault="00A628CB" w:rsidP="00A628CB">
      <w:pPr>
        <w:tabs>
          <w:tab w:val="left" w:pos="284"/>
        </w:tabs>
        <w:spacing w:line="360" w:lineRule="auto"/>
        <w:jc w:val="both"/>
        <w:rPr>
          <w:rFonts w:ascii="Calibri" w:hAnsi="Calibri"/>
          <w:b/>
          <w:sz w:val="10"/>
          <w:szCs w:val="10"/>
        </w:rPr>
      </w:pPr>
    </w:p>
    <w:p w14:paraId="285A69C5" w14:textId="77777777" w:rsidR="00A628CB" w:rsidRDefault="00A628CB" w:rsidP="00A628CB">
      <w:pPr>
        <w:tabs>
          <w:tab w:val="left" w:pos="284"/>
        </w:tabs>
        <w:spacing w:line="360" w:lineRule="auto"/>
        <w:jc w:val="both"/>
        <w:rPr>
          <w:rFonts w:ascii="Calibri" w:hAnsi="Calibri"/>
          <w:b/>
          <w:sz w:val="10"/>
          <w:szCs w:val="10"/>
        </w:rPr>
      </w:pPr>
    </w:p>
    <w:p w14:paraId="2F986610" w14:textId="77777777" w:rsidR="00A628CB" w:rsidRDefault="00A628CB" w:rsidP="00A628CB">
      <w:pPr>
        <w:tabs>
          <w:tab w:val="left" w:pos="284"/>
        </w:tabs>
        <w:spacing w:line="360" w:lineRule="auto"/>
        <w:jc w:val="both"/>
        <w:rPr>
          <w:rFonts w:ascii="Calibri" w:hAnsi="Calibri"/>
          <w:b/>
          <w:sz w:val="10"/>
          <w:szCs w:val="10"/>
        </w:rPr>
      </w:pPr>
    </w:p>
    <w:p w14:paraId="04902FD6" w14:textId="77777777" w:rsidR="00A628CB" w:rsidRDefault="00A628CB" w:rsidP="00A628CB">
      <w:pPr>
        <w:tabs>
          <w:tab w:val="left" w:pos="284"/>
        </w:tabs>
        <w:spacing w:line="360" w:lineRule="auto"/>
        <w:jc w:val="both"/>
        <w:rPr>
          <w:rFonts w:ascii="Calibri" w:hAnsi="Calibri"/>
          <w:b/>
          <w:sz w:val="10"/>
          <w:szCs w:val="10"/>
        </w:rPr>
      </w:pPr>
    </w:p>
    <w:p w14:paraId="2A87C4D0" w14:textId="77777777" w:rsidR="00A628CB" w:rsidRDefault="00A628CB" w:rsidP="00A628CB">
      <w:pPr>
        <w:tabs>
          <w:tab w:val="left" w:pos="284"/>
        </w:tabs>
        <w:spacing w:line="360" w:lineRule="auto"/>
        <w:jc w:val="both"/>
        <w:rPr>
          <w:rFonts w:ascii="Calibri" w:hAnsi="Calibri"/>
          <w:b/>
          <w:sz w:val="10"/>
          <w:szCs w:val="10"/>
        </w:rPr>
      </w:pPr>
    </w:p>
    <w:p w14:paraId="35962F83" w14:textId="77777777" w:rsidR="00A628CB" w:rsidRDefault="00A628CB" w:rsidP="00A628CB">
      <w:pPr>
        <w:tabs>
          <w:tab w:val="left" w:pos="284"/>
        </w:tabs>
        <w:spacing w:line="360" w:lineRule="auto"/>
        <w:jc w:val="both"/>
        <w:rPr>
          <w:rFonts w:ascii="Calibri" w:hAnsi="Calibri"/>
          <w:b/>
          <w:sz w:val="10"/>
          <w:szCs w:val="10"/>
        </w:rPr>
      </w:pPr>
    </w:p>
    <w:p w14:paraId="5DA98729" w14:textId="77777777" w:rsidR="00A628CB" w:rsidRDefault="00A628CB" w:rsidP="00A628CB">
      <w:pPr>
        <w:tabs>
          <w:tab w:val="left" w:pos="284"/>
        </w:tabs>
        <w:spacing w:line="360" w:lineRule="auto"/>
        <w:jc w:val="both"/>
        <w:rPr>
          <w:rFonts w:ascii="Calibri" w:hAnsi="Calibri"/>
          <w:b/>
          <w:sz w:val="10"/>
          <w:szCs w:val="10"/>
        </w:rPr>
      </w:pPr>
    </w:p>
    <w:p w14:paraId="4BB3102D" w14:textId="77777777" w:rsidR="00A628CB" w:rsidRDefault="00A628CB" w:rsidP="00A628CB">
      <w:pPr>
        <w:tabs>
          <w:tab w:val="left" w:pos="5670"/>
        </w:tabs>
        <w:jc w:val="both"/>
        <w:rPr>
          <w:rFonts w:ascii="Calibri" w:hAnsi="Calibri"/>
          <w:color w:val="7F7F7F"/>
          <w:sz w:val="20"/>
          <w:szCs w:val="20"/>
        </w:rPr>
      </w:pPr>
    </w:p>
    <w:p w14:paraId="2F8077D9" w14:textId="77777777" w:rsidR="00A628CB" w:rsidRDefault="00A628CB" w:rsidP="00A628CB">
      <w:pPr>
        <w:tabs>
          <w:tab w:val="left" w:pos="5670"/>
        </w:tabs>
        <w:jc w:val="both"/>
        <w:rPr>
          <w:rFonts w:ascii="Calibri" w:hAnsi="Calibri"/>
          <w:b/>
          <w:sz w:val="22"/>
          <w:szCs w:val="22"/>
        </w:rPr>
      </w:pPr>
      <w:r w:rsidRPr="002874B0">
        <w:rPr>
          <w:rFonts w:ascii="Calibri" w:hAnsi="Calibri"/>
          <w:color w:val="7F7F7F"/>
          <w:sz w:val="20"/>
          <w:szCs w:val="20"/>
        </w:rPr>
        <w:t>Languages: persons aged 12 to 24, Greater Dandenong, 201</w:t>
      </w:r>
      <w:r>
        <w:rPr>
          <w:rFonts w:ascii="Calibri" w:hAnsi="Calibri"/>
          <w:color w:val="7F7F7F"/>
          <w:sz w:val="20"/>
          <w:szCs w:val="20"/>
        </w:rPr>
        <w:t>6</w:t>
      </w:r>
      <w:r>
        <w:rPr>
          <w:rFonts w:ascii="Calibri" w:hAnsi="Calibri"/>
          <w:b/>
          <w:sz w:val="22"/>
          <w:szCs w:val="22"/>
        </w:rPr>
        <w:t xml:space="preserve">                        </w:t>
      </w:r>
      <w:r w:rsidRPr="002B7D52">
        <w:rPr>
          <w:rFonts w:ascii="Calibri" w:hAnsi="Calibri"/>
          <w:b/>
          <w:sz w:val="22"/>
          <w:szCs w:val="22"/>
        </w:rPr>
        <w:t>Spoken Languages &amp; English Fluency</w:t>
      </w:r>
    </w:p>
    <w:p w14:paraId="6E829014" w14:textId="77777777" w:rsidR="00A628CB" w:rsidRPr="002B7D52" w:rsidRDefault="00A628CB" w:rsidP="00A628CB">
      <w:pPr>
        <w:tabs>
          <w:tab w:val="left" w:pos="284"/>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0288" behindDoc="0" locked="0" layoutInCell="1" allowOverlap="1" wp14:anchorId="1CD2D69B" wp14:editId="5F7FC88E">
            <wp:simplePos x="0" y="0"/>
            <wp:positionH relativeFrom="column">
              <wp:posOffset>13335</wp:posOffset>
            </wp:positionH>
            <wp:positionV relativeFrom="paragraph">
              <wp:posOffset>13335</wp:posOffset>
            </wp:positionV>
            <wp:extent cx="3683635" cy="38100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l="1974" r="7948" b="1674"/>
                    <a:stretch>
                      <a:fillRect/>
                    </a:stretch>
                  </pic:blipFill>
                  <pic:spPr bwMode="auto">
                    <a:xfrm>
                      <a:off x="0" y="0"/>
                      <a:ext cx="3683635" cy="3810000"/>
                    </a:xfrm>
                    <a:prstGeom prst="rect">
                      <a:avLst/>
                    </a:prstGeom>
                    <a:noFill/>
                  </pic:spPr>
                </pic:pic>
              </a:graphicData>
            </a:graphic>
            <wp14:sizeRelH relativeFrom="page">
              <wp14:pctWidth>0</wp14:pctWidth>
            </wp14:sizeRelH>
            <wp14:sizeRelV relativeFrom="page">
              <wp14:pctHeight>0</wp14:pctHeight>
            </wp14:sizeRelV>
          </wp:anchor>
        </w:drawing>
      </w:r>
      <w:r w:rsidRPr="008E2CA7">
        <w:rPr>
          <w:rFonts w:ascii="Calibri" w:hAnsi="Calibri"/>
          <w:noProof/>
          <w:sz w:val="22"/>
          <w:szCs w:val="22"/>
        </w:rPr>
        <w:t>Seventy per cent</w:t>
      </w:r>
      <w:r w:rsidRPr="008E2CA7">
        <w:rPr>
          <w:rFonts w:ascii="Calibri" w:hAnsi="Calibri"/>
          <w:sz w:val="22"/>
          <w:szCs w:val="22"/>
        </w:rPr>
        <w:t xml:space="preserve"> of 12 to 24 year-olds speak languages other than English </w:t>
      </w:r>
      <w:r w:rsidRPr="002B7D52">
        <w:rPr>
          <w:rFonts w:ascii="Calibri" w:hAnsi="Calibri"/>
          <w:sz w:val="22"/>
          <w:szCs w:val="22"/>
        </w:rPr>
        <w:t>at home, including Vietnamese</w:t>
      </w:r>
      <w:r w:rsidRPr="002B7D52">
        <w:rPr>
          <w:rFonts w:ascii="Calibri" w:hAnsi="Calibri"/>
          <w:sz w:val="18"/>
          <w:szCs w:val="18"/>
        </w:rPr>
        <w:t xml:space="preserve">, </w:t>
      </w:r>
      <w:r w:rsidRPr="002B7D52">
        <w:rPr>
          <w:rFonts w:ascii="Calibri" w:hAnsi="Calibri"/>
          <w:sz w:val="22"/>
          <w:szCs w:val="22"/>
        </w:rPr>
        <w:t>Khmer</w:t>
      </w:r>
      <w:r>
        <w:rPr>
          <w:rFonts w:ascii="Calibri" w:hAnsi="Calibri"/>
          <w:sz w:val="22"/>
          <w:szCs w:val="22"/>
        </w:rPr>
        <w:t xml:space="preserve">, </w:t>
      </w:r>
      <w:r w:rsidRPr="002B7D52">
        <w:rPr>
          <w:rFonts w:ascii="Calibri" w:hAnsi="Calibri"/>
          <w:sz w:val="22"/>
          <w:szCs w:val="22"/>
        </w:rPr>
        <w:t>Punjabi</w:t>
      </w:r>
      <w:r w:rsidRPr="002B7D52">
        <w:rPr>
          <w:rFonts w:ascii="Calibri" w:hAnsi="Calibri"/>
          <w:sz w:val="18"/>
          <w:szCs w:val="18"/>
        </w:rPr>
        <w:t xml:space="preserve">, </w:t>
      </w:r>
      <w:r w:rsidRPr="002B7D52">
        <w:rPr>
          <w:rFonts w:ascii="Calibri" w:hAnsi="Calibri"/>
          <w:sz w:val="22"/>
          <w:szCs w:val="22"/>
        </w:rPr>
        <w:t>Cantonese</w:t>
      </w:r>
      <w:r w:rsidRPr="002B7D52">
        <w:rPr>
          <w:rFonts w:ascii="Calibri" w:hAnsi="Calibri"/>
          <w:sz w:val="18"/>
          <w:szCs w:val="18"/>
        </w:rPr>
        <w:t xml:space="preserve">, </w:t>
      </w:r>
      <w:r w:rsidRPr="002B7D52">
        <w:rPr>
          <w:rFonts w:ascii="Calibri" w:hAnsi="Calibri"/>
          <w:sz w:val="22"/>
          <w:szCs w:val="22"/>
        </w:rPr>
        <w:t>Mandarin</w:t>
      </w:r>
      <w:r>
        <w:rPr>
          <w:rFonts w:ascii="Calibri" w:hAnsi="Calibri"/>
          <w:sz w:val="22"/>
          <w:szCs w:val="22"/>
        </w:rPr>
        <w:t>, Dari</w:t>
      </w:r>
      <w:r>
        <w:rPr>
          <w:rFonts w:ascii="Calibri" w:hAnsi="Calibri"/>
          <w:sz w:val="18"/>
          <w:szCs w:val="18"/>
        </w:rPr>
        <w:t xml:space="preserve">, </w:t>
      </w:r>
      <w:r w:rsidRPr="00205E29">
        <w:rPr>
          <w:rFonts w:ascii="Calibri" w:hAnsi="Calibri"/>
          <w:sz w:val="22"/>
          <w:szCs w:val="22"/>
        </w:rPr>
        <w:t>Hazara</w:t>
      </w:r>
      <w:r>
        <w:rPr>
          <w:rFonts w:ascii="Calibri" w:hAnsi="Calibri"/>
          <w:sz w:val="22"/>
          <w:szCs w:val="22"/>
        </w:rPr>
        <w:t>g</w:t>
      </w:r>
      <w:r w:rsidRPr="00205E29">
        <w:rPr>
          <w:rFonts w:ascii="Calibri" w:hAnsi="Calibri"/>
          <w:sz w:val="22"/>
          <w:szCs w:val="22"/>
        </w:rPr>
        <w:t>hi</w:t>
      </w:r>
      <w:r>
        <w:rPr>
          <w:rFonts w:ascii="Calibri" w:hAnsi="Calibri"/>
          <w:sz w:val="18"/>
          <w:szCs w:val="18"/>
        </w:rPr>
        <w:t xml:space="preserve"> </w:t>
      </w:r>
      <w:r w:rsidRPr="002B7D52">
        <w:rPr>
          <w:rFonts w:ascii="Calibri" w:hAnsi="Calibri"/>
          <w:sz w:val="22"/>
          <w:szCs w:val="22"/>
        </w:rPr>
        <w:t>and Arabic</w:t>
      </w:r>
      <w:r w:rsidRPr="002B7D52">
        <w:rPr>
          <w:rFonts w:ascii="Calibri" w:hAnsi="Calibri"/>
          <w:sz w:val="18"/>
          <w:szCs w:val="18"/>
        </w:rPr>
        <w:t xml:space="preserve">. </w:t>
      </w:r>
      <w:r w:rsidRPr="002B7D52">
        <w:rPr>
          <w:rFonts w:ascii="Calibri" w:hAnsi="Calibri"/>
          <w:sz w:val="22"/>
          <w:szCs w:val="22"/>
        </w:rPr>
        <w:t xml:space="preserve">By contrast, </w:t>
      </w:r>
      <w:r>
        <w:rPr>
          <w:rFonts w:ascii="Calibri" w:hAnsi="Calibri"/>
          <w:sz w:val="22"/>
          <w:szCs w:val="22"/>
        </w:rPr>
        <w:t>fewer</w:t>
      </w:r>
      <w:r w:rsidRPr="002B7D52">
        <w:rPr>
          <w:rFonts w:ascii="Calibri" w:hAnsi="Calibri"/>
          <w:sz w:val="22"/>
          <w:szCs w:val="22"/>
        </w:rPr>
        <w:t xml:space="preserve"> than a </w:t>
      </w:r>
      <w:r>
        <w:rPr>
          <w:rFonts w:ascii="Calibri" w:hAnsi="Calibri"/>
          <w:sz w:val="22"/>
          <w:szCs w:val="22"/>
        </w:rPr>
        <w:t>30%</w:t>
      </w:r>
      <w:r w:rsidRPr="002B7D52">
        <w:rPr>
          <w:rFonts w:ascii="Calibri" w:hAnsi="Calibri"/>
          <w:sz w:val="22"/>
          <w:szCs w:val="22"/>
        </w:rPr>
        <w:t xml:space="preserve"> of young people across Melbourne speak languages other than English at home.</w:t>
      </w:r>
    </w:p>
    <w:p w14:paraId="21DE3DB6" w14:textId="77777777" w:rsidR="00A628CB" w:rsidRDefault="00A628CB" w:rsidP="00A628CB">
      <w:pPr>
        <w:tabs>
          <w:tab w:val="left" w:pos="284"/>
        </w:tabs>
        <w:spacing w:line="360" w:lineRule="auto"/>
        <w:jc w:val="both"/>
        <w:rPr>
          <w:rFonts w:ascii="Calibri" w:hAnsi="Calibri"/>
          <w:color w:val="000000"/>
          <w:sz w:val="18"/>
          <w:szCs w:val="18"/>
        </w:rPr>
      </w:pPr>
      <w:r w:rsidRPr="002B7D52">
        <w:rPr>
          <w:rFonts w:ascii="Calibri" w:hAnsi="Calibri"/>
          <w:color w:val="000000"/>
          <w:sz w:val="22"/>
          <w:szCs w:val="22"/>
        </w:rPr>
        <w:t xml:space="preserve">Approximately </w:t>
      </w:r>
      <w:r>
        <w:rPr>
          <w:rFonts w:ascii="Calibri" w:hAnsi="Calibri"/>
          <w:color w:val="000000"/>
          <w:sz w:val="22"/>
          <w:szCs w:val="22"/>
        </w:rPr>
        <w:t>6</w:t>
      </w:r>
      <w:r w:rsidRPr="002B7D52">
        <w:rPr>
          <w:rFonts w:ascii="Calibri" w:hAnsi="Calibri"/>
          <w:color w:val="000000"/>
          <w:sz w:val="22"/>
          <w:szCs w:val="22"/>
        </w:rPr>
        <w:t>% of young people aged 12 to 2</w:t>
      </w:r>
      <w:r>
        <w:rPr>
          <w:rFonts w:ascii="Calibri" w:hAnsi="Calibri"/>
          <w:color w:val="000000"/>
          <w:sz w:val="22"/>
          <w:szCs w:val="22"/>
        </w:rPr>
        <w:t>4</w:t>
      </w:r>
      <w:r w:rsidRPr="002B7D52">
        <w:rPr>
          <w:rFonts w:ascii="Calibri" w:hAnsi="Calibri"/>
          <w:color w:val="000000"/>
          <w:sz w:val="22"/>
          <w:szCs w:val="22"/>
        </w:rPr>
        <w:t xml:space="preserve"> in Greater Dandenong,</w:t>
      </w:r>
      <w:r>
        <w:rPr>
          <w:rFonts w:ascii="Calibri" w:hAnsi="Calibri"/>
          <w:color w:val="000000"/>
          <w:sz w:val="22"/>
          <w:szCs w:val="22"/>
        </w:rPr>
        <w:t xml:space="preserve"> numbering 1,500,</w:t>
      </w:r>
      <w:r w:rsidRPr="002B7D52">
        <w:rPr>
          <w:rFonts w:ascii="Calibri" w:hAnsi="Calibri"/>
          <w:color w:val="000000"/>
          <w:sz w:val="22"/>
          <w:szCs w:val="22"/>
        </w:rPr>
        <w:t xml:space="preserve"> have limited fluency in the use of spoken English. Limited fluency is most widespread among those who speak languages such as </w:t>
      </w:r>
      <w:r>
        <w:rPr>
          <w:rFonts w:ascii="Calibri" w:hAnsi="Calibri"/>
          <w:color w:val="000000"/>
          <w:sz w:val="22"/>
          <w:szCs w:val="22"/>
        </w:rPr>
        <w:t>Rohingya</w:t>
      </w:r>
      <w:r w:rsidRPr="002B7D52">
        <w:rPr>
          <w:rFonts w:ascii="Calibri" w:hAnsi="Calibri"/>
          <w:color w:val="000000"/>
          <w:sz w:val="22"/>
          <w:szCs w:val="22"/>
        </w:rPr>
        <w:t xml:space="preserve"> </w:t>
      </w:r>
      <w:r w:rsidRPr="002B7D52">
        <w:rPr>
          <w:rFonts w:ascii="Calibri" w:hAnsi="Calibri"/>
          <w:color w:val="000000"/>
          <w:sz w:val="18"/>
          <w:szCs w:val="18"/>
        </w:rPr>
        <w:t>(</w:t>
      </w:r>
      <w:r>
        <w:rPr>
          <w:rFonts w:ascii="Calibri" w:hAnsi="Calibri"/>
          <w:color w:val="000000"/>
          <w:sz w:val="18"/>
          <w:szCs w:val="18"/>
        </w:rPr>
        <w:t>62</w:t>
      </w:r>
      <w:r w:rsidRPr="002B7D52">
        <w:rPr>
          <w:rFonts w:ascii="Calibri" w:hAnsi="Calibri"/>
          <w:color w:val="000000"/>
          <w:sz w:val="18"/>
          <w:szCs w:val="18"/>
        </w:rPr>
        <w:t>%)</w:t>
      </w:r>
      <w:r w:rsidRPr="002B7D52">
        <w:rPr>
          <w:rFonts w:ascii="Calibri" w:hAnsi="Calibri"/>
          <w:color w:val="000000"/>
          <w:sz w:val="22"/>
          <w:szCs w:val="22"/>
        </w:rPr>
        <w:t xml:space="preserve">, </w:t>
      </w:r>
      <w:r>
        <w:rPr>
          <w:rFonts w:ascii="Calibri" w:hAnsi="Calibri"/>
          <w:color w:val="000000"/>
          <w:sz w:val="22"/>
          <w:szCs w:val="22"/>
        </w:rPr>
        <w:t>Burmese, Pashto, Hazaraghi and Dari</w:t>
      </w:r>
      <w:r w:rsidRPr="002B7D52">
        <w:rPr>
          <w:rFonts w:ascii="Calibri" w:hAnsi="Calibri"/>
          <w:color w:val="000000"/>
          <w:sz w:val="22"/>
          <w:szCs w:val="22"/>
        </w:rPr>
        <w:t xml:space="preserve">. </w:t>
      </w:r>
      <w:r>
        <w:rPr>
          <w:rFonts w:ascii="Calibri" w:hAnsi="Calibri"/>
          <w:color w:val="000000"/>
          <w:sz w:val="22"/>
          <w:szCs w:val="22"/>
        </w:rPr>
        <w:t>T</w:t>
      </w:r>
      <w:r w:rsidRPr="002B7D52">
        <w:rPr>
          <w:rFonts w:ascii="Calibri" w:hAnsi="Calibri"/>
          <w:color w:val="000000"/>
          <w:sz w:val="22"/>
          <w:szCs w:val="22"/>
        </w:rPr>
        <w:t xml:space="preserve">he greater </w:t>
      </w:r>
      <w:r w:rsidRPr="002B7D52">
        <w:rPr>
          <w:rFonts w:ascii="Calibri" w:hAnsi="Calibri"/>
          <w:i/>
          <w:color w:val="000000"/>
          <w:sz w:val="22"/>
          <w:szCs w:val="22"/>
        </w:rPr>
        <w:t>number</w:t>
      </w:r>
      <w:r>
        <w:rPr>
          <w:rFonts w:ascii="Calibri" w:hAnsi="Calibri"/>
          <w:i/>
          <w:color w:val="000000"/>
          <w:sz w:val="22"/>
          <w:szCs w:val="22"/>
        </w:rPr>
        <w:t>s</w:t>
      </w:r>
      <w:r w:rsidRPr="002B7D52">
        <w:rPr>
          <w:rFonts w:ascii="Calibri" w:hAnsi="Calibri"/>
          <w:color w:val="000000"/>
          <w:sz w:val="22"/>
          <w:szCs w:val="22"/>
        </w:rPr>
        <w:t xml:space="preserve"> of young people with limited English </w:t>
      </w:r>
      <w:proofErr w:type="gramStart"/>
      <w:r>
        <w:rPr>
          <w:rFonts w:ascii="Calibri" w:hAnsi="Calibri"/>
          <w:color w:val="000000"/>
          <w:sz w:val="22"/>
          <w:szCs w:val="22"/>
        </w:rPr>
        <w:t>fluency</w:t>
      </w:r>
      <w:proofErr w:type="gramEnd"/>
      <w:r>
        <w:rPr>
          <w:rFonts w:ascii="Calibri" w:hAnsi="Calibri"/>
          <w:color w:val="000000"/>
          <w:sz w:val="22"/>
          <w:szCs w:val="22"/>
        </w:rPr>
        <w:t xml:space="preserve"> however, include</w:t>
      </w:r>
      <w:r w:rsidRPr="002B7D52">
        <w:rPr>
          <w:rFonts w:ascii="Calibri" w:hAnsi="Calibri"/>
          <w:color w:val="000000"/>
          <w:sz w:val="22"/>
          <w:szCs w:val="22"/>
        </w:rPr>
        <w:t xml:space="preserve"> those who speak Vietnamese</w:t>
      </w:r>
      <w:r>
        <w:rPr>
          <w:rFonts w:ascii="Calibri" w:hAnsi="Calibri"/>
          <w:color w:val="000000"/>
          <w:sz w:val="22"/>
          <w:szCs w:val="22"/>
        </w:rPr>
        <w:t xml:space="preserve">, numbering </w:t>
      </w:r>
      <w:r w:rsidRPr="0085463C">
        <w:rPr>
          <w:rFonts w:ascii="Calibri" w:hAnsi="Calibri"/>
          <w:color w:val="000000"/>
          <w:sz w:val="22"/>
          <w:szCs w:val="22"/>
        </w:rPr>
        <w:t>318</w:t>
      </w:r>
      <w:r w:rsidRPr="002B7D52">
        <w:rPr>
          <w:rFonts w:ascii="Calibri" w:hAnsi="Calibri"/>
          <w:color w:val="000000"/>
          <w:sz w:val="18"/>
          <w:szCs w:val="18"/>
        </w:rPr>
        <w:t xml:space="preserve">, </w:t>
      </w:r>
      <w:r w:rsidRPr="002B7D52">
        <w:rPr>
          <w:rFonts w:ascii="Calibri" w:hAnsi="Calibri"/>
          <w:color w:val="000000"/>
          <w:sz w:val="22"/>
          <w:szCs w:val="22"/>
        </w:rPr>
        <w:t>Khmer</w:t>
      </w:r>
      <w:r w:rsidRPr="002B7D52">
        <w:rPr>
          <w:rFonts w:ascii="Calibri" w:hAnsi="Calibri"/>
          <w:color w:val="000000"/>
          <w:sz w:val="18"/>
          <w:szCs w:val="18"/>
        </w:rPr>
        <w:t xml:space="preserve"> (</w:t>
      </w:r>
      <w:r>
        <w:rPr>
          <w:rFonts w:ascii="Calibri" w:hAnsi="Calibri"/>
          <w:color w:val="000000"/>
          <w:sz w:val="18"/>
          <w:szCs w:val="18"/>
        </w:rPr>
        <w:t>208</w:t>
      </w:r>
      <w:r w:rsidRPr="002B7D52">
        <w:rPr>
          <w:rFonts w:ascii="Calibri" w:hAnsi="Calibri"/>
          <w:color w:val="000000"/>
          <w:sz w:val="18"/>
          <w:szCs w:val="18"/>
        </w:rPr>
        <w:t xml:space="preserve">), </w:t>
      </w:r>
      <w:r>
        <w:rPr>
          <w:rFonts w:ascii="Calibri" w:hAnsi="Calibri"/>
          <w:color w:val="000000"/>
          <w:sz w:val="22"/>
          <w:szCs w:val="22"/>
        </w:rPr>
        <w:t>Hazaraghi</w:t>
      </w:r>
      <w:r w:rsidRPr="002B7D52">
        <w:rPr>
          <w:rFonts w:ascii="Calibri" w:hAnsi="Calibri"/>
          <w:color w:val="000000"/>
          <w:sz w:val="22"/>
          <w:szCs w:val="22"/>
        </w:rPr>
        <w:t xml:space="preserve"> </w:t>
      </w:r>
      <w:r w:rsidRPr="002B7D52">
        <w:rPr>
          <w:rFonts w:ascii="Calibri" w:hAnsi="Calibri"/>
          <w:color w:val="000000"/>
          <w:sz w:val="18"/>
          <w:szCs w:val="18"/>
        </w:rPr>
        <w:t>(</w:t>
      </w:r>
      <w:r>
        <w:rPr>
          <w:rFonts w:ascii="Calibri" w:hAnsi="Calibri"/>
          <w:color w:val="000000"/>
          <w:sz w:val="18"/>
          <w:szCs w:val="18"/>
        </w:rPr>
        <w:t>154</w:t>
      </w:r>
      <w:r w:rsidRPr="002B7D52">
        <w:rPr>
          <w:rFonts w:ascii="Calibri" w:hAnsi="Calibri"/>
          <w:color w:val="000000"/>
          <w:sz w:val="22"/>
          <w:szCs w:val="22"/>
        </w:rPr>
        <w:t>)</w:t>
      </w:r>
      <w:r>
        <w:rPr>
          <w:rFonts w:ascii="Calibri" w:hAnsi="Calibri"/>
          <w:color w:val="000000"/>
          <w:sz w:val="22"/>
          <w:szCs w:val="22"/>
        </w:rPr>
        <w:t xml:space="preserve">, Dari </w:t>
      </w:r>
      <w:r w:rsidRPr="008E2CA7">
        <w:rPr>
          <w:rFonts w:ascii="Calibri" w:hAnsi="Calibri"/>
          <w:color w:val="000000"/>
          <w:sz w:val="18"/>
          <w:szCs w:val="18"/>
        </w:rPr>
        <w:t>(117)</w:t>
      </w:r>
      <w:r>
        <w:rPr>
          <w:rFonts w:ascii="Calibri" w:hAnsi="Calibri"/>
          <w:color w:val="000000"/>
          <w:sz w:val="22"/>
          <w:szCs w:val="22"/>
        </w:rPr>
        <w:t xml:space="preserve"> </w:t>
      </w:r>
      <w:r w:rsidRPr="002B7D52">
        <w:rPr>
          <w:rFonts w:ascii="Calibri" w:hAnsi="Calibri"/>
          <w:color w:val="000000"/>
          <w:sz w:val="22"/>
          <w:szCs w:val="22"/>
        </w:rPr>
        <w:t xml:space="preserve">and Mandarin </w:t>
      </w:r>
      <w:r w:rsidRPr="002B7D52">
        <w:rPr>
          <w:rFonts w:ascii="Calibri" w:hAnsi="Calibri"/>
          <w:color w:val="000000"/>
          <w:sz w:val="18"/>
          <w:szCs w:val="18"/>
        </w:rPr>
        <w:t>(</w:t>
      </w:r>
      <w:r>
        <w:rPr>
          <w:rFonts w:ascii="Calibri" w:hAnsi="Calibri"/>
          <w:color w:val="000000"/>
          <w:sz w:val="18"/>
          <w:szCs w:val="18"/>
        </w:rPr>
        <w:t>108</w:t>
      </w:r>
      <w:r w:rsidRPr="002B7D52">
        <w:rPr>
          <w:rFonts w:ascii="Calibri" w:hAnsi="Calibri"/>
          <w:color w:val="000000"/>
          <w:sz w:val="18"/>
          <w:szCs w:val="18"/>
        </w:rPr>
        <w:t>).</w:t>
      </w:r>
    </w:p>
    <w:p w14:paraId="65F23F10" w14:textId="77777777" w:rsidR="00A628CB" w:rsidRPr="002874B0" w:rsidRDefault="00A628CB" w:rsidP="00A628CB">
      <w:pPr>
        <w:tabs>
          <w:tab w:val="left" w:pos="284"/>
        </w:tabs>
        <w:jc w:val="both"/>
        <w:rPr>
          <w:rFonts w:ascii="Calibri" w:hAnsi="Calibri"/>
          <w:color w:val="7F7F7F"/>
          <w:sz w:val="20"/>
          <w:szCs w:val="20"/>
        </w:rPr>
      </w:pPr>
      <w:r w:rsidRPr="002874B0">
        <w:rPr>
          <w:rFonts w:ascii="Calibri" w:hAnsi="Calibri"/>
          <w:color w:val="7F7F7F"/>
          <w:sz w:val="20"/>
          <w:szCs w:val="20"/>
        </w:rPr>
        <w:lastRenderedPageBreak/>
        <w:t xml:space="preserve">Per cent of 20-24 year-olds who had Left School before </w:t>
      </w:r>
    </w:p>
    <w:p w14:paraId="196A41C0" w14:textId="77777777" w:rsidR="00A628CB" w:rsidRPr="002B7D52" w:rsidRDefault="00A628CB" w:rsidP="00A628CB">
      <w:pPr>
        <w:tabs>
          <w:tab w:val="left" w:pos="284"/>
          <w:tab w:val="left" w:pos="5954"/>
        </w:tabs>
        <w:jc w:val="both"/>
        <w:rPr>
          <w:rFonts w:ascii="Calibri" w:hAnsi="Calibri"/>
          <w:color w:val="7F7F7F"/>
          <w:sz w:val="22"/>
          <w:szCs w:val="22"/>
        </w:rPr>
      </w:pPr>
      <w:r w:rsidRPr="002874B0">
        <w:rPr>
          <w:rFonts w:ascii="Calibri" w:hAnsi="Calibri"/>
          <w:color w:val="7F7F7F"/>
          <w:sz w:val="20"/>
          <w:szCs w:val="20"/>
        </w:rPr>
        <w:t>Completing Year 11: Greater Dandenong, 201</w:t>
      </w:r>
      <w:r>
        <w:rPr>
          <w:rFonts w:ascii="Calibri" w:hAnsi="Calibri"/>
          <w:color w:val="7F7F7F"/>
          <w:sz w:val="20"/>
          <w:szCs w:val="20"/>
        </w:rPr>
        <w:t>6</w:t>
      </w:r>
      <w:r>
        <w:rPr>
          <w:rFonts w:ascii="Calibri" w:hAnsi="Calibri"/>
          <w:color w:val="7F7F7F"/>
          <w:sz w:val="22"/>
          <w:szCs w:val="22"/>
        </w:rPr>
        <w:tab/>
      </w:r>
      <w:r w:rsidRPr="002B7D52">
        <w:rPr>
          <w:rFonts w:ascii="Calibri" w:hAnsi="Calibri"/>
          <w:b/>
          <w:sz w:val="22"/>
          <w:szCs w:val="22"/>
        </w:rPr>
        <w:t>Educational Participation and Outcomes</w:t>
      </w:r>
    </w:p>
    <w:p w14:paraId="1C691CAC" w14:textId="77777777" w:rsidR="00A628CB" w:rsidRDefault="00A628CB" w:rsidP="00A628CB">
      <w:pPr>
        <w:tabs>
          <w:tab w:val="left" w:pos="284"/>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1312" behindDoc="1" locked="0" layoutInCell="1" allowOverlap="1" wp14:anchorId="443DDE08" wp14:editId="147BA8B5">
            <wp:simplePos x="0" y="0"/>
            <wp:positionH relativeFrom="column">
              <wp:posOffset>3810</wp:posOffset>
            </wp:positionH>
            <wp:positionV relativeFrom="paragraph">
              <wp:posOffset>40005</wp:posOffset>
            </wp:positionV>
            <wp:extent cx="3891280" cy="353377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1280" cy="3533775"/>
                    </a:xfrm>
                    <a:prstGeom prst="rect">
                      <a:avLst/>
                    </a:prstGeom>
                    <a:noFill/>
                  </pic:spPr>
                </pic:pic>
              </a:graphicData>
            </a:graphic>
            <wp14:sizeRelH relativeFrom="page">
              <wp14:pctWidth>0</wp14:pctWidth>
            </wp14:sizeRelH>
            <wp14:sizeRelV relativeFrom="page">
              <wp14:pctHeight>0</wp14:pctHeight>
            </wp14:sizeRelV>
          </wp:anchor>
        </w:drawing>
      </w:r>
      <w:r w:rsidRPr="002B7D52">
        <w:rPr>
          <w:rFonts w:ascii="Calibri" w:hAnsi="Calibri"/>
          <w:sz w:val="22"/>
          <w:szCs w:val="22"/>
        </w:rPr>
        <w:t>In 201</w:t>
      </w:r>
      <w:r>
        <w:rPr>
          <w:rFonts w:ascii="Calibri" w:hAnsi="Calibri"/>
          <w:sz w:val="22"/>
          <w:szCs w:val="22"/>
        </w:rPr>
        <w:t>6</w:t>
      </w:r>
      <w:r w:rsidRPr="002B7D52">
        <w:rPr>
          <w:rFonts w:ascii="Calibri" w:hAnsi="Calibri"/>
          <w:sz w:val="22"/>
          <w:szCs w:val="22"/>
        </w:rPr>
        <w:t xml:space="preserve">, 13% of 20 to 24 year-olds in Greater Dandenong had left school before </w:t>
      </w:r>
      <w:r>
        <w:rPr>
          <w:rFonts w:ascii="Calibri" w:hAnsi="Calibri"/>
          <w:sz w:val="22"/>
          <w:szCs w:val="22"/>
        </w:rPr>
        <w:t xml:space="preserve">completing </w:t>
      </w:r>
      <w:r w:rsidRPr="002B7D52">
        <w:rPr>
          <w:rFonts w:ascii="Calibri" w:hAnsi="Calibri"/>
          <w:sz w:val="22"/>
          <w:szCs w:val="22"/>
        </w:rPr>
        <w:t xml:space="preserve">year 11 </w:t>
      </w:r>
      <w:r>
        <w:rPr>
          <w:rFonts w:ascii="Calibri" w:hAnsi="Calibri"/>
          <w:sz w:val="22"/>
          <w:szCs w:val="22"/>
        </w:rPr>
        <w:t xml:space="preserve">(‘left school early’) </w:t>
      </w:r>
      <w:r w:rsidRPr="002B7D52">
        <w:rPr>
          <w:rFonts w:ascii="Calibri" w:hAnsi="Calibri"/>
          <w:sz w:val="22"/>
          <w:szCs w:val="22"/>
        </w:rPr>
        <w:t xml:space="preserve">- compared with </w:t>
      </w:r>
      <w:r>
        <w:rPr>
          <w:rFonts w:ascii="Calibri" w:hAnsi="Calibri"/>
          <w:sz w:val="22"/>
          <w:szCs w:val="22"/>
        </w:rPr>
        <w:t>8.3</w:t>
      </w:r>
      <w:r w:rsidRPr="002B7D52">
        <w:rPr>
          <w:rFonts w:ascii="Calibri" w:hAnsi="Calibri"/>
          <w:sz w:val="22"/>
          <w:szCs w:val="22"/>
        </w:rPr>
        <w:t xml:space="preserve">% across Melbourne. </w:t>
      </w:r>
    </w:p>
    <w:p w14:paraId="077DB5A0" w14:textId="77777777" w:rsidR="00A628CB" w:rsidRPr="002B7D52" w:rsidRDefault="00A628CB" w:rsidP="00A628CB">
      <w:pPr>
        <w:tabs>
          <w:tab w:val="left" w:pos="284"/>
        </w:tabs>
        <w:spacing w:line="360" w:lineRule="auto"/>
        <w:jc w:val="both"/>
        <w:rPr>
          <w:rFonts w:ascii="Calibri" w:hAnsi="Calibri"/>
          <w:sz w:val="22"/>
          <w:szCs w:val="22"/>
        </w:rPr>
      </w:pPr>
      <w:r>
        <w:rPr>
          <w:noProof/>
          <w:lang w:eastAsia="en-AU"/>
        </w:rPr>
        <w:drawing>
          <wp:anchor distT="140208" distB="332359" distL="242316" distR="459232" simplePos="0" relativeHeight="251663360" behindDoc="0" locked="0" layoutInCell="1" allowOverlap="1" wp14:anchorId="6703EC63" wp14:editId="1C907A7E">
            <wp:simplePos x="0" y="0"/>
            <wp:positionH relativeFrom="column">
              <wp:posOffset>-2120265</wp:posOffset>
            </wp:positionH>
            <wp:positionV relativeFrom="paragraph">
              <wp:posOffset>998220</wp:posOffset>
            </wp:positionV>
            <wp:extent cx="1922780" cy="1276350"/>
            <wp:effectExtent l="0" t="0" r="1270" b="0"/>
            <wp:wrapNone/>
            <wp:docPr id="30" name="Picture 176" descr="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6" descr="education.jpg"/>
                    <pic:cNvPicPr/>
                  </pic:nvPicPr>
                  <pic:blipFill>
                    <a:blip r:embed="rId14" cstate="print"/>
                    <a:stretch>
                      <a:fillRect/>
                    </a:stretch>
                  </pic:blipFill>
                  <pic:spPr>
                    <a:xfrm>
                      <a:off x="0" y="0"/>
                      <a:ext cx="1922780" cy="12763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Two-thirds</w:t>
      </w:r>
      <w:r w:rsidRPr="002B7D52">
        <w:rPr>
          <w:rFonts w:ascii="Calibri" w:hAnsi="Calibri"/>
          <w:sz w:val="22"/>
          <w:szCs w:val="22"/>
        </w:rPr>
        <w:t xml:space="preserve"> of </w:t>
      </w:r>
      <w:r>
        <w:rPr>
          <w:rFonts w:ascii="Calibri" w:hAnsi="Calibri"/>
          <w:sz w:val="22"/>
          <w:szCs w:val="22"/>
        </w:rPr>
        <w:t>those from</w:t>
      </w:r>
      <w:r w:rsidRPr="002B7D52">
        <w:rPr>
          <w:rFonts w:ascii="Calibri" w:hAnsi="Calibri"/>
          <w:sz w:val="22"/>
          <w:szCs w:val="22"/>
        </w:rPr>
        <w:t xml:space="preserve"> Burma, </w:t>
      </w:r>
      <w:r>
        <w:rPr>
          <w:rFonts w:ascii="Calibri" w:hAnsi="Calibri"/>
          <w:sz w:val="22"/>
          <w:szCs w:val="22"/>
        </w:rPr>
        <w:t xml:space="preserve">and over a third of young adults from Afghanistan, Iran and Cook Islands </w:t>
      </w:r>
      <w:r w:rsidRPr="002B7D52">
        <w:rPr>
          <w:rFonts w:ascii="Calibri" w:hAnsi="Calibri"/>
          <w:sz w:val="22"/>
          <w:szCs w:val="22"/>
        </w:rPr>
        <w:t xml:space="preserve">had left school early, compared with </w:t>
      </w:r>
      <w:r>
        <w:rPr>
          <w:rFonts w:ascii="Calibri" w:hAnsi="Calibri"/>
          <w:sz w:val="22"/>
          <w:szCs w:val="22"/>
        </w:rPr>
        <w:t>less than one in ten</w:t>
      </w:r>
      <w:r w:rsidRPr="002B7D52">
        <w:rPr>
          <w:rFonts w:ascii="Calibri" w:hAnsi="Calibri"/>
          <w:sz w:val="22"/>
          <w:szCs w:val="22"/>
        </w:rPr>
        <w:t xml:space="preserve"> from Australia, and fewer than </w:t>
      </w:r>
      <w:r>
        <w:rPr>
          <w:rFonts w:ascii="Calibri" w:hAnsi="Calibri"/>
          <w:sz w:val="22"/>
          <w:szCs w:val="22"/>
        </w:rPr>
        <w:t>one in twenty</w:t>
      </w:r>
      <w:r w:rsidRPr="002B7D52">
        <w:rPr>
          <w:rFonts w:ascii="Calibri" w:hAnsi="Calibri"/>
          <w:sz w:val="22"/>
          <w:szCs w:val="22"/>
        </w:rPr>
        <w:t xml:space="preserve"> from India, Sri Lanka</w:t>
      </w:r>
      <w:r>
        <w:rPr>
          <w:rFonts w:ascii="Calibri" w:hAnsi="Calibri"/>
          <w:sz w:val="22"/>
          <w:szCs w:val="22"/>
        </w:rPr>
        <w:t xml:space="preserve"> and Bosnia</w:t>
      </w:r>
      <w:r w:rsidRPr="002B7D52">
        <w:rPr>
          <w:rFonts w:ascii="Calibri" w:hAnsi="Calibri"/>
          <w:sz w:val="22"/>
          <w:szCs w:val="22"/>
        </w:rPr>
        <w:t>.</w:t>
      </w:r>
    </w:p>
    <w:p w14:paraId="7CAD6502" w14:textId="77777777" w:rsidR="00A628CB" w:rsidRDefault="00A628CB" w:rsidP="00A628CB">
      <w:pPr>
        <w:tabs>
          <w:tab w:val="left" w:pos="284"/>
        </w:tabs>
        <w:spacing w:line="360" w:lineRule="auto"/>
        <w:jc w:val="both"/>
        <w:rPr>
          <w:rFonts w:ascii="Calibri" w:hAnsi="Calibri"/>
          <w:sz w:val="22"/>
          <w:szCs w:val="22"/>
        </w:rPr>
      </w:pPr>
    </w:p>
    <w:p w14:paraId="2308EC2C"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Nearly a third (</w:t>
      </w:r>
      <w:r w:rsidRPr="002B7D52">
        <w:rPr>
          <w:rFonts w:ascii="Calibri" w:hAnsi="Calibri"/>
          <w:sz w:val="22"/>
          <w:szCs w:val="22"/>
        </w:rPr>
        <w:t>3</w:t>
      </w:r>
      <w:r>
        <w:rPr>
          <w:rFonts w:ascii="Calibri" w:hAnsi="Calibri"/>
          <w:sz w:val="22"/>
          <w:szCs w:val="22"/>
        </w:rPr>
        <w:t>1</w:t>
      </w:r>
      <w:r w:rsidRPr="002B7D52">
        <w:rPr>
          <w:rFonts w:ascii="Calibri" w:hAnsi="Calibri"/>
          <w:sz w:val="22"/>
          <w:szCs w:val="22"/>
        </w:rPr>
        <w:t>%</w:t>
      </w:r>
      <w:r>
        <w:rPr>
          <w:rFonts w:ascii="Calibri" w:hAnsi="Calibri"/>
          <w:sz w:val="22"/>
          <w:szCs w:val="22"/>
        </w:rPr>
        <w:t>)</w:t>
      </w:r>
      <w:r w:rsidRPr="002B7D52">
        <w:rPr>
          <w:rFonts w:ascii="Calibri" w:hAnsi="Calibri"/>
          <w:sz w:val="22"/>
          <w:szCs w:val="22"/>
        </w:rPr>
        <w:t xml:space="preserve"> of </w:t>
      </w:r>
      <w:r>
        <w:rPr>
          <w:rFonts w:ascii="Calibri" w:hAnsi="Calibri"/>
          <w:sz w:val="22"/>
          <w:szCs w:val="22"/>
        </w:rPr>
        <w:t>20-24</w:t>
      </w:r>
      <w:r w:rsidRPr="002B7D52">
        <w:rPr>
          <w:rFonts w:ascii="Calibri" w:hAnsi="Calibri"/>
          <w:sz w:val="22"/>
          <w:szCs w:val="22"/>
        </w:rPr>
        <w:t xml:space="preserve"> year-olds in Greater Dandenong </w:t>
      </w:r>
      <w:r>
        <w:rPr>
          <w:rFonts w:ascii="Calibri" w:hAnsi="Calibri"/>
          <w:sz w:val="22"/>
          <w:szCs w:val="22"/>
        </w:rPr>
        <w:t xml:space="preserve">were </w:t>
      </w:r>
      <w:r w:rsidRPr="002B7D52">
        <w:rPr>
          <w:rFonts w:ascii="Calibri" w:hAnsi="Calibri"/>
          <w:sz w:val="22"/>
          <w:szCs w:val="22"/>
        </w:rPr>
        <w:t>attending university and other tertiary institutions</w:t>
      </w:r>
      <w:r>
        <w:rPr>
          <w:rFonts w:ascii="Calibri" w:hAnsi="Calibri"/>
          <w:sz w:val="22"/>
          <w:szCs w:val="22"/>
        </w:rPr>
        <w:t xml:space="preserve"> in 2016</w:t>
      </w:r>
      <w:r w:rsidRPr="002B7D52">
        <w:rPr>
          <w:rFonts w:ascii="Calibri" w:hAnsi="Calibri"/>
          <w:sz w:val="22"/>
          <w:szCs w:val="22"/>
        </w:rPr>
        <w:t>, compared with 4</w:t>
      </w:r>
      <w:r>
        <w:rPr>
          <w:rFonts w:ascii="Calibri" w:hAnsi="Calibri"/>
          <w:sz w:val="22"/>
          <w:szCs w:val="22"/>
        </w:rPr>
        <w:t>0</w:t>
      </w:r>
      <w:r w:rsidRPr="002B7D52">
        <w:rPr>
          <w:rFonts w:ascii="Calibri" w:hAnsi="Calibri"/>
          <w:sz w:val="22"/>
          <w:szCs w:val="22"/>
        </w:rPr>
        <w:t>% of those across Melbourne</w:t>
      </w:r>
      <w:r>
        <w:rPr>
          <w:rFonts w:ascii="Calibri" w:hAnsi="Calibri"/>
          <w:sz w:val="22"/>
          <w:szCs w:val="22"/>
        </w:rPr>
        <w:t>, though representing a substantial rise from 20% a decade before</w:t>
      </w:r>
      <w:r w:rsidRPr="002B7D52">
        <w:rPr>
          <w:rFonts w:ascii="Calibri" w:hAnsi="Calibri"/>
          <w:sz w:val="22"/>
          <w:szCs w:val="22"/>
        </w:rPr>
        <w:t xml:space="preserve">. </w:t>
      </w:r>
      <w:r>
        <w:rPr>
          <w:rFonts w:ascii="Calibri" w:hAnsi="Calibri"/>
          <w:sz w:val="22"/>
          <w:szCs w:val="22"/>
        </w:rPr>
        <w:t xml:space="preserve"> By contrast, 10% of young adults of this age were attending TAFE institutions, compared with 6.7% of those across Melbourne.</w:t>
      </w:r>
    </w:p>
    <w:p w14:paraId="285923EF" w14:textId="77777777" w:rsidR="00A628CB" w:rsidRPr="005D1989" w:rsidRDefault="00A628CB" w:rsidP="00A628CB">
      <w:pPr>
        <w:tabs>
          <w:tab w:val="left" w:pos="5103"/>
        </w:tabs>
        <w:jc w:val="both"/>
        <w:rPr>
          <w:rFonts w:ascii="Calibri" w:hAnsi="Calibri"/>
          <w:color w:val="7F7F7F" w:themeColor="text1" w:themeTint="80"/>
          <w:sz w:val="20"/>
          <w:szCs w:val="20"/>
        </w:rPr>
      </w:pPr>
      <w:r>
        <w:rPr>
          <w:rFonts w:ascii="Calibri" w:hAnsi="Calibri"/>
          <w:b/>
          <w:sz w:val="22"/>
          <w:szCs w:val="22"/>
        </w:rPr>
        <w:tab/>
      </w:r>
      <w:r w:rsidRPr="005D1989">
        <w:rPr>
          <w:rFonts w:ascii="Calibri" w:hAnsi="Calibri"/>
          <w:color w:val="7F7F7F" w:themeColor="text1" w:themeTint="80"/>
          <w:sz w:val="20"/>
          <w:szCs w:val="20"/>
        </w:rPr>
        <w:t xml:space="preserve">Disengagement by age and gender: Greater </w:t>
      </w:r>
    </w:p>
    <w:p w14:paraId="7EC45A64" w14:textId="77777777" w:rsidR="00A628CB" w:rsidRPr="005D1989" w:rsidRDefault="00A628CB" w:rsidP="00A628CB">
      <w:pPr>
        <w:tabs>
          <w:tab w:val="left" w:pos="284"/>
          <w:tab w:val="left" w:pos="5103"/>
        </w:tabs>
        <w:jc w:val="both"/>
        <w:rPr>
          <w:rFonts w:ascii="Calibri" w:hAnsi="Calibri"/>
          <w:sz w:val="20"/>
          <w:szCs w:val="20"/>
        </w:rPr>
      </w:pPr>
      <w:r>
        <w:rPr>
          <w:rFonts w:ascii="Calibri" w:hAnsi="Calibri"/>
          <w:b/>
          <w:sz w:val="22"/>
          <w:szCs w:val="22"/>
        </w:rPr>
        <w:t xml:space="preserve">Youth Disengagement </w:t>
      </w:r>
      <w:r>
        <w:rPr>
          <w:rFonts w:ascii="Calibri" w:hAnsi="Calibri"/>
          <w:b/>
          <w:sz w:val="22"/>
          <w:szCs w:val="22"/>
        </w:rPr>
        <w:tab/>
      </w:r>
      <w:r w:rsidRPr="005D1989">
        <w:rPr>
          <w:rFonts w:ascii="Calibri" w:hAnsi="Calibri"/>
          <w:color w:val="7F7F7F" w:themeColor="text1" w:themeTint="80"/>
          <w:sz w:val="20"/>
          <w:szCs w:val="20"/>
        </w:rPr>
        <w:t>Dandenong and metro. Melbourne 2016</w:t>
      </w:r>
    </w:p>
    <w:p w14:paraId="4DCCB4F9" w14:textId="77777777" w:rsidR="00A628CB" w:rsidRPr="008E29A2" w:rsidRDefault="00A628CB" w:rsidP="00A628CB">
      <w:pPr>
        <w:tabs>
          <w:tab w:val="left" w:pos="284"/>
        </w:tabs>
        <w:spacing w:before="120" w:line="360" w:lineRule="auto"/>
        <w:jc w:val="both"/>
        <w:rPr>
          <w:rFonts w:ascii="Calibri" w:eastAsia="Calibri" w:hAnsi="Calibri"/>
          <w:sz w:val="22"/>
          <w:szCs w:val="22"/>
        </w:rPr>
      </w:pPr>
      <w:r>
        <w:rPr>
          <w:rFonts w:ascii="Calibri" w:hAnsi="Calibri"/>
          <w:b/>
          <w:noProof/>
          <w:sz w:val="22"/>
          <w:szCs w:val="22"/>
          <w:lang w:eastAsia="en-AU"/>
        </w:rPr>
        <w:drawing>
          <wp:anchor distT="0" distB="0" distL="114300" distR="114300" simplePos="0" relativeHeight="251668480" behindDoc="0" locked="0" layoutInCell="1" allowOverlap="1" wp14:anchorId="6DB7F628" wp14:editId="456B5A30">
            <wp:simplePos x="0" y="0"/>
            <wp:positionH relativeFrom="margin">
              <wp:align>right</wp:align>
            </wp:positionH>
            <wp:positionV relativeFrom="paragraph">
              <wp:posOffset>142240</wp:posOffset>
            </wp:positionV>
            <wp:extent cx="3859530" cy="2952750"/>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9530" cy="29527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sz w:val="22"/>
          <w:szCs w:val="22"/>
        </w:rPr>
        <w:t>Counting the number of young people who are not in paid work or enrolled in education</w:t>
      </w:r>
      <w:r w:rsidRPr="008E29A2">
        <w:rPr>
          <w:rFonts w:ascii="Calibri" w:eastAsia="Calibri" w:hAnsi="Calibri"/>
          <w:sz w:val="22"/>
          <w:szCs w:val="22"/>
        </w:rPr>
        <w:t xml:space="preserve"> </w:t>
      </w:r>
      <w:r>
        <w:rPr>
          <w:rFonts w:ascii="Calibri" w:eastAsia="Calibri" w:hAnsi="Calibri"/>
          <w:sz w:val="22"/>
          <w:szCs w:val="22"/>
        </w:rPr>
        <w:t>– termed ‘disengagement’ - gives a balanced measure of</w:t>
      </w:r>
      <w:r w:rsidRPr="008E29A2">
        <w:rPr>
          <w:rFonts w:ascii="Calibri" w:eastAsia="Calibri" w:hAnsi="Calibri"/>
          <w:sz w:val="22"/>
          <w:szCs w:val="22"/>
        </w:rPr>
        <w:t xml:space="preserve"> the overall educational and economic advancement of young people in the community.</w:t>
      </w:r>
    </w:p>
    <w:p w14:paraId="41479E08" w14:textId="77777777" w:rsidR="00A628CB" w:rsidRDefault="00A628CB" w:rsidP="00A628CB">
      <w:pPr>
        <w:tabs>
          <w:tab w:val="left" w:pos="284"/>
        </w:tabs>
        <w:spacing w:line="360" w:lineRule="auto"/>
        <w:jc w:val="both"/>
        <w:rPr>
          <w:rFonts w:ascii="Calibri" w:hAnsi="Calibri"/>
          <w:sz w:val="22"/>
          <w:szCs w:val="22"/>
        </w:rPr>
      </w:pPr>
      <w:r w:rsidRPr="00460985">
        <w:rPr>
          <w:rFonts w:ascii="Calibri" w:hAnsi="Calibri"/>
          <w:sz w:val="22"/>
          <w:szCs w:val="22"/>
        </w:rPr>
        <w:t>In 201</w:t>
      </w:r>
      <w:r>
        <w:rPr>
          <w:rFonts w:ascii="Calibri" w:hAnsi="Calibri"/>
          <w:sz w:val="22"/>
          <w:szCs w:val="22"/>
        </w:rPr>
        <w:t>6</w:t>
      </w:r>
      <w:r w:rsidRPr="00460985">
        <w:rPr>
          <w:rFonts w:ascii="Calibri" w:hAnsi="Calibri"/>
          <w:sz w:val="22"/>
          <w:szCs w:val="22"/>
        </w:rPr>
        <w:t xml:space="preserve">, the Census found that </w:t>
      </w:r>
      <w:r>
        <w:rPr>
          <w:rFonts w:ascii="Calibri" w:hAnsi="Calibri"/>
          <w:sz w:val="22"/>
          <w:szCs w:val="22"/>
        </w:rPr>
        <w:t xml:space="preserve">2,516 </w:t>
      </w:r>
      <w:r w:rsidRPr="00460985">
        <w:rPr>
          <w:rFonts w:ascii="Calibri" w:hAnsi="Calibri"/>
          <w:sz w:val="22"/>
          <w:szCs w:val="22"/>
        </w:rPr>
        <w:t>15-24 year-olds in Greater Dandenong were neither employed nor enrolled in education</w:t>
      </w:r>
      <w:r>
        <w:rPr>
          <w:rFonts w:ascii="Calibri" w:hAnsi="Calibri"/>
          <w:sz w:val="22"/>
          <w:szCs w:val="22"/>
        </w:rPr>
        <w:t>. This represents a rise of 535 or 27% on the number of disengaged young people in Greater Dandenong five years earlier</w:t>
      </w:r>
      <w:r w:rsidRPr="00460985">
        <w:rPr>
          <w:rFonts w:ascii="Calibri" w:hAnsi="Calibri"/>
          <w:sz w:val="22"/>
          <w:szCs w:val="22"/>
        </w:rPr>
        <w:t xml:space="preserve">. </w:t>
      </w:r>
      <w:r>
        <w:rPr>
          <w:rFonts w:ascii="Calibri" w:hAnsi="Calibri"/>
          <w:sz w:val="22"/>
          <w:szCs w:val="22"/>
        </w:rPr>
        <w:t xml:space="preserve">The proportion of young people who were disengaged rose with age from 6.5% among 15-19 year-olds, to 17.6% among those aged 20-24 years. </w:t>
      </w:r>
    </w:p>
    <w:p w14:paraId="7386701F" w14:textId="77777777" w:rsidR="00A628CB" w:rsidRPr="0085463C" w:rsidRDefault="00A628CB" w:rsidP="00A628CB">
      <w:pPr>
        <w:tabs>
          <w:tab w:val="left" w:pos="284"/>
        </w:tabs>
        <w:spacing w:before="120" w:line="360" w:lineRule="auto"/>
        <w:jc w:val="both"/>
        <w:rPr>
          <w:rFonts w:ascii="Calibri" w:hAnsi="Calibri"/>
          <w:i/>
          <w:sz w:val="22"/>
          <w:szCs w:val="22"/>
        </w:rPr>
      </w:pPr>
      <w:r w:rsidRPr="0085463C">
        <w:rPr>
          <w:rFonts w:ascii="Calibri" w:hAnsi="Calibri"/>
          <w:i/>
          <w:sz w:val="22"/>
          <w:szCs w:val="22"/>
        </w:rPr>
        <w:lastRenderedPageBreak/>
        <w:t>Disengagement and Gender</w:t>
      </w:r>
    </w:p>
    <w:p w14:paraId="07883F97"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 xml:space="preserve">In 2016 rates of disengagement among 20-24 year-olds stood at 20% among males and 15.8% among females. The difference is almost entirely due to the high rate of disengagement among young women with children. </w:t>
      </w:r>
    </w:p>
    <w:p w14:paraId="10FC2DBE" w14:textId="77777777" w:rsidR="00A628CB" w:rsidRPr="002004D1" w:rsidRDefault="00A628CB" w:rsidP="00A628CB">
      <w:pPr>
        <w:tabs>
          <w:tab w:val="left" w:pos="284"/>
        </w:tabs>
        <w:spacing w:line="360" w:lineRule="auto"/>
        <w:jc w:val="both"/>
        <w:rPr>
          <w:rFonts w:ascii="Calibri" w:hAnsi="Calibri"/>
          <w:sz w:val="22"/>
          <w:szCs w:val="22"/>
        </w:rPr>
      </w:pPr>
    </w:p>
    <w:p w14:paraId="35739A1B" w14:textId="77777777" w:rsidR="00A628CB" w:rsidRDefault="00A628CB" w:rsidP="00A628CB">
      <w:pPr>
        <w:tabs>
          <w:tab w:val="left" w:pos="284"/>
        </w:tabs>
        <w:spacing w:before="120" w:line="360" w:lineRule="auto"/>
        <w:jc w:val="both"/>
        <w:rPr>
          <w:rFonts w:ascii="Calibri" w:hAnsi="Calibri"/>
          <w:i/>
          <w:sz w:val="22"/>
          <w:szCs w:val="22"/>
        </w:rPr>
      </w:pPr>
      <w:r w:rsidRPr="0085463C">
        <w:rPr>
          <w:rFonts w:ascii="Calibri" w:hAnsi="Calibri"/>
          <w:i/>
          <w:sz w:val="22"/>
          <w:szCs w:val="22"/>
        </w:rPr>
        <w:t>Disengagement and Birthplace</w:t>
      </w:r>
    </w:p>
    <w:p w14:paraId="2EEBCD9C"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The rate</w:t>
      </w:r>
      <w:r w:rsidRPr="002004D1">
        <w:rPr>
          <w:rFonts w:ascii="Calibri" w:hAnsi="Calibri"/>
          <w:sz w:val="22"/>
          <w:szCs w:val="22"/>
        </w:rPr>
        <w:t xml:space="preserve"> of disengagement</w:t>
      </w:r>
      <w:r>
        <w:rPr>
          <w:rFonts w:ascii="Calibri" w:hAnsi="Calibri"/>
          <w:sz w:val="22"/>
          <w:szCs w:val="22"/>
        </w:rPr>
        <w:t xml:space="preserve"> in Greater Dandenong</w:t>
      </w:r>
      <w:r w:rsidRPr="002004D1">
        <w:rPr>
          <w:rFonts w:ascii="Calibri" w:hAnsi="Calibri"/>
          <w:sz w:val="22"/>
          <w:szCs w:val="22"/>
        </w:rPr>
        <w:t xml:space="preserve"> </w:t>
      </w:r>
      <w:r>
        <w:rPr>
          <w:rFonts w:ascii="Calibri" w:hAnsi="Calibri"/>
          <w:sz w:val="22"/>
          <w:szCs w:val="22"/>
        </w:rPr>
        <w:t>was</w:t>
      </w:r>
      <w:r w:rsidRPr="002004D1">
        <w:rPr>
          <w:rFonts w:ascii="Calibri" w:hAnsi="Calibri"/>
          <w:sz w:val="22"/>
          <w:szCs w:val="22"/>
        </w:rPr>
        <w:t xml:space="preserve"> </w:t>
      </w:r>
      <w:r>
        <w:rPr>
          <w:rFonts w:ascii="Calibri" w:hAnsi="Calibri"/>
          <w:sz w:val="22"/>
          <w:szCs w:val="22"/>
        </w:rPr>
        <w:t>16.2</w:t>
      </w:r>
      <w:r w:rsidRPr="002004D1">
        <w:rPr>
          <w:rFonts w:ascii="Calibri" w:hAnsi="Calibri"/>
          <w:sz w:val="22"/>
          <w:szCs w:val="22"/>
        </w:rPr>
        <w:t>% amo</w:t>
      </w:r>
      <w:r>
        <w:rPr>
          <w:rFonts w:ascii="Calibri" w:hAnsi="Calibri"/>
          <w:sz w:val="22"/>
          <w:szCs w:val="22"/>
        </w:rPr>
        <w:t>ng Australian-born young people, rising</w:t>
      </w:r>
      <w:r w:rsidRPr="002004D1">
        <w:rPr>
          <w:rFonts w:ascii="Calibri" w:hAnsi="Calibri"/>
          <w:sz w:val="22"/>
          <w:szCs w:val="22"/>
        </w:rPr>
        <w:t xml:space="preserve"> to </w:t>
      </w:r>
      <w:r>
        <w:rPr>
          <w:rFonts w:ascii="Calibri" w:hAnsi="Calibri"/>
          <w:sz w:val="22"/>
          <w:szCs w:val="22"/>
        </w:rPr>
        <w:t>3</w:t>
      </w:r>
      <w:r w:rsidRPr="002004D1">
        <w:rPr>
          <w:rFonts w:ascii="Calibri" w:hAnsi="Calibri"/>
          <w:sz w:val="22"/>
          <w:szCs w:val="22"/>
        </w:rPr>
        <w:t xml:space="preserve">0% or more among those from </w:t>
      </w:r>
      <w:r>
        <w:rPr>
          <w:rFonts w:ascii="Calibri" w:hAnsi="Calibri"/>
          <w:sz w:val="22"/>
          <w:szCs w:val="22"/>
        </w:rPr>
        <w:t>Pakistan, Iran, Sudan and Burma</w:t>
      </w:r>
    </w:p>
    <w:p w14:paraId="273B9E4F" w14:textId="77777777" w:rsidR="00A628CB" w:rsidRDefault="00A628CB" w:rsidP="00A628CB">
      <w:pPr>
        <w:tabs>
          <w:tab w:val="left" w:pos="284"/>
        </w:tabs>
        <w:spacing w:line="360" w:lineRule="auto"/>
        <w:jc w:val="both"/>
        <w:rPr>
          <w:rFonts w:ascii="Calibri" w:hAnsi="Calibri"/>
          <w:sz w:val="22"/>
          <w:szCs w:val="22"/>
        </w:rPr>
      </w:pPr>
    </w:p>
    <w:p w14:paraId="3534FEDD" w14:textId="77777777" w:rsidR="00A628CB" w:rsidRPr="005D1989" w:rsidRDefault="00A628CB" w:rsidP="00A628CB">
      <w:pPr>
        <w:tabs>
          <w:tab w:val="left" w:pos="284"/>
        </w:tabs>
        <w:jc w:val="both"/>
        <w:rPr>
          <w:rFonts w:ascii="Calibri" w:hAnsi="Calibri"/>
          <w:color w:val="7F7F7F" w:themeColor="text1" w:themeTint="80"/>
          <w:sz w:val="20"/>
          <w:szCs w:val="20"/>
        </w:rPr>
      </w:pPr>
      <w:r>
        <w:rPr>
          <w:rFonts w:ascii="Calibri" w:hAnsi="Calibri"/>
          <w:i/>
          <w:noProof/>
          <w:sz w:val="22"/>
          <w:szCs w:val="22"/>
          <w:lang w:eastAsia="en-AU"/>
        </w:rPr>
        <w:drawing>
          <wp:anchor distT="0" distB="0" distL="114300" distR="114300" simplePos="0" relativeHeight="251669504" behindDoc="0" locked="0" layoutInCell="1" allowOverlap="1" wp14:anchorId="426FAE71" wp14:editId="5183F812">
            <wp:simplePos x="0" y="0"/>
            <wp:positionH relativeFrom="column">
              <wp:posOffset>70485</wp:posOffset>
            </wp:positionH>
            <wp:positionV relativeFrom="paragraph">
              <wp:posOffset>219075</wp:posOffset>
            </wp:positionV>
            <wp:extent cx="4777740" cy="5029200"/>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7740" cy="5029200"/>
                    </a:xfrm>
                    <a:prstGeom prst="rect">
                      <a:avLst/>
                    </a:prstGeom>
                    <a:noFill/>
                  </pic:spPr>
                </pic:pic>
              </a:graphicData>
            </a:graphic>
            <wp14:sizeRelH relativeFrom="page">
              <wp14:pctWidth>0</wp14:pctWidth>
            </wp14:sizeRelH>
            <wp14:sizeRelV relativeFrom="page">
              <wp14:pctHeight>0</wp14:pctHeight>
            </wp14:sizeRelV>
          </wp:anchor>
        </w:drawing>
      </w:r>
      <w:r w:rsidRPr="005D1989">
        <w:rPr>
          <w:rFonts w:ascii="Calibri" w:hAnsi="Calibri"/>
          <w:color w:val="7F7F7F" w:themeColor="text1" w:themeTint="80"/>
          <w:sz w:val="20"/>
          <w:szCs w:val="20"/>
        </w:rPr>
        <w:t>Disengagement rates by birthplace, Greater Dandenong, 2016</w:t>
      </w:r>
    </w:p>
    <w:p w14:paraId="4D2226AC" w14:textId="77777777" w:rsidR="00A628CB" w:rsidRDefault="00A628CB" w:rsidP="00A628CB">
      <w:pPr>
        <w:tabs>
          <w:tab w:val="left" w:pos="284"/>
        </w:tabs>
        <w:spacing w:line="360" w:lineRule="auto"/>
        <w:jc w:val="both"/>
        <w:rPr>
          <w:rFonts w:ascii="Calibri" w:hAnsi="Calibri"/>
          <w:sz w:val="22"/>
          <w:szCs w:val="22"/>
        </w:rPr>
      </w:pPr>
    </w:p>
    <w:p w14:paraId="32326BC7" w14:textId="77777777" w:rsidR="00A628CB" w:rsidRDefault="00A628CB" w:rsidP="00A628CB">
      <w:pPr>
        <w:tabs>
          <w:tab w:val="left" w:pos="284"/>
        </w:tabs>
        <w:spacing w:line="360" w:lineRule="auto"/>
        <w:jc w:val="both"/>
        <w:rPr>
          <w:rFonts w:ascii="Calibri" w:hAnsi="Calibri"/>
          <w:sz w:val="22"/>
          <w:szCs w:val="22"/>
        </w:rPr>
      </w:pPr>
    </w:p>
    <w:p w14:paraId="535D7C38" w14:textId="77777777" w:rsidR="00A628CB" w:rsidRDefault="00A628CB" w:rsidP="00A628CB">
      <w:pPr>
        <w:tabs>
          <w:tab w:val="left" w:pos="284"/>
        </w:tabs>
        <w:spacing w:line="360" w:lineRule="auto"/>
        <w:jc w:val="both"/>
        <w:rPr>
          <w:rFonts w:ascii="Calibri" w:hAnsi="Calibri"/>
          <w:sz w:val="22"/>
          <w:szCs w:val="22"/>
        </w:rPr>
      </w:pPr>
    </w:p>
    <w:p w14:paraId="447362C2" w14:textId="77777777" w:rsidR="00A628CB" w:rsidRDefault="00A628CB" w:rsidP="00A628CB">
      <w:pPr>
        <w:tabs>
          <w:tab w:val="left" w:pos="284"/>
        </w:tabs>
        <w:spacing w:line="360" w:lineRule="auto"/>
        <w:jc w:val="both"/>
        <w:rPr>
          <w:rFonts w:ascii="Calibri" w:hAnsi="Calibri"/>
          <w:sz w:val="22"/>
          <w:szCs w:val="22"/>
        </w:rPr>
      </w:pPr>
    </w:p>
    <w:p w14:paraId="19A09454" w14:textId="77777777" w:rsidR="00A628CB" w:rsidRDefault="00A628CB" w:rsidP="00A628CB">
      <w:pPr>
        <w:tabs>
          <w:tab w:val="left" w:pos="284"/>
        </w:tabs>
        <w:spacing w:line="360" w:lineRule="auto"/>
        <w:jc w:val="both"/>
        <w:rPr>
          <w:rFonts w:ascii="Calibri" w:hAnsi="Calibri"/>
          <w:sz w:val="22"/>
          <w:szCs w:val="22"/>
        </w:rPr>
      </w:pPr>
    </w:p>
    <w:p w14:paraId="40672AEA" w14:textId="77777777" w:rsidR="00A628CB" w:rsidRDefault="00A628CB" w:rsidP="00A628CB">
      <w:pPr>
        <w:tabs>
          <w:tab w:val="left" w:pos="284"/>
        </w:tabs>
        <w:spacing w:line="360" w:lineRule="auto"/>
        <w:jc w:val="both"/>
        <w:rPr>
          <w:rFonts w:ascii="Calibri" w:hAnsi="Calibri"/>
          <w:sz w:val="22"/>
          <w:szCs w:val="22"/>
        </w:rPr>
      </w:pPr>
    </w:p>
    <w:p w14:paraId="50E62906" w14:textId="77777777" w:rsidR="00A628CB" w:rsidRDefault="00A628CB" w:rsidP="00A628CB">
      <w:pPr>
        <w:tabs>
          <w:tab w:val="left" w:pos="284"/>
        </w:tabs>
        <w:spacing w:line="360" w:lineRule="auto"/>
        <w:jc w:val="both"/>
        <w:rPr>
          <w:rFonts w:ascii="Calibri" w:hAnsi="Calibri"/>
          <w:sz w:val="22"/>
          <w:szCs w:val="22"/>
        </w:rPr>
      </w:pPr>
    </w:p>
    <w:p w14:paraId="28C0B91A" w14:textId="77777777" w:rsidR="00A628CB" w:rsidRDefault="00A628CB" w:rsidP="00A628CB">
      <w:pPr>
        <w:tabs>
          <w:tab w:val="left" w:pos="284"/>
        </w:tabs>
        <w:spacing w:line="360" w:lineRule="auto"/>
        <w:jc w:val="both"/>
        <w:rPr>
          <w:rFonts w:ascii="Calibri" w:hAnsi="Calibri"/>
          <w:sz w:val="22"/>
          <w:szCs w:val="22"/>
        </w:rPr>
      </w:pPr>
    </w:p>
    <w:p w14:paraId="0489DFD5" w14:textId="77777777" w:rsidR="00A628CB" w:rsidRDefault="00A628CB" w:rsidP="00A628CB">
      <w:pPr>
        <w:tabs>
          <w:tab w:val="left" w:pos="284"/>
        </w:tabs>
        <w:spacing w:line="360" w:lineRule="auto"/>
        <w:jc w:val="both"/>
        <w:rPr>
          <w:rFonts w:ascii="Calibri" w:hAnsi="Calibri"/>
          <w:sz w:val="22"/>
          <w:szCs w:val="22"/>
        </w:rPr>
      </w:pPr>
    </w:p>
    <w:p w14:paraId="385CA980" w14:textId="77777777" w:rsidR="00A628CB" w:rsidRDefault="00A628CB" w:rsidP="00A628CB">
      <w:pPr>
        <w:tabs>
          <w:tab w:val="left" w:pos="284"/>
        </w:tabs>
        <w:spacing w:line="360" w:lineRule="auto"/>
        <w:jc w:val="both"/>
        <w:rPr>
          <w:rFonts w:ascii="Calibri" w:hAnsi="Calibri"/>
          <w:sz w:val="22"/>
          <w:szCs w:val="22"/>
        </w:rPr>
      </w:pPr>
    </w:p>
    <w:p w14:paraId="55DF530A" w14:textId="77777777" w:rsidR="00A628CB" w:rsidRDefault="00A628CB" w:rsidP="00A628CB">
      <w:pPr>
        <w:tabs>
          <w:tab w:val="left" w:pos="284"/>
        </w:tabs>
        <w:spacing w:line="360" w:lineRule="auto"/>
        <w:jc w:val="both"/>
        <w:rPr>
          <w:rFonts w:ascii="Calibri" w:hAnsi="Calibri"/>
          <w:sz w:val="22"/>
          <w:szCs w:val="22"/>
        </w:rPr>
      </w:pPr>
    </w:p>
    <w:p w14:paraId="738181AB" w14:textId="77777777" w:rsidR="00A628CB" w:rsidRDefault="00A628CB" w:rsidP="00A628CB">
      <w:pPr>
        <w:tabs>
          <w:tab w:val="left" w:pos="284"/>
        </w:tabs>
        <w:spacing w:line="360" w:lineRule="auto"/>
        <w:jc w:val="both"/>
        <w:rPr>
          <w:rFonts w:ascii="Calibri" w:hAnsi="Calibri"/>
          <w:sz w:val="22"/>
          <w:szCs w:val="22"/>
        </w:rPr>
      </w:pPr>
    </w:p>
    <w:p w14:paraId="4A58718F" w14:textId="77777777" w:rsidR="00A628CB" w:rsidRDefault="00A628CB" w:rsidP="00A628CB">
      <w:pPr>
        <w:tabs>
          <w:tab w:val="left" w:pos="284"/>
        </w:tabs>
        <w:spacing w:line="360" w:lineRule="auto"/>
        <w:jc w:val="both"/>
        <w:rPr>
          <w:rFonts w:ascii="Calibri" w:hAnsi="Calibri"/>
          <w:sz w:val="22"/>
          <w:szCs w:val="22"/>
        </w:rPr>
      </w:pPr>
    </w:p>
    <w:p w14:paraId="3E095F47" w14:textId="77777777" w:rsidR="00A628CB" w:rsidRDefault="00A628CB" w:rsidP="00A628CB">
      <w:pPr>
        <w:tabs>
          <w:tab w:val="left" w:pos="284"/>
        </w:tabs>
        <w:spacing w:line="360" w:lineRule="auto"/>
        <w:jc w:val="both"/>
        <w:rPr>
          <w:rFonts w:ascii="Calibri" w:hAnsi="Calibri"/>
          <w:sz w:val="22"/>
          <w:szCs w:val="22"/>
        </w:rPr>
      </w:pPr>
    </w:p>
    <w:p w14:paraId="089908F4" w14:textId="77777777" w:rsidR="00A628CB" w:rsidRDefault="00A628CB" w:rsidP="00A628CB">
      <w:pPr>
        <w:tabs>
          <w:tab w:val="left" w:pos="284"/>
        </w:tabs>
        <w:spacing w:line="360" w:lineRule="auto"/>
        <w:jc w:val="both"/>
        <w:rPr>
          <w:rFonts w:ascii="Calibri" w:hAnsi="Calibri"/>
          <w:sz w:val="22"/>
          <w:szCs w:val="22"/>
        </w:rPr>
      </w:pPr>
    </w:p>
    <w:p w14:paraId="71F92A2A" w14:textId="77777777" w:rsidR="00A628CB" w:rsidRDefault="00A628CB" w:rsidP="00A628CB">
      <w:pPr>
        <w:tabs>
          <w:tab w:val="left" w:pos="284"/>
        </w:tabs>
        <w:spacing w:line="360" w:lineRule="auto"/>
        <w:jc w:val="both"/>
        <w:rPr>
          <w:rFonts w:ascii="Calibri" w:hAnsi="Calibri"/>
          <w:sz w:val="22"/>
          <w:szCs w:val="22"/>
        </w:rPr>
      </w:pPr>
    </w:p>
    <w:p w14:paraId="7ED38FEE" w14:textId="77777777" w:rsidR="00A628CB" w:rsidRDefault="00A628CB" w:rsidP="00A628CB">
      <w:pPr>
        <w:tabs>
          <w:tab w:val="left" w:pos="284"/>
        </w:tabs>
        <w:spacing w:line="360" w:lineRule="auto"/>
        <w:jc w:val="both"/>
        <w:rPr>
          <w:rFonts w:ascii="Calibri" w:hAnsi="Calibri"/>
          <w:sz w:val="22"/>
          <w:szCs w:val="22"/>
        </w:rPr>
      </w:pPr>
    </w:p>
    <w:p w14:paraId="15459546" w14:textId="77777777" w:rsidR="00A628CB" w:rsidRDefault="00A628CB" w:rsidP="00A628CB">
      <w:pPr>
        <w:tabs>
          <w:tab w:val="left" w:pos="284"/>
        </w:tabs>
        <w:spacing w:line="360" w:lineRule="auto"/>
        <w:jc w:val="both"/>
        <w:rPr>
          <w:rFonts w:ascii="Calibri" w:hAnsi="Calibri"/>
          <w:sz w:val="22"/>
          <w:szCs w:val="22"/>
        </w:rPr>
      </w:pPr>
    </w:p>
    <w:p w14:paraId="297C62FE" w14:textId="77777777" w:rsidR="00A628CB" w:rsidRDefault="00A628CB" w:rsidP="00A628CB">
      <w:pPr>
        <w:tabs>
          <w:tab w:val="left" w:pos="284"/>
        </w:tabs>
        <w:spacing w:line="360" w:lineRule="auto"/>
        <w:jc w:val="both"/>
        <w:rPr>
          <w:rFonts w:ascii="Calibri" w:hAnsi="Calibri"/>
          <w:sz w:val="22"/>
          <w:szCs w:val="22"/>
        </w:rPr>
      </w:pPr>
    </w:p>
    <w:p w14:paraId="23EE6578" w14:textId="77777777" w:rsidR="00A628CB" w:rsidRDefault="00A628CB" w:rsidP="00A628CB">
      <w:pPr>
        <w:tabs>
          <w:tab w:val="left" w:pos="284"/>
        </w:tabs>
        <w:spacing w:line="360" w:lineRule="auto"/>
        <w:jc w:val="both"/>
        <w:rPr>
          <w:rFonts w:ascii="Calibri" w:hAnsi="Calibri"/>
          <w:sz w:val="22"/>
          <w:szCs w:val="22"/>
        </w:rPr>
      </w:pPr>
    </w:p>
    <w:p w14:paraId="0BB7731B" w14:textId="77777777" w:rsidR="00A628CB" w:rsidRDefault="00A628CB" w:rsidP="00A628CB">
      <w:pPr>
        <w:tabs>
          <w:tab w:val="left" w:pos="284"/>
        </w:tabs>
        <w:spacing w:line="360" w:lineRule="auto"/>
        <w:jc w:val="both"/>
        <w:rPr>
          <w:rFonts w:ascii="Calibri" w:hAnsi="Calibri"/>
          <w:sz w:val="22"/>
          <w:szCs w:val="22"/>
        </w:rPr>
      </w:pPr>
    </w:p>
    <w:p w14:paraId="17C7835D"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Disengagement rates among 20-24 year-olds across metropolitan Melbourne in 2016, are illustrated below. The map highlights the relatively high levels of youth disengagement among localities in the north and west of Melbourne as well as in the south-east.</w:t>
      </w:r>
    </w:p>
    <w:p w14:paraId="5C07553C" w14:textId="77777777" w:rsidR="00A628CB" w:rsidRDefault="00A628CB" w:rsidP="00A628CB">
      <w:pPr>
        <w:tabs>
          <w:tab w:val="left" w:pos="284"/>
        </w:tabs>
        <w:spacing w:line="360" w:lineRule="auto"/>
        <w:jc w:val="both"/>
        <w:rPr>
          <w:rFonts w:ascii="Calibri" w:hAnsi="Calibri"/>
          <w:sz w:val="22"/>
          <w:szCs w:val="22"/>
        </w:rPr>
      </w:pPr>
    </w:p>
    <w:p w14:paraId="205DBF75" w14:textId="77777777" w:rsidR="00A628CB" w:rsidRDefault="00A628CB" w:rsidP="00A628CB">
      <w:pPr>
        <w:tabs>
          <w:tab w:val="left" w:pos="284"/>
        </w:tabs>
        <w:spacing w:line="360" w:lineRule="auto"/>
        <w:jc w:val="both"/>
        <w:rPr>
          <w:rFonts w:ascii="Calibri" w:hAnsi="Calibri"/>
          <w:sz w:val="22"/>
          <w:szCs w:val="22"/>
        </w:rPr>
      </w:pPr>
    </w:p>
    <w:p w14:paraId="4786AB1E" w14:textId="77777777" w:rsidR="00A628CB" w:rsidRPr="00F85D44" w:rsidRDefault="00A628CB" w:rsidP="00A628CB">
      <w:pPr>
        <w:tabs>
          <w:tab w:val="left" w:pos="284"/>
        </w:tabs>
        <w:jc w:val="both"/>
        <w:rPr>
          <w:rFonts w:ascii="Calibri" w:hAnsi="Calibri"/>
          <w:color w:val="7F7F7F"/>
          <w:sz w:val="20"/>
          <w:szCs w:val="20"/>
        </w:rPr>
      </w:pPr>
      <w:r>
        <w:rPr>
          <w:rFonts w:ascii="Calibri" w:hAnsi="Calibri"/>
          <w:color w:val="7F7F7F"/>
          <w:sz w:val="20"/>
          <w:szCs w:val="20"/>
        </w:rPr>
        <w:lastRenderedPageBreak/>
        <w:t>Percentage of 20 to 24 year-olds who are disengaged</w:t>
      </w:r>
      <w:r w:rsidRPr="00F16B48">
        <w:rPr>
          <w:rFonts w:ascii="Calibri" w:hAnsi="Calibri"/>
          <w:color w:val="7F7F7F"/>
          <w:sz w:val="20"/>
          <w:szCs w:val="20"/>
        </w:rPr>
        <w:t>: metropolitan Melbourne, 2016</w:t>
      </w:r>
    </w:p>
    <w:p w14:paraId="145F7FE8" w14:textId="77777777" w:rsidR="00A628CB" w:rsidRDefault="00A628CB" w:rsidP="00A628CB">
      <w:pPr>
        <w:tabs>
          <w:tab w:val="left" w:pos="284"/>
        </w:tabs>
        <w:spacing w:before="120" w:line="360" w:lineRule="auto"/>
        <w:jc w:val="center"/>
        <w:rPr>
          <w:rFonts w:ascii="Calibri" w:hAnsi="Calibri"/>
          <w:b/>
          <w:sz w:val="22"/>
          <w:szCs w:val="22"/>
        </w:rPr>
      </w:pPr>
      <w:r>
        <w:rPr>
          <w:rFonts w:ascii="Calibri" w:hAnsi="Calibri"/>
          <w:b/>
          <w:noProof/>
          <w:sz w:val="22"/>
          <w:szCs w:val="22"/>
          <w:lang w:eastAsia="en-AU"/>
        </w:rPr>
        <w:drawing>
          <wp:inline distT="0" distB="0" distL="0" distR="0" wp14:anchorId="4ED0AE45" wp14:editId="36BA5DD7">
            <wp:extent cx="6086475" cy="7084092"/>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isengagement Rate 20 to 24 yo B (%).jpg"/>
                    <pic:cNvPicPr/>
                  </pic:nvPicPr>
                  <pic:blipFill rotWithShape="1">
                    <a:blip r:embed="rId17" cstate="print">
                      <a:extLst>
                        <a:ext uri="{28A0092B-C50C-407E-A947-70E740481C1C}">
                          <a14:useLocalDpi xmlns:a14="http://schemas.microsoft.com/office/drawing/2010/main" val="0"/>
                        </a:ext>
                      </a:extLst>
                    </a:blip>
                    <a:srcRect l="2957" t="16741" r="3051" b="5837"/>
                    <a:stretch/>
                  </pic:blipFill>
                  <pic:spPr bwMode="auto">
                    <a:xfrm>
                      <a:off x="0" y="0"/>
                      <a:ext cx="6089767" cy="7087924"/>
                    </a:xfrm>
                    <a:prstGeom prst="rect">
                      <a:avLst/>
                    </a:prstGeom>
                    <a:ln>
                      <a:noFill/>
                    </a:ln>
                    <a:extLst>
                      <a:ext uri="{53640926-AAD7-44D8-BBD7-CCE9431645EC}">
                        <a14:shadowObscured xmlns:a14="http://schemas.microsoft.com/office/drawing/2010/main"/>
                      </a:ext>
                    </a:extLst>
                  </pic:spPr>
                </pic:pic>
              </a:graphicData>
            </a:graphic>
          </wp:inline>
        </w:drawing>
      </w:r>
    </w:p>
    <w:p w14:paraId="2EBAB13D" w14:textId="77777777" w:rsidR="00A628CB" w:rsidRDefault="00A628CB" w:rsidP="00A628CB">
      <w:pPr>
        <w:tabs>
          <w:tab w:val="left" w:pos="284"/>
        </w:tabs>
        <w:spacing w:before="120" w:line="360" w:lineRule="auto"/>
        <w:jc w:val="both"/>
        <w:rPr>
          <w:rFonts w:ascii="Calibri" w:hAnsi="Calibri"/>
          <w:b/>
          <w:sz w:val="22"/>
          <w:szCs w:val="22"/>
        </w:rPr>
      </w:pPr>
    </w:p>
    <w:p w14:paraId="4B2E2F5A" w14:textId="77777777" w:rsidR="00A628CB" w:rsidRDefault="00A628CB" w:rsidP="00A628CB">
      <w:pPr>
        <w:spacing w:line="360" w:lineRule="auto"/>
        <w:jc w:val="both"/>
        <w:rPr>
          <w:rFonts w:ascii="Calibri" w:hAnsi="Calibri"/>
          <w:b/>
          <w:sz w:val="22"/>
          <w:szCs w:val="22"/>
        </w:rPr>
      </w:pPr>
    </w:p>
    <w:p w14:paraId="45DB6065" w14:textId="77777777" w:rsidR="00A628CB" w:rsidRPr="00533D42" w:rsidRDefault="00A628CB" w:rsidP="00A628CB">
      <w:pPr>
        <w:spacing w:line="360" w:lineRule="auto"/>
        <w:jc w:val="both"/>
        <w:rPr>
          <w:rFonts w:ascii="Calibri" w:hAnsi="Calibri"/>
          <w:b/>
          <w:sz w:val="22"/>
          <w:szCs w:val="22"/>
        </w:rPr>
      </w:pPr>
      <w:r w:rsidRPr="00533D42">
        <w:rPr>
          <w:rFonts w:ascii="Calibri" w:hAnsi="Calibri"/>
          <w:b/>
          <w:sz w:val="22"/>
          <w:szCs w:val="22"/>
        </w:rPr>
        <w:t>Personal Wellbeing</w:t>
      </w:r>
    </w:p>
    <w:p w14:paraId="0C0DCE39" w14:textId="77777777" w:rsidR="00A628CB" w:rsidRDefault="00A628CB" w:rsidP="00A628CB">
      <w:pPr>
        <w:spacing w:line="360" w:lineRule="auto"/>
        <w:jc w:val="both"/>
        <w:rPr>
          <w:rFonts w:ascii="Calibri" w:hAnsi="Calibri"/>
          <w:sz w:val="22"/>
          <w:szCs w:val="22"/>
        </w:rPr>
      </w:pPr>
      <w:r w:rsidRPr="00205E29">
        <w:rPr>
          <w:rFonts w:ascii="Calibri" w:hAnsi="Calibri"/>
          <w:sz w:val="22"/>
          <w:szCs w:val="22"/>
        </w:rPr>
        <w:t xml:space="preserve">A 2009 local-level survey of mental health focused upon the wellbeing of adolescents. Published by the Victorian Department of Education and Early Childhood Development in 2012, the survey found that a relatively high proportion of adolescents in Greater Dandenong had </w:t>
      </w:r>
      <w:r>
        <w:rPr>
          <w:rFonts w:ascii="Calibri" w:hAnsi="Calibri"/>
          <w:sz w:val="22"/>
          <w:szCs w:val="22"/>
        </w:rPr>
        <w:t xml:space="preserve">experienced </w:t>
      </w:r>
      <w:proofErr w:type="spellStart"/>
      <w:r>
        <w:rPr>
          <w:rFonts w:ascii="Calibri" w:hAnsi="Calibri"/>
          <w:sz w:val="22"/>
          <w:szCs w:val="22"/>
        </w:rPr>
        <w:t>unfavorable</w:t>
      </w:r>
      <w:proofErr w:type="spellEnd"/>
      <w:r w:rsidRPr="00205E29">
        <w:rPr>
          <w:rFonts w:ascii="Calibri" w:hAnsi="Calibri"/>
          <w:sz w:val="22"/>
          <w:szCs w:val="22"/>
        </w:rPr>
        <w:t xml:space="preserve"> psychological development, were not satisfied with their lives or had few trusted people in their lives.</w:t>
      </w:r>
    </w:p>
    <w:p w14:paraId="08AD17C8" w14:textId="77777777" w:rsidR="00A628CB" w:rsidRDefault="00A628CB" w:rsidP="00A628CB">
      <w:pPr>
        <w:spacing w:line="360" w:lineRule="auto"/>
        <w:jc w:val="both"/>
        <w:rPr>
          <w:rFonts w:ascii="Calibri" w:hAnsi="Calibri"/>
          <w:sz w:val="22"/>
          <w:szCs w:val="22"/>
        </w:rPr>
      </w:pPr>
    </w:p>
    <w:p w14:paraId="73761A89" w14:textId="77777777" w:rsidR="00A628CB" w:rsidRPr="00EF170E" w:rsidRDefault="00A628CB" w:rsidP="00A628CB">
      <w:pPr>
        <w:jc w:val="both"/>
        <w:rPr>
          <w:rFonts w:ascii="Calibri" w:hAnsi="Calibri"/>
          <w:color w:val="7F7F7F"/>
          <w:sz w:val="20"/>
          <w:szCs w:val="20"/>
        </w:rPr>
      </w:pPr>
      <w:r w:rsidRPr="00EF170E">
        <w:rPr>
          <w:rFonts w:ascii="Calibri" w:hAnsi="Calibri"/>
          <w:color w:val="7F7F7F"/>
          <w:sz w:val="20"/>
          <w:szCs w:val="20"/>
        </w:rPr>
        <w:t>Measures of Adolescent Mental Wellbeing: Greater Dandenong and Victoria, 2009</w:t>
      </w:r>
    </w:p>
    <w:p w14:paraId="14E4F388" w14:textId="77777777" w:rsidR="00A628CB" w:rsidRDefault="00A628CB" w:rsidP="00A628CB">
      <w:pPr>
        <w:spacing w:line="360" w:lineRule="auto"/>
        <w:jc w:val="both"/>
        <w:rPr>
          <w:rFonts w:ascii="Calibri" w:hAnsi="Calibri"/>
          <w:sz w:val="22"/>
          <w:szCs w:val="22"/>
        </w:rPr>
      </w:pPr>
      <w:r w:rsidRPr="00205E29">
        <w:rPr>
          <w:noProof/>
          <w:sz w:val="22"/>
          <w:szCs w:val="22"/>
          <w:lang w:eastAsia="en-AU"/>
        </w:rPr>
        <w:drawing>
          <wp:anchor distT="0" distB="0" distL="114300" distR="114300" simplePos="0" relativeHeight="251666432" behindDoc="0" locked="0" layoutInCell="1" allowOverlap="1" wp14:anchorId="26AED39A" wp14:editId="1BF89443">
            <wp:simplePos x="0" y="0"/>
            <wp:positionH relativeFrom="column">
              <wp:posOffset>16510</wp:posOffset>
            </wp:positionH>
            <wp:positionV relativeFrom="paragraph">
              <wp:posOffset>70485</wp:posOffset>
            </wp:positionV>
            <wp:extent cx="4625975" cy="3234055"/>
            <wp:effectExtent l="0" t="0" r="0" b="4445"/>
            <wp:wrapSquare wrapText="bothSides"/>
            <wp:docPr id="1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8">
                      <a:extLst>
                        <a:ext uri="{28A0092B-C50C-407E-A947-70E740481C1C}">
                          <a14:useLocalDpi xmlns:a14="http://schemas.microsoft.com/office/drawing/2010/main" val="0"/>
                        </a:ext>
                      </a:extLst>
                    </a:blip>
                    <a:srcRect l="-2428" t="-5995" r="-1285" b="-1810"/>
                    <a:stretch>
                      <a:fillRect/>
                    </a:stretch>
                  </pic:blipFill>
                  <pic:spPr bwMode="auto">
                    <a:xfrm>
                      <a:off x="0" y="0"/>
                      <a:ext cx="4625975" cy="3234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F6254" w14:textId="77777777" w:rsidR="00A628CB" w:rsidRDefault="00A628CB" w:rsidP="00A628CB">
      <w:pPr>
        <w:spacing w:line="360" w:lineRule="auto"/>
        <w:jc w:val="both"/>
        <w:rPr>
          <w:rFonts w:ascii="Calibri" w:hAnsi="Calibri"/>
          <w:sz w:val="22"/>
          <w:szCs w:val="22"/>
        </w:rPr>
      </w:pPr>
    </w:p>
    <w:p w14:paraId="1C4BF3A7" w14:textId="77777777" w:rsidR="00A628CB" w:rsidRPr="00205E29" w:rsidRDefault="00A628CB" w:rsidP="00A628CB">
      <w:pPr>
        <w:spacing w:line="360" w:lineRule="auto"/>
        <w:jc w:val="both"/>
        <w:rPr>
          <w:rFonts w:ascii="Calibri" w:hAnsi="Calibri"/>
          <w:sz w:val="22"/>
          <w:szCs w:val="22"/>
        </w:rPr>
      </w:pPr>
    </w:p>
    <w:p w14:paraId="28CF1DEB" w14:textId="77777777" w:rsidR="00A628CB" w:rsidRDefault="00A628CB" w:rsidP="00A628CB">
      <w:pPr>
        <w:spacing w:line="360" w:lineRule="auto"/>
        <w:jc w:val="both"/>
        <w:rPr>
          <w:rFonts w:ascii="Calibri" w:hAnsi="Calibri"/>
        </w:rPr>
      </w:pPr>
    </w:p>
    <w:p w14:paraId="2CBB8874" w14:textId="77777777" w:rsidR="00A628CB" w:rsidRDefault="00A628CB" w:rsidP="00A628CB">
      <w:pPr>
        <w:spacing w:line="360" w:lineRule="auto"/>
        <w:jc w:val="both"/>
        <w:rPr>
          <w:rFonts w:ascii="Calibri" w:hAnsi="Calibri"/>
        </w:rPr>
      </w:pPr>
    </w:p>
    <w:p w14:paraId="316E99F1" w14:textId="77777777" w:rsidR="00A628CB" w:rsidRDefault="00A628CB" w:rsidP="00A628CB">
      <w:pPr>
        <w:jc w:val="center"/>
        <w:rPr>
          <w:rFonts w:ascii="Calibri" w:hAnsi="Calibri"/>
          <w:noProof/>
          <w:lang w:eastAsia="en-AU"/>
        </w:rPr>
      </w:pPr>
    </w:p>
    <w:p w14:paraId="7B14772F" w14:textId="77777777" w:rsidR="00A628CB" w:rsidRDefault="00A628CB" w:rsidP="00A628CB">
      <w:pPr>
        <w:spacing w:line="360" w:lineRule="auto"/>
        <w:jc w:val="both"/>
        <w:rPr>
          <w:rFonts w:ascii="Calibri" w:hAnsi="Calibri"/>
        </w:rPr>
      </w:pPr>
    </w:p>
    <w:p w14:paraId="5B2D2E99" w14:textId="77777777" w:rsidR="00A628CB" w:rsidRDefault="00A628CB" w:rsidP="00A628CB">
      <w:pPr>
        <w:spacing w:line="360" w:lineRule="auto"/>
        <w:jc w:val="both"/>
        <w:rPr>
          <w:rFonts w:ascii="Calibri" w:hAnsi="Calibri"/>
        </w:rPr>
      </w:pPr>
      <w:r>
        <w:rPr>
          <w:rFonts w:ascii="Calibri" w:hAnsi="Calibri"/>
          <w:noProof/>
          <w:lang w:eastAsia="en-AU"/>
        </w:rPr>
        <w:drawing>
          <wp:anchor distT="0" distB="0" distL="114300" distR="114300" simplePos="0" relativeHeight="251670528" behindDoc="0" locked="0" layoutInCell="1" allowOverlap="1" wp14:anchorId="2A5C9599" wp14:editId="3CE3DE75">
            <wp:simplePos x="0" y="0"/>
            <wp:positionH relativeFrom="column">
              <wp:posOffset>-219075</wp:posOffset>
            </wp:positionH>
            <wp:positionV relativeFrom="paragraph">
              <wp:posOffset>113030</wp:posOffset>
            </wp:positionV>
            <wp:extent cx="923925" cy="1385570"/>
            <wp:effectExtent l="0" t="0" r="9525"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2.jpg"/>
                    <pic:cNvPicPr/>
                  </pic:nvPicPr>
                  <pic:blipFill>
                    <a:blip r:embed="rId19">
                      <a:extLst>
                        <a:ext uri="{28A0092B-C50C-407E-A947-70E740481C1C}">
                          <a14:useLocalDpi xmlns:a14="http://schemas.microsoft.com/office/drawing/2010/main" val="0"/>
                        </a:ext>
                      </a:extLst>
                    </a:blip>
                    <a:stretch>
                      <a:fillRect/>
                    </a:stretch>
                  </pic:blipFill>
                  <pic:spPr>
                    <a:xfrm>
                      <a:off x="0" y="0"/>
                      <a:ext cx="923925" cy="13855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F618C67" w14:textId="77777777" w:rsidR="00A628CB" w:rsidRDefault="00A628CB" w:rsidP="00A628CB">
      <w:pPr>
        <w:spacing w:line="360" w:lineRule="auto"/>
        <w:jc w:val="both"/>
        <w:rPr>
          <w:rFonts w:ascii="Calibri" w:hAnsi="Calibri"/>
        </w:rPr>
      </w:pPr>
    </w:p>
    <w:p w14:paraId="0C54500B" w14:textId="77777777" w:rsidR="00A628CB" w:rsidRDefault="00A628CB" w:rsidP="00A628CB">
      <w:pPr>
        <w:spacing w:line="360" w:lineRule="auto"/>
        <w:jc w:val="both"/>
        <w:rPr>
          <w:rFonts w:ascii="Calibri" w:hAnsi="Calibri"/>
        </w:rPr>
      </w:pPr>
    </w:p>
    <w:p w14:paraId="198F7CF5" w14:textId="77777777" w:rsidR="00A628CB" w:rsidRDefault="00A628CB" w:rsidP="00A628CB">
      <w:pPr>
        <w:spacing w:line="360" w:lineRule="auto"/>
        <w:jc w:val="both"/>
        <w:rPr>
          <w:rFonts w:ascii="Calibri" w:hAnsi="Calibri"/>
        </w:rPr>
      </w:pPr>
    </w:p>
    <w:p w14:paraId="30B97701" w14:textId="77777777" w:rsidR="00A628CB" w:rsidRDefault="00A628CB" w:rsidP="00A628CB">
      <w:pPr>
        <w:spacing w:line="360" w:lineRule="auto"/>
        <w:jc w:val="both"/>
        <w:rPr>
          <w:rFonts w:ascii="Calibri" w:hAnsi="Calibri"/>
        </w:rPr>
      </w:pPr>
    </w:p>
    <w:p w14:paraId="56173D73" w14:textId="77777777" w:rsidR="00A628CB" w:rsidRDefault="00A628CB" w:rsidP="00A628CB">
      <w:pPr>
        <w:spacing w:line="360" w:lineRule="auto"/>
        <w:jc w:val="both"/>
        <w:rPr>
          <w:rFonts w:ascii="Calibri" w:hAnsi="Calibri"/>
        </w:rPr>
      </w:pPr>
    </w:p>
    <w:p w14:paraId="549D47AF" w14:textId="77777777" w:rsidR="00A628CB" w:rsidRDefault="00A628CB" w:rsidP="00A628CB">
      <w:pPr>
        <w:tabs>
          <w:tab w:val="left" w:pos="284"/>
        </w:tabs>
        <w:spacing w:line="360" w:lineRule="auto"/>
        <w:jc w:val="both"/>
        <w:rPr>
          <w:rFonts w:ascii="Calibri" w:hAnsi="Calibri"/>
          <w:sz w:val="22"/>
          <w:szCs w:val="22"/>
        </w:rPr>
      </w:pPr>
    </w:p>
    <w:p w14:paraId="30D3D56C" w14:textId="77777777" w:rsidR="00A628CB" w:rsidRDefault="00A628CB" w:rsidP="00A628CB">
      <w:pPr>
        <w:tabs>
          <w:tab w:val="left" w:pos="284"/>
        </w:tabs>
        <w:spacing w:line="360" w:lineRule="auto"/>
        <w:jc w:val="both"/>
        <w:rPr>
          <w:rFonts w:ascii="Calibri" w:hAnsi="Calibri"/>
          <w:sz w:val="22"/>
          <w:szCs w:val="22"/>
        </w:rPr>
      </w:pPr>
      <w:r w:rsidRPr="002A265E">
        <w:rPr>
          <w:rFonts w:ascii="Calibri" w:hAnsi="Calibri"/>
          <w:sz w:val="22"/>
          <w:szCs w:val="22"/>
        </w:rPr>
        <w:t>A 2017 survey of young people attending secondary schools in Greater Dandenong found that 23% had very limited personal resilience and a further 41% only ‘fair’ levels of resilience. A third of young people surveyed reported that they felt under constant stress. Among other personal challenges were bullying, motivation to learn, and feeling acknowledged and listened to by adults. (City of Greater Dandenong, 2018)</w:t>
      </w:r>
      <w:r>
        <w:rPr>
          <w:rFonts w:ascii="Calibri" w:hAnsi="Calibri"/>
          <w:sz w:val="22"/>
          <w:szCs w:val="22"/>
        </w:rPr>
        <w:t>.</w:t>
      </w:r>
    </w:p>
    <w:p w14:paraId="49AF69B3" w14:textId="77777777" w:rsidR="00A628CB" w:rsidRPr="002A265E" w:rsidRDefault="00A628CB" w:rsidP="00A628CB">
      <w:pPr>
        <w:tabs>
          <w:tab w:val="left" w:pos="284"/>
        </w:tabs>
        <w:spacing w:line="360" w:lineRule="auto"/>
        <w:jc w:val="both"/>
        <w:rPr>
          <w:rFonts w:ascii="Calibri" w:hAnsi="Calibri"/>
          <w:sz w:val="22"/>
          <w:szCs w:val="22"/>
        </w:rPr>
      </w:pPr>
    </w:p>
    <w:p w14:paraId="6976CD38" w14:textId="77777777" w:rsidR="00A628CB" w:rsidRDefault="00A628CB" w:rsidP="00A628CB">
      <w:pPr>
        <w:tabs>
          <w:tab w:val="left" w:pos="5954"/>
        </w:tabs>
        <w:jc w:val="both"/>
        <w:rPr>
          <w:rFonts w:ascii="Calibri" w:hAnsi="Calibri"/>
          <w:color w:val="7F7F7F" w:themeColor="text1" w:themeTint="80"/>
          <w:sz w:val="20"/>
          <w:szCs w:val="20"/>
        </w:rPr>
      </w:pPr>
      <w:r>
        <w:rPr>
          <w:rFonts w:ascii="Calibri" w:hAnsi="Calibri"/>
          <w:b/>
          <w:sz w:val="22"/>
          <w:szCs w:val="22"/>
        </w:rPr>
        <w:tab/>
      </w:r>
      <w:r w:rsidRPr="00A611BA">
        <w:rPr>
          <w:rFonts w:ascii="Calibri" w:hAnsi="Calibri"/>
          <w:color w:val="7F7F7F" w:themeColor="text1" w:themeTint="80"/>
          <w:sz w:val="20"/>
          <w:szCs w:val="20"/>
        </w:rPr>
        <w:t>Births per 1,000 women: Greater Dandenong</w:t>
      </w:r>
    </w:p>
    <w:p w14:paraId="0DABCB58" w14:textId="77777777" w:rsidR="00A628CB" w:rsidRPr="002B7D52" w:rsidRDefault="00A628CB" w:rsidP="00A628CB">
      <w:pPr>
        <w:tabs>
          <w:tab w:val="left" w:pos="5954"/>
        </w:tabs>
        <w:jc w:val="both"/>
        <w:rPr>
          <w:rFonts w:ascii="Calibri" w:hAnsi="Calibri"/>
          <w:b/>
          <w:sz w:val="22"/>
          <w:szCs w:val="22"/>
        </w:rPr>
      </w:pPr>
      <w:r w:rsidRPr="002B7D52">
        <w:rPr>
          <w:rFonts w:ascii="Calibri" w:hAnsi="Calibri"/>
          <w:b/>
          <w:sz w:val="22"/>
          <w:szCs w:val="22"/>
        </w:rPr>
        <w:t>Births</w:t>
      </w:r>
      <w:r>
        <w:rPr>
          <w:rFonts w:ascii="Calibri" w:hAnsi="Calibri"/>
          <w:color w:val="7F7F7F" w:themeColor="text1" w:themeTint="80"/>
          <w:sz w:val="20"/>
          <w:szCs w:val="20"/>
        </w:rPr>
        <w:tab/>
      </w:r>
      <w:r w:rsidRPr="00A611BA">
        <w:rPr>
          <w:rFonts w:ascii="Calibri" w:hAnsi="Calibri"/>
          <w:color w:val="7F7F7F" w:themeColor="text1" w:themeTint="80"/>
          <w:sz w:val="20"/>
          <w:szCs w:val="20"/>
        </w:rPr>
        <w:t xml:space="preserve"> and metropolitan Melbourne 201</w:t>
      </w:r>
      <w:r>
        <w:rPr>
          <w:rFonts w:ascii="Calibri" w:hAnsi="Calibri"/>
          <w:color w:val="7F7F7F" w:themeColor="text1" w:themeTint="80"/>
          <w:sz w:val="20"/>
          <w:szCs w:val="20"/>
        </w:rPr>
        <w:t>8</w:t>
      </w:r>
    </w:p>
    <w:p w14:paraId="12A494F6" w14:textId="77777777" w:rsidR="00A628CB" w:rsidRDefault="00A628CB" w:rsidP="00A628CB">
      <w:pPr>
        <w:tabs>
          <w:tab w:val="left" w:pos="284"/>
        </w:tabs>
        <w:spacing w:line="360" w:lineRule="auto"/>
        <w:ind w:right="2835"/>
        <w:jc w:val="both"/>
        <w:rPr>
          <w:rFonts w:ascii="Calibri" w:hAnsi="Calibri"/>
          <w:sz w:val="22"/>
          <w:szCs w:val="22"/>
        </w:rPr>
      </w:pPr>
      <w:r>
        <w:rPr>
          <w:rFonts w:ascii="Calibri" w:hAnsi="Calibri"/>
          <w:noProof/>
          <w:sz w:val="22"/>
          <w:szCs w:val="22"/>
        </w:rPr>
        <w:drawing>
          <wp:anchor distT="0" distB="0" distL="114300" distR="114300" simplePos="0" relativeHeight="251662336" behindDoc="0" locked="0" layoutInCell="1" allowOverlap="1" wp14:anchorId="0CD9FA1C" wp14:editId="215CC237">
            <wp:simplePos x="0" y="0"/>
            <wp:positionH relativeFrom="column">
              <wp:posOffset>4078605</wp:posOffset>
            </wp:positionH>
            <wp:positionV relativeFrom="paragraph">
              <wp:posOffset>67310</wp:posOffset>
            </wp:positionV>
            <wp:extent cx="2038985" cy="219519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46158" r="61266"/>
                    <a:stretch/>
                  </pic:blipFill>
                  <pic:spPr bwMode="auto">
                    <a:xfrm>
                      <a:off x="0" y="0"/>
                      <a:ext cx="2038985" cy="219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265E">
        <w:rPr>
          <w:rFonts w:ascii="Calibri" w:hAnsi="Calibri"/>
          <w:sz w:val="22"/>
          <w:szCs w:val="22"/>
        </w:rPr>
        <w:t>In 201</w:t>
      </w:r>
      <w:r>
        <w:rPr>
          <w:rFonts w:ascii="Calibri" w:hAnsi="Calibri"/>
          <w:sz w:val="22"/>
          <w:szCs w:val="22"/>
        </w:rPr>
        <w:t>8</w:t>
      </w:r>
      <w:r w:rsidRPr="002A265E">
        <w:rPr>
          <w:rFonts w:ascii="Calibri" w:hAnsi="Calibri"/>
          <w:sz w:val="22"/>
          <w:szCs w:val="22"/>
        </w:rPr>
        <w:t xml:space="preserve">, </w:t>
      </w:r>
      <w:r>
        <w:rPr>
          <w:rFonts w:ascii="Calibri" w:hAnsi="Calibri"/>
          <w:sz w:val="22"/>
          <w:szCs w:val="22"/>
        </w:rPr>
        <w:t>36</w:t>
      </w:r>
      <w:r w:rsidRPr="002A265E">
        <w:rPr>
          <w:rFonts w:ascii="Calibri" w:hAnsi="Calibri"/>
          <w:sz w:val="22"/>
          <w:szCs w:val="22"/>
        </w:rPr>
        <w:t xml:space="preserve"> births were recorded among women aged 15-19 years in Greater Dandenong, representing </w:t>
      </w:r>
      <w:r>
        <w:rPr>
          <w:rFonts w:ascii="Calibri" w:hAnsi="Calibri"/>
          <w:sz w:val="22"/>
          <w:szCs w:val="22"/>
        </w:rPr>
        <w:t>8</w:t>
      </w:r>
      <w:r w:rsidRPr="002A265E">
        <w:rPr>
          <w:rFonts w:ascii="Calibri" w:hAnsi="Calibri"/>
          <w:sz w:val="22"/>
          <w:szCs w:val="22"/>
        </w:rPr>
        <w:t xml:space="preserve"> births per 1,000 women of that age –double the corresponding metropolitan rate of 4 births per 1,000 women aged 15-19. </w:t>
      </w:r>
    </w:p>
    <w:p w14:paraId="4EF3585D" w14:textId="77777777" w:rsidR="00A628CB" w:rsidRPr="002A265E" w:rsidRDefault="00A628CB" w:rsidP="00A628CB">
      <w:pPr>
        <w:tabs>
          <w:tab w:val="left" w:pos="284"/>
        </w:tabs>
        <w:spacing w:line="360" w:lineRule="auto"/>
        <w:ind w:right="2835"/>
        <w:jc w:val="both"/>
        <w:rPr>
          <w:rFonts w:ascii="Calibri" w:hAnsi="Calibri"/>
          <w:sz w:val="22"/>
          <w:szCs w:val="22"/>
        </w:rPr>
      </w:pPr>
      <w:r w:rsidRPr="002A265E">
        <w:rPr>
          <w:rFonts w:ascii="Calibri" w:hAnsi="Calibri"/>
          <w:sz w:val="22"/>
          <w:szCs w:val="22"/>
        </w:rPr>
        <w:t xml:space="preserve">Local birth rates among 20-24 year-olds are also relatively high, at </w:t>
      </w:r>
      <w:r>
        <w:rPr>
          <w:rFonts w:ascii="Calibri" w:hAnsi="Calibri"/>
          <w:sz w:val="22"/>
          <w:szCs w:val="22"/>
        </w:rPr>
        <w:t>44</w:t>
      </w:r>
      <w:r w:rsidRPr="002A265E">
        <w:rPr>
          <w:rFonts w:ascii="Calibri" w:hAnsi="Calibri"/>
          <w:sz w:val="22"/>
          <w:szCs w:val="22"/>
        </w:rPr>
        <w:t xml:space="preserve"> per 1,000 women – nearly twice the metropolitan level of 2</w:t>
      </w:r>
      <w:r>
        <w:rPr>
          <w:rFonts w:ascii="Calibri" w:hAnsi="Calibri"/>
          <w:sz w:val="22"/>
          <w:szCs w:val="22"/>
        </w:rPr>
        <w:t>3</w:t>
      </w:r>
      <w:r w:rsidRPr="002A265E">
        <w:rPr>
          <w:rFonts w:ascii="Calibri" w:hAnsi="Calibri"/>
          <w:sz w:val="22"/>
          <w:szCs w:val="22"/>
        </w:rPr>
        <w:t xml:space="preserve"> per 1,000.</w:t>
      </w:r>
    </w:p>
    <w:p w14:paraId="6891CE0F" w14:textId="77777777" w:rsidR="00A628CB" w:rsidRDefault="00A628CB" w:rsidP="00A628CB">
      <w:pPr>
        <w:tabs>
          <w:tab w:val="left" w:pos="284"/>
        </w:tabs>
        <w:spacing w:line="360" w:lineRule="auto"/>
        <w:ind w:right="2835"/>
        <w:jc w:val="both"/>
        <w:rPr>
          <w:rFonts w:ascii="Calibri" w:hAnsi="Calibri"/>
          <w:sz w:val="22"/>
          <w:szCs w:val="22"/>
        </w:rPr>
      </w:pPr>
    </w:p>
    <w:p w14:paraId="3C9B1354"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The accompanying map illustrates the high proportions of young women with children in Greater Dandenong and other middle and outer-metropolitan localities, as at 2016.</w:t>
      </w:r>
    </w:p>
    <w:p w14:paraId="24415D5A" w14:textId="77777777" w:rsidR="00A628CB" w:rsidRDefault="00A628CB" w:rsidP="00A628CB">
      <w:pPr>
        <w:tabs>
          <w:tab w:val="left" w:pos="284"/>
        </w:tabs>
        <w:jc w:val="both"/>
        <w:rPr>
          <w:rFonts w:ascii="Calibri" w:hAnsi="Calibri"/>
          <w:sz w:val="22"/>
          <w:szCs w:val="22"/>
        </w:rPr>
      </w:pPr>
    </w:p>
    <w:p w14:paraId="7AA70562" w14:textId="77777777" w:rsidR="00A628CB" w:rsidRDefault="00A628CB" w:rsidP="00A628CB">
      <w:pPr>
        <w:rPr>
          <w:rFonts w:ascii="Calibri" w:hAnsi="Calibri"/>
          <w:sz w:val="22"/>
          <w:szCs w:val="22"/>
        </w:rPr>
      </w:pPr>
      <w:r>
        <w:rPr>
          <w:rFonts w:ascii="Calibri" w:hAnsi="Calibri"/>
          <w:sz w:val="22"/>
          <w:szCs w:val="22"/>
        </w:rPr>
        <w:br w:type="page"/>
      </w:r>
    </w:p>
    <w:p w14:paraId="74866993" w14:textId="77777777" w:rsidR="00A628CB" w:rsidRPr="00F16B48" w:rsidRDefault="00A628CB" w:rsidP="00A628CB">
      <w:pPr>
        <w:tabs>
          <w:tab w:val="left" w:pos="284"/>
        </w:tabs>
        <w:jc w:val="both"/>
        <w:rPr>
          <w:rFonts w:ascii="Calibri" w:hAnsi="Calibri"/>
          <w:color w:val="7F7F7F"/>
          <w:sz w:val="20"/>
          <w:szCs w:val="20"/>
        </w:rPr>
      </w:pPr>
      <w:r w:rsidRPr="00F16B48">
        <w:rPr>
          <w:rFonts w:ascii="Calibri" w:hAnsi="Calibri"/>
          <w:color w:val="7F7F7F"/>
          <w:sz w:val="20"/>
          <w:szCs w:val="20"/>
        </w:rPr>
        <w:lastRenderedPageBreak/>
        <w:t xml:space="preserve">Percentage of </w:t>
      </w:r>
      <w:r>
        <w:rPr>
          <w:rFonts w:ascii="Calibri" w:hAnsi="Calibri"/>
          <w:color w:val="7F7F7F"/>
          <w:sz w:val="20"/>
          <w:szCs w:val="20"/>
        </w:rPr>
        <w:t>w</w:t>
      </w:r>
      <w:r w:rsidRPr="00F16B48">
        <w:rPr>
          <w:rFonts w:ascii="Calibri" w:hAnsi="Calibri"/>
          <w:color w:val="7F7F7F"/>
          <w:sz w:val="20"/>
          <w:szCs w:val="20"/>
        </w:rPr>
        <w:t>omen aged 15 to 24 years who have children: Metropolitan Melbourne, 2016</w:t>
      </w:r>
    </w:p>
    <w:p w14:paraId="638D18AC" w14:textId="77777777" w:rsidR="00A628CB" w:rsidRDefault="00A628CB" w:rsidP="00A628CB">
      <w:pPr>
        <w:tabs>
          <w:tab w:val="left" w:pos="284"/>
        </w:tabs>
        <w:spacing w:line="360" w:lineRule="auto"/>
        <w:jc w:val="center"/>
        <w:rPr>
          <w:rFonts w:ascii="Calibri" w:hAnsi="Calibri"/>
          <w:sz w:val="22"/>
          <w:szCs w:val="22"/>
        </w:rPr>
      </w:pPr>
      <w:r>
        <w:rPr>
          <w:rFonts w:ascii="Calibri" w:hAnsi="Calibri"/>
          <w:noProof/>
          <w:sz w:val="22"/>
          <w:szCs w:val="22"/>
          <w:lang w:eastAsia="en-AU"/>
        </w:rPr>
        <w:drawing>
          <wp:anchor distT="0" distB="0" distL="114300" distR="114300" simplePos="0" relativeHeight="251664384" behindDoc="0" locked="0" layoutInCell="1" allowOverlap="1" wp14:anchorId="7E937ABD" wp14:editId="7AD89ECA">
            <wp:simplePos x="0" y="0"/>
            <wp:positionH relativeFrom="column">
              <wp:posOffset>4784725</wp:posOffset>
            </wp:positionH>
            <wp:positionV relativeFrom="paragraph">
              <wp:posOffset>103505</wp:posOffset>
            </wp:positionV>
            <wp:extent cx="1056005" cy="704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2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56005" cy="7048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eastAsia="en-AU"/>
        </w:rPr>
        <w:drawing>
          <wp:inline distT="0" distB="0" distL="0" distR="0" wp14:anchorId="6350AE95" wp14:editId="29466611">
            <wp:extent cx="5972175" cy="6934200"/>
            <wp:effectExtent l="0" t="0" r="9525" b="0"/>
            <wp:docPr id="2" name="Picture 2" descr="M Women 15_24 with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 Women 15_24 with Children (%)"/>
                    <pic:cNvPicPr>
                      <a:picLocks noChangeAspect="1" noChangeArrowheads="1"/>
                    </pic:cNvPicPr>
                  </pic:nvPicPr>
                  <pic:blipFill>
                    <a:blip r:embed="rId22" cstate="print">
                      <a:extLst>
                        <a:ext uri="{28A0092B-C50C-407E-A947-70E740481C1C}">
                          <a14:useLocalDpi xmlns:a14="http://schemas.microsoft.com/office/drawing/2010/main" val="0"/>
                        </a:ext>
                      </a:extLst>
                    </a:blip>
                    <a:srcRect l="2344" t="15347" r="1950" b="5885"/>
                    <a:stretch>
                      <a:fillRect/>
                    </a:stretch>
                  </pic:blipFill>
                  <pic:spPr bwMode="auto">
                    <a:xfrm>
                      <a:off x="0" y="0"/>
                      <a:ext cx="5981821" cy="6945400"/>
                    </a:xfrm>
                    <a:prstGeom prst="rect">
                      <a:avLst/>
                    </a:prstGeom>
                    <a:ln>
                      <a:noFill/>
                    </a:ln>
                    <a:effectLst>
                      <a:softEdge rad="112500"/>
                    </a:effectLst>
                  </pic:spPr>
                </pic:pic>
              </a:graphicData>
            </a:graphic>
          </wp:inline>
        </w:drawing>
      </w:r>
    </w:p>
    <w:p w14:paraId="2A640F56" w14:textId="2831A13E" w:rsidR="00031422" w:rsidRPr="00A628CB" w:rsidRDefault="00031422" w:rsidP="00A628CB">
      <w:bookmarkStart w:id="0" w:name="_GoBack"/>
      <w:bookmarkEnd w:id="0"/>
    </w:p>
    <w:sectPr w:rsidR="00031422" w:rsidRPr="00A628CB" w:rsidSect="00827871">
      <w:footerReference w:type="default" r:id="rId2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0A096" w14:textId="77777777" w:rsidR="00463B09" w:rsidRDefault="00463B09">
      <w:r>
        <w:separator/>
      </w:r>
    </w:p>
  </w:endnote>
  <w:endnote w:type="continuationSeparator" w:id="0">
    <w:p w14:paraId="11968F44" w14:textId="77777777" w:rsidR="00463B09" w:rsidRDefault="0046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C4939" w14:textId="77777777" w:rsidR="00AF72D3" w:rsidRPr="009C1234" w:rsidRDefault="00AF72D3" w:rsidP="009C1234">
    <w:pPr>
      <w:pStyle w:val="Footer"/>
      <w:pBdr>
        <w:top w:val="single" w:sz="4" w:space="1" w:color="auto"/>
      </w:pBdr>
      <w:jc w:val="center"/>
      <w:rPr>
        <w:b/>
        <w:sz w:val="16"/>
        <w:szCs w:val="16"/>
      </w:rPr>
    </w:pPr>
    <w:r w:rsidRPr="009C1234">
      <w:rPr>
        <w:rStyle w:val="PageNumber"/>
        <w:b/>
        <w:sz w:val="16"/>
        <w:szCs w:val="16"/>
      </w:rPr>
      <w:fldChar w:fldCharType="begin"/>
    </w:r>
    <w:r w:rsidRPr="009C1234">
      <w:rPr>
        <w:rStyle w:val="PageNumber"/>
        <w:b/>
        <w:sz w:val="16"/>
        <w:szCs w:val="16"/>
      </w:rPr>
      <w:instrText xml:space="preserve"> PAGE </w:instrText>
    </w:r>
    <w:r w:rsidRPr="009C1234">
      <w:rPr>
        <w:rStyle w:val="PageNumber"/>
        <w:b/>
        <w:sz w:val="16"/>
        <w:szCs w:val="16"/>
      </w:rPr>
      <w:fldChar w:fldCharType="separate"/>
    </w:r>
    <w:r w:rsidR="00B8674B">
      <w:rPr>
        <w:rStyle w:val="PageNumber"/>
        <w:b/>
        <w:noProof/>
        <w:sz w:val="16"/>
        <w:szCs w:val="16"/>
      </w:rPr>
      <w:t>2</w:t>
    </w:r>
    <w:r w:rsidRPr="009C1234">
      <w:rPr>
        <w:rStyle w:val="PageNumbe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AC216" w14:textId="77777777" w:rsidR="00463B09" w:rsidRDefault="00463B09">
      <w:r>
        <w:separator/>
      </w:r>
    </w:p>
  </w:footnote>
  <w:footnote w:type="continuationSeparator" w:id="0">
    <w:p w14:paraId="447F1314" w14:textId="77777777" w:rsidR="00463B09" w:rsidRDefault="00463B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1A"/>
    <w:rsid w:val="00002167"/>
    <w:rsid w:val="000203DE"/>
    <w:rsid w:val="000231E7"/>
    <w:rsid w:val="00031422"/>
    <w:rsid w:val="0004599B"/>
    <w:rsid w:val="00051CA1"/>
    <w:rsid w:val="00056858"/>
    <w:rsid w:val="00094FD9"/>
    <w:rsid w:val="000A2FDB"/>
    <w:rsid w:val="000A77ED"/>
    <w:rsid w:val="000D2906"/>
    <w:rsid w:val="000E2EFE"/>
    <w:rsid w:val="00105079"/>
    <w:rsid w:val="00157E99"/>
    <w:rsid w:val="00172C06"/>
    <w:rsid w:val="00187713"/>
    <w:rsid w:val="001933F7"/>
    <w:rsid w:val="001B1153"/>
    <w:rsid w:val="001C44BE"/>
    <w:rsid w:val="001C4541"/>
    <w:rsid w:val="001E1B2A"/>
    <w:rsid w:val="001E5011"/>
    <w:rsid w:val="002004D1"/>
    <w:rsid w:val="00205E29"/>
    <w:rsid w:val="00224A99"/>
    <w:rsid w:val="0023135A"/>
    <w:rsid w:val="002314B2"/>
    <w:rsid w:val="0024260E"/>
    <w:rsid w:val="00262732"/>
    <w:rsid w:val="002812D6"/>
    <w:rsid w:val="002874B0"/>
    <w:rsid w:val="002B569A"/>
    <w:rsid w:val="002B7D52"/>
    <w:rsid w:val="002C44CD"/>
    <w:rsid w:val="002E11CA"/>
    <w:rsid w:val="00302F6A"/>
    <w:rsid w:val="0030368A"/>
    <w:rsid w:val="00304065"/>
    <w:rsid w:val="003079C6"/>
    <w:rsid w:val="003125A8"/>
    <w:rsid w:val="00312F12"/>
    <w:rsid w:val="00346A13"/>
    <w:rsid w:val="003501D1"/>
    <w:rsid w:val="00380095"/>
    <w:rsid w:val="00384B93"/>
    <w:rsid w:val="00391A77"/>
    <w:rsid w:val="003A7D1E"/>
    <w:rsid w:val="003F3091"/>
    <w:rsid w:val="003F3A59"/>
    <w:rsid w:val="003F436A"/>
    <w:rsid w:val="00433C35"/>
    <w:rsid w:val="00455B0B"/>
    <w:rsid w:val="00460985"/>
    <w:rsid w:val="00463B09"/>
    <w:rsid w:val="0046492A"/>
    <w:rsid w:val="00495ACA"/>
    <w:rsid w:val="00497DBB"/>
    <w:rsid w:val="004A1426"/>
    <w:rsid w:val="004B2F95"/>
    <w:rsid w:val="004C7349"/>
    <w:rsid w:val="004E6AA1"/>
    <w:rsid w:val="005071C1"/>
    <w:rsid w:val="0051203E"/>
    <w:rsid w:val="00533D42"/>
    <w:rsid w:val="00535F70"/>
    <w:rsid w:val="00540FB9"/>
    <w:rsid w:val="00552FEE"/>
    <w:rsid w:val="00561270"/>
    <w:rsid w:val="00565390"/>
    <w:rsid w:val="00574293"/>
    <w:rsid w:val="00574AE3"/>
    <w:rsid w:val="00583EAE"/>
    <w:rsid w:val="00591865"/>
    <w:rsid w:val="005A7330"/>
    <w:rsid w:val="005B1104"/>
    <w:rsid w:val="005D1989"/>
    <w:rsid w:val="005D738C"/>
    <w:rsid w:val="005E1C70"/>
    <w:rsid w:val="005E5E54"/>
    <w:rsid w:val="00602B7F"/>
    <w:rsid w:val="00610CEE"/>
    <w:rsid w:val="0062004B"/>
    <w:rsid w:val="00635F20"/>
    <w:rsid w:val="006471D2"/>
    <w:rsid w:val="006478A9"/>
    <w:rsid w:val="00664DB0"/>
    <w:rsid w:val="006A43EB"/>
    <w:rsid w:val="006C67AA"/>
    <w:rsid w:val="006C6A13"/>
    <w:rsid w:val="006C7D76"/>
    <w:rsid w:val="006D002D"/>
    <w:rsid w:val="006D21E9"/>
    <w:rsid w:val="006E143B"/>
    <w:rsid w:val="006E4C17"/>
    <w:rsid w:val="006F4361"/>
    <w:rsid w:val="006F5943"/>
    <w:rsid w:val="0070086A"/>
    <w:rsid w:val="00730F1E"/>
    <w:rsid w:val="007364E6"/>
    <w:rsid w:val="0073730C"/>
    <w:rsid w:val="007535F8"/>
    <w:rsid w:val="00760947"/>
    <w:rsid w:val="00770814"/>
    <w:rsid w:val="007843D4"/>
    <w:rsid w:val="0079701B"/>
    <w:rsid w:val="007A0001"/>
    <w:rsid w:val="007A5A3F"/>
    <w:rsid w:val="007B0185"/>
    <w:rsid w:val="007B5D1A"/>
    <w:rsid w:val="007C3D4C"/>
    <w:rsid w:val="007D1891"/>
    <w:rsid w:val="007D7AB0"/>
    <w:rsid w:val="00810D30"/>
    <w:rsid w:val="00816757"/>
    <w:rsid w:val="00827871"/>
    <w:rsid w:val="00835EE0"/>
    <w:rsid w:val="008456EF"/>
    <w:rsid w:val="0085463C"/>
    <w:rsid w:val="00857AE3"/>
    <w:rsid w:val="00864F0E"/>
    <w:rsid w:val="00886212"/>
    <w:rsid w:val="008872FE"/>
    <w:rsid w:val="008B4F23"/>
    <w:rsid w:val="008B6EE8"/>
    <w:rsid w:val="008C6C15"/>
    <w:rsid w:val="008E29A2"/>
    <w:rsid w:val="008E2CA7"/>
    <w:rsid w:val="008F0F12"/>
    <w:rsid w:val="00914CB3"/>
    <w:rsid w:val="00935647"/>
    <w:rsid w:val="009419A1"/>
    <w:rsid w:val="00942930"/>
    <w:rsid w:val="00950D3B"/>
    <w:rsid w:val="00953DCA"/>
    <w:rsid w:val="00955711"/>
    <w:rsid w:val="00966A62"/>
    <w:rsid w:val="00976CA6"/>
    <w:rsid w:val="00983AB0"/>
    <w:rsid w:val="00992F4B"/>
    <w:rsid w:val="009C1234"/>
    <w:rsid w:val="009F2B4D"/>
    <w:rsid w:val="009F7042"/>
    <w:rsid w:val="00A41D71"/>
    <w:rsid w:val="00A611BA"/>
    <w:rsid w:val="00A628CB"/>
    <w:rsid w:val="00A74C27"/>
    <w:rsid w:val="00A96867"/>
    <w:rsid w:val="00AA4FCC"/>
    <w:rsid w:val="00AB33D7"/>
    <w:rsid w:val="00AC6F6B"/>
    <w:rsid w:val="00AE1A2C"/>
    <w:rsid w:val="00AF72D3"/>
    <w:rsid w:val="00AF793D"/>
    <w:rsid w:val="00B00927"/>
    <w:rsid w:val="00B01AE5"/>
    <w:rsid w:val="00B07959"/>
    <w:rsid w:val="00B132F1"/>
    <w:rsid w:val="00B8674B"/>
    <w:rsid w:val="00B9386A"/>
    <w:rsid w:val="00BE0603"/>
    <w:rsid w:val="00C22732"/>
    <w:rsid w:val="00C35C38"/>
    <w:rsid w:val="00C57092"/>
    <w:rsid w:val="00C74DAD"/>
    <w:rsid w:val="00C863B0"/>
    <w:rsid w:val="00C91045"/>
    <w:rsid w:val="00C94A48"/>
    <w:rsid w:val="00C97696"/>
    <w:rsid w:val="00CA055B"/>
    <w:rsid w:val="00CA62A8"/>
    <w:rsid w:val="00CC5C4C"/>
    <w:rsid w:val="00CE7D41"/>
    <w:rsid w:val="00CF34BB"/>
    <w:rsid w:val="00D1324F"/>
    <w:rsid w:val="00D27850"/>
    <w:rsid w:val="00D779D9"/>
    <w:rsid w:val="00D82C57"/>
    <w:rsid w:val="00DB57C1"/>
    <w:rsid w:val="00DC1178"/>
    <w:rsid w:val="00DD48D0"/>
    <w:rsid w:val="00DE57AB"/>
    <w:rsid w:val="00DF096B"/>
    <w:rsid w:val="00DF4C67"/>
    <w:rsid w:val="00E03B6D"/>
    <w:rsid w:val="00E44EA8"/>
    <w:rsid w:val="00E4790C"/>
    <w:rsid w:val="00E627A6"/>
    <w:rsid w:val="00E872F9"/>
    <w:rsid w:val="00E9141A"/>
    <w:rsid w:val="00EA4C4D"/>
    <w:rsid w:val="00EB496E"/>
    <w:rsid w:val="00ED1CF3"/>
    <w:rsid w:val="00EF04BF"/>
    <w:rsid w:val="00F16B48"/>
    <w:rsid w:val="00F20F0F"/>
    <w:rsid w:val="00F41772"/>
    <w:rsid w:val="00F41931"/>
    <w:rsid w:val="00F63523"/>
    <w:rsid w:val="00F85D44"/>
    <w:rsid w:val="00FA38B5"/>
    <w:rsid w:val="00FC3BBB"/>
    <w:rsid w:val="00FC53E5"/>
    <w:rsid w:val="00FD37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D2F42"/>
  <w15:docId w15:val="{D7E87FC7-4146-44B3-AE3A-BDE8478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65390"/>
    <w:rPr>
      <w:rFonts w:ascii="Times New (W1)" w:hAnsi="Times New (W1)"/>
      <w:sz w:val="24"/>
      <w:szCs w:val="24"/>
      <w:lang w:eastAsia="en-US"/>
    </w:rPr>
  </w:style>
  <w:style w:type="paragraph" w:styleId="Heading1">
    <w:name w:val="heading 1"/>
    <w:basedOn w:val="Normal"/>
    <w:next w:val="Normal"/>
    <w:qFormat/>
    <w:rsid w:val="0079701B"/>
    <w:pPr>
      <w:keepNext/>
      <w:spacing w:before="240" w:after="60"/>
      <w:outlineLvl w:val="0"/>
    </w:pPr>
    <w:rPr>
      <w:rFonts w:ascii="Arial" w:hAnsi="Arial" w:cs="Arial"/>
      <w:b/>
      <w:bCs/>
      <w:kern w:val="32"/>
      <w:sz w:val="44"/>
      <w:szCs w:val="32"/>
    </w:rPr>
  </w:style>
  <w:style w:type="paragraph" w:styleId="Heading2">
    <w:name w:val="heading 2"/>
    <w:basedOn w:val="Normal"/>
    <w:next w:val="Normal"/>
    <w:qFormat/>
    <w:rsid w:val="0079701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1234"/>
    <w:pPr>
      <w:tabs>
        <w:tab w:val="center" w:pos="4320"/>
        <w:tab w:val="right" w:pos="8640"/>
      </w:tabs>
    </w:pPr>
  </w:style>
  <w:style w:type="paragraph" w:styleId="Footer">
    <w:name w:val="footer"/>
    <w:basedOn w:val="Normal"/>
    <w:rsid w:val="009C1234"/>
    <w:pPr>
      <w:tabs>
        <w:tab w:val="center" w:pos="4320"/>
        <w:tab w:val="right" w:pos="8640"/>
      </w:tabs>
    </w:pPr>
  </w:style>
  <w:style w:type="character" w:styleId="PageNumber">
    <w:name w:val="page number"/>
    <w:basedOn w:val="DefaultParagraphFont"/>
    <w:rsid w:val="009C1234"/>
  </w:style>
  <w:style w:type="paragraph" w:styleId="BalloonText">
    <w:name w:val="Balloon Text"/>
    <w:basedOn w:val="Normal"/>
    <w:link w:val="BalloonTextChar"/>
    <w:rsid w:val="003501D1"/>
    <w:rPr>
      <w:rFonts w:ascii="Tahoma" w:hAnsi="Tahoma" w:cs="Tahoma"/>
      <w:sz w:val="16"/>
      <w:szCs w:val="16"/>
    </w:rPr>
  </w:style>
  <w:style w:type="character" w:customStyle="1" w:styleId="BalloonTextChar">
    <w:name w:val="Balloon Text Char"/>
    <w:basedOn w:val="DefaultParagraphFont"/>
    <w:link w:val="BalloonText"/>
    <w:rsid w:val="003501D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531041">
      <w:bodyDiv w:val="1"/>
      <w:marLeft w:val="0"/>
      <w:marRight w:val="0"/>
      <w:marTop w:val="0"/>
      <w:marBottom w:val="0"/>
      <w:divBdr>
        <w:top w:val="none" w:sz="0" w:space="0" w:color="auto"/>
        <w:left w:val="none" w:sz="0" w:space="0" w:color="auto"/>
        <w:bottom w:val="none" w:sz="0" w:space="0" w:color="auto"/>
        <w:right w:val="none" w:sz="0" w:space="0" w:color="auto"/>
      </w:divBdr>
    </w:div>
    <w:div w:id="1629429629">
      <w:bodyDiv w:val="1"/>
      <w:marLeft w:val="0"/>
      <w:marRight w:val="0"/>
      <w:marTop w:val="0"/>
      <w:marBottom w:val="0"/>
      <w:divBdr>
        <w:top w:val="none" w:sz="0" w:space="0" w:color="auto"/>
        <w:left w:val="none" w:sz="0" w:space="0" w:color="auto"/>
        <w:bottom w:val="none" w:sz="0" w:space="0" w:color="auto"/>
        <w:right w:val="none" w:sz="0" w:space="0" w:color="auto"/>
      </w:divBdr>
    </w:div>
    <w:div w:id="17937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6.jpeg" Id="rId13" /><Relationship Type="http://schemas.openxmlformats.org/officeDocument/2006/relationships/image" Target="media/image11.png" Id="rId18" /><Relationship Type="http://schemas.openxmlformats.org/officeDocument/2006/relationships/settings" Target="settings.xml" Id="rId3" /><Relationship Type="http://schemas.openxmlformats.org/officeDocument/2006/relationships/image" Target="media/image14.jpeg" Id="rId21" /><Relationship Type="http://schemas.openxmlformats.org/officeDocument/2006/relationships/image" Target="media/image1.jpeg"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image" Target="media/image9.jpeg" Id="rId16" /><Relationship Type="http://schemas.openxmlformats.org/officeDocument/2006/relationships/image" Target="media/image13.jpeg" Id="rId20" /><Relationship Type="http://schemas.openxmlformats.org/officeDocument/2006/relationships/endnotes" Target="endnotes.xml" Id="rId6" /><Relationship Type="http://schemas.microsoft.com/office/2007/relationships/hdphoto" Target="media/hdphoto1.wdp"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image" Target="media/image8.jpeg" Id="rId15" /><Relationship Type="http://schemas.openxmlformats.org/officeDocument/2006/relationships/footer" Target="footer1.xml" Id="rId23" /><Relationship Type="http://schemas.openxmlformats.org/officeDocument/2006/relationships/image" Target="media/image4.jpeg" Id="rId10" /><Relationship Type="http://schemas.openxmlformats.org/officeDocument/2006/relationships/image" Target="media/image12.jpg" Id="rId19"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7.jpeg" Id="rId14" /><Relationship Type="http://schemas.openxmlformats.org/officeDocument/2006/relationships/image" Target="media/image15.jpeg" Id="rId22" /><Relationship Type="http://schemas.openxmlformats.org/officeDocument/2006/relationships/customXml" Target="/customXml/item2.xml" Id="R1570853dad37489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A6819548</value>
    </field>
    <field name="Objective-Title">
      <value order="0">P Young People</value>
    </field>
    <field name="Objective-Description">
      <value order="0"/>
    </field>
    <field name="Objective-CreationStamp">
      <value order="0">2020-08-30T21:38:09Z</value>
    </field>
    <field name="Objective-IsApproved">
      <value order="0">false</value>
    </field>
    <field name="Objective-IsPublished">
      <value order="0">true</value>
    </field>
    <field name="Objective-DatePublished">
      <value order="0">2021-04-23T02:49:22Z</value>
    </field>
    <field name="Objective-ModificationStamp">
      <value order="0">2021-04-23T02:49:22Z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vA9844457</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Social Profiles:</vt:lpstr>
    </vt:vector>
  </TitlesOfParts>
  <Company>City of Greater Dandenong</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Profiles:</dc:title>
  <dc:creator>hbrown</dc:creator>
  <cp:lastModifiedBy>Hayden Brown</cp:lastModifiedBy>
  <cp:revision>3</cp:revision>
  <cp:lastPrinted>2017-10-22T21:34:00Z</cp:lastPrinted>
  <dcterms:created xsi:type="dcterms:W3CDTF">2020-08-23T12:31:00Z</dcterms:created>
  <dcterms:modified xsi:type="dcterms:W3CDTF">2021-04-23T02:49:00Z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A6819548</vt:lpwstr>
  </op:property>
  <op:property fmtid="{D5CDD505-2E9C-101B-9397-08002B2CF9AE}" pid="6" name="Objective-Title">
    <vt:lpwstr>P Young People</vt:lpwstr>
  </op:property>
  <op:property fmtid="{D5CDD505-2E9C-101B-9397-08002B2CF9AE}" pid="7" name="Objective-Description">
    <vt:lpwstr/>
  </op:property>
  <op:property fmtid="{D5CDD505-2E9C-101B-9397-08002B2CF9AE}" pid="8" name="Objective-CreationStamp">
    <vt:filetime>2020-08-30T21:38:09Z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2021-04-23T02:49:22Z</vt:filetime>
  </op:property>
  <op:property fmtid="{D5CDD505-2E9C-101B-9397-08002B2CF9AE}" pid="12" name="Objective-ModificationStamp">
    <vt:filetime>2021-04-23T02:49:22Z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vA9844457</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