
<file path=[Content_Types].xml><?xml version="1.0" encoding="utf-8"?>
<Types xmlns="http://schemas.openxmlformats.org/package/2006/content-types">
  <Default Extension="emf" ContentType="image/x-emf"/>
  <Default Extension="jfif" ContentType="image/jpeg"/>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34dda78ba20a4a6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08876" w14:textId="2A1570BA" w:rsidR="0033027C" w:rsidRDefault="0033027C" w:rsidP="0033027C"/>
    <w:p w14:paraId="74BE984B" w14:textId="77777777" w:rsidR="0033027C" w:rsidRDefault="0033027C" w:rsidP="0033027C"/>
    <w:p w14:paraId="5444C99C" w14:textId="77777777" w:rsidR="0033027C" w:rsidRDefault="0033027C" w:rsidP="0033027C"/>
    <w:p w14:paraId="41CDB071" w14:textId="7B4334C5" w:rsidR="0033027C" w:rsidRDefault="0033027C" w:rsidP="0033027C">
      <w:pPr>
        <w:jc w:val="center"/>
      </w:pPr>
      <w:r w:rsidRPr="0033027C">
        <w:rPr>
          <w:noProof/>
        </w:rPr>
        <w:drawing>
          <wp:inline distT="0" distB="0" distL="0" distR="0" wp14:anchorId="5C4C6366" wp14:editId="1F9BC950">
            <wp:extent cx="6120130" cy="6987540"/>
            <wp:effectExtent l="0" t="0" r="0" b="381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6987540"/>
                    </a:xfrm>
                    <a:prstGeom prst="rect">
                      <a:avLst/>
                    </a:prstGeom>
                  </pic:spPr>
                </pic:pic>
              </a:graphicData>
            </a:graphic>
          </wp:inline>
        </w:drawing>
      </w:r>
    </w:p>
    <w:p w14:paraId="3705CA28" w14:textId="77777777" w:rsidR="0033027C" w:rsidRDefault="0033027C" w:rsidP="0033027C"/>
    <w:p w14:paraId="00A4A9CB" w14:textId="0AF6BEE3" w:rsidR="0033027C" w:rsidRPr="00667774" w:rsidRDefault="0033027C" w:rsidP="0033027C">
      <w:r>
        <w:br w:type="page"/>
      </w:r>
    </w:p>
    <w:p w14:paraId="4812808D" w14:textId="77777777" w:rsidR="0033027C" w:rsidRDefault="0033027C" w:rsidP="0033027C">
      <w:pPr>
        <w:rPr>
          <w:sz w:val="44"/>
          <w:szCs w:val="44"/>
        </w:rPr>
      </w:pPr>
      <w:bookmarkStart w:id="0" w:name="_Hlk2604471"/>
      <w:r>
        <w:rPr>
          <w:sz w:val="44"/>
          <w:szCs w:val="44"/>
        </w:rPr>
        <w:lastRenderedPageBreak/>
        <w:br w:type="page"/>
      </w:r>
    </w:p>
    <w:bookmarkEnd w:id="0"/>
    <w:p w14:paraId="47500D6E" w14:textId="77777777" w:rsidR="00B70A36" w:rsidRPr="0077480E" w:rsidRDefault="00B70A36" w:rsidP="00B70A36">
      <w:pPr>
        <w:spacing w:before="60" w:after="0" w:line="240" w:lineRule="auto"/>
        <w:jc w:val="center"/>
        <w:rPr>
          <w:sz w:val="32"/>
          <w:szCs w:val="32"/>
        </w:rPr>
      </w:pPr>
      <w:r w:rsidRPr="0077480E">
        <w:rPr>
          <w:sz w:val="32"/>
          <w:szCs w:val="32"/>
        </w:rPr>
        <w:lastRenderedPageBreak/>
        <w:t>CONTENTS</w:t>
      </w:r>
    </w:p>
    <w:p w14:paraId="652016F7" w14:textId="77777777" w:rsidR="00B70A36" w:rsidRPr="00094172" w:rsidRDefault="00B70A36" w:rsidP="00B70A36">
      <w:pPr>
        <w:tabs>
          <w:tab w:val="right" w:leader="dot" w:pos="8505"/>
        </w:tabs>
        <w:spacing w:before="60" w:after="0" w:line="240" w:lineRule="auto"/>
        <w:rPr>
          <w:b/>
          <w:bCs/>
          <w:color w:val="2F5496" w:themeColor="accent1" w:themeShade="BF"/>
          <w:sz w:val="20"/>
          <w:szCs w:val="20"/>
        </w:rPr>
      </w:pPr>
      <w:r w:rsidRPr="00094172">
        <w:rPr>
          <w:b/>
          <w:bCs/>
          <w:color w:val="2F5496" w:themeColor="accent1" w:themeShade="BF"/>
          <w:sz w:val="20"/>
          <w:szCs w:val="20"/>
        </w:rPr>
        <w:t>POPULATION</w:t>
      </w:r>
    </w:p>
    <w:p w14:paraId="1B1DF20D" w14:textId="77777777" w:rsidR="00B70A36" w:rsidRPr="0077480E" w:rsidRDefault="00B70A36" w:rsidP="00B70A36">
      <w:pPr>
        <w:tabs>
          <w:tab w:val="right" w:leader="dot" w:pos="8505"/>
        </w:tabs>
        <w:spacing w:before="60" w:after="0" w:line="240" w:lineRule="auto"/>
        <w:rPr>
          <w:sz w:val="20"/>
          <w:szCs w:val="20"/>
        </w:rPr>
      </w:pPr>
      <w:r w:rsidRPr="0077480E">
        <w:rPr>
          <w:sz w:val="20"/>
          <w:szCs w:val="20"/>
        </w:rPr>
        <w:t>Population</w:t>
      </w:r>
      <w:r>
        <w:rPr>
          <w:sz w:val="20"/>
          <w:szCs w:val="20"/>
        </w:rPr>
        <w:tab/>
        <w:t>1</w:t>
      </w:r>
    </w:p>
    <w:p w14:paraId="66DB9AE9" w14:textId="77777777" w:rsidR="00B70A36" w:rsidRPr="0077480E" w:rsidRDefault="00B70A36" w:rsidP="00B70A36">
      <w:pPr>
        <w:tabs>
          <w:tab w:val="right" w:leader="dot" w:pos="8505"/>
        </w:tabs>
        <w:spacing w:before="60" w:after="0" w:line="240" w:lineRule="auto"/>
        <w:rPr>
          <w:sz w:val="20"/>
          <w:szCs w:val="20"/>
        </w:rPr>
      </w:pPr>
      <w:r w:rsidRPr="0077480E">
        <w:rPr>
          <w:sz w:val="20"/>
          <w:szCs w:val="20"/>
        </w:rPr>
        <w:t>Young People</w:t>
      </w:r>
      <w:r>
        <w:rPr>
          <w:sz w:val="20"/>
          <w:szCs w:val="20"/>
        </w:rPr>
        <w:tab/>
        <w:t>2</w:t>
      </w:r>
    </w:p>
    <w:p w14:paraId="11D2D3B5" w14:textId="77777777" w:rsidR="00B70A36" w:rsidRPr="0077480E" w:rsidRDefault="00B70A36" w:rsidP="00B70A36">
      <w:pPr>
        <w:tabs>
          <w:tab w:val="right" w:leader="dot" w:pos="8505"/>
        </w:tabs>
        <w:spacing w:before="60" w:after="0" w:line="240" w:lineRule="auto"/>
        <w:rPr>
          <w:sz w:val="20"/>
          <w:szCs w:val="20"/>
        </w:rPr>
      </w:pPr>
      <w:r w:rsidRPr="0077480E">
        <w:rPr>
          <w:sz w:val="20"/>
          <w:szCs w:val="20"/>
        </w:rPr>
        <w:t>Families, Births and Children</w:t>
      </w:r>
      <w:r>
        <w:rPr>
          <w:sz w:val="20"/>
          <w:szCs w:val="20"/>
        </w:rPr>
        <w:tab/>
        <w:t>5</w:t>
      </w:r>
    </w:p>
    <w:p w14:paraId="60109248" w14:textId="77777777" w:rsidR="00B70A36" w:rsidRPr="0077480E" w:rsidRDefault="00B70A36" w:rsidP="00B70A36">
      <w:pPr>
        <w:tabs>
          <w:tab w:val="right" w:leader="dot" w:pos="8505"/>
        </w:tabs>
        <w:spacing w:before="60" w:after="0" w:line="240" w:lineRule="auto"/>
        <w:rPr>
          <w:sz w:val="20"/>
          <w:szCs w:val="20"/>
        </w:rPr>
      </w:pPr>
      <w:r w:rsidRPr="0077480E">
        <w:rPr>
          <w:sz w:val="20"/>
          <w:szCs w:val="20"/>
        </w:rPr>
        <w:t>Older Residents</w:t>
      </w:r>
      <w:r>
        <w:rPr>
          <w:sz w:val="20"/>
          <w:szCs w:val="20"/>
        </w:rPr>
        <w:tab/>
        <w:t>10</w:t>
      </w:r>
    </w:p>
    <w:p w14:paraId="76C8B197" w14:textId="77777777" w:rsidR="00B70A36" w:rsidRPr="0077480E" w:rsidRDefault="00B70A36" w:rsidP="00B70A36">
      <w:pPr>
        <w:tabs>
          <w:tab w:val="right" w:leader="dot" w:pos="8505"/>
        </w:tabs>
        <w:spacing w:before="60" w:after="0" w:line="240" w:lineRule="auto"/>
        <w:rPr>
          <w:sz w:val="20"/>
          <w:szCs w:val="20"/>
        </w:rPr>
      </w:pPr>
      <w:r w:rsidRPr="0077480E">
        <w:rPr>
          <w:sz w:val="20"/>
          <w:szCs w:val="20"/>
        </w:rPr>
        <w:t>Cultural Diversity and Settlement</w:t>
      </w:r>
      <w:r>
        <w:rPr>
          <w:sz w:val="20"/>
          <w:szCs w:val="20"/>
        </w:rPr>
        <w:tab/>
        <w:t>13</w:t>
      </w:r>
    </w:p>
    <w:p w14:paraId="0C51DB1B" w14:textId="2F9A9829" w:rsidR="00B70A36" w:rsidRPr="0077480E" w:rsidRDefault="008A7BE8" w:rsidP="00B70A36">
      <w:pPr>
        <w:tabs>
          <w:tab w:val="right" w:leader="dot" w:pos="8505"/>
        </w:tabs>
        <w:spacing w:before="60" w:after="0" w:line="240" w:lineRule="auto"/>
        <w:rPr>
          <w:sz w:val="20"/>
          <w:szCs w:val="20"/>
        </w:rPr>
      </w:pPr>
      <w:r>
        <w:rPr>
          <w:sz w:val="20"/>
          <w:szCs w:val="20"/>
        </w:rPr>
        <w:t>People Seeking Asylum</w:t>
      </w:r>
      <w:r w:rsidR="00B70A36">
        <w:rPr>
          <w:sz w:val="20"/>
          <w:szCs w:val="20"/>
        </w:rPr>
        <w:tab/>
        <w:t>15</w:t>
      </w:r>
    </w:p>
    <w:p w14:paraId="3B4F47FE" w14:textId="29C68121" w:rsidR="00B70A36" w:rsidRPr="0077480E" w:rsidRDefault="00B70A36" w:rsidP="00B70A36">
      <w:pPr>
        <w:tabs>
          <w:tab w:val="right" w:leader="dot" w:pos="8505"/>
        </w:tabs>
        <w:spacing w:before="60" w:after="0" w:line="240" w:lineRule="auto"/>
        <w:rPr>
          <w:sz w:val="20"/>
          <w:szCs w:val="20"/>
        </w:rPr>
      </w:pPr>
      <w:r w:rsidRPr="0077480E">
        <w:rPr>
          <w:sz w:val="20"/>
          <w:szCs w:val="20"/>
        </w:rPr>
        <w:t>Languages</w:t>
      </w:r>
      <w:r>
        <w:rPr>
          <w:sz w:val="20"/>
          <w:szCs w:val="20"/>
        </w:rPr>
        <w:tab/>
        <w:t>1</w:t>
      </w:r>
      <w:r w:rsidR="002D3B84">
        <w:rPr>
          <w:sz w:val="20"/>
          <w:szCs w:val="20"/>
        </w:rPr>
        <w:t>9</w:t>
      </w:r>
    </w:p>
    <w:p w14:paraId="6B89A30D" w14:textId="209B2B03" w:rsidR="00B70A36" w:rsidRPr="0077480E" w:rsidRDefault="00B70A36" w:rsidP="00B70A36">
      <w:pPr>
        <w:tabs>
          <w:tab w:val="right" w:leader="dot" w:pos="8505"/>
        </w:tabs>
        <w:spacing w:before="60" w:after="0" w:line="240" w:lineRule="auto"/>
        <w:rPr>
          <w:sz w:val="20"/>
          <w:szCs w:val="20"/>
        </w:rPr>
      </w:pPr>
      <w:r w:rsidRPr="0077480E">
        <w:rPr>
          <w:sz w:val="20"/>
          <w:szCs w:val="20"/>
        </w:rPr>
        <w:t>Religion</w:t>
      </w:r>
      <w:r>
        <w:rPr>
          <w:sz w:val="20"/>
          <w:szCs w:val="20"/>
        </w:rPr>
        <w:tab/>
      </w:r>
      <w:r w:rsidR="002D3B84">
        <w:rPr>
          <w:sz w:val="20"/>
          <w:szCs w:val="20"/>
        </w:rPr>
        <w:t>21</w:t>
      </w:r>
    </w:p>
    <w:p w14:paraId="1A412A61" w14:textId="1FC8015C" w:rsidR="00B70A36" w:rsidRPr="0077480E" w:rsidRDefault="00B70A36" w:rsidP="00B70A36">
      <w:pPr>
        <w:tabs>
          <w:tab w:val="right" w:leader="dot" w:pos="8505"/>
        </w:tabs>
        <w:spacing w:before="60" w:after="0" w:line="240" w:lineRule="auto"/>
        <w:rPr>
          <w:sz w:val="20"/>
          <w:szCs w:val="20"/>
        </w:rPr>
      </w:pPr>
      <w:r w:rsidRPr="0077480E">
        <w:rPr>
          <w:sz w:val="20"/>
          <w:szCs w:val="20"/>
        </w:rPr>
        <w:t>Indigenous Residents</w:t>
      </w:r>
      <w:r>
        <w:rPr>
          <w:sz w:val="20"/>
          <w:szCs w:val="20"/>
        </w:rPr>
        <w:tab/>
        <w:t>2</w:t>
      </w:r>
      <w:r w:rsidR="002D3B84">
        <w:rPr>
          <w:sz w:val="20"/>
          <w:szCs w:val="20"/>
        </w:rPr>
        <w:t>4</w:t>
      </w:r>
    </w:p>
    <w:p w14:paraId="51037A11" w14:textId="3FD38904" w:rsidR="00B70A36" w:rsidRPr="0077480E" w:rsidRDefault="00B70A36" w:rsidP="00B70A36">
      <w:pPr>
        <w:tabs>
          <w:tab w:val="right" w:leader="dot" w:pos="8505"/>
        </w:tabs>
        <w:spacing w:before="60" w:after="0" w:line="240" w:lineRule="auto"/>
        <w:rPr>
          <w:sz w:val="20"/>
          <w:szCs w:val="20"/>
        </w:rPr>
      </w:pPr>
      <w:r w:rsidRPr="0077480E">
        <w:rPr>
          <w:sz w:val="20"/>
          <w:szCs w:val="20"/>
        </w:rPr>
        <w:t>LGBTI Communities</w:t>
      </w:r>
      <w:r>
        <w:rPr>
          <w:sz w:val="20"/>
          <w:szCs w:val="20"/>
        </w:rPr>
        <w:tab/>
        <w:t>2</w:t>
      </w:r>
      <w:r w:rsidR="002D3B84">
        <w:rPr>
          <w:sz w:val="20"/>
          <w:szCs w:val="20"/>
        </w:rPr>
        <w:t>7</w:t>
      </w:r>
    </w:p>
    <w:p w14:paraId="0D6ECC2D" w14:textId="77777777" w:rsidR="00B70A36" w:rsidRPr="0077480E" w:rsidRDefault="00B70A36" w:rsidP="00B70A36">
      <w:pPr>
        <w:tabs>
          <w:tab w:val="right" w:leader="dot" w:pos="8505"/>
        </w:tabs>
        <w:spacing w:after="0" w:line="240" w:lineRule="auto"/>
        <w:rPr>
          <w:sz w:val="12"/>
          <w:szCs w:val="12"/>
        </w:rPr>
      </w:pPr>
    </w:p>
    <w:p w14:paraId="6E9B8055" w14:textId="77777777" w:rsidR="00B70A36" w:rsidRPr="00094172" w:rsidRDefault="00B70A36" w:rsidP="00B70A36">
      <w:pPr>
        <w:tabs>
          <w:tab w:val="right" w:leader="dot" w:pos="8505"/>
        </w:tabs>
        <w:spacing w:before="60" w:after="0" w:line="240" w:lineRule="auto"/>
        <w:rPr>
          <w:b/>
          <w:bCs/>
          <w:color w:val="2F5496" w:themeColor="accent1" w:themeShade="BF"/>
          <w:sz w:val="20"/>
          <w:szCs w:val="20"/>
        </w:rPr>
      </w:pPr>
      <w:r w:rsidRPr="00094172">
        <w:rPr>
          <w:b/>
          <w:bCs/>
          <w:color w:val="2F5496" w:themeColor="accent1" w:themeShade="BF"/>
          <w:sz w:val="20"/>
          <w:szCs w:val="20"/>
        </w:rPr>
        <w:t>EDUCATION, WORK AND MATERIAL CONDITIONS</w:t>
      </w:r>
    </w:p>
    <w:p w14:paraId="5E97409A" w14:textId="706A8E58" w:rsidR="00B70A36" w:rsidRPr="0077480E" w:rsidRDefault="00B70A36" w:rsidP="00B70A36">
      <w:pPr>
        <w:tabs>
          <w:tab w:val="right" w:leader="dot" w:pos="8505"/>
        </w:tabs>
        <w:spacing w:before="60" w:after="0" w:line="240" w:lineRule="auto"/>
        <w:rPr>
          <w:sz w:val="20"/>
          <w:szCs w:val="20"/>
        </w:rPr>
      </w:pPr>
      <w:r w:rsidRPr="0077480E">
        <w:rPr>
          <w:sz w:val="20"/>
          <w:szCs w:val="20"/>
        </w:rPr>
        <w:t>Education</w:t>
      </w:r>
      <w:r>
        <w:rPr>
          <w:sz w:val="20"/>
          <w:szCs w:val="20"/>
        </w:rPr>
        <w:tab/>
        <w:t>3</w:t>
      </w:r>
      <w:r w:rsidR="002D3B84">
        <w:rPr>
          <w:sz w:val="20"/>
          <w:szCs w:val="20"/>
        </w:rPr>
        <w:t>1</w:t>
      </w:r>
    </w:p>
    <w:p w14:paraId="7D4A33F6" w14:textId="2399388E" w:rsidR="00B70A36" w:rsidRPr="0077480E" w:rsidRDefault="00B70A36" w:rsidP="00B70A36">
      <w:pPr>
        <w:tabs>
          <w:tab w:val="right" w:leader="dot" w:pos="8505"/>
        </w:tabs>
        <w:spacing w:before="60" w:after="0" w:line="240" w:lineRule="auto"/>
        <w:rPr>
          <w:sz w:val="20"/>
          <w:szCs w:val="20"/>
        </w:rPr>
      </w:pPr>
      <w:r w:rsidRPr="0077480E">
        <w:rPr>
          <w:sz w:val="20"/>
          <w:szCs w:val="20"/>
        </w:rPr>
        <w:t>Employment</w:t>
      </w:r>
      <w:r>
        <w:rPr>
          <w:sz w:val="20"/>
          <w:szCs w:val="20"/>
        </w:rPr>
        <w:tab/>
        <w:t>3</w:t>
      </w:r>
      <w:r w:rsidR="002D3B84">
        <w:rPr>
          <w:sz w:val="20"/>
          <w:szCs w:val="20"/>
        </w:rPr>
        <w:t>7</w:t>
      </w:r>
    </w:p>
    <w:p w14:paraId="22B86279" w14:textId="5E031F51" w:rsidR="00B70A36" w:rsidRPr="0077480E" w:rsidRDefault="00B70A36" w:rsidP="00B70A36">
      <w:pPr>
        <w:tabs>
          <w:tab w:val="right" w:leader="dot" w:pos="8505"/>
        </w:tabs>
        <w:spacing w:before="60" w:after="0" w:line="240" w:lineRule="auto"/>
        <w:rPr>
          <w:sz w:val="20"/>
          <w:szCs w:val="20"/>
        </w:rPr>
      </w:pPr>
      <w:r w:rsidRPr="0077480E">
        <w:rPr>
          <w:sz w:val="20"/>
          <w:szCs w:val="20"/>
        </w:rPr>
        <w:t>Business</w:t>
      </w:r>
      <w:r>
        <w:rPr>
          <w:sz w:val="20"/>
          <w:szCs w:val="20"/>
        </w:rPr>
        <w:tab/>
        <w:t>4</w:t>
      </w:r>
      <w:r w:rsidR="002D3B84">
        <w:rPr>
          <w:sz w:val="20"/>
          <w:szCs w:val="20"/>
        </w:rPr>
        <w:t>1</w:t>
      </w:r>
    </w:p>
    <w:p w14:paraId="16A68A69" w14:textId="68A1DBC7" w:rsidR="00B70A36" w:rsidRPr="0077480E" w:rsidRDefault="00B70A36" w:rsidP="00B70A36">
      <w:pPr>
        <w:tabs>
          <w:tab w:val="right" w:leader="dot" w:pos="8505"/>
        </w:tabs>
        <w:spacing w:before="60" w:after="0" w:line="240" w:lineRule="auto"/>
        <w:rPr>
          <w:sz w:val="20"/>
          <w:szCs w:val="20"/>
        </w:rPr>
      </w:pPr>
      <w:r w:rsidRPr="0077480E">
        <w:rPr>
          <w:sz w:val="20"/>
          <w:szCs w:val="20"/>
        </w:rPr>
        <w:t>Incomes</w:t>
      </w:r>
      <w:r>
        <w:rPr>
          <w:sz w:val="20"/>
          <w:szCs w:val="20"/>
        </w:rPr>
        <w:tab/>
        <w:t>4</w:t>
      </w:r>
      <w:r w:rsidR="002D3B84">
        <w:rPr>
          <w:sz w:val="20"/>
          <w:szCs w:val="20"/>
        </w:rPr>
        <w:t>2</w:t>
      </w:r>
    </w:p>
    <w:p w14:paraId="0E189871" w14:textId="5CCC9745" w:rsidR="00B70A36" w:rsidRPr="0077480E" w:rsidRDefault="00B70A36" w:rsidP="00B70A36">
      <w:pPr>
        <w:tabs>
          <w:tab w:val="right" w:leader="dot" w:pos="8505"/>
        </w:tabs>
        <w:spacing w:before="60" w:after="0" w:line="240" w:lineRule="auto"/>
        <w:rPr>
          <w:sz w:val="20"/>
          <w:szCs w:val="20"/>
        </w:rPr>
      </w:pPr>
      <w:r w:rsidRPr="0077480E">
        <w:rPr>
          <w:sz w:val="20"/>
          <w:szCs w:val="20"/>
        </w:rPr>
        <w:t>Gamblin</w:t>
      </w:r>
      <w:r>
        <w:rPr>
          <w:sz w:val="20"/>
          <w:szCs w:val="20"/>
        </w:rPr>
        <w:t>g</w:t>
      </w:r>
      <w:r>
        <w:rPr>
          <w:sz w:val="20"/>
          <w:szCs w:val="20"/>
        </w:rPr>
        <w:tab/>
        <w:t>4</w:t>
      </w:r>
      <w:r w:rsidR="002D3B84">
        <w:rPr>
          <w:sz w:val="20"/>
          <w:szCs w:val="20"/>
        </w:rPr>
        <w:t>5</w:t>
      </w:r>
    </w:p>
    <w:p w14:paraId="609CE6AA" w14:textId="59CB23FA" w:rsidR="00B70A36" w:rsidRPr="0077480E" w:rsidRDefault="00B70A36" w:rsidP="00B70A36">
      <w:pPr>
        <w:tabs>
          <w:tab w:val="right" w:leader="dot" w:pos="8505"/>
        </w:tabs>
        <w:spacing w:before="60" w:after="0" w:line="240" w:lineRule="auto"/>
        <w:rPr>
          <w:sz w:val="20"/>
          <w:szCs w:val="20"/>
        </w:rPr>
      </w:pPr>
      <w:r w:rsidRPr="0077480E">
        <w:rPr>
          <w:sz w:val="20"/>
          <w:szCs w:val="20"/>
        </w:rPr>
        <w:t>Housing</w:t>
      </w:r>
      <w:r>
        <w:rPr>
          <w:sz w:val="20"/>
          <w:szCs w:val="20"/>
        </w:rPr>
        <w:tab/>
        <w:t>4</w:t>
      </w:r>
      <w:r w:rsidR="002D3B84">
        <w:rPr>
          <w:sz w:val="20"/>
          <w:szCs w:val="20"/>
        </w:rPr>
        <w:t>7</w:t>
      </w:r>
    </w:p>
    <w:p w14:paraId="7E49E9C3" w14:textId="4C62E210" w:rsidR="00B70A36" w:rsidRPr="0077480E" w:rsidRDefault="00B70A36" w:rsidP="00B70A36">
      <w:pPr>
        <w:tabs>
          <w:tab w:val="right" w:leader="dot" w:pos="8505"/>
        </w:tabs>
        <w:spacing w:before="60" w:after="0" w:line="240" w:lineRule="auto"/>
        <w:rPr>
          <w:sz w:val="20"/>
          <w:szCs w:val="20"/>
        </w:rPr>
      </w:pPr>
      <w:r w:rsidRPr="0077480E">
        <w:rPr>
          <w:sz w:val="20"/>
          <w:szCs w:val="20"/>
        </w:rPr>
        <w:t>Transport</w:t>
      </w:r>
      <w:r>
        <w:rPr>
          <w:sz w:val="20"/>
          <w:szCs w:val="20"/>
        </w:rPr>
        <w:tab/>
        <w:t>5</w:t>
      </w:r>
      <w:r w:rsidR="002D3B84">
        <w:rPr>
          <w:sz w:val="20"/>
          <w:szCs w:val="20"/>
        </w:rPr>
        <w:t>2</w:t>
      </w:r>
    </w:p>
    <w:p w14:paraId="7499CE28" w14:textId="590B41B7" w:rsidR="00B70A36" w:rsidRPr="0077480E" w:rsidRDefault="00204637" w:rsidP="00B70A36">
      <w:pPr>
        <w:tabs>
          <w:tab w:val="right" w:leader="dot" w:pos="8505"/>
        </w:tabs>
        <w:spacing w:before="60" w:after="0" w:line="240" w:lineRule="auto"/>
        <w:rPr>
          <w:sz w:val="20"/>
          <w:szCs w:val="20"/>
        </w:rPr>
      </w:pPr>
      <w:r>
        <w:rPr>
          <w:sz w:val="20"/>
          <w:szCs w:val="20"/>
        </w:rPr>
        <w:t xml:space="preserve">Socioeconomic </w:t>
      </w:r>
      <w:r w:rsidR="00B70A36" w:rsidRPr="0077480E">
        <w:rPr>
          <w:sz w:val="20"/>
          <w:szCs w:val="20"/>
        </w:rPr>
        <w:t>Disadvantage</w:t>
      </w:r>
      <w:r w:rsidR="00B70A36">
        <w:rPr>
          <w:sz w:val="20"/>
          <w:szCs w:val="20"/>
        </w:rPr>
        <w:tab/>
        <w:t>5</w:t>
      </w:r>
      <w:r w:rsidR="002D3B84">
        <w:rPr>
          <w:sz w:val="20"/>
          <w:szCs w:val="20"/>
        </w:rPr>
        <w:t>4</w:t>
      </w:r>
    </w:p>
    <w:p w14:paraId="4B86B929" w14:textId="77777777" w:rsidR="00B70A36" w:rsidRPr="0077480E" w:rsidRDefault="00B70A36" w:rsidP="00B70A36">
      <w:pPr>
        <w:tabs>
          <w:tab w:val="right" w:leader="dot" w:pos="8505"/>
        </w:tabs>
        <w:spacing w:after="0" w:line="240" w:lineRule="auto"/>
        <w:rPr>
          <w:sz w:val="12"/>
          <w:szCs w:val="12"/>
        </w:rPr>
      </w:pPr>
    </w:p>
    <w:p w14:paraId="0A7A31A4" w14:textId="77777777" w:rsidR="00B70A36" w:rsidRPr="00094172" w:rsidRDefault="00B70A36" w:rsidP="00B70A36">
      <w:pPr>
        <w:tabs>
          <w:tab w:val="right" w:leader="dot" w:pos="8505"/>
        </w:tabs>
        <w:spacing w:before="60" w:after="0" w:line="240" w:lineRule="auto"/>
        <w:rPr>
          <w:b/>
          <w:bCs/>
          <w:color w:val="2F5496" w:themeColor="accent1" w:themeShade="BF"/>
          <w:sz w:val="20"/>
          <w:szCs w:val="20"/>
        </w:rPr>
      </w:pPr>
      <w:r w:rsidRPr="00094172">
        <w:rPr>
          <w:b/>
          <w:bCs/>
          <w:color w:val="2F5496" w:themeColor="accent1" w:themeShade="BF"/>
          <w:sz w:val="20"/>
          <w:szCs w:val="20"/>
        </w:rPr>
        <w:t>SOCIAL CONDITIONS</w:t>
      </w:r>
    </w:p>
    <w:p w14:paraId="0CCF0898" w14:textId="47079062" w:rsidR="00B70A36" w:rsidRPr="0077480E" w:rsidRDefault="00B70A36" w:rsidP="00B70A36">
      <w:pPr>
        <w:tabs>
          <w:tab w:val="right" w:leader="dot" w:pos="8505"/>
        </w:tabs>
        <w:spacing w:before="60" w:after="0" w:line="240" w:lineRule="auto"/>
        <w:rPr>
          <w:sz w:val="20"/>
          <w:szCs w:val="20"/>
        </w:rPr>
      </w:pPr>
      <w:r w:rsidRPr="0077480E">
        <w:rPr>
          <w:sz w:val="20"/>
          <w:szCs w:val="20"/>
        </w:rPr>
        <w:t>Social Inclusion</w:t>
      </w:r>
      <w:r>
        <w:rPr>
          <w:sz w:val="20"/>
          <w:szCs w:val="20"/>
        </w:rPr>
        <w:tab/>
      </w:r>
      <w:r w:rsidR="002D3B84">
        <w:rPr>
          <w:sz w:val="20"/>
          <w:szCs w:val="20"/>
        </w:rPr>
        <w:t>59</w:t>
      </w:r>
    </w:p>
    <w:p w14:paraId="7D89628B" w14:textId="57AB7394" w:rsidR="00B70A36" w:rsidRPr="0077480E" w:rsidRDefault="00B70A36" w:rsidP="00B70A36">
      <w:pPr>
        <w:tabs>
          <w:tab w:val="right" w:leader="dot" w:pos="8505"/>
        </w:tabs>
        <w:spacing w:before="60" w:after="0" w:line="240" w:lineRule="auto"/>
        <w:rPr>
          <w:sz w:val="20"/>
          <w:szCs w:val="20"/>
        </w:rPr>
      </w:pPr>
      <w:r w:rsidRPr="0077480E">
        <w:rPr>
          <w:sz w:val="20"/>
          <w:szCs w:val="20"/>
        </w:rPr>
        <w:t>Volunteering</w:t>
      </w:r>
      <w:r>
        <w:rPr>
          <w:sz w:val="20"/>
          <w:szCs w:val="20"/>
        </w:rPr>
        <w:tab/>
        <w:t>6</w:t>
      </w:r>
      <w:r w:rsidR="002D3B84">
        <w:rPr>
          <w:sz w:val="20"/>
          <w:szCs w:val="20"/>
        </w:rPr>
        <w:t>2</w:t>
      </w:r>
    </w:p>
    <w:p w14:paraId="1A965899" w14:textId="64097856" w:rsidR="00B70A36" w:rsidRPr="0077480E" w:rsidRDefault="00B70A36" w:rsidP="00B70A36">
      <w:pPr>
        <w:tabs>
          <w:tab w:val="right" w:leader="dot" w:pos="8505"/>
        </w:tabs>
        <w:spacing w:before="60" w:after="0" w:line="240" w:lineRule="auto"/>
        <w:rPr>
          <w:sz w:val="20"/>
          <w:szCs w:val="20"/>
        </w:rPr>
      </w:pPr>
      <w:r w:rsidRPr="0077480E">
        <w:rPr>
          <w:sz w:val="20"/>
          <w:szCs w:val="20"/>
        </w:rPr>
        <w:t>Arts and Culture</w:t>
      </w:r>
      <w:r>
        <w:rPr>
          <w:sz w:val="20"/>
          <w:szCs w:val="20"/>
        </w:rPr>
        <w:tab/>
        <w:t>6</w:t>
      </w:r>
      <w:r w:rsidR="002D3B84">
        <w:rPr>
          <w:sz w:val="20"/>
          <w:szCs w:val="20"/>
        </w:rPr>
        <w:t>3</w:t>
      </w:r>
    </w:p>
    <w:p w14:paraId="14D1A0DA" w14:textId="58C93DEB" w:rsidR="00B70A36" w:rsidRPr="0077480E" w:rsidRDefault="00B70A36" w:rsidP="00B70A36">
      <w:pPr>
        <w:tabs>
          <w:tab w:val="right" w:leader="dot" w:pos="8505"/>
        </w:tabs>
        <w:spacing w:before="60" w:after="0" w:line="240" w:lineRule="auto"/>
        <w:rPr>
          <w:sz w:val="20"/>
          <w:szCs w:val="20"/>
        </w:rPr>
      </w:pPr>
      <w:r w:rsidRPr="0077480E">
        <w:rPr>
          <w:sz w:val="20"/>
          <w:szCs w:val="20"/>
        </w:rPr>
        <w:t>Gender Equity</w:t>
      </w:r>
      <w:r>
        <w:rPr>
          <w:sz w:val="20"/>
          <w:szCs w:val="20"/>
        </w:rPr>
        <w:tab/>
        <w:t>6</w:t>
      </w:r>
      <w:r w:rsidR="002D3B84">
        <w:rPr>
          <w:sz w:val="20"/>
          <w:szCs w:val="20"/>
        </w:rPr>
        <w:t>5</w:t>
      </w:r>
    </w:p>
    <w:p w14:paraId="491498AC" w14:textId="6988365F" w:rsidR="00B70A36" w:rsidRPr="0077480E" w:rsidRDefault="00B70A36" w:rsidP="00B70A36">
      <w:pPr>
        <w:tabs>
          <w:tab w:val="right" w:leader="dot" w:pos="8505"/>
        </w:tabs>
        <w:spacing w:before="60" w:after="0" w:line="240" w:lineRule="auto"/>
        <w:rPr>
          <w:sz w:val="20"/>
          <w:szCs w:val="20"/>
        </w:rPr>
      </w:pPr>
      <w:r w:rsidRPr="0077480E">
        <w:rPr>
          <w:sz w:val="20"/>
          <w:szCs w:val="20"/>
        </w:rPr>
        <w:t>Family Violence</w:t>
      </w:r>
      <w:r>
        <w:rPr>
          <w:sz w:val="20"/>
          <w:szCs w:val="20"/>
        </w:rPr>
        <w:tab/>
        <w:t>7</w:t>
      </w:r>
      <w:r w:rsidR="002D3B84">
        <w:rPr>
          <w:sz w:val="20"/>
          <w:szCs w:val="20"/>
        </w:rPr>
        <w:t>2</w:t>
      </w:r>
    </w:p>
    <w:p w14:paraId="3631D148" w14:textId="343B765C" w:rsidR="00B70A36" w:rsidRPr="0077480E" w:rsidRDefault="00B70A36" w:rsidP="00B70A36">
      <w:pPr>
        <w:tabs>
          <w:tab w:val="right" w:leader="dot" w:pos="8505"/>
        </w:tabs>
        <w:spacing w:before="60" w:after="0" w:line="240" w:lineRule="auto"/>
        <w:rPr>
          <w:sz w:val="20"/>
          <w:szCs w:val="20"/>
        </w:rPr>
      </w:pPr>
      <w:r w:rsidRPr="0077480E">
        <w:rPr>
          <w:sz w:val="20"/>
          <w:szCs w:val="20"/>
        </w:rPr>
        <w:t>Crime</w:t>
      </w:r>
      <w:r>
        <w:rPr>
          <w:sz w:val="20"/>
          <w:szCs w:val="20"/>
        </w:rPr>
        <w:tab/>
        <w:t>7</w:t>
      </w:r>
      <w:r w:rsidR="002D3B84">
        <w:rPr>
          <w:sz w:val="20"/>
          <w:szCs w:val="20"/>
        </w:rPr>
        <w:t>5</w:t>
      </w:r>
    </w:p>
    <w:p w14:paraId="303685FB" w14:textId="77777777" w:rsidR="00B70A36" w:rsidRPr="0077480E" w:rsidRDefault="00B70A36" w:rsidP="00B70A36">
      <w:pPr>
        <w:tabs>
          <w:tab w:val="right" w:leader="dot" w:pos="8505"/>
        </w:tabs>
        <w:spacing w:after="0" w:line="240" w:lineRule="auto"/>
        <w:rPr>
          <w:sz w:val="12"/>
          <w:szCs w:val="12"/>
        </w:rPr>
      </w:pPr>
    </w:p>
    <w:p w14:paraId="36BECB52" w14:textId="77777777" w:rsidR="00B70A36" w:rsidRPr="00094172" w:rsidRDefault="00B70A36" w:rsidP="00B70A36">
      <w:pPr>
        <w:tabs>
          <w:tab w:val="right" w:leader="dot" w:pos="8505"/>
        </w:tabs>
        <w:spacing w:before="60" w:after="0" w:line="240" w:lineRule="auto"/>
        <w:rPr>
          <w:b/>
          <w:bCs/>
          <w:color w:val="2F5496" w:themeColor="accent1" w:themeShade="BF"/>
          <w:sz w:val="20"/>
          <w:szCs w:val="20"/>
        </w:rPr>
      </w:pPr>
      <w:r w:rsidRPr="00094172">
        <w:rPr>
          <w:b/>
          <w:bCs/>
          <w:color w:val="2F5496" w:themeColor="accent1" w:themeShade="BF"/>
          <w:sz w:val="20"/>
          <w:szCs w:val="20"/>
        </w:rPr>
        <w:t>HEALTH</w:t>
      </w:r>
    </w:p>
    <w:p w14:paraId="508ADA29" w14:textId="5B986F71" w:rsidR="00B70A36" w:rsidRPr="0077480E" w:rsidRDefault="00B70A36" w:rsidP="00B70A36">
      <w:pPr>
        <w:tabs>
          <w:tab w:val="right" w:leader="dot" w:pos="8505"/>
        </w:tabs>
        <w:spacing w:before="60" w:after="0" w:line="240" w:lineRule="auto"/>
        <w:rPr>
          <w:sz w:val="20"/>
          <w:szCs w:val="20"/>
        </w:rPr>
      </w:pPr>
      <w:r w:rsidRPr="0077480E">
        <w:rPr>
          <w:sz w:val="20"/>
          <w:szCs w:val="20"/>
        </w:rPr>
        <w:t>Physical Health</w:t>
      </w:r>
      <w:r>
        <w:rPr>
          <w:sz w:val="20"/>
          <w:szCs w:val="20"/>
        </w:rPr>
        <w:tab/>
        <w:t>7</w:t>
      </w:r>
      <w:r w:rsidR="002D3B84">
        <w:rPr>
          <w:sz w:val="20"/>
          <w:szCs w:val="20"/>
        </w:rPr>
        <w:t>8</w:t>
      </w:r>
    </w:p>
    <w:p w14:paraId="79E03AC5" w14:textId="4CAFED25" w:rsidR="00B70A36" w:rsidRPr="0077480E" w:rsidRDefault="00B70A36" w:rsidP="00B70A36">
      <w:pPr>
        <w:tabs>
          <w:tab w:val="right" w:leader="dot" w:pos="8505"/>
        </w:tabs>
        <w:spacing w:before="60" w:after="0" w:line="240" w:lineRule="auto"/>
        <w:rPr>
          <w:sz w:val="20"/>
          <w:szCs w:val="20"/>
        </w:rPr>
      </w:pPr>
      <w:r w:rsidRPr="0077480E">
        <w:rPr>
          <w:sz w:val="20"/>
          <w:szCs w:val="20"/>
        </w:rPr>
        <w:t xml:space="preserve">Sport and </w:t>
      </w:r>
      <w:r>
        <w:rPr>
          <w:sz w:val="20"/>
          <w:szCs w:val="20"/>
        </w:rPr>
        <w:t>R</w:t>
      </w:r>
      <w:r w:rsidRPr="0077480E">
        <w:rPr>
          <w:sz w:val="20"/>
          <w:szCs w:val="20"/>
        </w:rPr>
        <w:t>ecreation</w:t>
      </w:r>
      <w:r>
        <w:rPr>
          <w:sz w:val="20"/>
          <w:szCs w:val="20"/>
        </w:rPr>
        <w:tab/>
        <w:t>8</w:t>
      </w:r>
      <w:r w:rsidR="009C24D6">
        <w:rPr>
          <w:sz w:val="20"/>
          <w:szCs w:val="20"/>
        </w:rPr>
        <w:t>2</w:t>
      </w:r>
    </w:p>
    <w:p w14:paraId="2A3B9CA4" w14:textId="159DE037" w:rsidR="00B70A36" w:rsidRPr="0077480E" w:rsidRDefault="00B70A36" w:rsidP="00B70A36">
      <w:pPr>
        <w:tabs>
          <w:tab w:val="right" w:leader="dot" w:pos="8505"/>
        </w:tabs>
        <w:spacing w:before="60" w:after="0" w:line="240" w:lineRule="auto"/>
        <w:rPr>
          <w:sz w:val="20"/>
          <w:szCs w:val="20"/>
        </w:rPr>
      </w:pPr>
      <w:r w:rsidRPr="0077480E">
        <w:rPr>
          <w:sz w:val="20"/>
          <w:szCs w:val="20"/>
        </w:rPr>
        <w:t>Mortality</w:t>
      </w:r>
      <w:r>
        <w:rPr>
          <w:sz w:val="20"/>
          <w:szCs w:val="20"/>
        </w:rPr>
        <w:tab/>
      </w:r>
      <w:r w:rsidR="002D3B84">
        <w:rPr>
          <w:sz w:val="20"/>
          <w:szCs w:val="20"/>
        </w:rPr>
        <w:t>8</w:t>
      </w:r>
      <w:r w:rsidR="009C24D6">
        <w:rPr>
          <w:sz w:val="20"/>
          <w:szCs w:val="20"/>
        </w:rPr>
        <w:t>9</w:t>
      </w:r>
    </w:p>
    <w:p w14:paraId="4BF509D5" w14:textId="21949CBE" w:rsidR="00B70A36" w:rsidRPr="0077480E" w:rsidRDefault="00B70A36" w:rsidP="00B70A36">
      <w:pPr>
        <w:tabs>
          <w:tab w:val="right" w:leader="dot" w:pos="8505"/>
        </w:tabs>
        <w:spacing w:before="60" w:after="0" w:line="240" w:lineRule="auto"/>
        <w:rPr>
          <w:sz w:val="20"/>
          <w:szCs w:val="20"/>
        </w:rPr>
      </w:pPr>
      <w:r w:rsidRPr="0077480E">
        <w:rPr>
          <w:sz w:val="20"/>
          <w:szCs w:val="20"/>
        </w:rPr>
        <w:t>Disability</w:t>
      </w:r>
      <w:r>
        <w:rPr>
          <w:sz w:val="20"/>
          <w:szCs w:val="20"/>
        </w:rPr>
        <w:tab/>
        <w:t>9</w:t>
      </w:r>
      <w:r w:rsidR="002D3B84">
        <w:rPr>
          <w:sz w:val="20"/>
          <w:szCs w:val="20"/>
        </w:rPr>
        <w:t>2</w:t>
      </w:r>
    </w:p>
    <w:p w14:paraId="12870A72" w14:textId="1165B66C" w:rsidR="00B70A36" w:rsidRPr="0077480E" w:rsidRDefault="00B70A36" w:rsidP="00B70A36">
      <w:pPr>
        <w:tabs>
          <w:tab w:val="right" w:leader="dot" w:pos="8505"/>
        </w:tabs>
        <w:spacing w:before="60" w:after="0" w:line="240" w:lineRule="auto"/>
        <w:rPr>
          <w:sz w:val="20"/>
          <w:szCs w:val="20"/>
        </w:rPr>
      </w:pPr>
      <w:r w:rsidRPr="0077480E">
        <w:rPr>
          <w:sz w:val="20"/>
          <w:szCs w:val="20"/>
        </w:rPr>
        <w:t>Nutrition</w:t>
      </w:r>
      <w:r>
        <w:rPr>
          <w:sz w:val="20"/>
          <w:szCs w:val="20"/>
        </w:rPr>
        <w:tab/>
        <w:t>9</w:t>
      </w:r>
      <w:r w:rsidR="002D3B84">
        <w:rPr>
          <w:sz w:val="20"/>
          <w:szCs w:val="20"/>
        </w:rPr>
        <w:t>5</w:t>
      </w:r>
    </w:p>
    <w:p w14:paraId="61A877A0" w14:textId="48243B06" w:rsidR="00B70A36" w:rsidRPr="0077480E" w:rsidRDefault="00B70A36" w:rsidP="00B70A36">
      <w:pPr>
        <w:tabs>
          <w:tab w:val="right" w:leader="dot" w:pos="8505"/>
        </w:tabs>
        <w:spacing w:before="60" w:after="0" w:line="240" w:lineRule="auto"/>
        <w:rPr>
          <w:sz w:val="20"/>
          <w:szCs w:val="20"/>
        </w:rPr>
      </w:pPr>
      <w:r w:rsidRPr="0077480E">
        <w:rPr>
          <w:sz w:val="20"/>
          <w:szCs w:val="20"/>
        </w:rPr>
        <w:t>Obesity</w:t>
      </w:r>
      <w:r>
        <w:rPr>
          <w:sz w:val="20"/>
          <w:szCs w:val="20"/>
        </w:rPr>
        <w:tab/>
        <w:t>9</w:t>
      </w:r>
      <w:r w:rsidR="002D3B84">
        <w:rPr>
          <w:sz w:val="20"/>
          <w:szCs w:val="20"/>
        </w:rPr>
        <w:t>8</w:t>
      </w:r>
    </w:p>
    <w:p w14:paraId="17022884" w14:textId="7EFD150E" w:rsidR="00B70A36" w:rsidRPr="0077480E" w:rsidRDefault="00B70A36" w:rsidP="00B70A36">
      <w:pPr>
        <w:tabs>
          <w:tab w:val="right" w:leader="dot" w:pos="8505"/>
        </w:tabs>
        <w:spacing w:before="60" w:after="0" w:line="240" w:lineRule="auto"/>
        <w:rPr>
          <w:sz w:val="20"/>
          <w:szCs w:val="20"/>
        </w:rPr>
      </w:pPr>
      <w:r w:rsidRPr="0077480E">
        <w:rPr>
          <w:sz w:val="20"/>
          <w:szCs w:val="20"/>
        </w:rPr>
        <w:t>Food Security</w:t>
      </w:r>
      <w:r>
        <w:rPr>
          <w:sz w:val="20"/>
          <w:szCs w:val="20"/>
        </w:rPr>
        <w:tab/>
        <w:t>1</w:t>
      </w:r>
      <w:r w:rsidR="002D3B84">
        <w:rPr>
          <w:sz w:val="20"/>
          <w:szCs w:val="20"/>
        </w:rPr>
        <w:t>00</w:t>
      </w:r>
    </w:p>
    <w:p w14:paraId="48D91F4D" w14:textId="65E2363B" w:rsidR="00B70A36" w:rsidRPr="0077480E" w:rsidRDefault="00B70A36" w:rsidP="00B70A36">
      <w:pPr>
        <w:tabs>
          <w:tab w:val="right" w:leader="dot" w:pos="8505"/>
        </w:tabs>
        <w:spacing w:before="60" w:after="0" w:line="240" w:lineRule="auto"/>
        <w:rPr>
          <w:sz w:val="20"/>
          <w:szCs w:val="20"/>
        </w:rPr>
      </w:pPr>
      <w:r w:rsidRPr="0077480E">
        <w:rPr>
          <w:sz w:val="20"/>
          <w:szCs w:val="20"/>
        </w:rPr>
        <w:t>Diabetes</w:t>
      </w:r>
      <w:r>
        <w:rPr>
          <w:sz w:val="20"/>
          <w:szCs w:val="20"/>
        </w:rPr>
        <w:tab/>
        <w:t>10</w:t>
      </w:r>
      <w:r w:rsidR="002D3B84">
        <w:rPr>
          <w:sz w:val="20"/>
          <w:szCs w:val="20"/>
        </w:rPr>
        <w:t>2</w:t>
      </w:r>
    </w:p>
    <w:p w14:paraId="4C92B486" w14:textId="77B2BFD4" w:rsidR="00B70A36" w:rsidRPr="0077480E" w:rsidRDefault="00B70A36" w:rsidP="00B70A36">
      <w:pPr>
        <w:tabs>
          <w:tab w:val="right" w:leader="dot" w:pos="8505"/>
        </w:tabs>
        <w:spacing w:before="60" w:after="0" w:line="240" w:lineRule="auto"/>
        <w:rPr>
          <w:sz w:val="20"/>
          <w:szCs w:val="20"/>
        </w:rPr>
      </w:pPr>
      <w:r w:rsidRPr="0077480E">
        <w:rPr>
          <w:sz w:val="20"/>
          <w:szCs w:val="20"/>
        </w:rPr>
        <w:t>Cancer</w:t>
      </w:r>
      <w:r>
        <w:rPr>
          <w:sz w:val="20"/>
          <w:szCs w:val="20"/>
        </w:rPr>
        <w:tab/>
        <w:t>10</w:t>
      </w:r>
      <w:r w:rsidR="002D3B84">
        <w:rPr>
          <w:sz w:val="20"/>
          <w:szCs w:val="20"/>
        </w:rPr>
        <w:t>4</w:t>
      </w:r>
    </w:p>
    <w:p w14:paraId="33245392" w14:textId="122D9A8C" w:rsidR="00B70A36" w:rsidRPr="0077480E" w:rsidRDefault="00B70A36" w:rsidP="00B70A36">
      <w:pPr>
        <w:tabs>
          <w:tab w:val="right" w:leader="dot" w:pos="8505"/>
        </w:tabs>
        <w:spacing w:before="60" w:after="0" w:line="240" w:lineRule="auto"/>
        <w:rPr>
          <w:sz w:val="20"/>
          <w:szCs w:val="20"/>
        </w:rPr>
      </w:pPr>
      <w:r w:rsidRPr="0077480E">
        <w:rPr>
          <w:sz w:val="20"/>
          <w:szCs w:val="20"/>
        </w:rPr>
        <w:t>Mental Health</w:t>
      </w:r>
      <w:r w:rsidR="00FA33DE">
        <w:rPr>
          <w:sz w:val="20"/>
          <w:szCs w:val="20"/>
        </w:rPr>
        <w:t xml:space="preserve"> and Psychological Wellbeing</w:t>
      </w:r>
      <w:r>
        <w:rPr>
          <w:sz w:val="20"/>
          <w:szCs w:val="20"/>
        </w:rPr>
        <w:tab/>
        <w:t>10</w:t>
      </w:r>
      <w:r w:rsidR="002D3B84">
        <w:rPr>
          <w:sz w:val="20"/>
          <w:szCs w:val="20"/>
        </w:rPr>
        <w:t>6</w:t>
      </w:r>
    </w:p>
    <w:p w14:paraId="13A6C82E" w14:textId="472A9927" w:rsidR="00B70A36" w:rsidRPr="0077480E" w:rsidRDefault="00B70A36" w:rsidP="00B70A36">
      <w:pPr>
        <w:tabs>
          <w:tab w:val="right" w:leader="dot" w:pos="8505"/>
        </w:tabs>
        <w:spacing w:before="60" w:after="0" w:line="240" w:lineRule="auto"/>
        <w:rPr>
          <w:sz w:val="20"/>
          <w:szCs w:val="20"/>
        </w:rPr>
      </w:pPr>
      <w:r w:rsidRPr="0077480E">
        <w:rPr>
          <w:sz w:val="20"/>
          <w:szCs w:val="20"/>
        </w:rPr>
        <w:t>Suicide</w:t>
      </w:r>
      <w:r>
        <w:rPr>
          <w:sz w:val="20"/>
          <w:szCs w:val="20"/>
        </w:rPr>
        <w:tab/>
        <w:t>11</w:t>
      </w:r>
      <w:r w:rsidR="00372B83">
        <w:rPr>
          <w:sz w:val="20"/>
          <w:szCs w:val="20"/>
        </w:rPr>
        <w:t>2</w:t>
      </w:r>
    </w:p>
    <w:p w14:paraId="005A52C6" w14:textId="2FB10029" w:rsidR="00B70A36" w:rsidRPr="0077480E" w:rsidRDefault="00B70A36" w:rsidP="00B70A36">
      <w:pPr>
        <w:tabs>
          <w:tab w:val="right" w:leader="dot" w:pos="8505"/>
        </w:tabs>
        <w:spacing w:before="60" w:after="0" w:line="240" w:lineRule="auto"/>
        <w:rPr>
          <w:sz w:val="20"/>
          <w:szCs w:val="20"/>
        </w:rPr>
      </w:pPr>
      <w:r w:rsidRPr="0077480E">
        <w:rPr>
          <w:sz w:val="20"/>
          <w:szCs w:val="20"/>
        </w:rPr>
        <w:t>Alcohol</w:t>
      </w:r>
      <w:r>
        <w:rPr>
          <w:sz w:val="20"/>
          <w:szCs w:val="20"/>
        </w:rPr>
        <w:tab/>
        <w:t>11</w:t>
      </w:r>
      <w:r w:rsidR="00372B83">
        <w:rPr>
          <w:sz w:val="20"/>
          <w:szCs w:val="20"/>
        </w:rPr>
        <w:t>4</w:t>
      </w:r>
    </w:p>
    <w:p w14:paraId="2426230A" w14:textId="61210AF3" w:rsidR="00B70A36" w:rsidRPr="0077480E" w:rsidRDefault="00B70A36" w:rsidP="00B70A36">
      <w:pPr>
        <w:tabs>
          <w:tab w:val="right" w:leader="dot" w:pos="8505"/>
        </w:tabs>
        <w:spacing w:before="60" w:after="0" w:line="240" w:lineRule="auto"/>
        <w:rPr>
          <w:sz w:val="20"/>
          <w:szCs w:val="20"/>
        </w:rPr>
      </w:pPr>
      <w:r w:rsidRPr="0077480E">
        <w:rPr>
          <w:sz w:val="20"/>
          <w:szCs w:val="20"/>
        </w:rPr>
        <w:t>Illicit Drugs</w:t>
      </w:r>
      <w:r>
        <w:rPr>
          <w:sz w:val="20"/>
          <w:szCs w:val="20"/>
        </w:rPr>
        <w:tab/>
        <w:t>1</w:t>
      </w:r>
      <w:r w:rsidR="002D3B84">
        <w:rPr>
          <w:sz w:val="20"/>
          <w:szCs w:val="20"/>
        </w:rPr>
        <w:t>1</w:t>
      </w:r>
      <w:r w:rsidR="00372B83">
        <w:rPr>
          <w:sz w:val="20"/>
          <w:szCs w:val="20"/>
        </w:rPr>
        <w:t>6</w:t>
      </w:r>
    </w:p>
    <w:p w14:paraId="661AF772" w14:textId="71C37C41" w:rsidR="00B70A36" w:rsidRPr="0077480E" w:rsidRDefault="00B70A36" w:rsidP="00B70A36">
      <w:pPr>
        <w:tabs>
          <w:tab w:val="right" w:leader="dot" w:pos="8505"/>
        </w:tabs>
        <w:spacing w:before="60" w:after="0" w:line="240" w:lineRule="auto"/>
        <w:rPr>
          <w:sz w:val="20"/>
          <w:szCs w:val="20"/>
        </w:rPr>
      </w:pPr>
      <w:r w:rsidRPr="0077480E">
        <w:rPr>
          <w:sz w:val="20"/>
          <w:szCs w:val="20"/>
        </w:rPr>
        <w:t>Smoking</w:t>
      </w:r>
      <w:r>
        <w:rPr>
          <w:sz w:val="20"/>
          <w:szCs w:val="20"/>
        </w:rPr>
        <w:tab/>
        <w:t>1</w:t>
      </w:r>
      <w:r w:rsidR="00372B83">
        <w:rPr>
          <w:sz w:val="20"/>
          <w:szCs w:val="20"/>
        </w:rPr>
        <w:t>20</w:t>
      </w:r>
    </w:p>
    <w:p w14:paraId="3393BD36" w14:textId="797A0035" w:rsidR="00B70A36" w:rsidRPr="0077480E" w:rsidRDefault="00B70A36" w:rsidP="00B70A36">
      <w:pPr>
        <w:tabs>
          <w:tab w:val="right" w:leader="dot" w:pos="8505"/>
        </w:tabs>
        <w:spacing w:before="60" w:after="0" w:line="240" w:lineRule="auto"/>
        <w:rPr>
          <w:sz w:val="20"/>
          <w:szCs w:val="20"/>
        </w:rPr>
      </w:pPr>
      <w:r w:rsidRPr="0077480E">
        <w:rPr>
          <w:sz w:val="20"/>
          <w:szCs w:val="20"/>
        </w:rPr>
        <w:t xml:space="preserve">Climate Change </w:t>
      </w:r>
      <w:r w:rsidRPr="0077480E">
        <w:rPr>
          <w:sz w:val="20"/>
          <w:szCs w:val="20"/>
        </w:rPr>
        <w:tab/>
      </w:r>
      <w:r>
        <w:rPr>
          <w:sz w:val="20"/>
          <w:szCs w:val="20"/>
        </w:rPr>
        <w:t>12</w:t>
      </w:r>
      <w:r w:rsidR="00372B83">
        <w:rPr>
          <w:sz w:val="20"/>
          <w:szCs w:val="20"/>
        </w:rPr>
        <w:t>3</w:t>
      </w:r>
    </w:p>
    <w:p w14:paraId="0DF50C53" w14:textId="77777777" w:rsidR="0033027C" w:rsidRDefault="0033027C" w:rsidP="0033027C">
      <w:r>
        <w:br w:type="page"/>
      </w:r>
    </w:p>
    <w:p w14:paraId="0CE68D58" w14:textId="77777777" w:rsidR="0033027C" w:rsidRDefault="0033027C" w:rsidP="0033027C"/>
    <w:p w14:paraId="03C91D7F" w14:textId="77777777" w:rsidR="0033027C" w:rsidRDefault="0033027C" w:rsidP="0033027C"/>
    <w:p w14:paraId="557D5146" w14:textId="77777777" w:rsidR="0033027C" w:rsidRDefault="0033027C" w:rsidP="0033027C">
      <w:pPr>
        <w:sectPr w:rsidR="0033027C" w:rsidSect="00F04EAA">
          <w:footerReference w:type="default" r:id="rId8"/>
          <w:pgSz w:w="11906" w:h="16838" w:code="9"/>
          <w:pgMar w:top="1134" w:right="1134" w:bottom="1134" w:left="1134" w:header="709" w:footer="709" w:gutter="0"/>
          <w:cols w:space="708"/>
          <w:docGrid w:linePitch="360"/>
        </w:sectPr>
      </w:pPr>
    </w:p>
    <w:p w14:paraId="6A47CFCD" w14:textId="77777777" w:rsidR="00DE023E" w:rsidRPr="00040A79" w:rsidRDefault="00DE023E" w:rsidP="00DE023E">
      <w:pPr>
        <w:pBdr>
          <w:top w:val="single" w:sz="4" w:space="0" w:color="auto"/>
          <w:bottom w:val="single" w:sz="4" w:space="1" w:color="auto"/>
        </w:pBdr>
        <w:tabs>
          <w:tab w:val="center" w:pos="4678"/>
        </w:tabs>
        <w:jc w:val="center"/>
        <w:rPr>
          <w:rFonts w:ascii="Calibri" w:hAnsi="Calibri"/>
          <w:noProof/>
          <w:sz w:val="32"/>
          <w:szCs w:val="32"/>
        </w:rPr>
      </w:pPr>
      <w:r w:rsidRPr="00040A79">
        <w:rPr>
          <w:rFonts w:ascii="Calibri" w:hAnsi="Calibri"/>
          <w:noProof/>
          <w:sz w:val="32"/>
          <w:szCs w:val="32"/>
        </w:rPr>
        <w:lastRenderedPageBreak/>
        <w:t>Population</w:t>
      </w:r>
    </w:p>
    <w:p w14:paraId="6670B0AD" w14:textId="77777777" w:rsidR="00DE023E" w:rsidRPr="000E237B" w:rsidRDefault="00DE023E" w:rsidP="00DE023E">
      <w:pPr>
        <w:ind w:left="4962"/>
        <w:jc w:val="both"/>
        <w:rPr>
          <w:rFonts w:ascii="Calibri" w:hAnsi="Calibri"/>
          <w:color w:val="7F7F7F"/>
          <w:sz w:val="12"/>
          <w:szCs w:val="12"/>
        </w:rPr>
      </w:pPr>
    </w:p>
    <w:p w14:paraId="2FD3AD02" w14:textId="77777777" w:rsidR="00DE023E" w:rsidRPr="009946CF" w:rsidRDefault="00DE023E" w:rsidP="00DE023E">
      <w:pPr>
        <w:tabs>
          <w:tab w:val="left" w:pos="3828"/>
        </w:tabs>
        <w:spacing w:after="120"/>
        <w:rPr>
          <w:rFonts w:ascii="Calibri" w:hAnsi="Calibri"/>
          <w:color w:val="7F7F7F"/>
          <w:sz w:val="20"/>
          <w:szCs w:val="20"/>
        </w:rPr>
      </w:pPr>
      <w:r w:rsidRPr="00CD5A71">
        <w:rPr>
          <w:rFonts w:ascii="Calibri" w:hAnsi="Calibri"/>
          <w:b/>
          <w:bCs/>
        </w:rPr>
        <w:t>Population Trends</w:t>
      </w:r>
      <w:r>
        <w:rPr>
          <w:rFonts w:ascii="Calibri" w:hAnsi="Calibri"/>
          <w:b/>
          <w:bCs/>
        </w:rPr>
        <w:tab/>
      </w:r>
      <w:r>
        <w:rPr>
          <w:rFonts w:ascii="Calibri" w:hAnsi="Calibri"/>
          <w:color w:val="7F7F7F"/>
          <w:sz w:val="20"/>
          <w:szCs w:val="20"/>
        </w:rPr>
        <w:t>Estimated</w:t>
      </w:r>
      <w:r w:rsidRPr="006631A7">
        <w:rPr>
          <w:rFonts w:ascii="Calibri" w:hAnsi="Calibri"/>
          <w:color w:val="7F7F7F"/>
          <w:sz w:val="20"/>
          <w:szCs w:val="20"/>
        </w:rPr>
        <w:t xml:space="preserve"> Population: Greater Dandenong, </w:t>
      </w:r>
      <w:r>
        <w:rPr>
          <w:rFonts w:ascii="Calibri" w:hAnsi="Calibri"/>
          <w:color w:val="7F7F7F"/>
          <w:sz w:val="20"/>
          <w:szCs w:val="20"/>
        </w:rPr>
        <w:t>1996</w:t>
      </w:r>
      <w:r w:rsidRPr="006631A7">
        <w:rPr>
          <w:rFonts w:ascii="Calibri" w:hAnsi="Calibri"/>
          <w:color w:val="7F7F7F"/>
          <w:sz w:val="20"/>
          <w:szCs w:val="20"/>
        </w:rPr>
        <w:t>-20</w:t>
      </w:r>
      <w:r>
        <w:rPr>
          <w:rFonts w:ascii="Calibri" w:hAnsi="Calibri"/>
          <w:color w:val="7F7F7F"/>
          <w:sz w:val="20"/>
          <w:szCs w:val="20"/>
        </w:rPr>
        <w:t>21</w:t>
      </w:r>
    </w:p>
    <w:p w14:paraId="66A0F2C0" w14:textId="77777777" w:rsidR="00DE023E" w:rsidRDefault="00DE023E" w:rsidP="00DE023E">
      <w:pPr>
        <w:spacing w:line="360" w:lineRule="auto"/>
        <w:jc w:val="both"/>
        <w:rPr>
          <w:rFonts w:ascii="Calibri" w:hAnsi="Calibri"/>
        </w:rPr>
      </w:pPr>
      <w:r w:rsidRPr="00CD5A71">
        <w:rPr>
          <w:rFonts w:ascii="Calibri" w:hAnsi="Calibri"/>
          <w:b/>
          <w:bCs/>
          <w:noProof/>
          <w:color w:val="000000" w:themeColor="text1"/>
          <w:lang w:eastAsia="en-AU"/>
        </w:rPr>
        <w:drawing>
          <wp:anchor distT="0" distB="0" distL="114300" distR="114300" simplePos="0" relativeHeight="251661312" behindDoc="0" locked="0" layoutInCell="1" allowOverlap="1" wp14:anchorId="5FA2A12E" wp14:editId="7D0E4C55">
            <wp:simplePos x="0" y="0"/>
            <wp:positionH relativeFrom="column">
              <wp:posOffset>2939098</wp:posOffset>
            </wp:positionH>
            <wp:positionV relativeFrom="paragraph">
              <wp:posOffset>1242695</wp:posOffset>
            </wp:positionV>
            <wp:extent cx="642014" cy="773233"/>
            <wp:effectExtent l="0" t="0" r="5715"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 1.JPG"/>
                    <pic:cNvPicPr/>
                  </pic:nvPicPr>
                  <pic:blipFill rotWithShape="1">
                    <a:blip r:embed="rId9" cstate="print">
                      <a:extLst>
                        <a:ext uri="{28A0092B-C50C-407E-A947-70E740481C1C}">
                          <a14:useLocalDpi xmlns:a14="http://schemas.microsoft.com/office/drawing/2010/main" val="0"/>
                        </a:ext>
                      </a:extLst>
                    </a:blip>
                    <a:srcRect l="30200" t="7620" r="18792" b="414"/>
                    <a:stretch/>
                  </pic:blipFill>
                  <pic:spPr bwMode="auto">
                    <a:xfrm>
                      <a:off x="0" y="0"/>
                      <a:ext cx="642014" cy="773233"/>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5A71">
        <w:rPr>
          <w:rFonts w:ascii="Calibri" w:hAnsi="Calibri"/>
          <w:b/>
          <w:bCs/>
          <w:noProof/>
          <w:color w:val="7F7F7F"/>
          <w:sz w:val="20"/>
          <w:szCs w:val="20"/>
          <w:lang w:eastAsia="en-AU"/>
        </w:rPr>
        <w:drawing>
          <wp:anchor distT="0" distB="0" distL="114300" distR="114300" simplePos="0" relativeHeight="251660288" behindDoc="0" locked="0" layoutInCell="1" allowOverlap="1" wp14:anchorId="289344ED" wp14:editId="34C80F3E">
            <wp:simplePos x="0" y="0"/>
            <wp:positionH relativeFrom="column">
              <wp:posOffset>5355908</wp:posOffset>
            </wp:positionH>
            <wp:positionV relativeFrom="paragraph">
              <wp:posOffset>599757</wp:posOffset>
            </wp:positionV>
            <wp:extent cx="527469" cy="805218"/>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Older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69" cy="80521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D5A71">
        <w:rPr>
          <w:rFonts w:ascii="Calibri" w:hAnsi="Calibri"/>
          <w:b/>
          <w:bCs/>
          <w:noProof/>
        </w:rPr>
        <w:drawing>
          <wp:anchor distT="0" distB="0" distL="114300" distR="114300" simplePos="0" relativeHeight="251659264" behindDoc="0" locked="0" layoutInCell="1" allowOverlap="1" wp14:anchorId="79FD7A83" wp14:editId="0C51EE40">
            <wp:simplePos x="0" y="0"/>
            <wp:positionH relativeFrom="margin">
              <wp:align>right</wp:align>
            </wp:positionH>
            <wp:positionV relativeFrom="paragraph">
              <wp:posOffset>59055</wp:posOffset>
            </wp:positionV>
            <wp:extent cx="3870960" cy="26765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70960" cy="2676525"/>
                    </a:xfrm>
                    <a:prstGeom prst="rect">
                      <a:avLst/>
                    </a:prstGeom>
                    <a:noFill/>
                  </pic:spPr>
                </pic:pic>
              </a:graphicData>
            </a:graphic>
            <wp14:sizeRelH relativeFrom="page">
              <wp14:pctWidth>0</wp14:pctWidth>
            </wp14:sizeRelH>
            <wp14:sizeRelV relativeFrom="page">
              <wp14:pctHeight>0</wp14:pctHeight>
            </wp14:sizeRelV>
          </wp:anchor>
        </w:drawing>
      </w:r>
      <w:r w:rsidRPr="00C92F19">
        <w:rPr>
          <w:rFonts w:ascii="Calibri" w:hAnsi="Calibri"/>
        </w:rPr>
        <w:t xml:space="preserve">The </w:t>
      </w:r>
      <w:r>
        <w:rPr>
          <w:rFonts w:ascii="Calibri" w:hAnsi="Calibri"/>
        </w:rPr>
        <w:t xml:space="preserve">estimated </w:t>
      </w:r>
      <w:r w:rsidRPr="00C92F19">
        <w:rPr>
          <w:rFonts w:ascii="Calibri" w:hAnsi="Calibri"/>
        </w:rPr>
        <w:t xml:space="preserve">population of Greater Dandenong </w:t>
      </w:r>
      <w:r>
        <w:rPr>
          <w:rFonts w:ascii="Calibri" w:hAnsi="Calibri"/>
        </w:rPr>
        <w:t>remained stable at about 130,000 during the decade to 2006</w:t>
      </w:r>
      <w:r w:rsidRPr="00C92F19">
        <w:rPr>
          <w:rFonts w:ascii="Calibri" w:hAnsi="Calibri"/>
        </w:rPr>
        <w:t xml:space="preserve"> before </w:t>
      </w:r>
      <w:r>
        <w:rPr>
          <w:rFonts w:ascii="Calibri" w:hAnsi="Calibri"/>
        </w:rPr>
        <w:t xml:space="preserve">rising steadily to 2020, raising the population by about 40,000 or a third. This growth was largely due to </w:t>
      </w:r>
      <w:r w:rsidRPr="00C92F19">
        <w:rPr>
          <w:rFonts w:ascii="Calibri" w:hAnsi="Calibri"/>
        </w:rPr>
        <w:t xml:space="preserve">residential developments in Keysborough South and Central Dandenong, </w:t>
      </w:r>
      <w:r>
        <w:rPr>
          <w:rFonts w:ascii="Calibri" w:hAnsi="Calibri"/>
        </w:rPr>
        <w:t>as well as</w:t>
      </w:r>
      <w:r w:rsidRPr="00C92F19">
        <w:rPr>
          <w:rFonts w:ascii="Calibri" w:hAnsi="Calibri"/>
        </w:rPr>
        <w:t xml:space="preserve"> </w:t>
      </w:r>
      <w:r>
        <w:rPr>
          <w:rFonts w:ascii="Calibri" w:hAnsi="Calibri"/>
        </w:rPr>
        <w:t xml:space="preserve">construction </w:t>
      </w:r>
      <w:r w:rsidRPr="00C92F19">
        <w:rPr>
          <w:rFonts w:ascii="Calibri" w:hAnsi="Calibri"/>
        </w:rPr>
        <w:t>in dispersed locations throughout the city.</w:t>
      </w:r>
    </w:p>
    <w:p w14:paraId="478DA576" w14:textId="77777777" w:rsidR="00DE023E" w:rsidRDefault="00DE023E" w:rsidP="00DE023E">
      <w:pPr>
        <w:spacing w:line="360" w:lineRule="auto"/>
        <w:jc w:val="both"/>
        <w:rPr>
          <w:rFonts w:ascii="Calibri" w:hAnsi="Calibri"/>
        </w:rPr>
      </w:pPr>
      <w:r>
        <w:rPr>
          <w:rFonts w:ascii="Calibri" w:hAnsi="Calibri"/>
        </w:rPr>
        <w:t xml:space="preserve">In the succeeding year though, the estimated population declined by 5,000 to 163,000 – a decline which is attributed to the fall in settlement and overseas students resulting from the COVID epidemic. </w:t>
      </w:r>
    </w:p>
    <w:p w14:paraId="2011876C" w14:textId="77777777" w:rsidR="00DE023E" w:rsidRDefault="00DE023E" w:rsidP="00DE023E">
      <w:pPr>
        <w:spacing w:line="360" w:lineRule="auto"/>
        <w:jc w:val="both"/>
        <w:rPr>
          <w:rFonts w:ascii="Calibri" w:hAnsi="Calibri"/>
        </w:rPr>
      </w:pPr>
      <w:r>
        <w:rPr>
          <w:rFonts w:ascii="Calibri" w:hAnsi="Calibri"/>
        </w:rPr>
        <w:t>It should be noted that the 2021 estimate is higher than the population recorded in the Census of that year, of 158,000, due largely to the fact that a small but unknowable proportion of residents did not complete the Census.</w:t>
      </w:r>
    </w:p>
    <w:p w14:paraId="15C86EFB" w14:textId="77777777" w:rsidR="00DE023E" w:rsidRDefault="00DE023E" w:rsidP="00DE023E">
      <w:pPr>
        <w:spacing w:after="0" w:line="360" w:lineRule="auto"/>
        <w:jc w:val="both"/>
        <w:rPr>
          <w:rFonts w:ascii="Calibri" w:hAnsi="Calibri"/>
          <w:b/>
          <w:bCs/>
        </w:rPr>
      </w:pPr>
      <w:r>
        <w:rPr>
          <w:rFonts w:ascii="Calibri" w:hAnsi="Calibri"/>
          <w:b/>
          <w:bCs/>
        </w:rPr>
        <w:t>Population Age Profile</w:t>
      </w:r>
    </w:p>
    <w:p w14:paraId="1CAA72FF" w14:textId="5B3DE61B" w:rsidR="00DE023E" w:rsidRDefault="00DE023E" w:rsidP="00DE023E">
      <w:pPr>
        <w:spacing w:line="360" w:lineRule="auto"/>
        <w:jc w:val="both"/>
        <w:rPr>
          <w:rFonts w:ascii="Calibri" w:hAnsi="Calibri"/>
        </w:rPr>
      </w:pPr>
      <w:r>
        <w:rPr>
          <w:rFonts w:ascii="Calibri" w:hAnsi="Calibri"/>
        </w:rPr>
        <w:t xml:space="preserve">Examination of the structure of the population relies upon the Census, which records the ages of residents. Among the population recorded in the 2021 Census were 17% 0-14 year-olds, 13% young people aged 15-24, 54% people aged 25-64, and 16% of retirement age. </w:t>
      </w:r>
    </w:p>
    <w:p w14:paraId="520A6173" w14:textId="77777777" w:rsidR="00DE023E" w:rsidRDefault="00DE023E" w:rsidP="00DE023E">
      <w:pPr>
        <w:spacing w:line="360" w:lineRule="auto"/>
        <w:jc w:val="both"/>
        <w:rPr>
          <w:rFonts w:ascii="Calibri" w:hAnsi="Calibri"/>
        </w:rPr>
      </w:pPr>
      <w:r>
        <w:rPr>
          <w:rFonts w:ascii="Calibri" w:hAnsi="Calibri"/>
          <w:noProof/>
        </w:rPr>
        <w:drawing>
          <wp:anchor distT="0" distB="0" distL="114300" distR="114300" simplePos="0" relativeHeight="251662336" behindDoc="0" locked="0" layoutInCell="1" allowOverlap="1" wp14:anchorId="3E2DCE10" wp14:editId="7E471A38">
            <wp:simplePos x="0" y="0"/>
            <wp:positionH relativeFrom="column">
              <wp:posOffset>-952</wp:posOffset>
            </wp:positionH>
            <wp:positionV relativeFrom="paragraph">
              <wp:posOffset>-635</wp:posOffset>
            </wp:positionV>
            <wp:extent cx="3705225" cy="2388611"/>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05225" cy="2388611"/>
                    </a:xfrm>
                    <a:prstGeom prst="rect">
                      <a:avLst/>
                    </a:prstGeom>
                    <a:noFill/>
                  </pic:spPr>
                </pic:pic>
              </a:graphicData>
            </a:graphic>
            <wp14:sizeRelH relativeFrom="page">
              <wp14:pctWidth>0</wp14:pctWidth>
            </wp14:sizeRelH>
            <wp14:sizeRelV relativeFrom="page">
              <wp14:pctHeight>0</wp14:pctHeight>
            </wp14:sizeRelV>
          </wp:anchor>
        </w:drawing>
      </w:r>
    </w:p>
    <w:p w14:paraId="7349572F" w14:textId="77777777" w:rsidR="00DE023E" w:rsidRPr="00F00E5B" w:rsidRDefault="00DE023E" w:rsidP="00DE023E">
      <w:pPr>
        <w:jc w:val="both"/>
        <w:rPr>
          <w:rFonts w:ascii="Calibri" w:hAnsi="Calibri"/>
          <w:color w:val="7F7F7F" w:themeColor="text1" w:themeTint="80"/>
          <w:sz w:val="20"/>
          <w:szCs w:val="20"/>
        </w:rPr>
      </w:pPr>
    </w:p>
    <w:p w14:paraId="58C76398" w14:textId="7444B354" w:rsidR="00E81EEF" w:rsidRDefault="00E81EEF"/>
    <w:p w14:paraId="0AA09A0D" w14:textId="4E429400" w:rsidR="00E81EEF" w:rsidRDefault="00E81EEF"/>
    <w:p w14:paraId="6B34B570" w14:textId="60218A0A" w:rsidR="00E81EEF" w:rsidRDefault="00E81EEF"/>
    <w:p w14:paraId="01B98152" w14:textId="44A2D88B" w:rsidR="00E81EEF" w:rsidRDefault="00E81EEF"/>
    <w:p w14:paraId="365A175A" w14:textId="393EB3C8" w:rsidR="00E81EEF" w:rsidRDefault="00E81EEF"/>
    <w:p w14:paraId="3E4FF252" w14:textId="77777777" w:rsidR="00403F90" w:rsidRDefault="00403F90">
      <w:r>
        <w:br w:type="page"/>
      </w:r>
    </w:p>
    <w:p w14:paraId="123E199D" w14:textId="1044E69E" w:rsidR="00403F90" w:rsidRPr="001E5011" w:rsidRDefault="00403F90" w:rsidP="00403F90">
      <w:pPr>
        <w:pBdr>
          <w:top w:val="single" w:sz="4" w:space="1" w:color="auto"/>
          <w:bottom w:val="single" w:sz="4" w:space="1" w:color="auto"/>
        </w:pBdr>
        <w:tabs>
          <w:tab w:val="center" w:pos="4678"/>
        </w:tabs>
        <w:jc w:val="center"/>
        <w:rPr>
          <w:rFonts w:ascii="Calibri" w:hAnsi="Calibri"/>
          <w:sz w:val="32"/>
          <w:szCs w:val="32"/>
        </w:rPr>
      </w:pPr>
      <w:r w:rsidRPr="001E5011">
        <w:rPr>
          <w:rFonts w:ascii="Calibri" w:hAnsi="Calibri"/>
          <w:noProof/>
          <w:sz w:val="32"/>
          <w:szCs w:val="32"/>
          <w:lang w:val="en-US"/>
        </w:rPr>
        <w:lastRenderedPageBreak/>
        <w:t>Young People</w:t>
      </w:r>
    </w:p>
    <w:p w14:paraId="73696490" w14:textId="77777777" w:rsidR="00403F90" w:rsidRDefault="00403F90" w:rsidP="00403F90">
      <w:pPr>
        <w:tabs>
          <w:tab w:val="left" w:pos="284"/>
        </w:tabs>
        <w:spacing w:after="0" w:line="360" w:lineRule="auto"/>
        <w:jc w:val="both"/>
        <w:rPr>
          <w:sz w:val="10"/>
          <w:szCs w:val="10"/>
        </w:rPr>
      </w:pPr>
    </w:p>
    <w:p w14:paraId="2D43E1EC" w14:textId="77777777" w:rsidR="00403F90" w:rsidRPr="002B7D52" w:rsidRDefault="00403F90" w:rsidP="00403F90">
      <w:pPr>
        <w:tabs>
          <w:tab w:val="left" w:pos="284"/>
        </w:tabs>
        <w:spacing w:after="0" w:line="360" w:lineRule="auto"/>
        <w:jc w:val="both"/>
        <w:rPr>
          <w:rFonts w:ascii="Calibri" w:hAnsi="Calibri"/>
        </w:rPr>
      </w:pPr>
      <w:r w:rsidRPr="002B7D52">
        <w:rPr>
          <w:rFonts w:ascii="Calibri" w:hAnsi="Calibri"/>
        </w:rPr>
        <w:t>Persons aged 12 to 2</w:t>
      </w:r>
      <w:r>
        <w:rPr>
          <w:rFonts w:ascii="Calibri" w:hAnsi="Calibri"/>
        </w:rPr>
        <w:t>4</w:t>
      </w:r>
      <w:r w:rsidRPr="002B7D52">
        <w:rPr>
          <w:rFonts w:ascii="Calibri" w:hAnsi="Calibri"/>
        </w:rPr>
        <w:t xml:space="preserve"> years are counted here as young people, as this </w:t>
      </w:r>
      <w:r>
        <w:rPr>
          <w:rFonts w:ascii="Calibri" w:hAnsi="Calibri"/>
        </w:rPr>
        <w:t xml:space="preserve">range </w:t>
      </w:r>
      <w:r w:rsidRPr="002B7D52">
        <w:rPr>
          <w:rFonts w:ascii="Calibri" w:hAnsi="Calibri"/>
        </w:rPr>
        <w:t xml:space="preserve">best matches the age span of those assisted by </w:t>
      </w:r>
      <w:r>
        <w:rPr>
          <w:rFonts w:ascii="Calibri" w:hAnsi="Calibri"/>
        </w:rPr>
        <w:t>most youth service providers</w:t>
      </w:r>
      <w:r w:rsidRPr="002B7D52">
        <w:rPr>
          <w:rFonts w:ascii="Calibri" w:hAnsi="Calibri"/>
        </w:rPr>
        <w:t xml:space="preserve">. In some instances </w:t>
      </w:r>
      <w:r>
        <w:rPr>
          <w:rFonts w:ascii="Calibri" w:hAnsi="Calibri"/>
        </w:rPr>
        <w:t>though</w:t>
      </w:r>
      <w:r w:rsidRPr="002B7D52">
        <w:rPr>
          <w:rFonts w:ascii="Calibri" w:hAnsi="Calibri"/>
        </w:rPr>
        <w:t xml:space="preserve">, other ages are specified, either to </w:t>
      </w:r>
      <w:r>
        <w:rPr>
          <w:rFonts w:ascii="Calibri" w:hAnsi="Calibri"/>
        </w:rPr>
        <w:t>match</w:t>
      </w:r>
      <w:r w:rsidRPr="002B7D52">
        <w:rPr>
          <w:rFonts w:ascii="Calibri" w:hAnsi="Calibri"/>
        </w:rPr>
        <w:t xml:space="preserve"> the structure of the available data or because </w:t>
      </w:r>
      <w:r>
        <w:rPr>
          <w:rFonts w:ascii="Calibri" w:hAnsi="Calibri"/>
        </w:rPr>
        <w:t>they are more suitable</w:t>
      </w:r>
      <w:r w:rsidRPr="002B7D52">
        <w:rPr>
          <w:rFonts w:ascii="Calibri" w:hAnsi="Calibri"/>
        </w:rPr>
        <w:t>.</w:t>
      </w:r>
    </w:p>
    <w:p w14:paraId="203EED15" w14:textId="77777777" w:rsidR="00403F90" w:rsidRPr="00B8674B" w:rsidRDefault="00403F90" w:rsidP="00403F90">
      <w:pPr>
        <w:tabs>
          <w:tab w:val="left" w:pos="284"/>
        </w:tabs>
        <w:spacing w:after="0" w:line="360" w:lineRule="auto"/>
        <w:jc w:val="both"/>
        <w:rPr>
          <w:rFonts w:ascii="Calibri" w:hAnsi="Calibri"/>
        </w:rPr>
      </w:pPr>
      <w:r w:rsidRPr="00B8674B">
        <w:rPr>
          <w:rFonts w:ascii="Calibri" w:hAnsi="Calibri"/>
        </w:rPr>
        <w:t>In 20</w:t>
      </w:r>
      <w:r>
        <w:rPr>
          <w:rFonts w:ascii="Calibri" w:hAnsi="Calibri"/>
        </w:rPr>
        <w:t>21</w:t>
      </w:r>
      <w:r w:rsidRPr="00B8674B">
        <w:rPr>
          <w:rFonts w:ascii="Calibri" w:hAnsi="Calibri"/>
        </w:rPr>
        <w:t xml:space="preserve">, </w:t>
      </w:r>
      <w:r>
        <w:rPr>
          <w:rFonts w:ascii="Calibri" w:hAnsi="Calibri"/>
        </w:rPr>
        <w:t>nearly</w:t>
      </w:r>
      <w:r w:rsidRPr="00B8674B">
        <w:rPr>
          <w:rFonts w:ascii="Calibri" w:hAnsi="Calibri"/>
        </w:rPr>
        <w:t xml:space="preserve"> </w:t>
      </w:r>
      <w:r>
        <w:rPr>
          <w:rFonts w:ascii="Calibri" w:hAnsi="Calibri"/>
        </w:rPr>
        <w:t>20</w:t>
      </w:r>
      <w:r w:rsidRPr="00B8674B">
        <w:rPr>
          <w:rFonts w:ascii="Calibri" w:hAnsi="Calibri"/>
        </w:rPr>
        <w:t>,</w:t>
      </w:r>
      <w:r>
        <w:rPr>
          <w:rFonts w:ascii="Calibri" w:hAnsi="Calibri"/>
        </w:rPr>
        <w:t>3</w:t>
      </w:r>
      <w:r w:rsidRPr="00B8674B">
        <w:rPr>
          <w:rFonts w:ascii="Calibri" w:hAnsi="Calibri"/>
        </w:rPr>
        <w:t>00 residents in Greater Dandenong were aged 12-2</w:t>
      </w:r>
      <w:r>
        <w:rPr>
          <w:rFonts w:ascii="Calibri" w:hAnsi="Calibri"/>
        </w:rPr>
        <w:t>4</w:t>
      </w:r>
      <w:r w:rsidRPr="00B8674B">
        <w:rPr>
          <w:rFonts w:ascii="Calibri" w:hAnsi="Calibri"/>
        </w:rPr>
        <w:t xml:space="preserve"> years, representing approximately one in six residents. </w:t>
      </w:r>
      <w:r>
        <w:rPr>
          <w:rFonts w:ascii="Calibri" w:hAnsi="Calibri"/>
        </w:rPr>
        <w:t>Approximately</w:t>
      </w:r>
      <w:r w:rsidRPr="00B8674B">
        <w:rPr>
          <w:rFonts w:ascii="Calibri" w:hAnsi="Calibri"/>
        </w:rPr>
        <w:t xml:space="preserve"> </w:t>
      </w:r>
      <w:r>
        <w:rPr>
          <w:rFonts w:ascii="Calibri" w:hAnsi="Calibri"/>
        </w:rPr>
        <w:t>154</w:t>
      </w:r>
      <w:r w:rsidRPr="00B8674B">
        <w:rPr>
          <w:rFonts w:ascii="Calibri" w:hAnsi="Calibri"/>
        </w:rPr>
        <w:t xml:space="preserve"> </w:t>
      </w:r>
      <w:r>
        <w:rPr>
          <w:rFonts w:ascii="Calibri" w:hAnsi="Calibri"/>
        </w:rPr>
        <w:t>residents of this age</w:t>
      </w:r>
      <w:r w:rsidRPr="00B8674B">
        <w:rPr>
          <w:rFonts w:ascii="Calibri" w:hAnsi="Calibri"/>
        </w:rPr>
        <w:t xml:space="preserve"> were Aboriginal or Torres Strait Islanders.</w:t>
      </w:r>
    </w:p>
    <w:p w14:paraId="291A0A02" w14:textId="77777777" w:rsidR="00403F90" w:rsidRDefault="00403F90" w:rsidP="00403F90">
      <w:pPr>
        <w:tabs>
          <w:tab w:val="left" w:pos="284"/>
        </w:tabs>
        <w:spacing w:after="0" w:line="360" w:lineRule="auto"/>
        <w:jc w:val="both"/>
        <w:rPr>
          <w:rFonts w:ascii="Calibri" w:hAnsi="Calibri"/>
          <w:b/>
        </w:rPr>
      </w:pPr>
      <w:r>
        <w:rPr>
          <w:rFonts w:ascii="Calibri" w:hAnsi="Calibri"/>
          <w:noProof/>
        </w:rPr>
        <w:drawing>
          <wp:anchor distT="0" distB="0" distL="114300" distR="114300" simplePos="0" relativeHeight="251665408" behindDoc="0" locked="0" layoutInCell="1" allowOverlap="1" wp14:anchorId="0B7C32BF" wp14:editId="36B37D50">
            <wp:simplePos x="0" y="0"/>
            <wp:positionH relativeFrom="column">
              <wp:posOffset>2284730</wp:posOffset>
            </wp:positionH>
            <wp:positionV relativeFrom="paragraph">
              <wp:posOffset>133668</wp:posOffset>
            </wp:positionV>
            <wp:extent cx="3829050" cy="32861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r="9296" b="1541"/>
                    <a:stretch/>
                  </pic:blipFill>
                  <pic:spPr bwMode="auto">
                    <a:xfrm>
                      <a:off x="0" y="0"/>
                      <a:ext cx="3829050" cy="3286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FEBE39" w14:textId="77777777" w:rsidR="00403F90" w:rsidRPr="002B7D52" w:rsidRDefault="00403F90" w:rsidP="00403F90">
      <w:pPr>
        <w:tabs>
          <w:tab w:val="left" w:pos="284"/>
        </w:tabs>
        <w:spacing w:after="0" w:line="360" w:lineRule="auto"/>
        <w:jc w:val="both"/>
        <w:rPr>
          <w:rFonts w:ascii="Calibri" w:hAnsi="Calibri"/>
          <w:b/>
        </w:rPr>
      </w:pPr>
      <w:r w:rsidRPr="002B7D52">
        <w:rPr>
          <w:rFonts w:ascii="Calibri" w:hAnsi="Calibri"/>
          <w:b/>
        </w:rPr>
        <w:t xml:space="preserve">Cultural Diversity </w:t>
      </w:r>
    </w:p>
    <w:p w14:paraId="55D48632" w14:textId="77777777" w:rsidR="00403F90" w:rsidRPr="002B7D52" w:rsidRDefault="00403F90" w:rsidP="00403F90">
      <w:pPr>
        <w:tabs>
          <w:tab w:val="left" w:pos="284"/>
        </w:tabs>
        <w:spacing w:after="0" w:line="360" w:lineRule="auto"/>
        <w:ind w:right="5670"/>
        <w:jc w:val="both"/>
        <w:rPr>
          <w:rFonts w:ascii="Calibri" w:hAnsi="Calibri"/>
        </w:rPr>
      </w:pPr>
      <w:r w:rsidRPr="004C6FA1">
        <w:rPr>
          <w:rFonts w:ascii="Calibri" w:hAnsi="Calibri"/>
          <w:noProof/>
        </w:rPr>
        <w:t>In 2021, nearly two-fifths</w:t>
      </w:r>
      <w:r w:rsidRPr="004C6FA1">
        <w:rPr>
          <w:rFonts w:ascii="Calibri" w:hAnsi="Calibri"/>
        </w:rPr>
        <w:t xml:space="preserve"> (39%) of</w:t>
      </w:r>
      <w:r w:rsidRPr="002B7D52">
        <w:rPr>
          <w:rFonts w:ascii="Calibri" w:hAnsi="Calibri"/>
        </w:rPr>
        <w:t xml:space="preserve"> </w:t>
      </w:r>
      <w:r>
        <w:rPr>
          <w:rFonts w:ascii="Calibri" w:hAnsi="Calibri"/>
        </w:rPr>
        <w:t xml:space="preserve">Greater Dandenong </w:t>
      </w:r>
      <w:r w:rsidRPr="002B7D52">
        <w:rPr>
          <w:rFonts w:ascii="Calibri" w:hAnsi="Calibri"/>
        </w:rPr>
        <w:t>residents aged 12-2</w:t>
      </w:r>
      <w:r>
        <w:rPr>
          <w:rFonts w:ascii="Calibri" w:hAnsi="Calibri"/>
        </w:rPr>
        <w:t>4</w:t>
      </w:r>
      <w:r w:rsidRPr="002B7D52">
        <w:rPr>
          <w:rFonts w:ascii="Calibri" w:hAnsi="Calibri"/>
        </w:rPr>
        <w:t xml:space="preserve"> were born overseas. They come from </w:t>
      </w:r>
      <w:r>
        <w:rPr>
          <w:rFonts w:ascii="Calibri" w:hAnsi="Calibri"/>
        </w:rPr>
        <w:t>86</w:t>
      </w:r>
      <w:r w:rsidRPr="002B7D52">
        <w:rPr>
          <w:rFonts w:ascii="Calibri" w:hAnsi="Calibri"/>
        </w:rPr>
        <w:t xml:space="preserve"> </w:t>
      </w:r>
      <w:r>
        <w:rPr>
          <w:rFonts w:ascii="Calibri" w:hAnsi="Calibri"/>
        </w:rPr>
        <w:t xml:space="preserve">different </w:t>
      </w:r>
      <w:r w:rsidRPr="002B7D52">
        <w:rPr>
          <w:rFonts w:ascii="Calibri" w:hAnsi="Calibri"/>
        </w:rPr>
        <w:t>birthplaces, including India</w:t>
      </w:r>
      <w:r>
        <w:rPr>
          <w:rFonts w:ascii="Calibri" w:hAnsi="Calibri"/>
        </w:rPr>
        <w:t xml:space="preserve">, Afghanistan, </w:t>
      </w:r>
      <w:r w:rsidRPr="002B7D52">
        <w:rPr>
          <w:rFonts w:ascii="Calibri" w:hAnsi="Calibri"/>
        </w:rPr>
        <w:t>Vietnam</w:t>
      </w:r>
      <w:r>
        <w:rPr>
          <w:rFonts w:ascii="Calibri" w:hAnsi="Calibri"/>
        </w:rPr>
        <w:t xml:space="preserve">, </w:t>
      </w:r>
      <w:r w:rsidRPr="002B7D52">
        <w:rPr>
          <w:rFonts w:ascii="Calibri" w:hAnsi="Calibri"/>
        </w:rPr>
        <w:t>Cambodia</w:t>
      </w:r>
      <w:r>
        <w:rPr>
          <w:rFonts w:ascii="Calibri" w:hAnsi="Calibri"/>
        </w:rPr>
        <w:t xml:space="preserve">, </w:t>
      </w:r>
      <w:r w:rsidRPr="002B7D52">
        <w:rPr>
          <w:rFonts w:ascii="Calibri" w:hAnsi="Calibri"/>
        </w:rPr>
        <w:t xml:space="preserve">Sri Lanka, China, </w:t>
      </w:r>
      <w:r>
        <w:rPr>
          <w:rFonts w:ascii="Calibri" w:hAnsi="Calibri"/>
        </w:rPr>
        <w:t>Pakistan and Burma</w:t>
      </w:r>
      <w:r w:rsidRPr="002B7D52">
        <w:rPr>
          <w:rFonts w:ascii="Calibri" w:hAnsi="Calibri"/>
          <w:sz w:val="18"/>
          <w:szCs w:val="18"/>
        </w:rPr>
        <w:t>.</w:t>
      </w:r>
      <w:r w:rsidRPr="002B7D52">
        <w:rPr>
          <w:rFonts w:ascii="Calibri" w:hAnsi="Calibri"/>
        </w:rPr>
        <w:t xml:space="preserve"> </w:t>
      </w:r>
    </w:p>
    <w:p w14:paraId="552CFECF" w14:textId="77777777" w:rsidR="00403F90" w:rsidRDefault="00403F90" w:rsidP="00403F90">
      <w:pPr>
        <w:tabs>
          <w:tab w:val="left" w:pos="284"/>
        </w:tabs>
        <w:spacing w:after="0" w:line="360" w:lineRule="auto"/>
        <w:jc w:val="both"/>
        <w:rPr>
          <w:rFonts w:ascii="Calibri" w:hAnsi="Calibri"/>
          <w:b/>
          <w:sz w:val="10"/>
          <w:szCs w:val="10"/>
        </w:rPr>
      </w:pPr>
    </w:p>
    <w:p w14:paraId="3A383273" w14:textId="77777777" w:rsidR="00403F90" w:rsidRDefault="00403F90" w:rsidP="00403F90">
      <w:pPr>
        <w:tabs>
          <w:tab w:val="left" w:pos="284"/>
        </w:tabs>
        <w:spacing w:after="0" w:line="360" w:lineRule="auto"/>
        <w:jc w:val="both"/>
        <w:rPr>
          <w:rFonts w:ascii="Calibri" w:hAnsi="Calibri"/>
          <w:b/>
        </w:rPr>
      </w:pPr>
      <w:r>
        <w:rPr>
          <w:rFonts w:ascii="Calibri" w:hAnsi="Calibri"/>
          <w:b/>
          <w:noProof/>
          <w:sz w:val="10"/>
          <w:szCs w:val="10"/>
          <w:lang w:eastAsia="en-AU"/>
        </w:rPr>
        <w:drawing>
          <wp:anchor distT="0" distB="0" distL="114300" distR="114300" simplePos="0" relativeHeight="251666432" behindDoc="0" locked="0" layoutInCell="1" allowOverlap="1" wp14:anchorId="1EDB3B2F" wp14:editId="5B7A3ABC">
            <wp:simplePos x="0" y="0"/>
            <wp:positionH relativeFrom="column">
              <wp:posOffset>4766627</wp:posOffset>
            </wp:positionH>
            <wp:positionV relativeFrom="paragraph">
              <wp:posOffset>4763</wp:posOffset>
            </wp:positionV>
            <wp:extent cx="1033463" cy="1022863"/>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Youth 3.JPG"/>
                    <pic:cNvPicPr/>
                  </pic:nvPicPr>
                  <pic:blipFill rotWithShape="1">
                    <a:blip r:embed="rId14" cstate="print">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rcRect l="30657" t="15326" r="21898" b="14234"/>
                    <a:stretch/>
                  </pic:blipFill>
                  <pic:spPr bwMode="auto">
                    <a:xfrm>
                      <a:off x="0" y="0"/>
                      <a:ext cx="1033463" cy="1022863"/>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olor w:val="7F7F7F"/>
          <w:sz w:val="20"/>
          <w:szCs w:val="20"/>
        </w:rPr>
        <w:t>Selected birthplaces of</w:t>
      </w:r>
      <w:r w:rsidRPr="002874B0">
        <w:rPr>
          <w:rFonts w:ascii="Calibri" w:hAnsi="Calibri"/>
          <w:color w:val="7F7F7F"/>
          <w:sz w:val="20"/>
          <w:szCs w:val="20"/>
        </w:rPr>
        <w:t xml:space="preserve"> persons aged 12 to 24</w:t>
      </w:r>
      <w:r>
        <w:rPr>
          <w:rFonts w:ascii="Calibri" w:hAnsi="Calibri"/>
          <w:color w:val="7F7F7F"/>
          <w:sz w:val="20"/>
          <w:szCs w:val="20"/>
        </w:rPr>
        <w:t>:</w:t>
      </w:r>
      <w:r w:rsidRPr="002874B0">
        <w:rPr>
          <w:rFonts w:ascii="Calibri" w:hAnsi="Calibri"/>
          <w:color w:val="7F7F7F"/>
          <w:sz w:val="20"/>
          <w:szCs w:val="20"/>
        </w:rPr>
        <w:t xml:space="preserve"> Greater Dandenong, 20</w:t>
      </w:r>
      <w:r>
        <w:rPr>
          <w:rFonts w:ascii="Calibri" w:hAnsi="Calibri"/>
          <w:color w:val="7F7F7F"/>
          <w:sz w:val="20"/>
          <w:szCs w:val="20"/>
        </w:rPr>
        <w:t>21</w:t>
      </w:r>
    </w:p>
    <w:p w14:paraId="18F44B28" w14:textId="77777777" w:rsidR="00403F90" w:rsidRDefault="00403F90" w:rsidP="00403F90">
      <w:pPr>
        <w:tabs>
          <w:tab w:val="left" w:pos="284"/>
        </w:tabs>
        <w:spacing w:after="0" w:line="360" w:lineRule="auto"/>
        <w:jc w:val="both"/>
        <w:rPr>
          <w:rFonts w:ascii="Calibri" w:hAnsi="Calibri"/>
          <w:b/>
          <w:sz w:val="10"/>
          <w:szCs w:val="10"/>
        </w:rPr>
      </w:pPr>
    </w:p>
    <w:p w14:paraId="6EF40E27" w14:textId="77777777" w:rsidR="00403F90" w:rsidRDefault="00403F90" w:rsidP="00403F90">
      <w:pPr>
        <w:tabs>
          <w:tab w:val="left" w:pos="284"/>
        </w:tabs>
        <w:spacing w:after="0" w:line="360" w:lineRule="auto"/>
        <w:jc w:val="both"/>
        <w:rPr>
          <w:rFonts w:ascii="Calibri" w:hAnsi="Calibri"/>
          <w:b/>
          <w:sz w:val="10"/>
          <w:szCs w:val="10"/>
        </w:rPr>
      </w:pPr>
    </w:p>
    <w:p w14:paraId="23CFD918" w14:textId="77777777" w:rsidR="00403F90" w:rsidRDefault="00403F90" w:rsidP="00403F90">
      <w:pPr>
        <w:tabs>
          <w:tab w:val="left" w:pos="284"/>
        </w:tabs>
        <w:spacing w:after="0" w:line="360" w:lineRule="auto"/>
        <w:jc w:val="both"/>
        <w:rPr>
          <w:rFonts w:ascii="Calibri" w:hAnsi="Calibri"/>
          <w:b/>
          <w:sz w:val="10"/>
          <w:szCs w:val="10"/>
        </w:rPr>
      </w:pPr>
    </w:p>
    <w:p w14:paraId="77C828FC" w14:textId="77777777" w:rsidR="00403F90" w:rsidRDefault="00403F90" w:rsidP="00403F90">
      <w:pPr>
        <w:tabs>
          <w:tab w:val="left" w:pos="284"/>
        </w:tabs>
        <w:spacing w:after="0" w:line="360" w:lineRule="auto"/>
        <w:jc w:val="both"/>
        <w:rPr>
          <w:rFonts w:ascii="Calibri" w:hAnsi="Calibri"/>
          <w:b/>
          <w:sz w:val="10"/>
          <w:szCs w:val="10"/>
        </w:rPr>
      </w:pPr>
    </w:p>
    <w:p w14:paraId="54D93F63" w14:textId="77777777" w:rsidR="00403F90" w:rsidRDefault="00403F90" w:rsidP="00403F90">
      <w:pPr>
        <w:tabs>
          <w:tab w:val="left" w:pos="284"/>
        </w:tabs>
        <w:spacing w:after="0" w:line="360" w:lineRule="auto"/>
        <w:jc w:val="both"/>
        <w:rPr>
          <w:rFonts w:ascii="Calibri" w:hAnsi="Calibri"/>
          <w:b/>
          <w:sz w:val="10"/>
          <w:szCs w:val="10"/>
        </w:rPr>
      </w:pPr>
    </w:p>
    <w:p w14:paraId="2D618BE9" w14:textId="77777777" w:rsidR="00403F90" w:rsidRDefault="00403F90" w:rsidP="00403F90">
      <w:pPr>
        <w:tabs>
          <w:tab w:val="left" w:pos="284"/>
        </w:tabs>
        <w:spacing w:after="0" w:line="360" w:lineRule="auto"/>
        <w:jc w:val="both"/>
        <w:rPr>
          <w:rFonts w:ascii="Calibri" w:hAnsi="Calibri"/>
          <w:b/>
          <w:sz w:val="10"/>
          <w:szCs w:val="10"/>
        </w:rPr>
      </w:pPr>
    </w:p>
    <w:p w14:paraId="12414669" w14:textId="77777777" w:rsidR="00403F90" w:rsidRDefault="00403F90" w:rsidP="00403F90">
      <w:pPr>
        <w:tabs>
          <w:tab w:val="left" w:pos="284"/>
        </w:tabs>
        <w:spacing w:after="0" w:line="360" w:lineRule="auto"/>
        <w:jc w:val="both"/>
        <w:rPr>
          <w:rFonts w:ascii="Calibri" w:hAnsi="Calibri"/>
          <w:b/>
          <w:sz w:val="10"/>
          <w:szCs w:val="10"/>
        </w:rPr>
      </w:pPr>
    </w:p>
    <w:p w14:paraId="6D36D8AC" w14:textId="77777777" w:rsidR="00403F90" w:rsidRDefault="00403F90" w:rsidP="00403F90">
      <w:pPr>
        <w:tabs>
          <w:tab w:val="left" w:pos="284"/>
        </w:tabs>
        <w:spacing w:after="0" w:line="360" w:lineRule="auto"/>
        <w:jc w:val="both"/>
        <w:rPr>
          <w:rFonts w:ascii="Calibri" w:hAnsi="Calibri"/>
          <w:b/>
          <w:sz w:val="10"/>
          <w:szCs w:val="10"/>
        </w:rPr>
      </w:pPr>
    </w:p>
    <w:p w14:paraId="6C2336F7" w14:textId="77777777" w:rsidR="00403F90" w:rsidRDefault="00403F90" w:rsidP="00403F90">
      <w:pPr>
        <w:tabs>
          <w:tab w:val="left" w:pos="284"/>
        </w:tabs>
        <w:spacing w:after="0" w:line="360" w:lineRule="auto"/>
        <w:jc w:val="both"/>
        <w:rPr>
          <w:rFonts w:ascii="Calibri" w:hAnsi="Calibri"/>
          <w:b/>
          <w:sz w:val="10"/>
          <w:szCs w:val="10"/>
        </w:rPr>
      </w:pPr>
    </w:p>
    <w:p w14:paraId="1E00A4EF" w14:textId="77777777" w:rsidR="00403F90" w:rsidRDefault="00403F90" w:rsidP="00403F90">
      <w:pPr>
        <w:tabs>
          <w:tab w:val="left" w:pos="284"/>
        </w:tabs>
        <w:spacing w:after="0" w:line="360" w:lineRule="auto"/>
        <w:jc w:val="both"/>
        <w:rPr>
          <w:rFonts w:ascii="Calibri" w:hAnsi="Calibri"/>
          <w:b/>
          <w:sz w:val="10"/>
          <w:szCs w:val="10"/>
        </w:rPr>
      </w:pPr>
      <w:r>
        <w:rPr>
          <w:rFonts w:ascii="Calibri" w:hAnsi="Calibri"/>
          <w:b/>
          <w:noProof/>
        </w:rPr>
        <w:drawing>
          <wp:anchor distT="0" distB="0" distL="114300" distR="114300" simplePos="0" relativeHeight="251668480" behindDoc="0" locked="0" layoutInCell="1" allowOverlap="1" wp14:anchorId="7B2C3521" wp14:editId="69FF3656">
            <wp:simplePos x="0" y="0"/>
            <wp:positionH relativeFrom="column">
              <wp:posOffset>65405</wp:posOffset>
            </wp:positionH>
            <wp:positionV relativeFrom="paragraph">
              <wp:posOffset>16510</wp:posOffset>
            </wp:positionV>
            <wp:extent cx="4060190" cy="3209925"/>
            <wp:effectExtent l="0" t="0" r="0"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0190" cy="3209925"/>
                    </a:xfrm>
                    <a:prstGeom prst="rect">
                      <a:avLst/>
                    </a:prstGeom>
                    <a:noFill/>
                  </pic:spPr>
                </pic:pic>
              </a:graphicData>
            </a:graphic>
            <wp14:sizeRelH relativeFrom="page">
              <wp14:pctWidth>0</wp14:pctWidth>
            </wp14:sizeRelH>
            <wp14:sizeRelV relativeFrom="page">
              <wp14:pctHeight>0</wp14:pctHeight>
            </wp14:sizeRelV>
          </wp:anchor>
        </w:drawing>
      </w:r>
    </w:p>
    <w:p w14:paraId="19C41A67" w14:textId="77777777" w:rsidR="00403F90" w:rsidRDefault="00403F90" w:rsidP="00403F90">
      <w:pPr>
        <w:tabs>
          <w:tab w:val="left" w:pos="5670"/>
        </w:tabs>
        <w:spacing w:after="0" w:line="360" w:lineRule="auto"/>
        <w:jc w:val="both"/>
        <w:rPr>
          <w:rFonts w:ascii="Calibri" w:hAnsi="Calibri"/>
          <w:color w:val="7F7F7F"/>
          <w:sz w:val="20"/>
          <w:szCs w:val="20"/>
        </w:rPr>
      </w:pPr>
    </w:p>
    <w:p w14:paraId="13359007" w14:textId="77777777" w:rsidR="00403F90" w:rsidRDefault="00403F90" w:rsidP="00403F90">
      <w:pPr>
        <w:tabs>
          <w:tab w:val="left" w:pos="5670"/>
        </w:tabs>
        <w:spacing w:after="0" w:line="360" w:lineRule="auto"/>
        <w:jc w:val="both"/>
        <w:rPr>
          <w:rFonts w:ascii="Calibri" w:hAnsi="Calibri"/>
          <w:b/>
        </w:rPr>
      </w:pPr>
      <w:r w:rsidRPr="002874B0">
        <w:rPr>
          <w:rFonts w:ascii="Calibri" w:hAnsi="Calibri"/>
          <w:color w:val="7F7F7F"/>
          <w:sz w:val="20"/>
          <w:szCs w:val="20"/>
        </w:rPr>
        <w:t>Languages</w:t>
      </w:r>
      <w:r>
        <w:rPr>
          <w:rFonts w:ascii="Calibri" w:hAnsi="Calibri"/>
          <w:color w:val="7F7F7F"/>
          <w:sz w:val="20"/>
          <w:szCs w:val="20"/>
        </w:rPr>
        <w:t xml:space="preserve"> spoken by</w:t>
      </w:r>
      <w:r w:rsidRPr="002874B0">
        <w:rPr>
          <w:rFonts w:ascii="Calibri" w:hAnsi="Calibri"/>
          <w:color w:val="7F7F7F"/>
          <w:sz w:val="20"/>
          <w:szCs w:val="20"/>
        </w:rPr>
        <w:t xml:space="preserve"> persons aged 12 to 24</w:t>
      </w:r>
      <w:r>
        <w:rPr>
          <w:rFonts w:ascii="Calibri" w:hAnsi="Calibri"/>
          <w:color w:val="7F7F7F"/>
          <w:sz w:val="20"/>
          <w:szCs w:val="20"/>
        </w:rPr>
        <w:t>:</w:t>
      </w:r>
      <w:r w:rsidRPr="002874B0">
        <w:rPr>
          <w:rFonts w:ascii="Calibri" w:hAnsi="Calibri"/>
          <w:color w:val="7F7F7F"/>
          <w:sz w:val="20"/>
          <w:szCs w:val="20"/>
        </w:rPr>
        <w:t xml:space="preserve"> Greater Dandenong, 20</w:t>
      </w:r>
      <w:r>
        <w:rPr>
          <w:rFonts w:ascii="Calibri" w:hAnsi="Calibri"/>
          <w:color w:val="7F7F7F"/>
          <w:sz w:val="20"/>
          <w:szCs w:val="20"/>
        </w:rPr>
        <w:t>21</w:t>
      </w:r>
    </w:p>
    <w:p w14:paraId="08E30F46" w14:textId="77777777" w:rsidR="00403F90" w:rsidRDefault="00403F90" w:rsidP="00403F90">
      <w:pPr>
        <w:tabs>
          <w:tab w:val="left" w:pos="5670"/>
        </w:tabs>
        <w:spacing w:after="0" w:line="360" w:lineRule="auto"/>
        <w:jc w:val="both"/>
        <w:rPr>
          <w:rFonts w:ascii="Calibri" w:hAnsi="Calibri"/>
          <w:b/>
        </w:rPr>
      </w:pPr>
    </w:p>
    <w:p w14:paraId="09CDA2C9" w14:textId="496552CB" w:rsidR="00403F90" w:rsidRDefault="00403F90" w:rsidP="00BE29A1">
      <w:pPr>
        <w:tabs>
          <w:tab w:val="left" w:pos="5670"/>
        </w:tabs>
        <w:spacing w:after="0" w:line="240" w:lineRule="auto"/>
        <w:jc w:val="both"/>
        <w:rPr>
          <w:rFonts w:ascii="Calibri" w:hAnsi="Calibri"/>
          <w:b/>
        </w:rPr>
      </w:pPr>
      <w:r w:rsidRPr="002B7D52">
        <w:rPr>
          <w:rFonts w:ascii="Calibri" w:hAnsi="Calibri"/>
          <w:b/>
        </w:rPr>
        <w:t xml:space="preserve">Spoken Languages </w:t>
      </w:r>
    </w:p>
    <w:p w14:paraId="30EAAEE5" w14:textId="77777777" w:rsidR="00403F90" w:rsidRPr="002B7D52" w:rsidRDefault="00403F90" w:rsidP="00403F90">
      <w:pPr>
        <w:tabs>
          <w:tab w:val="left" w:pos="284"/>
        </w:tabs>
        <w:spacing w:after="0" w:line="360" w:lineRule="auto"/>
        <w:jc w:val="both"/>
        <w:rPr>
          <w:rFonts w:ascii="Calibri" w:hAnsi="Calibri"/>
        </w:rPr>
      </w:pPr>
      <w:r>
        <w:rPr>
          <w:rFonts w:ascii="Calibri" w:hAnsi="Calibri"/>
          <w:noProof/>
        </w:rPr>
        <w:t>Sixty-six</w:t>
      </w:r>
      <w:r w:rsidRPr="008E2CA7">
        <w:rPr>
          <w:rFonts w:ascii="Calibri" w:hAnsi="Calibri"/>
          <w:noProof/>
        </w:rPr>
        <w:t xml:space="preserve"> per cent</w:t>
      </w:r>
      <w:r w:rsidRPr="008E2CA7">
        <w:rPr>
          <w:rFonts w:ascii="Calibri" w:hAnsi="Calibri"/>
        </w:rPr>
        <w:t xml:space="preserve"> of 12 to 24 year-olds speak languages other than English </w:t>
      </w:r>
      <w:r w:rsidRPr="002B7D52">
        <w:rPr>
          <w:rFonts w:ascii="Calibri" w:hAnsi="Calibri"/>
        </w:rPr>
        <w:t>at home, including Vietnamese</w:t>
      </w:r>
      <w:r w:rsidRPr="002B7D52">
        <w:rPr>
          <w:rFonts w:ascii="Calibri" w:hAnsi="Calibri"/>
          <w:sz w:val="18"/>
          <w:szCs w:val="18"/>
        </w:rPr>
        <w:t xml:space="preserve">, </w:t>
      </w:r>
      <w:r>
        <w:rPr>
          <w:rFonts w:ascii="Calibri" w:hAnsi="Calibri"/>
        </w:rPr>
        <w:t>Mandarin, Cantonese, Arabic and Dari</w:t>
      </w:r>
      <w:r w:rsidRPr="002B7D52">
        <w:rPr>
          <w:rFonts w:ascii="Calibri" w:hAnsi="Calibri"/>
          <w:sz w:val="18"/>
          <w:szCs w:val="18"/>
        </w:rPr>
        <w:t xml:space="preserve">. </w:t>
      </w:r>
      <w:r w:rsidRPr="002B7D52">
        <w:rPr>
          <w:rFonts w:ascii="Calibri" w:hAnsi="Calibri"/>
        </w:rPr>
        <w:t xml:space="preserve">By contrast, </w:t>
      </w:r>
      <w:r>
        <w:rPr>
          <w:rFonts w:ascii="Calibri" w:hAnsi="Calibri"/>
        </w:rPr>
        <w:t>31%</w:t>
      </w:r>
      <w:r w:rsidRPr="002B7D52">
        <w:rPr>
          <w:rFonts w:ascii="Calibri" w:hAnsi="Calibri"/>
        </w:rPr>
        <w:t xml:space="preserve"> of young people across Melbourne speak languages other than English at home.</w:t>
      </w:r>
    </w:p>
    <w:p w14:paraId="364451AC" w14:textId="3A3F1723" w:rsidR="00403F90" w:rsidRDefault="00403F90" w:rsidP="00403F90">
      <w:pPr>
        <w:tabs>
          <w:tab w:val="left" w:pos="284"/>
        </w:tabs>
        <w:spacing w:after="0" w:line="360" w:lineRule="auto"/>
        <w:jc w:val="both"/>
        <w:rPr>
          <w:rFonts w:ascii="Calibri" w:hAnsi="Calibri"/>
          <w:color w:val="000000"/>
          <w:sz w:val="18"/>
          <w:szCs w:val="18"/>
        </w:rPr>
      </w:pPr>
      <w:r w:rsidRPr="002B7D52">
        <w:rPr>
          <w:rFonts w:ascii="Calibri" w:hAnsi="Calibri"/>
          <w:color w:val="000000"/>
        </w:rPr>
        <w:lastRenderedPageBreak/>
        <w:t xml:space="preserve">Approximately </w:t>
      </w:r>
      <w:r>
        <w:rPr>
          <w:rFonts w:ascii="Calibri" w:hAnsi="Calibri"/>
          <w:color w:val="000000"/>
        </w:rPr>
        <w:t>2.8</w:t>
      </w:r>
      <w:r w:rsidRPr="002B7D52">
        <w:rPr>
          <w:rFonts w:ascii="Calibri" w:hAnsi="Calibri"/>
          <w:color w:val="000000"/>
        </w:rPr>
        <w:t>% of young people aged 12 to 2</w:t>
      </w:r>
      <w:r>
        <w:rPr>
          <w:rFonts w:ascii="Calibri" w:hAnsi="Calibri"/>
          <w:color w:val="000000"/>
        </w:rPr>
        <w:t>4</w:t>
      </w:r>
      <w:r w:rsidRPr="002B7D52">
        <w:rPr>
          <w:rFonts w:ascii="Calibri" w:hAnsi="Calibri"/>
          <w:color w:val="000000"/>
        </w:rPr>
        <w:t xml:space="preserve"> in Greater Dandenong,</w:t>
      </w:r>
      <w:r>
        <w:rPr>
          <w:rFonts w:ascii="Calibri" w:hAnsi="Calibri"/>
          <w:color w:val="000000"/>
        </w:rPr>
        <w:t xml:space="preserve"> numbering 542,</w:t>
      </w:r>
      <w:r w:rsidRPr="002B7D52">
        <w:rPr>
          <w:rFonts w:ascii="Calibri" w:hAnsi="Calibri"/>
          <w:color w:val="000000"/>
        </w:rPr>
        <w:t xml:space="preserve"> have limited fluency in the use of spoken English. Limited fluency is most widespread among those who speak languages such as </w:t>
      </w:r>
      <w:r>
        <w:rPr>
          <w:rFonts w:ascii="Calibri" w:hAnsi="Calibri"/>
          <w:color w:val="000000"/>
        </w:rPr>
        <w:t>Malay, Tigrinya, Karen and Nuer (each exceeding 10%)</w:t>
      </w:r>
      <w:r w:rsidRPr="002B7D52">
        <w:rPr>
          <w:rFonts w:ascii="Calibri" w:hAnsi="Calibri"/>
          <w:color w:val="000000"/>
        </w:rPr>
        <w:t xml:space="preserve">. </w:t>
      </w:r>
      <w:r>
        <w:rPr>
          <w:rFonts w:ascii="Calibri" w:hAnsi="Calibri"/>
          <w:color w:val="000000"/>
        </w:rPr>
        <w:t>T</w:t>
      </w:r>
      <w:r w:rsidRPr="002B7D52">
        <w:rPr>
          <w:rFonts w:ascii="Calibri" w:hAnsi="Calibri"/>
          <w:color w:val="000000"/>
        </w:rPr>
        <w:t xml:space="preserve">he greater </w:t>
      </w:r>
      <w:r w:rsidRPr="002B7D52">
        <w:rPr>
          <w:rFonts w:ascii="Calibri" w:hAnsi="Calibri"/>
          <w:i/>
          <w:color w:val="000000"/>
        </w:rPr>
        <w:t>number</w:t>
      </w:r>
      <w:r>
        <w:rPr>
          <w:rFonts w:ascii="Calibri" w:hAnsi="Calibri"/>
          <w:i/>
          <w:color w:val="000000"/>
        </w:rPr>
        <w:t>s</w:t>
      </w:r>
      <w:r w:rsidRPr="002B7D52">
        <w:rPr>
          <w:rFonts w:ascii="Calibri" w:hAnsi="Calibri"/>
          <w:color w:val="000000"/>
        </w:rPr>
        <w:t xml:space="preserve"> of young people with </w:t>
      </w:r>
      <w:r w:rsidRPr="0063695E">
        <w:rPr>
          <w:rFonts w:ascii="Calibri" w:hAnsi="Calibri"/>
          <w:color w:val="000000"/>
        </w:rPr>
        <w:t xml:space="preserve">limited English fluency however, include those who speak Khmer and Vietnamese, each </w:t>
      </w:r>
      <w:r>
        <w:rPr>
          <w:rFonts w:ascii="Calibri" w:hAnsi="Calibri"/>
          <w:color w:val="000000"/>
        </w:rPr>
        <w:t>accounting for</w:t>
      </w:r>
      <w:r w:rsidRPr="0063695E">
        <w:rPr>
          <w:rFonts w:ascii="Calibri" w:hAnsi="Calibri"/>
          <w:color w:val="000000"/>
        </w:rPr>
        <w:t xml:space="preserve"> 112</w:t>
      </w:r>
      <w:r>
        <w:rPr>
          <w:rFonts w:ascii="Calibri" w:hAnsi="Calibri"/>
          <w:color w:val="000000"/>
        </w:rPr>
        <w:t xml:space="preserve"> people</w:t>
      </w:r>
      <w:r w:rsidRPr="0063695E">
        <w:rPr>
          <w:rFonts w:ascii="Calibri" w:hAnsi="Calibri"/>
          <w:color w:val="000000"/>
        </w:rPr>
        <w:t>, as well as Mandarin</w:t>
      </w:r>
      <w:r>
        <w:rPr>
          <w:rFonts w:ascii="Calibri" w:hAnsi="Calibri"/>
          <w:color w:val="000000"/>
        </w:rPr>
        <w:t xml:space="preserve"> (numbering 50), Malay (46) and Hazaraghi (41).</w:t>
      </w:r>
    </w:p>
    <w:p w14:paraId="2BBCD892" w14:textId="72B2EBDB" w:rsidR="00403F90" w:rsidRPr="002B7D52" w:rsidRDefault="00403F90" w:rsidP="00403F90">
      <w:pPr>
        <w:tabs>
          <w:tab w:val="left" w:pos="284"/>
          <w:tab w:val="left" w:pos="5954"/>
        </w:tabs>
        <w:spacing w:after="0" w:line="240" w:lineRule="auto"/>
        <w:jc w:val="both"/>
        <w:rPr>
          <w:rFonts w:ascii="Calibri" w:hAnsi="Calibri"/>
          <w:color w:val="7F7F7F"/>
        </w:rPr>
      </w:pPr>
      <w:r w:rsidRPr="002B7D52">
        <w:rPr>
          <w:rFonts w:ascii="Calibri" w:hAnsi="Calibri"/>
          <w:b/>
        </w:rPr>
        <w:t>Educational Participation and Outcomes</w:t>
      </w:r>
    </w:p>
    <w:p w14:paraId="06CD2731" w14:textId="302BB521" w:rsidR="00403F90" w:rsidRDefault="00403F90" w:rsidP="00403F90">
      <w:pPr>
        <w:tabs>
          <w:tab w:val="left" w:pos="284"/>
        </w:tabs>
        <w:spacing w:after="0" w:line="360" w:lineRule="auto"/>
        <w:jc w:val="both"/>
        <w:rPr>
          <w:rFonts w:ascii="Calibri" w:hAnsi="Calibri"/>
        </w:rPr>
      </w:pPr>
      <w:r>
        <w:rPr>
          <w:rFonts w:ascii="Calibri" w:hAnsi="Calibri"/>
          <w:noProof/>
        </w:rPr>
        <w:drawing>
          <wp:anchor distT="0" distB="0" distL="114300" distR="114300" simplePos="0" relativeHeight="251664384" behindDoc="0" locked="0" layoutInCell="1" allowOverlap="1" wp14:anchorId="7ED46B1D" wp14:editId="112199D6">
            <wp:simplePos x="0" y="0"/>
            <wp:positionH relativeFrom="column">
              <wp:posOffset>32385</wp:posOffset>
            </wp:positionH>
            <wp:positionV relativeFrom="paragraph">
              <wp:posOffset>106680</wp:posOffset>
            </wp:positionV>
            <wp:extent cx="4300220" cy="3209925"/>
            <wp:effectExtent l="0" t="0" r="508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00220" cy="3209925"/>
                    </a:xfrm>
                    <a:prstGeom prst="rect">
                      <a:avLst/>
                    </a:prstGeom>
                    <a:noFill/>
                  </pic:spPr>
                </pic:pic>
              </a:graphicData>
            </a:graphic>
            <wp14:sizeRelH relativeFrom="page">
              <wp14:pctWidth>0</wp14:pctWidth>
            </wp14:sizeRelH>
            <wp14:sizeRelV relativeFrom="page">
              <wp14:pctHeight>0</wp14:pctHeight>
            </wp14:sizeRelV>
          </wp:anchor>
        </w:drawing>
      </w:r>
      <w:r w:rsidRPr="002B7D52">
        <w:rPr>
          <w:rFonts w:ascii="Calibri" w:hAnsi="Calibri"/>
        </w:rPr>
        <w:t>In 20</w:t>
      </w:r>
      <w:r>
        <w:rPr>
          <w:rFonts w:ascii="Calibri" w:hAnsi="Calibri"/>
        </w:rPr>
        <w:t>21</w:t>
      </w:r>
      <w:r w:rsidRPr="002B7D52">
        <w:rPr>
          <w:rFonts w:ascii="Calibri" w:hAnsi="Calibri"/>
        </w:rPr>
        <w:t xml:space="preserve">, </w:t>
      </w:r>
      <w:r>
        <w:rPr>
          <w:rFonts w:ascii="Calibri" w:hAnsi="Calibri"/>
        </w:rPr>
        <w:t>8.1</w:t>
      </w:r>
      <w:r w:rsidRPr="002B7D52">
        <w:rPr>
          <w:rFonts w:ascii="Calibri" w:hAnsi="Calibri"/>
        </w:rPr>
        <w:t xml:space="preserve">% of </w:t>
      </w:r>
      <w:r>
        <w:rPr>
          <w:rFonts w:ascii="Calibri" w:hAnsi="Calibri"/>
        </w:rPr>
        <w:t xml:space="preserve">local </w:t>
      </w:r>
      <w:r w:rsidRPr="002B7D52">
        <w:rPr>
          <w:rFonts w:ascii="Calibri" w:hAnsi="Calibri"/>
        </w:rPr>
        <w:t xml:space="preserve">20- to 24-year-olds had left school before </w:t>
      </w:r>
      <w:r>
        <w:rPr>
          <w:rFonts w:ascii="Calibri" w:hAnsi="Calibri"/>
        </w:rPr>
        <w:t xml:space="preserve">completing </w:t>
      </w:r>
      <w:r w:rsidRPr="002B7D52">
        <w:rPr>
          <w:rFonts w:ascii="Calibri" w:hAnsi="Calibri"/>
        </w:rPr>
        <w:t xml:space="preserve">year 11 </w:t>
      </w:r>
      <w:r>
        <w:rPr>
          <w:rFonts w:ascii="Calibri" w:hAnsi="Calibri"/>
        </w:rPr>
        <w:t xml:space="preserve">(‘left school early’) </w:t>
      </w:r>
      <w:r w:rsidRPr="002B7D52">
        <w:rPr>
          <w:rFonts w:ascii="Calibri" w:hAnsi="Calibri"/>
        </w:rPr>
        <w:t xml:space="preserve">- compared with </w:t>
      </w:r>
      <w:r>
        <w:rPr>
          <w:rFonts w:ascii="Calibri" w:hAnsi="Calibri"/>
        </w:rPr>
        <w:t>6.3</w:t>
      </w:r>
      <w:r w:rsidRPr="002B7D52">
        <w:rPr>
          <w:rFonts w:ascii="Calibri" w:hAnsi="Calibri"/>
        </w:rPr>
        <w:t xml:space="preserve">% across Melbourne. </w:t>
      </w:r>
    </w:p>
    <w:p w14:paraId="07654797" w14:textId="10D6A291" w:rsidR="00403F90" w:rsidRPr="00FD70FD" w:rsidRDefault="00403F90" w:rsidP="00403F90">
      <w:pPr>
        <w:tabs>
          <w:tab w:val="left" w:pos="284"/>
        </w:tabs>
        <w:spacing w:after="0" w:line="360" w:lineRule="auto"/>
        <w:jc w:val="both"/>
        <w:rPr>
          <w:rFonts w:ascii="Calibri" w:hAnsi="Calibri"/>
          <w:color w:val="7F7F7F"/>
          <w:sz w:val="10"/>
          <w:szCs w:val="10"/>
        </w:rPr>
      </w:pPr>
    </w:p>
    <w:p w14:paraId="53781597" w14:textId="03D81036" w:rsidR="00403F90" w:rsidRPr="002874B0" w:rsidRDefault="00403F90" w:rsidP="00403F90">
      <w:pPr>
        <w:tabs>
          <w:tab w:val="left" w:pos="284"/>
        </w:tabs>
        <w:spacing w:after="0" w:line="240" w:lineRule="auto"/>
        <w:jc w:val="both"/>
        <w:rPr>
          <w:rFonts w:ascii="Calibri" w:hAnsi="Calibri"/>
          <w:color w:val="7F7F7F"/>
          <w:sz w:val="20"/>
          <w:szCs w:val="20"/>
        </w:rPr>
      </w:pPr>
      <w:r w:rsidRPr="002874B0">
        <w:rPr>
          <w:rFonts w:ascii="Calibri" w:hAnsi="Calibri"/>
          <w:color w:val="7F7F7F"/>
          <w:sz w:val="20"/>
          <w:szCs w:val="20"/>
        </w:rPr>
        <w:t xml:space="preserve">Per cent of 20-24 year-olds who had </w:t>
      </w:r>
      <w:r>
        <w:rPr>
          <w:rFonts w:ascii="Calibri" w:hAnsi="Calibri"/>
          <w:color w:val="7F7F7F"/>
          <w:sz w:val="20"/>
          <w:szCs w:val="20"/>
        </w:rPr>
        <w:t>l</w:t>
      </w:r>
      <w:r w:rsidRPr="002874B0">
        <w:rPr>
          <w:rFonts w:ascii="Calibri" w:hAnsi="Calibri"/>
          <w:color w:val="7F7F7F"/>
          <w:sz w:val="20"/>
          <w:szCs w:val="20"/>
        </w:rPr>
        <w:t xml:space="preserve">eft </w:t>
      </w:r>
      <w:r>
        <w:rPr>
          <w:rFonts w:ascii="Calibri" w:hAnsi="Calibri"/>
          <w:color w:val="7F7F7F"/>
          <w:sz w:val="20"/>
          <w:szCs w:val="20"/>
        </w:rPr>
        <w:t>s</w:t>
      </w:r>
      <w:r w:rsidRPr="002874B0">
        <w:rPr>
          <w:rFonts w:ascii="Calibri" w:hAnsi="Calibri"/>
          <w:color w:val="7F7F7F"/>
          <w:sz w:val="20"/>
          <w:szCs w:val="20"/>
        </w:rPr>
        <w:t xml:space="preserve">chool before </w:t>
      </w:r>
    </w:p>
    <w:p w14:paraId="40E1225D" w14:textId="5970E724" w:rsidR="00403F90" w:rsidRPr="002B7D52" w:rsidRDefault="00403F90" w:rsidP="00403F90">
      <w:pPr>
        <w:tabs>
          <w:tab w:val="left" w:pos="284"/>
          <w:tab w:val="left" w:pos="5954"/>
        </w:tabs>
        <w:spacing w:after="0" w:line="240" w:lineRule="auto"/>
        <w:jc w:val="both"/>
        <w:rPr>
          <w:rFonts w:ascii="Calibri" w:hAnsi="Calibri"/>
          <w:color w:val="7F7F7F"/>
        </w:rPr>
      </w:pPr>
      <w:r>
        <w:rPr>
          <w:noProof/>
          <w:lang w:eastAsia="en-AU"/>
        </w:rPr>
        <w:drawing>
          <wp:anchor distT="140208" distB="332359" distL="242316" distR="459232" simplePos="0" relativeHeight="251667456" behindDoc="0" locked="0" layoutInCell="1" allowOverlap="1" wp14:anchorId="3E5615F7" wp14:editId="17591462">
            <wp:simplePos x="0" y="0"/>
            <wp:positionH relativeFrom="column">
              <wp:posOffset>2655616</wp:posOffset>
            </wp:positionH>
            <wp:positionV relativeFrom="paragraph">
              <wp:posOffset>3268</wp:posOffset>
            </wp:positionV>
            <wp:extent cx="1612900" cy="1070610"/>
            <wp:effectExtent l="0" t="0" r="6350" b="0"/>
            <wp:wrapNone/>
            <wp:docPr id="30" name="Picture 176" descr="edu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6" descr="education.jpg"/>
                    <pic:cNvPicPr/>
                  </pic:nvPicPr>
                  <pic:blipFill>
                    <a:blip r:embed="rId18" cstate="print"/>
                    <a:stretch>
                      <a:fillRect/>
                    </a:stretch>
                  </pic:blipFill>
                  <pic:spPr>
                    <a:xfrm>
                      <a:off x="0" y="0"/>
                      <a:ext cx="1612900" cy="10706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color w:val="7F7F7F"/>
          <w:sz w:val="20"/>
          <w:szCs w:val="20"/>
        </w:rPr>
        <w:t>c</w:t>
      </w:r>
      <w:r w:rsidRPr="002874B0">
        <w:rPr>
          <w:rFonts w:ascii="Calibri" w:hAnsi="Calibri"/>
          <w:color w:val="7F7F7F"/>
          <w:sz w:val="20"/>
          <w:szCs w:val="20"/>
        </w:rPr>
        <w:t>ompleting Year 11: Greater Dandenong, 20</w:t>
      </w:r>
      <w:r>
        <w:rPr>
          <w:rFonts w:ascii="Calibri" w:hAnsi="Calibri"/>
          <w:color w:val="7F7F7F"/>
          <w:sz w:val="20"/>
          <w:szCs w:val="20"/>
        </w:rPr>
        <w:t>21</w:t>
      </w:r>
    </w:p>
    <w:p w14:paraId="17F021D4" w14:textId="7061D58F" w:rsidR="00403F90" w:rsidRPr="00FD70FD" w:rsidRDefault="00403F90" w:rsidP="00403F90">
      <w:pPr>
        <w:tabs>
          <w:tab w:val="left" w:pos="284"/>
        </w:tabs>
        <w:spacing w:after="0" w:line="360" w:lineRule="auto"/>
        <w:jc w:val="both"/>
        <w:rPr>
          <w:rFonts w:ascii="Calibri" w:hAnsi="Calibri"/>
          <w:sz w:val="10"/>
          <w:szCs w:val="10"/>
        </w:rPr>
      </w:pPr>
    </w:p>
    <w:p w14:paraId="724E85E6" w14:textId="61300AE1" w:rsidR="00403F90" w:rsidRPr="002B7D52" w:rsidRDefault="00403F90" w:rsidP="00403F90">
      <w:pPr>
        <w:tabs>
          <w:tab w:val="left" w:pos="284"/>
        </w:tabs>
        <w:spacing w:after="0" w:line="360" w:lineRule="auto"/>
        <w:jc w:val="both"/>
        <w:rPr>
          <w:rFonts w:ascii="Calibri" w:hAnsi="Calibri"/>
        </w:rPr>
      </w:pPr>
      <w:r>
        <w:rPr>
          <w:rFonts w:ascii="Calibri" w:hAnsi="Calibri"/>
        </w:rPr>
        <w:t>Early school leavers included one-fifth of young adults from Burma, Samoa, Thailand, Malaysia, Afghanistan and Iraq</w:t>
      </w:r>
      <w:r w:rsidRPr="002B7D52">
        <w:rPr>
          <w:rFonts w:ascii="Calibri" w:hAnsi="Calibri"/>
        </w:rPr>
        <w:t xml:space="preserve">, compared with </w:t>
      </w:r>
      <w:r>
        <w:rPr>
          <w:rFonts w:ascii="Calibri" w:hAnsi="Calibri"/>
        </w:rPr>
        <w:t>less than one in ten</w:t>
      </w:r>
      <w:r w:rsidRPr="002B7D52">
        <w:rPr>
          <w:rFonts w:ascii="Calibri" w:hAnsi="Calibri"/>
        </w:rPr>
        <w:t xml:space="preserve"> from Australia, and </w:t>
      </w:r>
      <w:r>
        <w:rPr>
          <w:rFonts w:ascii="Calibri" w:hAnsi="Calibri"/>
        </w:rPr>
        <w:t>one in twenty</w:t>
      </w:r>
      <w:r w:rsidRPr="002B7D52">
        <w:rPr>
          <w:rFonts w:ascii="Calibri" w:hAnsi="Calibri"/>
        </w:rPr>
        <w:t xml:space="preserve"> from </w:t>
      </w:r>
      <w:r>
        <w:rPr>
          <w:rFonts w:ascii="Calibri" w:hAnsi="Calibri"/>
        </w:rPr>
        <w:t>Philippines, China, Vietnam and India</w:t>
      </w:r>
      <w:r w:rsidRPr="002B7D52">
        <w:rPr>
          <w:rFonts w:ascii="Calibri" w:hAnsi="Calibri"/>
        </w:rPr>
        <w:t>.</w:t>
      </w:r>
    </w:p>
    <w:p w14:paraId="4973B81F" w14:textId="73C53DE7" w:rsidR="00403F90" w:rsidRDefault="00403F90" w:rsidP="00403F90">
      <w:pPr>
        <w:tabs>
          <w:tab w:val="left" w:pos="284"/>
        </w:tabs>
        <w:spacing w:after="0" w:line="360" w:lineRule="auto"/>
        <w:jc w:val="both"/>
        <w:rPr>
          <w:rFonts w:ascii="Calibri" w:hAnsi="Calibri"/>
        </w:rPr>
      </w:pPr>
      <w:r>
        <w:rPr>
          <w:rFonts w:ascii="Calibri" w:hAnsi="Calibri"/>
        </w:rPr>
        <w:t>Nearly a third (</w:t>
      </w:r>
      <w:r w:rsidRPr="002B7D52">
        <w:rPr>
          <w:rFonts w:ascii="Calibri" w:hAnsi="Calibri"/>
        </w:rPr>
        <w:t>3</w:t>
      </w:r>
      <w:r>
        <w:rPr>
          <w:rFonts w:ascii="Calibri" w:hAnsi="Calibri"/>
        </w:rPr>
        <w:t>2</w:t>
      </w:r>
      <w:r w:rsidRPr="002B7D52">
        <w:rPr>
          <w:rFonts w:ascii="Calibri" w:hAnsi="Calibri"/>
        </w:rPr>
        <w:t>%</w:t>
      </w:r>
      <w:r>
        <w:rPr>
          <w:rFonts w:ascii="Calibri" w:hAnsi="Calibri"/>
        </w:rPr>
        <w:t>)</w:t>
      </w:r>
      <w:r w:rsidRPr="002B7D52">
        <w:rPr>
          <w:rFonts w:ascii="Calibri" w:hAnsi="Calibri"/>
        </w:rPr>
        <w:t xml:space="preserve"> of </w:t>
      </w:r>
      <w:r>
        <w:rPr>
          <w:rFonts w:ascii="Calibri" w:hAnsi="Calibri"/>
        </w:rPr>
        <w:t>20-24</w:t>
      </w:r>
      <w:r w:rsidRPr="002B7D52">
        <w:rPr>
          <w:rFonts w:ascii="Calibri" w:hAnsi="Calibri"/>
        </w:rPr>
        <w:t xml:space="preserve"> year-olds in Greater Dandenong </w:t>
      </w:r>
      <w:r>
        <w:rPr>
          <w:rFonts w:ascii="Calibri" w:hAnsi="Calibri"/>
        </w:rPr>
        <w:t xml:space="preserve">were </w:t>
      </w:r>
      <w:r w:rsidRPr="002B7D52">
        <w:rPr>
          <w:rFonts w:ascii="Calibri" w:hAnsi="Calibri"/>
        </w:rPr>
        <w:t>attending university and other tertiary institutions</w:t>
      </w:r>
      <w:r>
        <w:rPr>
          <w:rFonts w:ascii="Calibri" w:hAnsi="Calibri"/>
        </w:rPr>
        <w:t xml:space="preserve"> in 2021 (a rise from 20% in 2006)</w:t>
      </w:r>
      <w:r w:rsidRPr="002B7D52">
        <w:rPr>
          <w:rFonts w:ascii="Calibri" w:hAnsi="Calibri"/>
        </w:rPr>
        <w:t xml:space="preserve">, compared with </w:t>
      </w:r>
      <w:r>
        <w:rPr>
          <w:rFonts w:ascii="Calibri" w:hAnsi="Calibri"/>
        </w:rPr>
        <w:t>38</w:t>
      </w:r>
      <w:r w:rsidRPr="002B7D52">
        <w:rPr>
          <w:rFonts w:ascii="Calibri" w:hAnsi="Calibri"/>
        </w:rPr>
        <w:t>% of those across Melbourne.</w:t>
      </w:r>
      <w:r>
        <w:rPr>
          <w:rFonts w:ascii="Calibri" w:hAnsi="Calibri"/>
        </w:rPr>
        <w:t xml:space="preserve"> By contrast, 12% of young adults of this age from Greater Dandenong were attending TAFE institutions, compared with 9.3% of those across Melbourne.</w:t>
      </w:r>
    </w:p>
    <w:p w14:paraId="776B68EE" w14:textId="29CC2699" w:rsidR="00403F90" w:rsidRPr="005D1989" w:rsidRDefault="00403F90" w:rsidP="00403F90">
      <w:pPr>
        <w:tabs>
          <w:tab w:val="left" w:pos="4395"/>
        </w:tabs>
        <w:spacing w:after="0" w:line="240" w:lineRule="auto"/>
        <w:jc w:val="both"/>
        <w:rPr>
          <w:rFonts w:ascii="Calibri" w:hAnsi="Calibri"/>
          <w:color w:val="7F7F7F" w:themeColor="text1" w:themeTint="80"/>
          <w:sz w:val="20"/>
          <w:szCs w:val="20"/>
        </w:rPr>
      </w:pPr>
      <w:r>
        <w:rPr>
          <w:rFonts w:ascii="Calibri" w:hAnsi="Calibri"/>
          <w:b/>
        </w:rPr>
        <w:tab/>
      </w:r>
      <w:r w:rsidRPr="005D1989">
        <w:rPr>
          <w:rFonts w:ascii="Calibri" w:hAnsi="Calibri"/>
          <w:color w:val="7F7F7F" w:themeColor="text1" w:themeTint="80"/>
          <w:sz w:val="20"/>
          <w:szCs w:val="20"/>
        </w:rPr>
        <w:t>Disengagement</w:t>
      </w:r>
      <w:r>
        <w:rPr>
          <w:rFonts w:ascii="Calibri" w:hAnsi="Calibri"/>
          <w:color w:val="7F7F7F" w:themeColor="text1" w:themeTint="80"/>
          <w:sz w:val="20"/>
          <w:szCs w:val="20"/>
        </w:rPr>
        <w:t xml:space="preserve"> of 20-24 year-olds</w:t>
      </w:r>
      <w:r w:rsidRPr="005D1989">
        <w:rPr>
          <w:rFonts w:ascii="Calibri" w:hAnsi="Calibri"/>
          <w:color w:val="7F7F7F" w:themeColor="text1" w:themeTint="80"/>
          <w:sz w:val="20"/>
          <w:szCs w:val="20"/>
        </w:rPr>
        <w:t xml:space="preserve"> by age and gender: Greater </w:t>
      </w:r>
    </w:p>
    <w:p w14:paraId="6EA57356" w14:textId="768B4C63" w:rsidR="00403F90" w:rsidRPr="005D1989" w:rsidRDefault="00403F90" w:rsidP="00403F90">
      <w:pPr>
        <w:tabs>
          <w:tab w:val="left" w:pos="284"/>
          <w:tab w:val="left" w:pos="4395"/>
        </w:tabs>
        <w:spacing w:after="0" w:line="240" w:lineRule="auto"/>
        <w:jc w:val="both"/>
        <w:rPr>
          <w:rFonts w:ascii="Calibri" w:hAnsi="Calibri"/>
          <w:sz w:val="20"/>
          <w:szCs w:val="20"/>
        </w:rPr>
      </w:pPr>
      <w:r>
        <w:rPr>
          <w:rFonts w:ascii="Calibri" w:hAnsi="Calibri"/>
          <w:b/>
        </w:rPr>
        <w:t xml:space="preserve">Youth Disengagement </w:t>
      </w:r>
      <w:r>
        <w:rPr>
          <w:rFonts w:ascii="Calibri" w:hAnsi="Calibri"/>
          <w:b/>
        </w:rPr>
        <w:tab/>
      </w:r>
      <w:r w:rsidRPr="005D1989">
        <w:rPr>
          <w:rFonts w:ascii="Calibri" w:hAnsi="Calibri"/>
          <w:color w:val="7F7F7F" w:themeColor="text1" w:themeTint="80"/>
          <w:sz w:val="20"/>
          <w:szCs w:val="20"/>
        </w:rPr>
        <w:t>Dandenong and metro. Melbourne 20</w:t>
      </w:r>
      <w:r>
        <w:rPr>
          <w:rFonts w:ascii="Calibri" w:hAnsi="Calibri"/>
          <w:color w:val="7F7F7F" w:themeColor="text1" w:themeTint="80"/>
          <w:sz w:val="20"/>
          <w:szCs w:val="20"/>
        </w:rPr>
        <w:t>21</w:t>
      </w:r>
    </w:p>
    <w:p w14:paraId="5C469444" w14:textId="17D092AD" w:rsidR="00403F90" w:rsidRPr="008E29A2" w:rsidRDefault="00403F90" w:rsidP="00403F90">
      <w:pPr>
        <w:tabs>
          <w:tab w:val="left" w:pos="284"/>
        </w:tabs>
        <w:spacing w:after="0" w:line="360" w:lineRule="auto"/>
        <w:jc w:val="both"/>
        <w:rPr>
          <w:rFonts w:ascii="Calibri" w:eastAsia="Calibri" w:hAnsi="Calibri"/>
        </w:rPr>
      </w:pPr>
      <w:r>
        <w:rPr>
          <w:rFonts w:ascii="Calibri" w:eastAsia="Calibri" w:hAnsi="Calibri"/>
          <w:noProof/>
        </w:rPr>
        <w:drawing>
          <wp:anchor distT="0" distB="0" distL="114300" distR="114300" simplePos="0" relativeHeight="251669504" behindDoc="0" locked="0" layoutInCell="1" allowOverlap="1" wp14:anchorId="0BEC26D0" wp14:editId="3797A89A">
            <wp:simplePos x="0" y="0"/>
            <wp:positionH relativeFrom="margin">
              <wp:align>right</wp:align>
            </wp:positionH>
            <wp:positionV relativeFrom="paragraph">
              <wp:posOffset>23433</wp:posOffset>
            </wp:positionV>
            <wp:extent cx="3179445" cy="2249805"/>
            <wp:effectExtent l="0" t="0" r="190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79445" cy="224980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rPr>
        <w:t>Counting the number of young people who are not in paid work or enrolled in education</w:t>
      </w:r>
      <w:r w:rsidRPr="008E29A2">
        <w:rPr>
          <w:rFonts w:ascii="Calibri" w:eastAsia="Calibri" w:hAnsi="Calibri"/>
        </w:rPr>
        <w:t xml:space="preserve"> </w:t>
      </w:r>
      <w:r>
        <w:rPr>
          <w:rFonts w:ascii="Calibri" w:eastAsia="Calibri" w:hAnsi="Calibri"/>
        </w:rPr>
        <w:t>– termed ‘disengagement’ – gauges</w:t>
      </w:r>
      <w:r w:rsidRPr="008E29A2">
        <w:rPr>
          <w:rFonts w:ascii="Calibri" w:eastAsia="Calibri" w:hAnsi="Calibri"/>
        </w:rPr>
        <w:t xml:space="preserve"> the overall educational and economic advancement of young people in the community.</w:t>
      </w:r>
    </w:p>
    <w:p w14:paraId="1AB2CF72" w14:textId="77777777" w:rsidR="00403F90" w:rsidRDefault="00403F90" w:rsidP="00403F90">
      <w:pPr>
        <w:tabs>
          <w:tab w:val="left" w:pos="284"/>
        </w:tabs>
        <w:spacing w:after="0" w:line="360" w:lineRule="auto"/>
        <w:jc w:val="both"/>
        <w:rPr>
          <w:rFonts w:ascii="Calibri" w:hAnsi="Calibri"/>
        </w:rPr>
      </w:pPr>
      <w:r w:rsidRPr="00460985">
        <w:rPr>
          <w:rFonts w:ascii="Calibri" w:hAnsi="Calibri"/>
        </w:rPr>
        <w:t>In 20</w:t>
      </w:r>
      <w:r>
        <w:rPr>
          <w:rFonts w:ascii="Calibri" w:hAnsi="Calibri"/>
        </w:rPr>
        <w:t>21</w:t>
      </w:r>
      <w:r w:rsidRPr="00460985">
        <w:rPr>
          <w:rFonts w:ascii="Calibri" w:hAnsi="Calibri"/>
        </w:rPr>
        <w:t xml:space="preserve">, the Census found that </w:t>
      </w:r>
      <w:r>
        <w:rPr>
          <w:rFonts w:ascii="Calibri" w:hAnsi="Calibri"/>
        </w:rPr>
        <w:t xml:space="preserve">1,900 </w:t>
      </w:r>
      <w:r w:rsidRPr="00460985">
        <w:rPr>
          <w:rFonts w:ascii="Calibri" w:hAnsi="Calibri"/>
        </w:rPr>
        <w:t>15-24 year-olds in Greater Dandenong were neither employed nor enrolled in education</w:t>
      </w:r>
      <w:r>
        <w:rPr>
          <w:rFonts w:ascii="Calibri" w:hAnsi="Calibri"/>
        </w:rPr>
        <w:t xml:space="preserve">. The proportion of young people who were disengaged rose with age from 6.1% of 15-19 year-olds, to 13.2% among those aged 20-24 years. </w:t>
      </w:r>
    </w:p>
    <w:p w14:paraId="58CCFA9D" w14:textId="77777777" w:rsidR="00403F90" w:rsidRPr="0085463C" w:rsidRDefault="00403F90" w:rsidP="00403F90">
      <w:pPr>
        <w:tabs>
          <w:tab w:val="left" w:pos="284"/>
        </w:tabs>
        <w:spacing w:after="0" w:line="360" w:lineRule="auto"/>
        <w:jc w:val="both"/>
        <w:rPr>
          <w:rFonts w:ascii="Calibri" w:hAnsi="Calibri"/>
          <w:i/>
        </w:rPr>
      </w:pPr>
      <w:r w:rsidRPr="0085463C">
        <w:rPr>
          <w:rFonts w:ascii="Calibri" w:hAnsi="Calibri"/>
          <w:i/>
        </w:rPr>
        <w:lastRenderedPageBreak/>
        <w:t>Disengagement and Gender</w:t>
      </w:r>
    </w:p>
    <w:p w14:paraId="4AB74DB3" w14:textId="77777777" w:rsidR="00403F90" w:rsidRDefault="00403F90" w:rsidP="00403F90">
      <w:pPr>
        <w:tabs>
          <w:tab w:val="left" w:pos="284"/>
        </w:tabs>
        <w:spacing w:after="0" w:line="360" w:lineRule="auto"/>
        <w:jc w:val="both"/>
        <w:rPr>
          <w:rFonts w:ascii="Calibri" w:hAnsi="Calibri"/>
        </w:rPr>
      </w:pPr>
      <w:r>
        <w:rPr>
          <w:rFonts w:ascii="Calibri" w:hAnsi="Calibri"/>
        </w:rPr>
        <w:t xml:space="preserve">In 2021 rates of disengagement among 20-24 year-olds stood at 12.9% among males and 13.6% among females. The difference is almost entirely due to the high rate of disengagement among young women with children. </w:t>
      </w:r>
    </w:p>
    <w:p w14:paraId="752C9EBF" w14:textId="77777777" w:rsidR="00403F90" w:rsidRDefault="00403F90" w:rsidP="00403F90">
      <w:pPr>
        <w:tabs>
          <w:tab w:val="left" w:pos="284"/>
        </w:tabs>
        <w:spacing w:after="0" w:line="360" w:lineRule="auto"/>
        <w:jc w:val="both"/>
        <w:rPr>
          <w:rFonts w:ascii="Calibri" w:hAnsi="Calibri"/>
          <w:i/>
        </w:rPr>
      </w:pPr>
      <w:r w:rsidRPr="0085463C">
        <w:rPr>
          <w:rFonts w:ascii="Calibri" w:hAnsi="Calibri"/>
          <w:i/>
        </w:rPr>
        <w:t>Disengagement and Birthplace</w:t>
      </w:r>
    </w:p>
    <w:p w14:paraId="4BD2F39B" w14:textId="77777777" w:rsidR="00403F90" w:rsidRDefault="00403F90" w:rsidP="00403F90">
      <w:pPr>
        <w:tabs>
          <w:tab w:val="left" w:pos="284"/>
        </w:tabs>
        <w:spacing w:after="0" w:line="360" w:lineRule="auto"/>
        <w:jc w:val="both"/>
        <w:rPr>
          <w:rFonts w:ascii="Calibri" w:hAnsi="Calibri"/>
        </w:rPr>
      </w:pPr>
      <w:r>
        <w:rPr>
          <w:rFonts w:ascii="Calibri" w:hAnsi="Calibri"/>
        </w:rPr>
        <w:t>In 2021, the rate</w:t>
      </w:r>
      <w:r w:rsidRPr="002004D1">
        <w:rPr>
          <w:rFonts w:ascii="Calibri" w:hAnsi="Calibri"/>
        </w:rPr>
        <w:t xml:space="preserve"> of disengagement</w:t>
      </w:r>
      <w:r>
        <w:rPr>
          <w:rFonts w:ascii="Calibri" w:hAnsi="Calibri"/>
        </w:rPr>
        <w:t xml:space="preserve"> in Greater Dandenong</w:t>
      </w:r>
      <w:r w:rsidRPr="002004D1">
        <w:rPr>
          <w:rFonts w:ascii="Calibri" w:hAnsi="Calibri"/>
        </w:rPr>
        <w:t xml:space="preserve"> </w:t>
      </w:r>
      <w:r>
        <w:rPr>
          <w:rFonts w:ascii="Calibri" w:hAnsi="Calibri"/>
        </w:rPr>
        <w:t>was</w:t>
      </w:r>
      <w:r w:rsidRPr="002004D1">
        <w:rPr>
          <w:rFonts w:ascii="Calibri" w:hAnsi="Calibri"/>
        </w:rPr>
        <w:t xml:space="preserve"> </w:t>
      </w:r>
      <w:r>
        <w:rPr>
          <w:rFonts w:ascii="Calibri" w:hAnsi="Calibri"/>
        </w:rPr>
        <w:t>14.5</w:t>
      </w:r>
      <w:r w:rsidRPr="002004D1">
        <w:rPr>
          <w:rFonts w:ascii="Calibri" w:hAnsi="Calibri"/>
        </w:rPr>
        <w:t>% amo</w:t>
      </w:r>
      <w:r>
        <w:rPr>
          <w:rFonts w:ascii="Calibri" w:hAnsi="Calibri"/>
        </w:rPr>
        <w:t>ng Australian-born young people, rising</w:t>
      </w:r>
      <w:r w:rsidRPr="002004D1">
        <w:rPr>
          <w:rFonts w:ascii="Calibri" w:hAnsi="Calibri"/>
        </w:rPr>
        <w:t xml:space="preserve"> to </w:t>
      </w:r>
      <w:r>
        <w:rPr>
          <w:rFonts w:ascii="Calibri" w:hAnsi="Calibri"/>
        </w:rPr>
        <w:t>2</w:t>
      </w:r>
      <w:r w:rsidRPr="002004D1">
        <w:rPr>
          <w:rFonts w:ascii="Calibri" w:hAnsi="Calibri"/>
        </w:rPr>
        <w:t xml:space="preserve">0% or more among those from </w:t>
      </w:r>
      <w:r>
        <w:rPr>
          <w:rFonts w:ascii="Calibri" w:hAnsi="Calibri"/>
        </w:rPr>
        <w:t>Burma, Thailand, Iran, Afghanistan and Malaysia.</w:t>
      </w:r>
    </w:p>
    <w:p w14:paraId="76D862A3" w14:textId="77777777" w:rsidR="00403F90" w:rsidRPr="00683BA7" w:rsidRDefault="00403F90" w:rsidP="00403F90">
      <w:pPr>
        <w:tabs>
          <w:tab w:val="left" w:pos="284"/>
        </w:tabs>
        <w:spacing w:after="0" w:line="360" w:lineRule="auto"/>
        <w:jc w:val="both"/>
        <w:rPr>
          <w:rFonts w:ascii="Calibri" w:hAnsi="Calibri"/>
          <w:sz w:val="12"/>
          <w:szCs w:val="12"/>
        </w:rPr>
      </w:pPr>
    </w:p>
    <w:p w14:paraId="664D058B" w14:textId="77777777" w:rsidR="00403F90" w:rsidRPr="00683BA7" w:rsidRDefault="00403F90" w:rsidP="00403F90">
      <w:pPr>
        <w:tabs>
          <w:tab w:val="left" w:pos="284"/>
        </w:tabs>
        <w:spacing w:after="0" w:line="360" w:lineRule="auto"/>
        <w:jc w:val="both"/>
        <w:rPr>
          <w:rFonts w:ascii="Calibri" w:hAnsi="Calibri"/>
          <w:color w:val="7F7F7F" w:themeColor="text1" w:themeTint="80"/>
          <w:sz w:val="20"/>
          <w:szCs w:val="20"/>
        </w:rPr>
      </w:pPr>
      <w:r w:rsidRPr="005D1989">
        <w:rPr>
          <w:rFonts w:ascii="Calibri" w:hAnsi="Calibri"/>
          <w:color w:val="7F7F7F" w:themeColor="text1" w:themeTint="80"/>
          <w:sz w:val="20"/>
          <w:szCs w:val="20"/>
        </w:rPr>
        <w:t>Disengagement rates by birthplace, Greater Dandenong, 20</w:t>
      </w:r>
      <w:r>
        <w:rPr>
          <w:rFonts w:ascii="Calibri" w:hAnsi="Calibri"/>
          <w:color w:val="7F7F7F" w:themeColor="text1" w:themeTint="80"/>
          <w:sz w:val="20"/>
          <w:szCs w:val="20"/>
        </w:rPr>
        <w:t>21</w:t>
      </w:r>
    </w:p>
    <w:tbl>
      <w:tblPr>
        <w:tblW w:w="4480" w:type="dxa"/>
        <w:tblInd w:w="108" w:type="dxa"/>
        <w:tblLook w:val="04A0" w:firstRow="1" w:lastRow="0" w:firstColumn="1" w:lastColumn="0" w:noHBand="0" w:noVBand="1"/>
      </w:tblPr>
      <w:tblGrid>
        <w:gridCol w:w="1480"/>
        <w:gridCol w:w="1500"/>
        <w:gridCol w:w="1500"/>
      </w:tblGrid>
      <w:tr w:rsidR="00403F90" w:rsidRPr="0063695E" w14:paraId="2EF7023C" w14:textId="77777777" w:rsidTr="009C45A2">
        <w:trPr>
          <w:trHeight w:val="295"/>
        </w:trPr>
        <w:tc>
          <w:tcPr>
            <w:tcW w:w="1480" w:type="dxa"/>
            <w:tcBorders>
              <w:top w:val="nil"/>
              <w:left w:val="nil"/>
              <w:bottom w:val="nil"/>
              <w:right w:val="nil"/>
            </w:tcBorders>
            <w:shd w:val="clear" w:color="000000" w:fill="D9E1F2"/>
            <w:noWrap/>
            <w:vAlign w:val="bottom"/>
            <w:hideMark/>
          </w:tcPr>
          <w:p w14:paraId="33DA88ED"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 </w:t>
            </w:r>
          </w:p>
        </w:tc>
        <w:tc>
          <w:tcPr>
            <w:tcW w:w="1500" w:type="dxa"/>
            <w:tcBorders>
              <w:top w:val="nil"/>
              <w:left w:val="nil"/>
              <w:bottom w:val="nil"/>
              <w:right w:val="nil"/>
            </w:tcBorders>
            <w:shd w:val="clear" w:color="000000" w:fill="D9E1F2"/>
            <w:noWrap/>
            <w:vAlign w:val="bottom"/>
            <w:hideMark/>
          </w:tcPr>
          <w:p w14:paraId="61C3C75C" w14:textId="77777777" w:rsidR="00403F90" w:rsidRPr="0063695E" w:rsidRDefault="00403F90" w:rsidP="00403F90">
            <w:pPr>
              <w:spacing w:after="0" w:line="240" w:lineRule="auto"/>
              <w:jc w:val="center"/>
              <w:rPr>
                <w:rFonts w:ascii="Calibri" w:hAnsi="Calibri" w:cs="Calibri"/>
                <w:b/>
                <w:bCs/>
                <w:color w:val="000000"/>
                <w:sz w:val="18"/>
                <w:szCs w:val="18"/>
                <w:lang w:val="en-US"/>
              </w:rPr>
            </w:pPr>
            <w:r w:rsidRPr="0063695E">
              <w:rPr>
                <w:rFonts w:ascii="Calibri" w:hAnsi="Calibri" w:cs="Calibri"/>
                <w:b/>
                <w:bCs/>
                <w:color w:val="000000"/>
                <w:sz w:val="18"/>
                <w:szCs w:val="18"/>
                <w:lang w:val="en-US"/>
              </w:rPr>
              <w:t>No. disengaged</w:t>
            </w:r>
          </w:p>
        </w:tc>
        <w:tc>
          <w:tcPr>
            <w:tcW w:w="1500" w:type="dxa"/>
            <w:tcBorders>
              <w:top w:val="nil"/>
              <w:left w:val="nil"/>
              <w:bottom w:val="nil"/>
              <w:right w:val="nil"/>
            </w:tcBorders>
            <w:shd w:val="clear" w:color="000000" w:fill="D9E1F2"/>
            <w:noWrap/>
            <w:vAlign w:val="bottom"/>
            <w:hideMark/>
          </w:tcPr>
          <w:p w14:paraId="2EC3F767" w14:textId="77777777" w:rsidR="00403F90" w:rsidRPr="0063695E" w:rsidRDefault="00403F90" w:rsidP="00403F90">
            <w:pPr>
              <w:spacing w:after="0" w:line="240" w:lineRule="auto"/>
              <w:jc w:val="center"/>
              <w:rPr>
                <w:rFonts w:ascii="Calibri" w:hAnsi="Calibri" w:cs="Calibri"/>
                <w:b/>
                <w:bCs/>
                <w:color w:val="000000"/>
                <w:sz w:val="18"/>
                <w:szCs w:val="18"/>
                <w:lang w:val="en-US"/>
              </w:rPr>
            </w:pPr>
            <w:r w:rsidRPr="0063695E">
              <w:rPr>
                <w:rFonts w:ascii="Calibri" w:hAnsi="Calibri" w:cs="Calibri"/>
                <w:b/>
                <w:bCs/>
                <w:color w:val="000000"/>
                <w:sz w:val="18"/>
                <w:szCs w:val="18"/>
                <w:lang w:val="en-US"/>
              </w:rPr>
              <w:t>% disengaged</w:t>
            </w:r>
          </w:p>
        </w:tc>
      </w:tr>
      <w:tr w:rsidR="00403F90" w:rsidRPr="0063695E" w14:paraId="00FE9F9F" w14:textId="77777777" w:rsidTr="009C45A2">
        <w:trPr>
          <w:trHeight w:val="295"/>
        </w:trPr>
        <w:tc>
          <w:tcPr>
            <w:tcW w:w="1480" w:type="dxa"/>
            <w:tcBorders>
              <w:top w:val="single" w:sz="4" w:space="0" w:color="auto"/>
              <w:left w:val="nil"/>
              <w:bottom w:val="single" w:sz="4" w:space="0" w:color="auto"/>
              <w:right w:val="nil"/>
            </w:tcBorders>
            <w:shd w:val="clear" w:color="auto" w:fill="auto"/>
            <w:noWrap/>
            <w:vAlign w:val="bottom"/>
            <w:hideMark/>
          </w:tcPr>
          <w:p w14:paraId="551D8D24"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Burma</w:t>
            </w:r>
          </w:p>
        </w:tc>
        <w:tc>
          <w:tcPr>
            <w:tcW w:w="1500" w:type="dxa"/>
            <w:tcBorders>
              <w:top w:val="single" w:sz="4" w:space="0" w:color="auto"/>
              <w:left w:val="nil"/>
              <w:bottom w:val="single" w:sz="4" w:space="0" w:color="auto"/>
              <w:right w:val="nil"/>
            </w:tcBorders>
            <w:shd w:val="clear" w:color="auto" w:fill="auto"/>
            <w:noWrap/>
            <w:vAlign w:val="bottom"/>
            <w:hideMark/>
          </w:tcPr>
          <w:p w14:paraId="69BC73A5"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21</w:t>
            </w:r>
          </w:p>
        </w:tc>
        <w:tc>
          <w:tcPr>
            <w:tcW w:w="1500" w:type="dxa"/>
            <w:tcBorders>
              <w:top w:val="single" w:sz="4" w:space="0" w:color="auto"/>
              <w:left w:val="nil"/>
              <w:bottom w:val="single" w:sz="4" w:space="0" w:color="auto"/>
              <w:right w:val="nil"/>
            </w:tcBorders>
            <w:shd w:val="clear" w:color="auto" w:fill="auto"/>
            <w:noWrap/>
            <w:vAlign w:val="bottom"/>
            <w:hideMark/>
          </w:tcPr>
          <w:p w14:paraId="7DAD6B69"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39.6</w:t>
            </w:r>
          </w:p>
        </w:tc>
      </w:tr>
      <w:tr w:rsidR="00403F90" w:rsidRPr="0063695E" w14:paraId="4BD9B19A"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433E4FA2"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Thailand</w:t>
            </w:r>
          </w:p>
        </w:tc>
        <w:tc>
          <w:tcPr>
            <w:tcW w:w="1500" w:type="dxa"/>
            <w:tcBorders>
              <w:top w:val="nil"/>
              <w:left w:val="nil"/>
              <w:bottom w:val="single" w:sz="4" w:space="0" w:color="auto"/>
              <w:right w:val="nil"/>
            </w:tcBorders>
            <w:shd w:val="clear" w:color="auto" w:fill="auto"/>
            <w:noWrap/>
            <w:vAlign w:val="bottom"/>
            <w:hideMark/>
          </w:tcPr>
          <w:p w14:paraId="4881CE86"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40</w:t>
            </w:r>
          </w:p>
        </w:tc>
        <w:tc>
          <w:tcPr>
            <w:tcW w:w="1500" w:type="dxa"/>
            <w:tcBorders>
              <w:top w:val="nil"/>
              <w:left w:val="nil"/>
              <w:bottom w:val="single" w:sz="4" w:space="0" w:color="auto"/>
              <w:right w:val="nil"/>
            </w:tcBorders>
            <w:shd w:val="clear" w:color="auto" w:fill="auto"/>
            <w:noWrap/>
            <w:vAlign w:val="bottom"/>
            <w:hideMark/>
          </w:tcPr>
          <w:p w14:paraId="36DCB35C"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32.3</w:t>
            </w:r>
          </w:p>
        </w:tc>
      </w:tr>
      <w:tr w:rsidR="00403F90" w:rsidRPr="0063695E" w14:paraId="5BFE966E"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797F5156"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Iran</w:t>
            </w:r>
          </w:p>
        </w:tc>
        <w:tc>
          <w:tcPr>
            <w:tcW w:w="1500" w:type="dxa"/>
            <w:tcBorders>
              <w:top w:val="nil"/>
              <w:left w:val="nil"/>
              <w:bottom w:val="single" w:sz="4" w:space="0" w:color="auto"/>
              <w:right w:val="nil"/>
            </w:tcBorders>
            <w:shd w:val="clear" w:color="auto" w:fill="auto"/>
            <w:noWrap/>
            <w:vAlign w:val="bottom"/>
            <w:hideMark/>
          </w:tcPr>
          <w:p w14:paraId="24603BC4"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21</w:t>
            </w:r>
          </w:p>
        </w:tc>
        <w:tc>
          <w:tcPr>
            <w:tcW w:w="1500" w:type="dxa"/>
            <w:tcBorders>
              <w:top w:val="nil"/>
              <w:left w:val="nil"/>
              <w:bottom w:val="single" w:sz="4" w:space="0" w:color="auto"/>
              <w:right w:val="nil"/>
            </w:tcBorders>
            <w:shd w:val="clear" w:color="auto" w:fill="auto"/>
            <w:noWrap/>
            <w:vAlign w:val="bottom"/>
            <w:hideMark/>
          </w:tcPr>
          <w:p w14:paraId="1AE19ADB"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26.3</w:t>
            </w:r>
          </w:p>
        </w:tc>
      </w:tr>
      <w:tr w:rsidR="00403F90" w:rsidRPr="0063695E" w14:paraId="33D89BA8"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50DDCFC1"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Afghanistan</w:t>
            </w:r>
          </w:p>
        </w:tc>
        <w:tc>
          <w:tcPr>
            <w:tcW w:w="1500" w:type="dxa"/>
            <w:tcBorders>
              <w:top w:val="nil"/>
              <w:left w:val="nil"/>
              <w:bottom w:val="single" w:sz="4" w:space="0" w:color="auto"/>
              <w:right w:val="nil"/>
            </w:tcBorders>
            <w:shd w:val="clear" w:color="auto" w:fill="auto"/>
            <w:noWrap/>
            <w:vAlign w:val="bottom"/>
            <w:hideMark/>
          </w:tcPr>
          <w:p w14:paraId="6877F820"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109</w:t>
            </w:r>
          </w:p>
        </w:tc>
        <w:tc>
          <w:tcPr>
            <w:tcW w:w="1500" w:type="dxa"/>
            <w:tcBorders>
              <w:top w:val="nil"/>
              <w:left w:val="nil"/>
              <w:bottom w:val="single" w:sz="4" w:space="0" w:color="auto"/>
              <w:right w:val="nil"/>
            </w:tcBorders>
            <w:shd w:val="clear" w:color="auto" w:fill="auto"/>
            <w:noWrap/>
            <w:vAlign w:val="bottom"/>
            <w:hideMark/>
          </w:tcPr>
          <w:p w14:paraId="5D76DBBC"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22.6</w:t>
            </w:r>
          </w:p>
        </w:tc>
      </w:tr>
      <w:tr w:rsidR="00403F90" w:rsidRPr="0063695E" w14:paraId="56B05660"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17D84623"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Malaysia</w:t>
            </w:r>
          </w:p>
        </w:tc>
        <w:tc>
          <w:tcPr>
            <w:tcW w:w="1500" w:type="dxa"/>
            <w:tcBorders>
              <w:top w:val="nil"/>
              <w:left w:val="nil"/>
              <w:bottom w:val="single" w:sz="4" w:space="0" w:color="auto"/>
              <w:right w:val="nil"/>
            </w:tcBorders>
            <w:shd w:val="clear" w:color="auto" w:fill="auto"/>
            <w:noWrap/>
            <w:vAlign w:val="bottom"/>
            <w:hideMark/>
          </w:tcPr>
          <w:p w14:paraId="5F0778D7"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72</w:t>
            </w:r>
          </w:p>
        </w:tc>
        <w:tc>
          <w:tcPr>
            <w:tcW w:w="1500" w:type="dxa"/>
            <w:tcBorders>
              <w:top w:val="nil"/>
              <w:left w:val="nil"/>
              <w:bottom w:val="single" w:sz="4" w:space="0" w:color="auto"/>
              <w:right w:val="nil"/>
            </w:tcBorders>
            <w:shd w:val="clear" w:color="auto" w:fill="auto"/>
            <w:noWrap/>
            <w:vAlign w:val="bottom"/>
            <w:hideMark/>
          </w:tcPr>
          <w:p w14:paraId="3CB3BEED"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22.4</w:t>
            </w:r>
          </w:p>
        </w:tc>
      </w:tr>
      <w:tr w:rsidR="00403F90" w:rsidRPr="0063695E" w14:paraId="24D32FD9"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45EE7744"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New Zealand</w:t>
            </w:r>
          </w:p>
        </w:tc>
        <w:tc>
          <w:tcPr>
            <w:tcW w:w="1500" w:type="dxa"/>
            <w:tcBorders>
              <w:top w:val="nil"/>
              <w:left w:val="nil"/>
              <w:bottom w:val="single" w:sz="4" w:space="0" w:color="auto"/>
              <w:right w:val="nil"/>
            </w:tcBorders>
            <w:shd w:val="clear" w:color="auto" w:fill="auto"/>
            <w:noWrap/>
            <w:vAlign w:val="bottom"/>
            <w:hideMark/>
          </w:tcPr>
          <w:p w14:paraId="68625619"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37</w:t>
            </w:r>
          </w:p>
        </w:tc>
        <w:tc>
          <w:tcPr>
            <w:tcW w:w="1500" w:type="dxa"/>
            <w:tcBorders>
              <w:top w:val="nil"/>
              <w:left w:val="nil"/>
              <w:bottom w:val="single" w:sz="4" w:space="0" w:color="auto"/>
              <w:right w:val="nil"/>
            </w:tcBorders>
            <w:shd w:val="clear" w:color="auto" w:fill="auto"/>
            <w:noWrap/>
            <w:vAlign w:val="bottom"/>
            <w:hideMark/>
          </w:tcPr>
          <w:p w14:paraId="1F8DFA97"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18.9</w:t>
            </w:r>
          </w:p>
        </w:tc>
      </w:tr>
      <w:tr w:rsidR="00403F90" w:rsidRPr="0063695E" w14:paraId="5C0DA4F4"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54DF6C20"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Australia</w:t>
            </w:r>
          </w:p>
        </w:tc>
        <w:tc>
          <w:tcPr>
            <w:tcW w:w="1500" w:type="dxa"/>
            <w:tcBorders>
              <w:top w:val="nil"/>
              <w:left w:val="nil"/>
              <w:bottom w:val="single" w:sz="4" w:space="0" w:color="auto"/>
              <w:right w:val="nil"/>
            </w:tcBorders>
            <w:shd w:val="clear" w:color="auto" w:fill="auto"/>
            <w:noWrap/>
            <w:vAlign w:val="bottom"/>
            <w:hideMark/>
          </w:tcPr>
          <w:p w14:paraId="1A43EEBB"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735</w:t>
            </w:r>
          </w:p>
        </w:tc>
        <w:tc>
          <w:tcPr>
            <w:tcW w:w="1500" w:type="dxa"/>
            <w:tcBorders>
              <w:top w:val="nil"/>
              <w:left w:val="nil"/>
              <w:bottom w:val="single" w:sz="4" w:space="0" w:color="auto"/>
              <w:right w:val="nil"/>
            </w:tcBorders>
            <w:shd w:val="clear" w:color="auto" w:fill="auto"/>
            <w:noWrap/>
            <w:vAlign w:val="bottom"/>
            <w:hideMark/>
          </w:tcPr>
          <w:p w14:paraId="3B2A2D03"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14.5</w:t>
            </w:r>
          </w:p>
        </w:tc>
      </w:tr>
      <w:tr w:rsidR="00403F90" w:rsidRPr="0063695E" w14:paraId="73D09834"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127E0ED1"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Pakistan</w:t>
            </w:r>
          </w:p>
        </w:tc>
        <w:tc>
          <w:tcPr>
            <w:tcW w:w="1500" w:type="dxa"/>
            <w:tcBorders>
              <w:top w:val="nil"/>
              <w:left w:val="nil"/>
              <w:bottom w:val="single" w:sz="4" w:space="0" w:color="auto"/>
              <w:right w:val="nil"/>
            </w:tcBorders>
            <w:shd w:val="clear" w:color="auto" w:fill="auto"/>
            <w:noWrap/>
            <w:vAlign w:val="bottom"/>
            <w:hideMark/>
          </w:tcPr>
          <w:p w14:paraId="090B2A2B"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26</w:t>
            </w:r>
          </w:p>
        </w:tc>
        <w:tc>
          <w:tcPr>
            <w:tcW w:w="1500" w:type="dxa"/>
            <w:tcBorders>
              <w:top w:val="nil"/>
              <w:left w:val="nil"/>
              <w:bottom w:val="single" w:sz="4" w:space="0" w:color="auto"/>
              <w:right w:val="nil"/>
            </w:tcBorders>
            <w:shd w:val="clear" w:color="auto" w:fill="auto"/>
            <w:noWrap/>
            <w:vAlign w:val="bottom"/>
            <w:hideMark/>
          </w:tcPr>
          <w:p w14:paraId="0C5D569E"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12.6</w:t>
            </w:r>
          </w:p>
        </w:tc>
      </w:tr>
      <w:tr w:rsidR="00403F90" w:rsidRPr="0063695E" w14:paraId="09EDADA0"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246BF48F"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China</w:t>
            </w:r>
          </w:p>
        </w:tc>
        <w:tc>
          <w:tcPr>
            <w:tcW w:w="1500" w:type="dxa"/>
            <w:tcBorders>
              <w:top w:val="nil"/>
              <w:left w:val="nil"/>
              <w:bottom w:val="single" w:sz="4" w:space="0" w:color="auto"/>
              <w:right w:val="nil"/>
            </w:tcBorders>
            <w:shd w:val="clear" w:color="auto" w:fill="auto"/>
            <w:noWrap/>
            <w:vAlign w:val="bottom"/>
            <w:hideMark/>
          </w:tcPr>
          <w:p w14:paraId="5C91DA8E"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21</w:t>
            </w:r>
          </w:p>
        </w:tc>
        <w:tc>
          <w:tcPr>
            <w:tcW w:w="1500" w:type="dxa"/>
            <w:tcBorders>
              <w:top w:val="nil"/>
              <w:left w:val="nil"/>
              <w:bottom w:val="single" w:sz="4" w:space="0" w:color="auto"/>
              <w:right w:val="nil"/>
            </w:tcBorders>
            <w:shd w:val="clear" w:color="auto" w:fill="auto"/>
            <w:noWrap/>
            <w:vAlign w:val="bottom"/>
            <w:hideMark/>
          </w:tcPr>
          <w:p w14:paraId="627A53CC"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11.5</w:t>
            </w:r>
          </w:p>
        </w:tc>
      </w:tr>
      <w:tr w:rsidR="00403F90" w:rsidRPr="0063695E" w14:paraId="28F76B52"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7E2A97E8"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Cambodia</w:t>
            </w:r>
          </w:p>
        </w:tc>
        <w:tc>
          <w:tcPr>
            <w:tcW w:w="1500" w:type="dxa"/>
            <w:tcBorders>
              <w:top w:val="nil"/>
              <w:left w:val="nil"/>
              <w:bottom w:val="single" w:sz="4" w:space="0" w:color="auto"/>
              <w:right w:val="nil"/>
            </w:tcBorders>
            <w:shd w:val="clear" w:color="auto" w:fill="auto"/>
            <w:noWrap/>
            <w:vAlign w:val="bottom"/>
            <w:hideMark/>
          </w:tcPr>
          <w:p w14:paraId="431295BE"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60</w:t>
            </w:r>
          </w:p>
        </w:tc>
        <w:tc>
          <w:tcPr>
            <w:tcW w:w="1500" w:type="dxa"/>
            <w:tcBorders>
              <w:top w:val="nil"/>
              <w:left w:val="nil"/>
              <w:bottom w:val="single" w:sz="4" w:space="0" w:color="auto"/>
              <w:right w:val="nil"/>
            </w:tcBorders>
            <w:shd w:val="clear" w:color="auto" w:fill="auto"/>
            <w:noWrap/>
            <w:vAlign w:val="bottom"/>
            <w:hideMark/>
          </w:tcPr>
          <w:p w14:paraId="3B077A9B"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10.2</w:t>
            </w:r>
          </w:p>
        </w:tc>
      </w:tr>
      <w:tr w:rsidR="00403F90" w:rsidRPr="0063695E" w14:paraId="4D820A2E"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36DCE88E"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Philippines</w:t>
            </w:r>
          </w:p>
        </w:tc>
        <w:tc>
          <w:tcPr>
            <w:tcW w:w="1500" w:type="dxa"/>
            <w:tcBorders>
              <w:top w:val="nil"/>
              <w:left w:val="nil"/>
              <w:bottom w:val="single" w:sz="4" w:space="0" w:color="auto"/>
              <w:right w:val="nil"/>
            </w:tcBorders>
            <w:shd w:val="clear" w:color="auto" w:fill="auto"/>
            <w:noWrap/>
            <w:vAlign w:val="bottom"/>
            <w:hideMark/>
          </w:tcPr>
          <w:p w14:paraId="53D2592A"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17</w:t>
            </w:r>
          </w:p>
        </w:tc>
        <w:tc>
          <w:tcPr>
            <w:tcW w:w="1500" w:type="dxa"/>
            <w:tcBorders>
              <w:top w:val="nil"/>
              <w:left w:val="nil"/>
              <w:bottom w:val="single" w:sz="4" w:space="0" w:color="auto"/>
              <w:right w:val="nil"/>
            </w:tcBorders>
            <w:shd w:val="clear" w:color="auto" w:fill="auto"/>
            <w:noWrap/>
            <w:vAlign w:val="bottom"/>
            <w:hideMark/>
          </w:tcPr>
          <w:p w14:paraId="47B38855"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10.0</w:t>
            </w:r>
          </w:p>
        </w:tc>
      </w:tr>
      <w:tr w:rsidR="00403F90" w:rsidRPr="0063695E" w14:paraId="1E120260"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10CD76BB"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Vietnam</w:t>
            </w:r>
          </w:p>
        </w:tc>
        <w:tc>
          <w:tcPr>
            <w:tcW w:w="1500" w:type="dxa"/>
            <w:tcBorders>
              <w:top w:val="nil"/>
              <w:left w:val="nil"/>
              <w:bottom w:val="single" w:sz="4" w:space="0" w:color="auto"/>
              <w:right w:val="nil"/>
            </w:tcBorders>
            <w:shd w:val="clear" w:color="auto" w:fill="auto"/>
            <w:noWrap/>
            <w:vAlign w:val="bottom"/>
            <w:hideMark/>
          </w:tcPr>
          <w:p w14:paraId="3550AC9D"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50</w:t>
            </w:r>
          </w:p>
        </w:tc>
        <w:tc>
          <w:tcPr>
            <w:tcW w:w="1500" w:type="dxa"/>
            <w:tcBorders>
              <w:top w:val="nil"/>
              <w:left w:val="nil"/>
              <w:bottom w:val="single" w:sz="4" w:space="0" w:color="auto"/>
              <w:right w:val="nil"/>
            </w:tcBorders>
            <w:shd w:val="clear" w:color="auto" w:fill="auto"/>
            <w:noWrap/>
            <w:vAlign w:val="bottom"/>
            <w:hideMark/>
          </w:tcPr>
          <w:p w14:paraId="72FAE437"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9.5</w:t>
            </w:r>
          </w:p>
        </w:tc>
      </w:tr>
      <w:tr w:rsidR="00403F90" w:rsidRPr="0063695E" w14:paraId="41348D36"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33F1E209"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Sri Lanka</w:t>
            </w:r>
          </w:p>
        </w:tc>
        <w:tc>
          <w:tcPr>
            <w:tcW w:w="1500" w:type="dxa"/>
            <w:tcBorders>
              <w:top w:val="nil"/>
              <w:left w:val="nil"/>
              <w:bottom w:val="single" w:sz="4" w:space="0" w:color="auto"/>
              <w:right w:val="nil"/>
            </w:tcBorders>
            <w:shd w:val="clear" w:color="auto" w:fill="auto"/>
            <w:noWrap/>
            <w:vAlign w:val="bottom"/>
            <w:hideMark/>
          </w:tcPr>
          <w:p w14:paraId="61793FD8"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19</w:t>
            </w:r>
          </w:p>
        </w:tc>
        <w:tc>
          <w:tcPr>
            <w:tcW w:w="1500" w:type="dxa"/>
            <w:tcBorders>
              <w:top w:val="nil"/>
              <w:left w:val="nil"/>
              <w:bottom w:val="single" w:sz="4" w:space="0" w:color="auto"/>
              <w:right w:val="nil"/>
            </w:tcBorders>
            <w:shd w:val="clear" w:color="auto" w:fill="auto"/>
            <w:noWrap/>
            <w:vAlign w:val="bottom"/>
            <w:hideMark/>
          </w:tcPr>
          <w:p w14:paraId="039333BD"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5.7</w:t>
            </w:r>
          </w:p>
        </w:tc>
      </w:tr>
      <w:tr w:rsidR="00403F90" w:rsidRPr="0063695E" w14:paraId="058574A5"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181A2943"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India</w:t>
            </w:r>
          </w:p>
        </w:tc>
        <w:tc>
          <w:tcPr>
            <w:tcW w:w="1500" w:type="dxa"/>
            <w:tcBorders>
              <w:top w:val="nil"/>
              <w:left w:val="nil"/>
              <w:bottom w:val="single" w:sz="4" w:space="0" w:color="auto"/>
              <w:right w:val="nil"/>
            </w:tcBorders>
            <w:shd w:val="clear" w:color="auto" w:fill="auto"/>
            <w:noWrap/>
            <w:vAlign w:val="bottom"/>
            <w:hideMark/>
          </w:tcPr>
          <w:p w14:paraId="3EAD9E3F"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54</w:t>
            </w:r>
          </w:p>
        </w:tc>
        <w:tc>
          <w:tcPr>
            <w:tcW w:w="1500" w:type="dxa"/>
            <w:tcBorders>
              <w:top w:val="nil"/>
              <w:left w:val="nil"/>
              <w:bottom w:val="single" w:sz="4" w:space="0" w:color="auto"/>
              <w:right w:val="nil"/>
            </w:tcBorders>
            <w:shd w:val="clear" w:color="auto" w:fill="auto"/>
            <w:noWrap/>
            <w:vAlign w:val="bottom"/>
            <w:hideMark/>
          </w:tcPr>
          <w:p w14:paraId="259CA57D"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3.7</w:t>
            </w:r>
          </w:p>
        </w:tc>
      </w:tr>
    </w:tbl>
    <w:p w14:paraId="6BD89550" w14:textId="77777777" w:rsidR="00403F90" w:rsidRDefault="00403F90" w:rsidP="00403F90">
      <w:pPr>
        <w:tabs>
          <w:tab w:val="left" w:pos="284"/>
        </w:tabs>
        <w:spacing w:after="0" w:line="360" w:lineRule="auto"/>
        <w:jc w:val="both"/>
        <w:rPr>
          <w:rFonts w:ascii="Calibri" w:hAnsi="Calibri"/>
        </w:rPr>
      </w:pPr>
    </w:p>
    <w:p w14:paraId="6EE500D1" w14:textId="77777777" w:rsidR="00403F90" w:rsidRPr="00B562E2" w:rsidRDefault="00403F90" w:rsidP="00403F90">
      <w:pPr>
        <w:tabs>
          <w:tab w:val="left" w:pos="284"/>
        </w:tabs>
        <w:spacing w:after="0" w:line="360" w:lineRule="auto"/>
        <w:jc w:val="both"/>
        <w:rPr>
          <w:rFonts w:ascii="Calibri" w:hAnsi="Calibri"/>
          <w:b/>
          <w:bCs/>
        </w:rPr>
      </w:pPr>
      <w:r w:rsidRPr="00B562E2">
        <w:rPr>
          <w:rFonts w:ascii="Calibri" w:hAnsi="Calibri"/>
          <w:b/>
          <w:bCs/>
        </w:rPr>
        <w:t>Mental Health</w:t>
      </w:r>
    </w:p>
    <w:p w14:paraId="625D3B59" w14:textId="77777777" w:rsidR="00403F90" w:rsidRDefault="00403F90" w:rsidP="00403F90">
      <w:pPr>
        <w:tabs>
          <w:tab w:val="left" w:pos="284"/>
        </w:tabs>
        <w:spacing w:after="0" w:line="360" w:lineRule="auto"/>
        <w:jc w:val="both"/>
        <w:rPr>
          <w:rFonts w:ascii="Calibri" w:hAnsi="Calibri"/>
        </w:rPr>
      </w:pPr>
      <w:r>
        <w:rPr>
          <w:rFonts w:ascii="Calibri" w:hAnsi="Calibri"/>
        </w:rPr>
        <w:t>The 2021 Census inquired in 2021, for the first time, about the presence of chronic illnesses, including mental health disorders. In response to this inquiry, 5.5% of 15 to 24 year-olds recorded that they were experiencing a mental health disorder, including 3.5% of males and 7.6% of females.</w:t>
      </w:r>
    </w:p>
    <w:p w14:paraId="2DBAB50D" w14:textId="77777777" w:rsidR="00403F90" w:rsidRDefault="00403F90" w:rsidP="00403F90">
      <w:pPr>
        <w:tabs>
          <w:tab w:val="left" w:pos="284"/>
        </w:tabs>
        <w:spacing w:after="0" w:line="360" w:lineRule="auto"/>
        <w:jc w:val="both"/>
        <w:rPr>
          <w:rFonts w:ascii="Calibri" w:hAnsi="Calibri"/>
        </w:rPr>
      </w:pPr>
      <w:r>
        <w:rPr>
          <w:rFonts w:ascii="Calibri" w:hAnsi="Calibri"/>
          <w:noProof/>
        </w:rPr>
        <w:drawing>
          <wp:anchor distT="0" distB="0" distL="114300" distR="114300" simplePos="0" relativeHeight="251670528" behindDoc="0" locked="0" layoutInCell="1" allowOverlap="1" wp14:anchorId="09D29E5B" wp14:editId="7011AEBF">
            <wp:simplePos x="0" y="0"/>
            <wp:positionH relativeFrom="column">
              <wp:posOffset>2743200</wp:posOffset>
            </wp:positionH>
            <wp:positionV relativeFrom="paragraph">
              <wp:posOffset>18415</wp:posOffset>
            </wp:positionV>
            <wp:extent cx="3346450" cy="222885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46450" cy="2228850"/>
                    </a:xfrm>
                    <a:prstGeom prst="rect">
                      <a:avLst/>
                    </a:prstGeom>
                    <a:noFill/>
                  </pic:spPr>
                </pic:pic>
              </a:graphicData>
            </a:graphic>
            <wp14:sizeRelH relativeFrom="page">
              <wp14:pctWidth>0</wp14:pctWidth>
            </wp14:sizeRelH>
            <wp14:sizeRelV relativeFrom="page">
              <wp14:pctHeight>0</wp14:pctHeight>
            </wp14:sizeRelV>
          </wp:anchor>
        </w:drawing>
      </w:r>
    </w:p>
    <w:p w14:paraId="6EC086E4" w14:textId="77777777" w:rsidR="00403F90" w:rsidRPr="00B562E2" w:rsidRDefault="00403F90" w:rsidP="00B70A36">
      <w:pPr>
        <w:tabs>
          <w:tab w:val="left" w:pos="284"/>
        </w:tabs>
        <w:spacing w:after="0" w:line="240" w:lineRule="auto"/>
        <w:jc w:val="both"/>
        <w:rPr>
          <w:rFonts w:ascii="Calibri" w:hAnsi="Calibri"/>
          <w:color w:val="7F7F7F" w:themeColor="text1" w:themeTint="80"/>
          <w:sz w:val="20"/>
          <w:szCs w:val="20"/>
        </w:rPr>
      </w:pPr>
      <w:r w:rsidRPr="00B562E2">
        <w:rPr>
          <w:rFonts w:ascii="Calibri" w:hAnsi="Calibri"/>
          <w:color w:val="7F7F7F" w:themeColor="text1" w:themeTint="80"/>
          <w:sz w:val="20"/>
          <w:szCs w:val="20"/>
        </w:rPr>
        <w:t>Prevalence of mental health disorders among persons aged 15 to 24: Greater Dandenong, 2021</w:t>
      </w:r>
    </w:p>
    <w:p w14:paraId="6B03CA7E" w14:textId="77777777" w:rsidR="00403F90" w:rsidRDefault="00403F90" w:rsidP="00403F90">
      <w:pPr>
        <w:tabs>
          <w:tab w:val="left" w:pos="284"/>
        </w:tabs>
        <w:spacing w:after="0" w:line="360" w:lineRule="auto"/>
        <w:jc w:val="both"/>
        <w:rPr>
          <w:rFonts w:ascii="Calibri" w:hAnsi="Calibri"/>
        </w:rPr>
      </w:pPr>
    </w:p>
    <w:p w14:paraId="11F6215D" w14:textId="79815DBF" w:rsidR="00E81EEF" w:rsidRDefault="00E81EEF" w:rsidP="00403F90">
      <w:pPr>
        <w:spacing w:after="0" w:line="360" w:lineRule="auto"/>
      </w:pPr>
    </w:p>
    <w:p w14:paraId="72F66357" w14:textId="714E03A7" w:rsidR="00DE023E" w:rsidRDefault="00DE023E" w:rsidP="00403F90">
      <w:pPr>
        <w:spacing w:after="0" w:line="360" w:lineRule="auto"/>
      </w:pPr>
    </w:p>
    <w:p w14:paraId="58EF1208" w14:textId="66939A31" w:rsidR="00DE023E" w:rsidRDefault="00DE023E" w:rsidP="00403F90">
      <w:pPr>
        <w:spacing w:after="0" w:line="360" w:lineRule="auto"/>
      </w:pPr>
    </w:p>
    <w:p w14:paraId="478F291C" w14:textId="77777777" w:rsidR="00DE023E" w:rsidRDefault="00DE023E" w:rsidP="00403F90">
      <w:pPr>
        <w:spacing w:after="0" w:line="360" w:lineRule="auto"/>
      </w:pPr>
    </w:p>
    <w:p w14:paraId="56E0C407" w14:textId="7A64D3A6" w:rsidR="00403F90" w:rsidRDefault="00403F90">
      <w:r>
        <w:br w:type="page"/>
      </w:r>
    </w:p>
    <w:p w14:paraId="3AC83475" w14:textId="77777777" w:rsidR="0051666C" w:rsidRPr="0029463F" w:rsidRDefault="0051666C" w:rsidP="0051666C">
      <w:pPr>
        <w:pBdr>
          <w:top w:val="single" w:sz="4" w:space="1" w:color="auto"/>
          <w:bottom w:val="single" w:sz="4" w:space="1" w:color="auto"/>
        </w:pBdr>
        <w:tabs>
          <w:tab w:val="center" w:pos="4678"/>
        </w:tabs>
        <w:rPr>
          <w:rFonts w:ascii="Calibri" w:hAnsi="Calibri"/>
          <w:sz w:val="32"/>
          <w:szCs w:val="32"/>
        </w:rPr>
      </w:pPr>
      <w:r w:rsidRPr="0029463F">
        <w:rPr>
          <w:rFonts w:ascii="Calibri" w:hAnsi="Calibri"/>
          <w:b/>
          <w:noProof/>
          <w:sz w:val="32"/>
          <w:szCs w:val="32"/>
          <w:lang w:val="en-US"/>
        </w:rPr>
        <w:lastRenderedPageBreak/>
        <w:tab/>
      </w:r>
      <w:r w:rsidRPr="0029463F">
        <w:rPr>
          <w:rFonts w:ascii="Calibri" w:hAnsi="Calibri"/>
          <w:noProof/>
          <w:sz w:val="32"/>
          <w:szCs w:val="32"/>
          <w:lang w:val="en-US"/>
        </w:rPr>
        <w:t>Families</w:t>
      </w:r>
      <w:r>
        <w:rPr>
          <w:rFonts w:ascii="Calibri" w:hAnsi="Calibri"/>
          <w:noProof/>
          <w:sz w:val="32"/>
          <w:szCs w:val="32"/>
          <w:lang w:val="en-US"/>
        </w:rPr>
        <w:t>, Births</w:t>
      </w:r>
      <w:r w:rsidRPr="0029463F">
        <w:rPr>
          <w:rFonts w:ascii="Calibri" w:hAnsi="Calibri"/>
          <w:noProof/>
          <w:sz w:val="32"/>
          <w:szCs w:val="32"/>
          <w:lang w:val="en-US"/>
        </w:rPr>
        <w:t xml:space="preserve"> and Children</w:t>
      </w:r>
    </w:p>
    <w:p w14:paraId="2D913CD4" w14:textId="77777777" w:rsidR="0051666C" w:rsidRPr="00187850" w:rsidRDefault="0051666C" w:rsidP="0051666C">
      <w:pPr>
        <w:tabs>
          <w:tab w:val="left" w:pos="284"/>
        </w:tabs>
        <w:spacing w:after="0" w:line="360" w:lineRule="auto"/>
        <w:jc w:val="both"/>
        <w:rPr>
          <w:rFonts w:ascii="Calibri" w:hAnsi="Calibri"/>
          <w:b/>
        </w:rPr>
      </w:pPr>
      <w:r>
        <w:rPr>
          <w:rFonts w:ascii="Calibri" w:hAnsi="Calibri"/>
          <w:b/>
        </w:rPr>
        <w:t>Births</w:t>
      </w:r>
    </w:p>
    <w:p w14:paraId="37D76B88" w14:textId="77777777" w:rsidR="0051666C" w:rsidRDefault="0051666C" w:rsidP="0051666C">
      <w:pPr>
        <w:tabs>
          <w:tab w:val="left" w:pos="284"/>
        </w:tabs>
        <w:spacing w:after="0" w:line="360" w:lineRule="auto"/>
        <w:jc w:val="both"/>
        <w:rPr>
          <w:rFonts w:ascii="Calibri" w:hAnsi="Calibri"/>
        </w:rPr>
      </w:pPr>
      <w:r w:rsidRPr="008C3E5F">
        <w:rPr>
          <w:rFonts w:ascii="Calibri" w:hAnsi="Calibri"/>
        </w:rPr>
        <w:t xml:space="preserve">In </w:t>
      </w:r>
      <w:r>
        <w:rPr>
          <w:rFonts w:ascii="Calibri" w:hAnsi="Calibri"/>
        </w:rPr>
        <w:t>2020/21</w:t>
      </w:r>
      <w:r w:rsidRPr="008C3E5F">
        <w:rPr>
          <w:rFonts w:ascii="Calibri" w:hAnsi="Calibri"/>
        </w:rPr>
        <w:t>, 2,</w:t>
      </w:r>
      <w:r>
        <w:rPr>
          <w:rFonts w:ascii="Calibri" w:hAnsi="Calibri"/>
        </w:rPr>
        <w:t>185</w:t>
      </w:r>
      <w:r w:rsidRPr="008C3E5F">
        <w:rPr>
          <w:rFonts w:ascii="Calibri" w:hAnsi="Calibri"/>
        </w:rPr>
        <w:t xml:space="preserve"> births were recorded in Greater Dandenong, representing a rise of </w:t>
      </w:r>
      <w:r>
        <w:rPr>
          <w:rFonts w:ascii="Calibri" w:hAnsi="Calibri"/>
        </w:rPr>
        <w:t>26</w:t>
      </w:r>
      <w:r w:rsidRPr="008C3E5F">
        <w:rPr>
          <w:rFonts w:ascii="Calibri" w:hAnsi="Calibri"/>
        </w:rPr>
        <w:t>%</w:t>
      </w:r>
      <w:r>
        <w:rPr>
          <w:rFonts w:ascii="Calibri" w:hAnsi="Calibri"/>
        </w:rPr>
        <w:t>, or 453,</w:t>
      </w:r>
      <w:r w:rsidRPr="008C3E5F">
        <w:rPr>
          <w:rFonts w:ascii="Calibri" w:hAnsi="Calibri"/>
        </w:rPr>
        <w:t xml:space="preserve"> since 2001</w:t>
      </w:r>
      <w:r>
        <w:rPr>
          <w:rFonts w:ascii="Calibri" w:hAnsi="Calibri"/>
        </w:rPr>
        <w:t>/2, though a decline of 251 or 10% from 2018/19, in the most recent two years</w:t>
      </w:r>
      <w:r w:rsidRPr="008C3E5F">
        <w:rPr>
          <w:rFonts w:ascii="Calibri" w:hAnsi="Calibri"/>
        </w:rPr>
        <w:t xml:space="preserve">. </w:t>
      </w:r>
    </w:p>
    <w:p w14:paraId="5E450411" w14:textId="77777777" w:rsidR="0051666C" w:rsidRDefault="0051666C" w:rsidP="0051666C">
      <w:pPr>
        <w:tabs>
          <w:tab w:val="left" w:pos="284"/>
        </w:tabs>
        <w:spacing w:after="0" w:line="360" w:lineRule="auto"/>
        <w:jc w:val="both"/>
        <w:rPr>
          <w:rFonts w:ascii="Calibri" w:hAnsi="Calibri"/>
        </w:rPr>
      </w:pPr>
      <w:r>
        <w:rPr>
          <w:rFonts w:ascii="Calibri" w:hAnsi="Calibri"/>
          <w:noProof/>
        </w:rPr>
        <w:drawing>
          <wp:anchor distT="0" distB="0" distL="114300" distR="114300" simplePos="0" relativeHeight="251674624" behindDoc="0" locked="0" layoutInCell="1" allowOverlap="1" wp14:anchorId="4356227C" wp14:editId="5A75BB53">
            <wp:simplePos x="0" y="0"/>
            <wp:positionH relativeFrom="column">
              <wp:posOffset>56515</wp:posOffset>
            </wp:positionH>
            <wp:positionV relativeFrom="paragraph">
              <wp:posOffset>53975</wp:posOffset>
            </wp:positionV>
            <wp:extent cx="3909695" cy="2606675"/>
            <wp:effectExtent l="0" t="0" r="0" b="31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09695" cy="2606675"/>
                    </a:xfrm>
                    <a:prstGeom prst="rect">
                      <a:avLst/>
                    </a:prstGeom>
                    <a:noFill/>
                  </pic:spPr>
                </pic:pic>
              </a:graphicData>
            </a:graphic>
            <wp14:sizeRelH relativeFrom="page">
              <wp14:pctWidth>0</wp14:pctWidth>
            </wp14:sizeRelH>
            <wp14:sizeRelV relativeFrom="page">
              <wp14:pctHeight>0</wp14:pctHeight>
            </wp14:sizeRelV>
          </wp:anchor>
        </w:drawing>
      </w:r>
    </w:p>
    <w:p w14:paraId="18B9DAD7" w14:textId="77777777" w:rsidR="0051666C" w:rsidRDefault="0051666C" w:rsidP="0051666C">
      <w:pPr>
        <w:tabs>
          <w:tab w:val="left" w:pos="284"/>
        </w:tabs>
        <w:spacing w:after="0" w:line="360" w:lineRule="auto"/>
        <w:jc w:val="both"/>
        <w:rPr>
          <w:rFonts w:ascii="Calibri" w:hAnsi="Calibri"/>
        </w:rPr>
      </w:pPr>
    </w:p>
    <w:p w14:paraId="2D0D3BB4" w14:textId="77777777" w:rsidR="0051666C" w:rsidRPr="007267E3" w:rsidRDefault="0051666C" w:rsidP="0051666C">
      <w:pPr>
        <w:tabs>
          <w:tab w:val="left" w:pos="284"/>
          <w:tab w:val="left" w:pos="5670"/>
        </w:tabs>
        <w:spacing w:after="0" w:line="360" w:lineRule="auto"/>
        <w:jc w:val="both"/>
        <w:rPr>
          <w:rFonts w:ascii="Calibri" w:hAnsi="Calibri"/>
          <w:color w:val="7F7F7F"/>
          <w:sz w:val="20"/>
          <w:szCs w:val="20"/>
        </w:rPr>
      </w:pPr>
      <w:r>
        <w:rPr>
          <w:rFonts w:ascii="Calibri" w:hAnsi="Calibri"/>
          <w:color w:val="7F7F7F"/>
          <w:sz w:val="20"/>
          <w:szCs w:val="20"/>
        </w:rPr>
        <w:t xml:space="preserve">Annual </w:t>
      </w:r>
      <w:r w:rsidRPr="007267E3">
        <w:rPr>
          <w:rFonts w:ascii="Calibri" w:hAnsi="Calibri"/>
          <w:color w:val="7F7F7F"/>
          <w:sz w:val="20"/>
          <w:szCs w:val="20"/>
        </w:rPr>
        <w:t>Births: Greater Dandenong, 2001-20</w:t>
      </w:r>
      <w:r>
        <w:rPr>
          <w:rFonts w:ascii="Calibri" w:hAnsi="Calibri"/>
          <w:color w:val="7F7F7F"/>
          <w:sz w:val="20"/>
          <w:szCs w:val="20"/>
        </w:rPr>
        <w:t>21</w:t>
      </w:r>
    </w:p>
    <w:p w14:paraId="6FB83ACF" w14:textId="77777777" w:rsidR="0051666C" w:rsidRDefault="0051666C" w:rsidP="0051666C">
      <w:pPr>
        <w:tabs>
          <w:tab w:val="left" w:pos="284"/>
        </w:tabs>
        <w:spacing w:after="0" w:line="360" w:lineRule="auto"/>
        <w:jc w:val="both"/>
        <w:rPr>
          <w:rFonts w:ascii="Calibri" w:hAnsi="Calibri"/>
        </w:rPr>
      </w:pPr>
    </w:p>
    <w:p w14:paraId="09B50FEA" w14:textId="77777777" w:rsidR="0051666C" w:rsidRDefault="0051666C" w:rsidP="0051666C">
      <w:pPr>
        <w:tabs>
          <w:tab w:val="left" w:pos="284"/>
        </w:tabs>
        <w:spacing w:after="0" w:line="360" w:lineRule="auto"/>
        <w:jc w:val="both"/>
      </w:pPr>
      <w:r>
        <w:rPr>
          <w:noProof/>
          <w:lang w:eastAsia="en-AU"/>
        </w:rPr>
        <w:drawing>
          <wp:anchor distT="0" distB="0" distL="114300" distR="114300" simplePos="0" relativeHeight="251673600" behindDoc="0" locked="0" layoutInCell="1" allowOverlap="1" wp14:anchorId="71A0358B" wp14:editId="2A32FFE5">
            <wp:simplePos x="0" y="0"/>
            <wp:positionH relativeFrom="column">
              <wp:posOffset>637858</wp:posOffset>
            </wp:positionH>
            <wp:positionV relativeFrom="paragraph">
              <wp:posOffset>114935</wp:posOffset>
            </wp:positionV>
            <wp:extent cx="1290320" cy="895175"/>
            <wp:effectExtent l="0" t="0" r="5080" b="635"/>
            <wp:wrapNone/>
            <wp:docPr id="80" name="Picture 135" descr="C:\~Work\Photograph Database\Children &amp; Families\kids at carols337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5" descr="C:\~Work\Photograph Database\Children &amp; Families\kids at carols3374.jpg"/>
                    <pic:cNvPicPr>
                      <a:picLocks noChangeArrowheads="1"/>
                    </pic:cNvPicPr>
                  </pic:nvPicPr>
                  <pic:blipFill rotWithShape="1">
                    <a:blip r:embed="rId22" cstate="print">
                      <a:extLst>
                        <a:ext uri="{28A0092B-C50C-407E-A947-70E740481C1C}">
                          <a14:useLocalDpi xmlns:a14="http://schemas.microsoft.com/office/drawing/2010/main" val="0"/>
                        </a:ext>
                      </a:extLst>
                    </a:blip>
                    <a:srcRect l="4149" t="8500" r="13637" b="16500"/>
                    <a:stretch/>
                  </pic:blipFill>
                  <pic:spPr bwMode="auto">
                    <a:xfrm>
                      <a:off x="0" y="0"/>
                      <a:ext cx="1290320" cy="895175"/>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30291A" w14:textId="77777777" w:rsidR="0051666C" w:rsidRDefault="0051666C" w:rsidP="0051666C">
      <w:pPr>
        <w:tabs>
          <w:tab w:val="left" w:pos="284"/>
        </w:tabs>
        <w:spacing w:after="0" w:line="360" w:lineRule="auto"/>
        <w:jc w:val="both"/>
      </w:pPr>
    </w:p>
    <w:p w14:paraId="0CA57A8E" w14:textId="77777777" w:rsidR="0051666C" w:rsidRDefault="0051666C" w:rsidP="0051666C">
      <w:pPr>
        <w:tabs>
          <w:tab w:val="left" w:pos="284"/>
        </w:tabs>
        <w:spacing w:after="0" w:line="360" w:lineRule="auto"/>
        <w:jc w:val="both"/>
      </w:pPr>
    </w:p>
    <w:p w14:paraId="435B3E3A" w14:textId="77777777" w:rsidR="0051666C" w:rsidRDefault="0051666C" w:rsidP="0051666C">
      <w:pPr>
        <w:tabs>
          <w:tab w:val="left" w:pos="284"/>
        </w:tabs>
        <w:spacing w:after="0" w:line="360" w:lineRule="auto"/>
        <w:jc w:val="both"/>
      </w:pPr>
    </w:p>
    <w:p w14:paraId="1E6F2116" w14:textId="77777777" w:rsidR="0051666C" w:rsidRDefault="0051666C" w:rsidP="0051666C">
      <w:pPr>
        <w:tabs>
          <w:tab w:val="left" w:pos="284"/>
        </w:tabs>
        <w:spacing w:after="0" w:line="360" w:lineRule="auto"/>
        <w:jc w:val="both"/>
      </w:pPr>
    </w:p>
    <w:p w14:paraId="2855145F" w14:textId="77777777" w:rsidR="0051666C" w:rsidRDefault="0051666C" w:rsidP="0051666C">
      <w:pPr>
        <w:tabs>
          <w:tab w:val="left" w:pos="284"/>
        </w:tabs>
        <w:spacing w:after="0" w:line="360" w:lineRule="auto"/>
        <w:jc w:val="both"/>
      </w:pPr>
    </w:p>
    <w:p w14:paraId="62FB5002" w14:textId="77777777" w:rsidR="0051666C" w:rsidRDefault="0051666C" w:rsidP="0051666C">
      <w:pPr>
        <w:tabs>
          <w:tab w:val="left" w:pos="284"/>
        </w:tabs>
        <w:spacing w:after="0" w:line="360" w:lineRule="auto"/>
        <w:jc w:val="both"/>
      </w:pPr>
    </w:p>
    <w:p w14:paraId="5813DAA0" w14:textId="77777777" w:rsidR="0051666C" w:rsidRDefault="0051666C" w:rsidP="0051666C">
      <w:pPr>
        <w:tabs>
          <w:tab w:val="left" w:pos="284"/>
        </w:tabs>
        <w:spacing w:after="0" w:line="360" w:lineRule="auto"/>
        <w:jc w:val="both"/>
        <w:rPr>
          <w:rFonts w:cstheme="minorHAnsi"/>
          <w:noProof/>
          <w:lang w:val="en-US" w:eastAsia="en-AU"/>
        </w:rPr>
      </w:pPr>
      <w:r>
        <w:rPr>
          <w:noProof/>
        </w:rPr>
        <w:drawing>
          <wp:anchor distT="0" distB="0" distL="114300" distR="114300" simplePos="0" relativeHeight="251675648" behindDoc="1" locked="0" layoutInCell="1" allowOverlap="1" wp14:anchorId="018FCB56" wp14:editId="04785F3D">
            <wp:simplePos x="0" y="0"/>
            <wp:positionH relativeFrom="column">
              <wp:posOffset>2386965</wp:posOffset>
            </wp:positionH>
            <wp:positionV relativeFrom="paragraph">
              <wp:posOffset>3810</wp:posOffset>
            </wp:positionV>
            <wp:extent cx="3731260" cy="4128770"/>
            <wp:effectExtent l="0" t="0" r="2540" b="5080"/>
            <wp:wrapTight wrapText="bothSides">
              <wp:wrapPolygon edited="0">
                <wp:start x="0" y="0"/>
                <wp:lineTo x="0" y="21527"/>
                <wp:lineTo x="21504" y="21527"/>
                <wp:lineTo x="2150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31260" cy="4128770"/>
                    </a:xfrm>
                    <a:prstGeom prst="rect">
                      <a:avLst/>
                    </a:prstGeom>
                    <a:noFill/>
                  </pic:spPr>
                </pic:pic>
              </a:graphicData>
            </a:graphic>
            <wp14:sizeRelH relativeFrom="page">
              <wp14:pctWidth>0</wp14:pctWidth>
            </wp14:sizeRelH>
            <wp14:sizeRelV relativeFrom="page">
              <wp14:pctHeight>0</wp14:pctHeight>
            </wp14:sizeRelV>
          </wp:anchor>
        </w:drawing>
      </w:r>
      <w:r w:rsidRPr="00E94093">
        <w:rPr>
          <w:rFonts w:cstheme="minorHAnsi"/>
          <w:noProof/>
          <w:lang w:val="en-US" w:eastAsia="en-AU"/>
        </w:rPr>
        <w:t>A count of infants and the birthplaces of their mothers, within households whose members were living in Greater Dandenong at least 12 months before the August 2021 Census, provides an indication of the range of birthplaces among women who gave birth in that year.</w:t>
      </w:r>
    </w:p>
    <w:p w14:paraId="0CB71361" w14:textId="77777777" w:rsidR="0051666C" w:rsidRPr="00E94093" w:rsidRDefault="0051666C" w:rsidP="0051666C">
      <w:pPr>
        <w:spacing w:after="0" w:line="360" w:lineRule="auto"/>
        <w:jc w:val="both"/>
        <w:rPr>
          <w:rFonts w:cstheme="minorHAnsi"/>
          <w:noProof/>
          <w:sz w:val="12"/>
          <w:szCs w:val="12"/>
          <w:lang w:val="en-US" w:eastAsia="en-AU"/>
        </w:rPr>
      </w:pPr>
    </w:p>
    <w:p w14:paraId="666F2F40" w14:textId="77777777" w:rsidR="0051666C" w:rsidRPr="002B1057" w:rsidRDefault="0051666C" w:rsidP="00B70A36">
      <w:pPr>
        <w:spacing w:after="0" w:line="240" w:lineRule="auto"/>
        <w:jc w:val="both"/>
        <w:rPr>
          <w:rFonts w:ascii="Calibri" w:hAnsi="Calibri"/>
          <w:color w:val="7F7F7F"/>
          <w:sz w:val="20"/>
          <w:szCs w:val="20"/>
        </w:rPr>
      </w:pPr>
      <w:r w:rsidRPr="002B1057">
        <w:rPr>
          <w:rFonts w:ascii="Calibri" w:hAnsi="Calibri"/>
          <w:color w:val="7F7F7F"/>
          <w:sz w:val="20"/>
          <w:szCs w:val="20"/>
        </w:rPr>
        <w:t>Birthplaces</w:t>
      </w:r>
      <w:r>
        <w:rPr>
          <w:rFonts w:ascii="Calibri" w:hAnsi="Calibri"/>
          <w:color w:val="7F7F7F"/>
          <w:sz w:val="20"/>
          <w:szCs w:val="20"/>
        </w:rPr>
        <w:t xml:space="preserve"> of women who had given birth in the previous year</w:t>
      </w:r>
      <w:r w:rsidRPr="002B1057">
        <w:rPr>
          <w:rFonts w:ascii="Calibri" w:hAnsi="Calibri"/>
          <w:color w:val="7F7F7F"/>
          <w:sz w:val="20"/>
          <w:szCs w:val="20"/>
        </w:rPr>
        <w:t xml:space="preserve">: Greater Dandenong </w:t>
      </w:r>
      <w:r>
        <w:rPr>
          <w:rFonts w:ascii="Calibri" w:hAnsi="Calibri"/>
          <w:color w:val="7F7F7F"/>
          <w:sz w:val="20"/>
          <w:szCs w:val="20"/>
        </w:rPr>
        <w:t>2021</w:t>
      </w:r>
    </w:p>
    <w:p w14:paraId="5274A13C" w14:textId="77777777" w:rsidR="0051666C" w:rsidRPr="00E94093" w:rsidRDefault="0051666C" w:rsidP="0051666C">
      <w:pPr>
        <w:tabs>
          <w:tab w:val="left" w:pos="284"/>
        </w:tabs>
        <w:spacing w:after="0" w:line="360" w:lineRule="auto"/>
        <w:jc w:val="both"/>
        <w:rPr>
          <w:rFonts w:cstheme="minorHAnsi"/>
          <w:noProof/>
          <w:sz w:val="12"/>
          <w:szCs w:val="12"/>
          <w:lang w:val="en-US" w:eastAsia="en-AU"/>
        </w:rPr>
      </w:pPr>
    </w:p>
    <w:p w14:paraId="5F5A65B8" w14:textId="77777777" w:rsidR="0051666C" w:rsidRPr="00E94093" w:rsidRDefault="0051666C" w:rsidP="0051666C">
      <w:pPr>
        <w:tabs>
          <w:tab w:val="left" w:pos="284"/>
        </w:tabs>
        <w:spacing w:after="0" w:line="360" w:lineRule="auto"/>
        <w:jc w:val="both"/>
        <w:rPr>
          <w:rFonts w:cstheme="minorHAnsi"/>
          <w:noProof/>
          <w:lang w:val="en-US" w:eastAsia="en-AU"/>
        </w:rPr>
      </w:pPr>
      <w:r w:rsidRPr="00E94093">
        <w:rPr>
          <w:rFonts w:cstheme="minorHAnsi"/>
          <w:noProof/>
          <w:lang w:val="en-US" w:eastAsia="en-AU"/>
        </w:rPr>
        <w:t xml:space="preserve">Among these infants, 75% had an overseas-born mother - the highest proportion in Victoria - with birthplaces incuding India, Vietnam, Affghanisttan, Cambodia, Sri Lanka, China and Pakistan. These </w:t>
      </w:r>
      <w:r>
        <w:rPr>
          <w:rFonts w:cstheme="minorHAnsi"/>
          <w:noProof/>
          <w:lang w:val="en-US" w:eastAsia="en-AU"/>
        </w:rPr>
        <w:t>birthplaces</w:t>
      </w:r>
      <w:r w:rsidRPr="00E94093">
        <w:rPr>
          <w:rFonts w:cstheme="minorHAnsi"/>
          <w:noProof/>
          <w:lang w:val="en-US" w:eastAsia="en-AU"/>
        </w:rPr>
        <w:t xml:space="preserve"> alon</w:t>
      </w:r>
      <w:r>
        <w:rPr>
          <w:rFonts w:cstheme="minorHAnsi"/>
          <w:noProof/>
          <w:lang w:val="en-US" w:eastAsia="en-AU"/>
        </w:rPr>
        <w:t>e</w:t>
      </w:r>
      <w:r w:rsidRPr="00E94093">
        <w:rPr>
          <w:rFonts w:cstheme="minorHAnsi"/>
          <w:noProof/>
          <w:lang w:val="en-US" w:eastAsia="en-AU"/>
        </w:rPr>
        <w:t>, account for half of the births to these residents during the year to August 2021.</w:t>
      </w:r>
    </w:p>
    <w:p w14:paraId="29FD2567" w14:textId="77777777" w:rsidR="0051666C" w:rsidRPr="0021534D" w:rsidRDefault="0051666C" w:rsidP="0051666C">
      <w:pPr>
        <w:tabs>
          <w:tab w:val="left" w:pos="284"/>
        </w:tabs>
        <w:spacing w:after="0" w:line="360" w:lineRule="auto"/>
        <w:jc w:val="both"/>
        <w:rPr>
          <w:rFonts w:ascii="Calibri" w:hAnsi="Calibri"/>
        </w:rPr>
      </w:pPr>
      <w:r w:rsidRPr="0021241A">
        <w:rPr>
          <w:rFonts w:ascii="Calibri" w:hAnsi="Calibri"/>
        </w:rPr>
        <w:t xml:space="preserve">A selection of birthplaces is presented </w:t>
      </w:r>
      <w:r>
        <w:rPr>
          <w:rFonts w:ascii="Calibri" w:hAnsi="Calibri"/>
        </w:rPr>
        <w:t>above, right</w:t>
      </w:r>
      <w:r w:rsidRPr="0021241A">
        <w:rPr>
          <w:rFonts w:ascii="Calibri" w:hAnsi="Calibri"/>
        </w:rPr>
        <w:t>.</w:t>
      </w:r>
    </w:p>
    <w:p w14:paraId="6F90A6EC" w14:textId="77777777" w:rsidR="0051666C" w:rsidRDefault="0051666C" w:rsidP="0051666C">
      <w:pPr>
        <w:spacing w:after="0" w:line="360" w:lineRule="auto"/>
        <w:rPr>
          <w:rFonts w:ascii="Calibri" w:hAnsi="Calibri"/>
          <w:noProof/>
          <w:color w:val="000000"/>
          <w:lang w:eastAsia="en-AU"/>
        </w:rPr>
      </w:pPr>
      <w:r>
        <w:rPr>
          <w:rFonts w:ascii="Calibri" w:hAnsi="Calibri"/>
          <w:noProof/>
          <w:color w:val="000000"/>
          <w:lang w:eastAsia="en-AU"/>
        </w:rPr>
        <w:br w:type="page"/>
      </w:r>
    </w:p>
    <w:p w14:paraId="1B60A904" w14:textId="77777777" w:rsidR="0051666C" w:rsidRPr="00F30A92" w:rsidRDefault="0051666C" w:rsidP="0051666C">
      <w:pPr>
        <w:tabs>
          <w:tab w:val="left" w:pos="284"/>
        </w:tabs>
        <w:spacing w:after="0" w:line="360" w:lineRule="auto"/>
        <w:ind w:left="4395"/>
        <w:jc w:val="both"/>
        <w:rPr>
          <w:rFonts w:ascii="Calibri" w:hAnsi="Calibri"/>
          <w:color w:val="7F7F7F" w:themeColor="text1" w:themeTint="80"/>
          <w:sz w:val="20"/>
          <w:szCs w:val="20"/>
        </w:rPr>
      </w:pPr>
      <w:r w:rsidRPr="00F30A92">
        <w:rPr>
          <w:rFonts w:ascii="Calibri" w:hAnsi="Calibri"/>
          <w:color w:val="7F7F7F" w:themeColor="text1" w:themeTint="80"/>
          <w:sz w:val="20"/>
          <w:szCs w:val="20"/>
        </w:rPr>
        <w:lastRenderedPageBreak/>
        <w:t>Birth rates by age: Greater Dandenong and Melbourne, 20</w:t>
      </w:r>
      <w:r>
        <w:rPr>
          <w:rFonts w:ascii="Calibri" w:hAnsi="Calibri"/>
          <w:color w:val="7F7F7F" w:themeColor="text1" w:themeTint="80"/>
          <w:sz w:val="20"/>
          <w:szCs w:val="20"/>
        </w:rPr>
        <w:t>21</w:t>
      </w:r>
    </w:p>
    <w:p w14:paraId="6640CCE7" w14:textId="77777777" w:rsidR="0051666C" w:rsidRPr="00E94093" w:rsidRDefault="0051666C" w:rsidP="0051666C">
      <w:pPr>
        <w:tabs>
          <w:tab w:val="left" w:pos="284"/>
        </w:tabs>
        <w:spacing w:after="0" w:line="360" w:lineRule="auto"/>
        <w:jc w:val="both"/>
        <w:rPr>
          <w:rFonts w:ascii="Calibri" w:hAnsi="Calibri"/>
          <w:b/>
          <w:bCs/>
        </w:rPr>
      </w:pPr>
      <w:r>
        <w:rPr>
          <w:rFonts w:ascii="Calibri" w:hAnsi="Calibri"/>
          <w:b/>
          <w:bCs/>
          <w:noProof/>
        </w:rPr>
        <w:drawing>
          <wp:anchor distT="0" distB="0" distL="114300" distR="114300" simplePos="0" relativeHeight="251679744" behindDoc="0" locked="0" layoutInCell="1" allowOverlap="1" wp14:anchorId="18EA5518" wp14:editId="70CF45F3">
            <wp:simplePos x="0" y="0"/>
            <wp:positionH relativeFrom="column">
              <wp:posOffset>2701925</wp:posOffset>
            </wp:positionH>
            <wp:positionV relativeFrom="paragraph">
              <wp:posOffset>52070</wp:posOffset>
            </wp:positionV>
            <wp:extent cx="3327400" cy="2438400"/>
            <wp:effectExtent l="0" t="0" r="635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27400" cy="24384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77696" behindDoc="0" locked="0" layoutInCell="1" allowOverlap="1" wp14:anchorId="5ABB801B" wp14:editId="662E6F63">
            <wp:simplePos x="0" y="0"/>
            <wp:positionH relativeFrom="column">
              <wp:posOffset>5207308</wp:posOffset>
            </wp:positionH>
            <wp:positionV relativeFrom="paragraph">
              <wp:posOffset>116524</wp:posOffset>
            </wp:positionV>
            <wp:extent cx="822970" cy="881062"/>
            <wp:effectExtent l="0" t="0" r="0" b="0"/>
            <wp:wrapNone/>
            <wp:docPr id="9" name="Picture 9" descr="Childr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hildren 3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3949" cy="882110"/>
                    </a:xfrm>
                    <a:prstGeom prst="rect">
                      <a:avLst/>
                    </a:prstGeom>
                    <a:noFill/>
                    <a:ln>
                      <a:noFill/>
                    </a:ln>
                    <a:effectLst>
                      <a:softEdge rad="127000"/>
                    </a:effectLst>
                  </pic:spPr>
                </pic:pic>
              </a:graphicData>
            </a:graphic>
            <wp14:sizeRelH relativeFrom="page">
              <wp14:pctWidth>0</wp14:pctWidth>
            </wp14:sizeRelH>
            <wp14:sizeRelV relativeFrom="page">
              <wp14:pctHeight>0</wp14:pctHeight>
            </wp14:sizeRelV>
          </wp:anchor>
        </w:drawing>
      </w:r>
      <w:r w:rsidRPr="00E94093">
        <w:rPr>
          <w:rFonts w:ascii="Calibri" w:hAnsi="Calibri"/>
          <w:b/>
          <w:bCs/>
        </w:rPr>
        <w:t>Birth Rates</w:t>
      </w:r>
    </w:p>
    <w:p w14:paraId="5F019A93" w14:textId="77777777" w:rsidR="0051666C" w:rsidRDefault="0051666C" w:rsidP="0051666C">
      <w:pPr>
        <w:tabs>
          <w:tab w:val="left" w:pos="284"/>
        </w:tabs>
        <w:spacing w:after="0" w:line="360" w:lineRule="auto"/>
        <w:jc w:val="both"/>
        <w:rPr>
          <w:rFonts w:ascii="Calibri" w:hAnsi="Calibri"/>
        </w:rPr>
      </w:pPr>
      <w:r>
        <w:rPr>
          <w:rFonts w:ascii="Calibri" w:hAnsi="Calibri"/>
        </w:rPr>
        <w:t>In 2021, b</w:t>
      </w:r>
      <w:r w:rsidRPr="00A6516A">
        <w:rPr>
          <w:rFonts w:ascii="Calibri" w:hAnsi="Calibri"/>
        </w:rPr>
        <w:t>irth rates among women aged 15-29 in Greater Dandenong</w:t>
      </w:r>
      <w:r>
        <w:rPr>
          <w:rFonts w:ascii="Calibri" w:hAnsi="Calibri"/>
        </w:rPr>
        <w:t xml:space="preserve"> </w:t>
      </w:r>
      <w:r w:rsidRPr="00A6516A">
        <w:rPr>
          <w:rFonts w:ascii="Calibri" w:hAnsi="Calibri"/>
        </w:rPr>
        <w:t xml:space="preserve">were </w:t>
      </w:r>
      <w:r>
        <w:rPr>
          <w:rFonts w:ascii="Calibri" w:hAnsi="Calibri"/>
        </w:rPr>
        <w:t xml:space="preserve">substantially </w:t>
      </w:r>
      <w:r w:rsidRPr="00A6516A">
        <w:rPr>
          <w:rFonts w:ascii="Calibri" w:hAnsi="Calibri"/>
        </w:rPr>
        <w:t>higher than for Melbourne</w:t>
      </w:r>
      <w:r>
        <w:rPr>
          <w:rFonts w:ascii="Calibri" w:hAnsi="Calibri"/>
        </w:rPr>
        <w:t>,</w:t>
      </w:r>
      <w:r w:rsidRPr="00A6516A">
        <w:rPr>
          <w:rFonts w:ascii="Calibri" w:hAnsi="Calibri"/>
        </w:rPr>
        <w:t xml:space="preserve"> and lower among women over 30</w:t>
      </w:r>
      <w:r>
        <w:rPr>
          <w:rFonts w:ascii="Calibri" w:hAnsi="Calibri"/>
        </w:rPr>
        <w:t xml:space="preserve"> </w:t>
      </w:r>
      <w:r w:rsidRPr="00A6516A">
        <w:rPr>
          <w:rFonts w:ascii="Calibri" w:hAnsi="Calibri"/>
        </w:rPr>
        <w:t xml:space="preserve">– a circumstance </w:t>
      </w:r>
      <w:r>
        <w:rPr>
          <w:rFonts w:ascii="Calibri" w:hAnsi="Calibri"/>
        </w:rPr>
        <w:t>frequently encountered in</w:t>
      </w:r>
      <w:r w:rsidRPr="00A6516A">
        <w:rPr>
          <w:rFonts w:ascii="Calibri" w:hAnsi="Calibri"/>
        </w:rPr>
        <w:t xml:space="preserve"> localities of social disadvantage. </w:t>
      </w:r>
      <w:r>
        <w:rPr>
          <w:rFonts w:ascii="Calibri" w:hAnsi="Calibri"/>
        </w:rPr>
        <w:t xml:space="preserve">The </w:t>
      </w:r>
      <w:r w:rsidRPr="00725226">
        <w:rPr>
          <w:rFonts w:ascii="Calibri" w:hAnsi="Calibri"/>
        </w:rPr>
        <w:t xml:space="preserve">average number of children a woman </w:t>
      </w:r>
      <w:r>
        <w:rPr>
          <w:rFonts w:ascii="Calibri" w:hAnsi="Calibri"/>
        </w:rPr>
        <w:t>may be expected to</w:t>
      </w:r>
      <w:r w:rsidRPr="00725226">
        <w:rPr>
          <w:rFonts w:ascii="Calibri" w:hAnsi="Calibri"/>
        </w:rPr>
        <w:t xml:space="preserve"> </w:t>
      </w:r>
      <w:r>
        <w:rPr>
          <w:rFonts w:ascii="Calibri" w:hAnsi="Calibri"/>
        </w:rPr>
        <w:t>bear</w:t>
      </w:r>
      <w:r w:rsidRPr="00725226">
        <w:rPr>
          <w:rFonts w:ascii="Calibri" w:hAnsi="Calibri"/>
        </w:rPr>
        <w:t xml:space="preserve"> in a lifetime, based on current birth rates, is 1.</w:t>
      </w:r>
      <w:r>
        <w:rPr>
          <w:rFonts w:ascii="Calibri" w:hAnsi="Calibri"/>
        </w:rPr>
        <w:t>3</w:t>
      </w:r>
      <w:r w:rsidRPr="00725226">
        <w:rPr>
          <w:rFonts w:ascii="Calibri" w:hAnsi="Calibri"/>
        </w:rPr>
        <w:t xml:space="preserve"> – </w:t>
      </w:r>
      <w:r>
        <w:rPr>
          <w:rFonts w:ascii="Calibri" w:hAnsi="Calibri"/>
        </w:rPr>
        <w:t>lower than the corresponding level of 1.7 in 2000, and the same as</w:t>
      </w:r>
      <w:r w:rsidRPr="00A6516A">
        <w:rPr>
          <w:rFonts w:ascii="Calibri" w:hAnsi="Calibri"/>
        </w:rPr>
        <w:t xml:space="preserve"> the metropolitan level</w:t>
      </w:r>
      <w:r>
        <w:rPr>
          <w:rFonts w:ascii="Calibri" w:hAnsi="Calibri"/>
        </w:rPr>
        <w:t xml:space="preserve"> in 2021</w:t>
      </w:r>
      <w:r w:rsidRPr="00A6516A">
        <w:rPr>
          <w:rFonts w:ascii="Calibri" w:hAnsi="Calibri"/>
        </w:rPr>
        <w:t xml:space="preserve">. </w:t>
      </w:r>
    </w:p>
    <w:p w14:paraId="5B93DF61" w14:textId="03407D9E" w:rsidR="0051666C" w:rsidRDefault="0051666C" w:rsidP="0051666C">
      <w:pPr>
        <w:tabs>
          <w:tab w:val="left" w:pos="284"/>
        </w:tabs>
        <w:spacing w:after="0" w:line="360" w:lineRule="auto"/>
        <w:jc w:val="both"/>
        <w:rPr>
          <w:rFonts w:ascii="Calibri" w:hAnsi="Calibri"/>
        </w:rPr>
      </w:pPr>
      <w:r>
        <w:rPr>
          <w:rFonts w:ascii="Calibri" w:hAnsi="Calibri"/>
          <w:noProof/>
        </w:rPr>
        <w:drawing>
          <wp:anchor distT="0" distB="0" distL="114300" distR="114300" simplePos="0" relativeHeight="251681792" behindDoc="0" locked="0" layoutInCell="1" allowOverlap="1" wp14:anchorId="1E74122B" wp14:editId="5C1FCE12">
            <wp:simplePos x="0" y="0"/>
            <wp:positionH relativeFrom="margin">
              <wp:align>left</wp:align>
            </wp:positionH>
            <wp:positionV relativeFrom="paragraph">
              <wp:posOffset>221212</wp:posOffset>
            </wp:positionV>
            <wp:extent cx="3277870" cy="237871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77870" cy="2378710"/>
                    </a:xfrm>
                    <a:prstGeom prst="rect">
                      <a:avLst/>
                    </a:prstGeom>
                    <a:noFill/>
                  </pic:spPr>
                </pic:pic>
              </a:graphicData>
            </a:graphic>
            <wp14:sizeRelH relativeFrom="page">
              <wp14:pctWidth>0</wp14:pctWidth>
            </wp14:sizeRelH>
            <wp14:sizeRelV relativeFrom="page">
              <wp14:pctHeight>0</wp14:pctHeight>
            </wp14:sizeRelV>
          </wp:anchor>
        </w:drawing>
      </w:r>
    </w:p>
    <w:p w14:paraId="52ED6E3E" w14:textId="77B20396" w:rsidR="0051666C" w:rsidRDefault="0051666C" w:rsidP="0051666C">
      <w:pPr>
        <w:tabs>
          <w:tab w:val="left" w:pos="284"/>
        </w:tabs>
        <w:spacing w:after="0" w:line="360" w:lineRule="auto"/>
        <w:jc w:val="both"/>
        <w:rPr>
          <w:rFonts w:ascii="Calibri" w:hAnsi="Calibri"/>
        </w:rPr>
      </w:pPr>
    </w:p>
    <w:p w14:paraId="79AB30D6" w14:textId="77777777" w:rsidR="0051666C" w:rsidRPr="000544E5" w:rsidRDefault="0051666C" w:rsidP="0051666C">
      <w:pPr>
        <w:tabs>
          <w:tab w:val="left" w:pos="284"/>
        </w:tabs>
        <w:spacing w:after="0" w:line="240" w:lineRule="auto"/>
        <w:jc w:val="both"/>
        <w:rPr>
          <w:rFonts w:ascii="Calibri" w:hAnsi="Calibri"/>
          <w:color w:val="7F7F7F" w:themeColor="text1" w:themeTint="80"/>
          <w:sz w:val="20"/>
          <w:szCs w:val="20"/>
        </w:rPr>
      </w:pPr>
      <w:r w:rsidRPr="000544E5">
        <w:rPr>
          <w:rFonts w:ascii="Calibri" w:hAnsi="Calibri"/>
          <w:color w:val="7F7F7F" w:themeColor="text1" w:themeTint="80"/>
          <w:sz w:val="20"/>
          <w:szCs w:val="20"/>
        </w:rPr>
        <w:t>Birth rates by age: Greater Dandenong, 200</w:t>
      </w:r>
      <w:r>
        <w:rPr>
          <w:rFonts w:ascii="Calibri" w:hAnsi="Calibri"/>
          <w:color w:val="7F7F7F" w:themeColor="text1" w:themeTint="80"/>
          <w:sz w:val="20"/>
          <w:szCs w:val="20"/>
        </w:rPr>
        <w:t>0</w:t>
      </w:r>
      <w:r w:rsidRPr="000544E5">
        <w:rPr>
          <w:rFonts w:ascii="Calibri" w:hAnsi="Calibri"/>
          <w:color w:val="7F7F7F" w:themeColor="text1" w:themeTint="80"/>
          <w:sz w:val="20"/>
          <w:szCs w:val="20"/>
        </w:rPr>
        <w:t xml:space="preserve"> and 20</w:t>
      </w:r>
      <w:r>
        <w:rPr>
          <w:rFonts w:ascii="Calibri" w:hAnsi="Calibri"/>
          <w:color w:val="7F7F7F" w:themeColor="text1" w:themeTint="80"/>
          <w:sz w:val="20"/>
          <w:szCs w:val="20"/>
        </w:rPr>
        <w:t>21</w:t>
      </w:r>
    </w:p>
    <w:p w14:paraId="377D8CA9" w14:textId="77777777" w:rsidR="0051666C" w:rsidRDefault="0051666C" w:rsidP="0051666C">
      <w:pPr>
        <w:tabs>
          <w:tab w:val="left" w:pos="284"/>
        </w:tabs>
        <w:spacing w:after="0" w:line="360" w:lineRule="auto"/>
        <w:jc w:val="both"/>
        <w:rPr>
          <w:rFonts w:ascii="Calibri" w:hAnsi="Calibri"/>
          <w:noProof/>
          <w:lang w:eastAsia="en-AU"/>
        </w:rPr>
      </w:pPr>
    </w:p>
    <w:p w14:paraId="668A003D" w14:textId="77777777" w:rsidR="0051666C" w:rsidRDefault="0051666C" w:rsidP="0051666C">
      <w:pPr>
        <w:tabs>
          <w:tab w:val="left" w:pos="284"/>
        </w:tabs>
        <w:spacing w:after="0" w:line="360" w:lineRule="auto"/>
        <w:jc w:val="both"/>
        <w:rPr>
          <w:rFonts w:ascii="Calibri" w:hAnsi="Calibri"/>
          <w:noProof/>
          <w:lang w:eastAsia="en-AU"/>
        </w:rPr>
      </w:pPr>
      <w:r>
        <w:rPr>
          <w:rFonts w:ascii="Calibri" w:hAnsi="Calibri"/>
          <w:noProof/>
          <w:lang w:eastAsia="en-AU"/>
        </w:rPr>
        <w:t>A comparison between the birth rates in Greater Dandenong in 2021 and 2000 – nineteen years earlier – shows a decisive fall in birth rates among women aged less than 30 years, coupled with a smaller rise in rates among older women.</w:t>
      </w:r>
    </w:p>
    <w:p w14:paraId="573823FD" w14:textId="77777777" w:rsidR="0051666C" w:rsidRDefault="0051666C" w:rsidP="0051666C">
      <w:pPr>
        <w:tabs>
          <w:tab w:val="left" w:pos="284"/>
        </w:tabs>
        <w:spacing w:after="0" w:line="360" w:lineRule="auto"/>
        <w:jc w:val="both"/>
        <w:rPr>
          <w:rFonts w:ascii="Calibri" w:hAnsi="Calibri"/>
          <w:noProof/>
          <w:lang w:eastAsia="en-AU"/>
        </w:rPr>
      </w:pPr>
    </w:p>
    <w:p w14:paraId="0EC4B172" w14:textId="572DEB34" w:rsidR="0051666C" w:rsidRDefault="0051666C" w:rsidP="0051666C">
      <w:pPr>
        <w:tabs>
          <w:tab w:val="left" w:pos="284"/>
        </w:tabs>
        <w:spacing w:after="0" w:line="360" w:lineRule="auto"/>
        <w:jc w:val="both"/>
        <w:rPr>
          <w:rFonts w:ascii="Calibri" w:hAnsi="Calibri"/>
          <w:noProof/>
          <w:sz w:val="8"/>
          <w:szCs w:val="8"/>
          <w:lang w:eastAsia="en-AU"/>
        </w:rPr>
      </w:pPr>
    </w:p>
    <w:p w14:paraId="17A50455" w14:textId="30A3ED92" w:rsidR="0051666C" w:rsidRDefault="0051666C" w:rsidP="0051666C">
      <w:pPr>
        <w:tabs>
          <w:tab w:val="left" w:pos="284"/>
        </w:tabs>
        <w:spacing w:after="0" w:line="360" w:lineRule="auto"/>
        <w:jc w:val="both"/>
        <w:rPr>
          <w:rFonts w:ascii="Calibri" w:hAnsi="Calibri"/>
          <w:noProof/>
          <w:sz w:val="8"/>
          <w:szCs w:val="8"/>
          <w:lang w:eastAsia="en-AU"/>
        </w:rPr>
      </w:pPr>
    </w:p>
    <w:p w14:paraId="1BDDD8D3" w14:textId="28D3E7E0" w:rsidR="0051666C" w:rsidRDefault="0051666C" w:rsidP="0051666C">
      <w:pPr>
        <w:tabs>
          <w:tab w:val="left" w:pos="284"/>
        </w:tabs>
        <w:spacing w:after="0" w:line="360" w:lineRule="auto"/>
        <w:jc w:val="both"/>
        <w:rPr>
          <w:rFonts w:ascii="Calibri" w:hAnsi="Calibri"/>
          <w:noProof/>
          <w:sz w:val="8"/>
          <w:szCs w:val="8"/>
          <w:lang w:eastAsia="en-AU"/>
        </w:rPr>
      </w:pPr>
    </w:p>
    <w:p w14:paraId="64735251" w14:textId="3729D461" w:rsidR="0051666C" w:rsidRDefault="0051666C" w:rsidP="0051666C">
      <w:pPr>
        <w:tabs>
          <w:tab w:val="left" w:pos="284"/>
        </w:tabs>
        <w:spacing w:after="0" w:line="360" w:lineRule="auto"/>
        <w:jc w:val="both"/>
        <w:rPr>
          <w:rFonts w:ascii="Calibri" w:hAnsi="Calibri"/>
          <w:noProof/>
          <w:sz w:val="8"/>
          <w:szCs w:val="8"/>
          <w:lang w:eastAsia="en-AU"/>
        </w:rPr>
      </w:pPr>
    </w:p>
    <w:p w14:paraId="5AC556BE" w14:textId="77777777" w:rsidR="0051666C" w:rsidRPr="00CA3167" w:rsidRDefault="0051666C" w:rsidP="0051666C">
      <w:pPr>
        <w:tabs>
          <w:tab w:val="left" w:pos="284"/>
        </w:tabs>
        <w:spacing w:after="0" w:line="360" w:lineRule="auto"/>
        <w:jc w:val="both"/>
        <w:rPr>
          <w:rFonts w:ascii="Calibri" w:hAnsi="Calibri"/>
          <w:noProof/>
          <w:sz w:val="8"/>
          <w:szCs w:val="8"/>
          <w:lang w:eastAsia="en-AU"/>
        </w:rPr>
      </w:pPr>
    </w:p>
    <w:p w14:paraId="2AD80868" w14:textId="77777777" w:rsidR="0051666C" w:rsidRPr="00FD1CC2" w:rsidRDefault="0051666C" w:rsidP="0051666C">
      <w:pPr>
        <w:tabs>
          <w:tab w:val="left" w:pos="4820"/>
        </w:tabs>
        <w:spacing w:after="0" w:line="240" w:lineRule="auto"/>
        <w:jc w:val="both"/>
        <w:rPr>
          <w:rFonts w:ascii="Calibri" w:hAnsi="Calibri"/>
          <w:noProof/>
          <w:sz w:val="20"/>
          <w:szCs w:val="20"/>
          <w:lang w:eastAsia="en-AU"/>
        </w:rPr>
      </w:pPr>
      <w:r>
        <w:rPr>
          <w:rFonts w:ascii="Calibri" w:hAnsi="Calibri"/>
          <w:color w:val="7F7F7F"/>
        </w:rPr>
        <w:tab/>
      </w:r>
      <w:r w:rsidRPr="00FD1CC2">
        <w:rPr>
          <w:rFonts w:ascii="Calibri" w:hAnsi="Calibri"/>
          <w:color w:val="7F7F7F"/>
          <w:sz w:val="20"/>
          <w:szCs w:val="20"/>
        </w:rPr>
        <w:t>Average Children ever Born by Age and Education Level:</w:t>
      </w:r>
    </w:p>
    <w:p w14:paraId="3CC734C7" w14:textId="55BA8A86" w:rsidR="0051666C" w:rsidRDefault="0051666C" w:rsidP="0051666C">
      <w:pPr>
        <w:tabs>
          <w:tab w:val="left" w:pos="4820"/>
          <w:tab w:val="left" w:pos="5103"/>
        </w:tabs>
        <w:spacing w:after="0" w:line="240" w:lineRule="auto"/>
        <w:jc w:val="both"/>
        <w:rPr>
          <w:rFonts w:ascii="Calibri" w:hAnsi="Calibri"/>
          <w:color w:val="7F7F7F"/>
        </w:rPr>
      </w:pPr>
      <w:r w:rsidRPr="00C535CE">
        <w:rPr>
          <w:rFonts w:ascii="Calibri" w:hAnsi="Calibri"/>
          <w:b/>
          <w:noProof/>
          <w:lang w:eastAsia="en-AU"/>
        </w:rPr>
        <w:t>Circumstances which Influence Birth Rates</w:t>
      </w:r>
      <w:r>
        <w:rPr>
          <w:rFonts w:ascii="Calibri" w:hAnsi="Calibri"/>
          <w:b/>
          <w:noProof/>
          <w:lang w:eastAsia="en-AU"/>
        </w:rPr>
        <w:tab/>
      </w:r>
      <w:r>
        <w:rPr>
          <w:rFonts w:ascii="Calibri" w:hAnsi="Calibri"/>
          <w:color w:val="7F7F7F"/>
          <w:sz w:val="20"/>
          <w:szCs w:val="20"/>
        </w:rPr>
        <w:t>Greater Dandenong</w:t>
      </w:r>
      <w:r w:rsidRPr="00FD1CC2">
        <w:rPr>
          <w:rFonts w:ascii="Calibri" w:hAnsi="Calibri"/>
          <w:color w:val="7F7F7F"/>
          <w:sz w:val="20"/>
          <w:szCs w:val="20"/>
        </w:rPr>
        <w:t>, 20</w:t>
      </w:r>
      <w:r>
        <w:rPr>
          <w:rFonts w:ascii="Calibri" w:hAnsi="Calibri"/>
          <w:color w:val="7F7F7F"/>
          <w:sz w:val="20"/>
          <w:szCs w:val="20"/>
        </w:rPr>
        <w:t>21</w:t>
      </w:r>
    </w:p>
    <w:p w14:paraId="41409C92" w14:textId="77777777" w:rsidR="0051666C" w:rsidRDefault="0051666C" w:rsidP="0051666C">
      <w:pPr>
        <w:tabs>
          <w:tab w:val="left" w:pos="5103"/>
        </w:tabs>
        <w:spacing w:after="0" w:line="360" w:lineRule="auto"/>
        <w:jc w:val="both"/>
        <w:rPr>
          <w:rFonts w:ascii="Calibri" w:hAnsi="Calibri"/>
        </w:rPr>
      </w:pPr>
      <w:r>
        <w:rPr>
          <w:rFonts w:ascii="Calibri" w:hAnsi="Calibri"/>
          <w:noProof/>
        </w:rPr>
        <w:drawing>
          <wp:anchor distT="0" distB="0" distL="114300" distR="114300" simplePos="0" relativeHeight="251680768" behindDoc="0" locked="0" layoutInCell="1" allowOverlap="1" wp14:anchorId="5111A234" wp14:editId="2C887331">
            <wp:simplePos x="0" y="0"/>
            <wp:positionH relativeFrom="column">
              <wp:posOffset>2206625</wp:posOffset>
            </wp:positionH>
            <wp:positionV relativeFrom="paragraph">
              <wp:posOffset>6985</wp:posOffset>
            </wp:positionV>
            <wp:extent cx="3822065" cy="2505075"/>
            <wp:effectExtent l="0" t="0" r="698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22065" cy="25050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Fertility rates are strongly influenced</w:t>
      </w:r>
      <w:r w:rsidRPr="00A6516A">
        <w:rPr>
          <w:rFonts w:ascii="Calibri" w:hAnsi="Calibri"/>
        </w:rPr>
        <w:t xml:space="preserve"> by education. </w:t>
      </w:r>
      <w:r>
        <w:rPr>
          <w:rFonts w:ascii="Calibri" w:hAnsi="Calibri"/>
        </w:rPr>
        <w:t>For example, among 20-24 year-olds, those with incomplete secondary education are over three times more likely to have children than those who competed year 12</w:t>
      </w:r>
      <w:r w:rsidRPr="00A6516A">
        <w:rPr>
          <w:rFonts w:ascii="Calibri" w:hAnsi="Calibri"/>
        </w:rPr>
        <w:t xml:space="preserve">. </w:t>
      </w:r>
    </w:p>
    <w:p w14:paraId="66C3648E" w14:textId="77777777" w:rsidR="0051666C" w:rsidRDefault="0051666C" w:rsidP="0051666C">
      <w:pPr>
        <w:tabs>
          <w:tab w:val="left" w:pos="5103"/>
        </w:tabs>
        <w:spacing w:after="0" w:line="360" w:lineRule="auto"/>
        <w:jc w:val="both"/>
        <w:rPr>
          <w:rFonts w:ascii="Calibri" w:hAnsi="Calibri"/>
        </w:rPr>
      </w:pPr>
    </w:p>
    <w:p w14:paraId="70F57B6B" w14:textId="77777777" w:rsidR="0051666C" w:rsidRDefault="0051666C" w:rsidP="0051666C">
      <w:pPr>
        <w:tabs>
          <w:tab w:val="left" w:pos="5103"/>
        </w:tabs>
        <w:spacing w:after="0" w:line="360" w:lineRule="auto"/>
        <w:jc w:val="both"/>
        <w:rPr>
          <w:rFonts w:ascii="Calibri" w:hAnsi="Calibri"/>
        </w:rPr>
      </w:pPr>
    </w:p>
    <w:p w14:paraId="148C9DED" w14:textId="77777777" w:rsidR="0051666C" w:rsidRDefault="0051666C" w:rsidP="0051666C">
      <w:pPr>
        <w:tabs>
          <w:tab w:val="left" w:pos="5103"/>
        </w:tabs>
        <w:spacing w:after="0" w:line="360" w:lineRule="auto"/>
        <w:jc w:val="both"/>
        <w:rPr>
          <w:rFonts w:ascii="Calibri" w:hAnsi="Calibri"/>
        </w:rPr>
      </w:pPr>
    </w:p>
    <w:p w14:paraId="71934FDB" w14:textId="77777777" w:rsidR="0051666C" w:rsidRDefault="0051666C" w:rsidP="0051666C">
      <w:pPr>
        <w:tabs>
          <w:tab w:val="left" w:pos="5103"/>
        </w:tabs>
        <w:spacing w:after="0" w:line="360" w:lineRule="auto"/>
        <w:jc w:val="both"/>
        <w:rPr>
          <w:rFonts w:ascii="Calibri" w:hAnsi="Calibri"/>
        </w:rPr>
      </w:pPr>
      <w:r>
        <w:rPr>
          <w:rFonts w:ascii="Calibri" w:hAnsi="Calibri"/>
          <w:noProof/>
        </w:rPr>
        <w:lastRenderedPageBreak/>
        <w:drawing>
          <wp:anchor distT="0" distB="0" distL="114300" distR="114300" simplePos="0" relativeHeight="251682816" behindDoc="0" locked="0" layoutInCell="1" allowOverlap="1" wp14:anchorId="09B7F186" wp14:editId="7339B765">
            <wp:simplePos x="0" y="0"/>
            <wp:positionH relativeFrom="column">
              <wp:posOffset>2205355</wp:posOffset>
            </wp:positionH>
            <wp:positionV relativeFrom="paragraph">
              <wp:posOffset>152184</wp:posOffset>
            </wp:positionV>
            <wp:extent cx="3717290" cy="23114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17290" cy="23114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83840" behindDoc="0" locked="0" layoutInCell="1" allowOverlap="1" wp14:anchorId="14128E08" wp14:editId="26DF73B1">
            <wp:simplePos x="0" y="0"/>
            <wp:positionH relativeFrom="column">
              <wp:posOffset>4538345</wp:posOffset>
            </wp:positionH>
            <wp:positionV relativeFrom="paragraph">
              <wp:posOffset>93345</wp:posOffset>
            </wp:positionV>
            <wp:extent cx="1190625" cy="933450"/>
            <wp:effectExtent l="0" t="0" r="9525" b="0"/>
            <wp:wrapSquare wrapText="bothSides"/>
            <wp:docPr id="81" name="Picture 13" descr="Family 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Family 4.jpg"/>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90625" cy="933450"/>
                    </a:xfrm>
                    <a:prstGeom prst="rect">
                      <a:avLst/>
                    </a:prstGeom>
                    <a:noFill/>
                    <a:effectLst>
                      <a:softEdge rad="127000"/>
                    </a:effectLst>
                  </pic:spPr>
                </pic:pic>
              </a:graphicData>
            </a:graphic>
            <wp14:sizeRelH relativeFrom="page">
              <wp14:pctWidth>0</wp14:pctWidth>
            </wp14:sizeRelH>
            <wp14:sizeRelV relativeFrom="page">
              <wp14:pctHeight>0</wp14:pctHeight>
            </wp14:sizeRelV>
          </wp:anchor>
        </w:drawing>
      </w:r>
      <w:r>
        <w:rPr>
          <w:rFonts w:ascii="Calibri" w:hAnsi="Calibri"/>
        </w:rPr>
        <w:t>More strikingly, 47% of 20-24 year-old women in Greater Dandenong with year nine or less secondary education had given birth, compared with 4.7% - or one-tenth that proportion – of women with university degrees.</w:t>
      </w:r>
    </w:p>
    <w:p w14:paraId="3B6B7EB1" w14:textId="77777777" w:rsidR="0051666C" w:rsidRPr="00131C15" w:rsidRDefault="0051666C" w:rsidP="0051666C">
      <w:pPr>
        <w:tabs>
          <w:tab w:val="left" w:pos="5103"/>
        </w:tabs>
        <w:spacing w:after="0" w:line="360" w:lineRule="auto"/>
        <w:jc w:val="both"/>
        <w:rPr>
          <w:rFonts w:ascii="Calibri" w:hAnsi="Calibri"/>
          <w:color w:val="7F7F7F" w:themeColor="text1" w:themeTint="80"/>
          <w:sz w:val="12"/>
          <w:szCs w:val="12"/>
        </w:rPr>
      </w:pPr>
    </w:p>
    <w:p w14:paraId="25E82924" w14:textId="77777777" w:rsidR="0051666C" w:rsidRPr="00131C15" w:rsidRDefault="0051666C" w:rsidP="0051666C">
      <w:pPr>
        <w:tabs>
          <w:tab w:val="left" w:pos="5103"/>
        </w:tabs>
        <w:spacing w:after="0" w:line="240" w:lineRule="auto"/>
        <w:jc w:val="both"/>
        <w:rPr>
          <w:rFonts w:ascii="Calibri" w:hAnsi="Calibri"/>
          <w:color w:val="7F7F7F" w:themeColor="text1" w:themeTint="80"/>
          <w:sz w:val="20"/>
          <w:szCs w:val="20"/>
        </w:rPr>
      </w:pPr>
      <w:r w:rsidRPr="00131C15">
        <w:rPr>
          <w:rFonts w:ascii="Calibri" w:hAnsi="Calibri"/>
          <w:color w:val="7F7F7F" w:themeColor="text1" w:themeTint="80"/>
          <w:sz w:val="20"/>
          <w:szCs w:val="20"/>
        </w:rPr>
        <w:t>Proportion of women aged 20-24 who had given birth, by educational attainment: Greater Dandenong, 2021</w:t>
      </w:r>
    </w:p>
    <w:p w14:paraId="567EFF93" w14:textId="77777777" w:rsidR="0051666C" w:rsidRDefault="0051666C" w:rsidP="0051666C">
      <w:pPr>
        <w:tabs>
          <w:tab w:val="left" w:pos="5103"/>
        </w:tabs>
        <w:spacing w:after="0" w:line="360" w:lineRule="auto"/>
        <w:jc w:val="both"/>
        <w:rPr>
          <w:rFonts w:ascii="Calibri" w:hAnsi="Calibri"/>
        </w:rPr>
      </w:pPr>
    </w:p>
    <w:p w14:paraId="611F9EC4" w14:textId="77777777" w:rsidR="0051666C" w:rsidRPr="00F905B1" w:rsidRDefault="0051666C" w:rsidP="0051666C">
      <w:pPr>
        <w:tabs>
          <w:tab w:val="left" w:pos="5103"/>
        </w:tabs>
        <w:spacing w:after="0" w:line="360" w:lineRule="auto"/>
        <w:jc w:val="both"/>
        <w:rPr>
          <w:rFonts w:ascii="Calibri" w:hAnsi="Calibri"/>
          <w:i/>
          <w:iCs/>
          <w:color w:val="000000" w:themeColor="text1"/>
        </w:rPr>
      </w:pPr>
      <w:r w:rsidRPr="00F905B1">
        <w:rPr>
          <w:rFonts w:ascii="Calibri" w:hAnsi="Calibri"/>
          <w:i/>
          <w:iCs/>
          <w:color w:val="000000" w:themeColor="text1"/>
        </w:rPr>
        <w:t>Birth rates and Birthplace</w:t>
      </w:r>
    </w:p>
    <w:p w14:paraId="151AA26B" w14:textId="77777777" w:rsidR="0051666C" w:rsidRDefault="0051666C" w:rsidP="0051666C">
      <w:pPr>
        <w:tabs>
          <w:tab w:val="left" w:pos="5103"/>
        </w:tabs>
        <w:spacing w:after="0" w:line="360" w:lineRule="auto"/>
        <w:jc w:val="both"/>
        <w:rPr>
          <w:rFonts w:ascii="Calibri" w:hAnsi="Calibri"/>
        </w:rPr>
      </w:pPr>
      <w:r w:rsidRPr="00622A0C">
        <w:rPr>
          <w:rFonts w:ascii="Calibri" w:hAnsi="Calibri"/>
        </w:rPr>
        <w:t>Birth rates also vary widely with birthplace. The proportion of 20-24 year old women</w:t>
      </w:r>
      <w:r>
        <w:rPr>
          <w:rFonts w:ascii="Calibri" w:hAnsi="Calibri"/>
        </w:rPr>
        <w:t xml:space="preserve"> in Greater Dandenong</w:t>
      </w:r>
      <w:r w:rsidRPr="00622A0C">
        <w:rPr>
          <w:rFonts w:ascii="Calibri" w:hAnsi="Calibri"/>
        </w:rPr>
        <w:t xml:space="preserve"> who had given birth is illustrated here for </w:t>
      </w:r>
      <w:r>
        <w:rPr>
          <w:rFonts w:ascii="Calibri" w:hAnsi="Calibri"/>
        </w:rPr>
        <w:t>a selection of</w:t>
      </w:r>
      <w:r w:rsidRPr="00622A0C">
        <w:rPr>
          <w:rFonts w:ascii="Calibri" w:hAnsi="Calibri"/>
        </w:rPr>
        <w:t xml:space="preserve"> birthplaces. </w:t>
      </w:r>
    </w:p>
    <w:p w14:paraId="39D594D9" w14:textId="77777777" w:rsidR="0051666C" w:rsidRPr="00622A0C" w:rsidRDefault="0051666C" w:rsidP="0051666C">
      <w:pPr>
        <w:tabs>
          <w:tab w:val="left" w:pos="5103"/>
        </w:tabs>
        <w:spacing w:after="0" w:line="360" w:lineRule="auto"/>
        <w:jc w:val="both"/>
        <w:rPr>
          <w:rFonts w:ascii="Calibri" w:hAnsi="Calibri"/>
        </w:rPr>
      </w:pPr>
      <w:r>
        <w:rPr>
          <w:rFonts w:ascii="Calibri" w:hAnsi="Calibri"/>
          <w:noProof/>
        </w:rPr>
        <w:drawing>
          <wp:anchor distT="0" distB="0" distL="114300" distR="114300" simplePos="0" relativeHeight="251684864" behindDoc="0" locked="0" layoutInCell="1" allowOverlap="1" wp14:anchorId="65661C46" wp14:editId="19579481">
            <wp:simplePos x="0" y="0"/>
            <wp:positionH relativeFrom="column">
              <wp:posOffset>54610</wp:posOffset>
            </wp:positionH>
            <wp:positionV relativeFrom="paragraph">
              <wp:posOffset>600710</wp:posOffset>
            </wp:positionV>
            <wp:extent cx="3759200" cy="255587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59200" cy="25558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The proportion of these young women who had given birth ranges from over 20% of those born in Thailand, Indonesia, Pakistan, Afghanistan, Malaysia and Ethiopia, to its lowest levels of 5% of less among those from Australia, India, Sri Lanka and China.</w:t>
      </w:r>
    </w:p>
    <w:p w14:paraId="51BC2897" w14:textId="77777777" w:rsidR="0051666C" w:rsidRDefault="0051666C" w:rsidP="0051666C">
      <w:pPr>
        <w:tabs>
          <w:tab w:val="left" w:pos="5670"/>
        </w:tabs>
        <w:spacing w:after="0" w:line="360" w:lineRule="auto"/>
        <w:jc w:val="both"/>
        <w:rPr>
          <w:rFonts w:ascii="Calibri" w:hAnsi="Calibri"/>
          <w:b/>
        </w:rPr>
      </w:pPr>
    </w:p>
    <w:p w14:paraId="3A6E07F1" w14:textId="77777777" w:rsidR="0051666C" w:rsidRPr="00622A0C" w:rsidRDefault="0051666C" w:rsidP="0051666C">
      <w:pPr>
        <w:tabs>
          <w:tab w:val="left" w:pos="5670"/>
        </w:tabs>
        <w:spacing w:after="0" w:line="240" w:lineRule="auto"/>
        <w:jc w:val="both"/>
        <w:rPr>
          <w:rFonts w:ascii="Calibri" w:hAnsi="Calibri"/>
          <w:bCs/>
          <w:color w:val="7F7F7F" w:themeColor="text1" w:themeTint="80"/>
          <w:sz w:val="20"/>
          <w:szCs w:val="20"/>
        </w:rPr>
      </w:pPr>
      <w:r w:rsidRPr="00622A0C">
        <w:rPr>
          <w:rFonts w:ascii="Calibri" w:hAnsi="Calibri"/>
          <w:bCs/>
          <w:color w:val="7F7F7F" w:themeColor="text1" w:themeTint="80"/>
          <w:sz w:val="20"/>
          <w:szCs w:val="20"/>
        </w:rPr>
        <w:t>Proportion of women aged 20-24 who had given birth, by birthplace: Greater Dandenong, 2021</w:t>
      </w:r>
    </w:p>
    <w:p w14:paraId="2A336F49" w14:textId="77777777" w:rsidR="0051666C" w:rsidRDefault="0051666C" w:rsidP="0051666C">
      <w:pPr>
        <w:tabs>
          <w:tab w:val="left" w:pos="5670"/>
        </w:tabs>
        <w:spacing w:after="0" w:line="360" w:lineRule="auto"/>
        <w:jc w:val="both"/>
        <w:rPr>
          <w:rFonts w:ascii="Calibri" w:hAnsi="Calibri"/>
          <w:b/>
        </w:rPr>
      </w:pPr>
    </w:p>
    <w:p w14:paraId="124108FB" w14:textId="77777777" w:rsidR="0051666C" w:rsidRDefault="0051666C" w:rsidP="0051666C">
      <w:pPr>
        <w:tabs>
          <w:tab w:val="left" w:pos="5670"/>
        </w:tabs>
        <w:spacing w:after="0" w:line="360" w:lineRule="auto"/>
        <w:jc w:val="both"/>
        <w:rPr>
          <w:rFonts w:ascii="Calibri" w:hAnsi="Calibri"/>
          <w:b/>
        </w:rPr>
      </w:pPr>
    </w:p>
    <w:p w14:paraId="64024745" w14:textId="77777777" w:rsidR="0051666C" w:rsidRDefault="0051666C" w:rsidP="0051666C">
      <w:pPr>
        <w:tabs>
          <w:tab w:val="left" w:pos="5103"/>
        </w:tabs>
        <w:spacing w:after="0" w:line="360" w:lineRule="auto"/>
        <w:jc w:val="both"/>
        <w:rPr>
          <w:rFonts w:ascii="Calibri" w:hAnsi="Calibri"/>
          <w:b/>
        </w:rPr>
      </w:pPr>
    </w:p>
    <w:p w14:paraId="467503D9" w14:textId="77777777" w:rsidR="0051666C" w:rsidRDefault="0051666C" w:rsidP="0051666C">
      <w:pPr>
        <w:tabs>
          <w:tab w:val="left" w:pos="5103"/>
        </w:tabs>
        <w:spacing w:after="0" w:line="360" w:lineRule="auto"/>
        <w:jc w:val="both"/>
        <w:rPr>
          <w:rFonts w:ascii="Calibri" w:hAnsi="Calibri"/>
          <w:b/>
        </w:rPr>
      </w:pPr>
    </w:p>
    <w:p w14:paraId="1221773F" w14:textId="77777777" w:rsidR="0051666C" w:rsidRDefault="0051666C" w:rsidP="0051666C">
      <w:pPr>
        <w:tabs>
          <w:tab w:val="left" w:pos="5103"/>
        </w:tabs>
        <w:spacing w:after="0" w:line="360" w:lineRule="auto"/>
        <w:jc w:val="both"/>
        <w:rPr>
          <w:rFonts w:ascii="Calibri" w:hAnsi="Calibri"/>
          <w:b/>
        </w:rPr>
      </w:pPr>
    </w:p>
    <w:p w14:paraId="28E87671" w14:textId="77777777" w:rsidR="0051666C" w:rsidRDefault="0051666C" w:rsidP="0051666C">
      <w:pPr>
        <w:tabs>
          <w:tab w:val="left" w:pos="5103"/>
        </w:tabs>
        <w:spacing w:after="0" w:line="360" w:lineRule="auto"/>
        <w:jc w:val="both"/>
        <w:rPr>
          <w:rFonts w:ascii="Calibri" w:hAnsi="Calibri"/>
          <w:b/>
        </w:rPr>
      </w:pPr>
    </w:p>
    <w:p w14:paraId="79149C9F" w14:textId="77777777" w:rsidR="0051666C" w:rsidRPr="00F905B1" w:rsidRDefault="0051666C" w:rsidP="0051666C">
      <w:pPr>
        <w:tabs>
          <w:tab w:val="left" w:pos="5103"/>
        </w:tabs>
        <w:spacing w:after="0" w:line="360" w:lineRule="auto"/>
        <w:jc w:val="both"/>
        <w:rPr>
          <w:rFonts w:ascii="Calibri" w:hAnsi="Calibri"/>
          <w:i/>
          <w:iCs/>
          <w:color w:val="000000" w:themeColor="text1"/>
        </w:rPr>
      </w:pPr>
      <w:r w:rsidRPr="00F905B1">
        <w:rPr>
          <w:rFonts w:ascii="Calibri" w:hAnsi="Calibri"/>
          <w:i/>
          <w:iCs/>
          <w:color w:val="000000" w:themeColor="text1"/>
        </w:rPr>
        <w:t xml:space="preserve">Birth rates and </w:t>
      </w:r>
      <w:r>
        <w:rPr>
          <w:rFonts w:ascii="Calibri" w:hAnsi="Calibri"/>
          <w:i/>
          <w:iCs/>
          <w:color w:val="000000" w:themeColor="text1"/>
        </w:rPr>
        <w:t>Religion</w:t>
      </w:r>
    </w:p>
    <w:p w14:paraId="26C97C38" w14:textId="77777777" w:rsidR="0051666C" w:rsidRDefault="0051666C" w:rsidP="0051666C">
      <w:pPr>
        <w:tabs>
          <w:tab w:val="left" w:pos="5670"/>
        </w:tabs>
        <w:spacing w:after="0" w:line="360" w:lineRule="auto"/>
        <w:jc w:val="both"/>
        <w:rPr>
          <w:rFonts w:ascii="Calibri" w:hAnsi="Calibri"/>
          <w:bCs/>
        </w:rPr>
      </w:pPr>
      <w:r w:rsidRPr="00F905B1">
        <w:rPr>
          <w:rFonts w:ascii="Calibri" w:hAnsi="Calibri"/>
          <w:bCs/>
          <w:noProof/>
        </w:rPr>
        <w:drawing>
          <wp:anchor distT="0" distB="0" distL="114300" distR="114300" simplePos="0" relativeHeight="251685888" behindDoc="0" locked="0" layoutInCell="1" allowOverlap="1" wp14:anchorId="4FE8E1FE" wp14:editId="3432B1E7">
            <wp:simplePos x="0" y="0"/>
            <wp:positionH relativeFrom="column">
              <wp:posOffset>2924175</wp:posOffset>
            </wp:positionH>
            <wp:positionV relativeFrom="paragraph">
              <wp:posOffset>128270</wp:posOffset>
            </wp:positionV>
            <wp:extent cx="3160395" cy="2292350"/>
            <wp:effectExtent l="0" t="0" r="190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1">
                      <a:extLst>
                        <a:ext uri="{28A0092B-C50C-407E-A947-70E740481C1C}">
                          <a14:useLocalDpi xmlns:a14="http://schemas.microsoft.com/office/drawing/2010/main" val="0"/>
                        </a:ext>
                      </a:extLst>
                    </a:blip>
                    <a:srcRect l="1667" t="14760" r="3573"/>
                    <a:stretch/>
                  </pic:blipFill>
                  <pic:spPr bwMode="auto">
                    <a:xfrm>
                      <a:off x="0" y="0"/>
                      <a:ext cx="3160395" cy="2292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905B1">
        <w:rPr>
          <w:rFonts w:ascii="Calibri" w:hAnsi="Calibri"/>
          <w:bCs/>
        </w:rPr>
        <w:t xml:space="preserve">The proportion of women aged 20-24 who had given birth, also varies widely with religion. </w:t>
      </w:r>
      <w:r>
        <w:rPr>
          <w:rFonts w:ascii="Calibri" w:hAnsi="Calibri"/>
          <w:bCs/>
        </w:rPr>
        <w:t>In 2021, w</w:t>
      </w:r>
      <w:r w:rsidRPr="00F905B1">
        <w:rPr>
          <w:rFonts w:ascii="Calibri" w:hAnsi="Calibri"/>
          <w:bCs/>
        </w:rPr>
        <w:t>omen</w:t>
      </w:r>
      <w:r>
        <w:rPr>
          <w:rFonts w:ascii="Calibri" w:hAnsi="Calibri"/>
          <w:bCs/>
        </w:rPr>
        <w:t xml:space="preserve"> in Greater Dandenong</w:t>
      </w:r>
      <w:r w:rsidRPr="00F905B1">
        <w:rPr>
          <w:rFonts w:ascii="Calibri" w:hAnsi="Calibri"/>
          <w:bCs/>
        </w:rPr>
        <w:t xml:space="preserve"> who adhered to Islam featured the highest levels of childbirth – about five times higher than among those who follow Buddhism and Hinduism.</w:t>
      </w:r>
    </w:p>
    <w:p w14:paraId="1AAF3EF2" w14:textId="77777777" w:rsidR="0051666C" w:rsidRPr="00F905B1" w:rsidRDefault="0051666C" w:rsidP="0051666C">
      <w:pPr>
        <w:tabs>
          <w:tab w:val="left" w:pos="5670"/>
        </w:tabs>
        <w:spacing w:after="0" w:line="360" w:lineRule="auto"/>
        <w:jc w:val="both"/>
        <w:rPr>
          <w:rFonts w:ascii="Calibri" w:hAnsi="Calibri"/>
          <w:bCs/>
          <w:sz w:val="10"/>
          <w:szCs w:val="10"/>
        </w:rPr>
      </w:pPr>
    </w:p>
    <w:p w14:paraId="500E9225" w14:textId="77777777" w:rsidR="0051666C" w:rsidRPr="00622A0C" w:rsidRDefault="0051666C" w:rsidP="0051666C">
      <w:pPr>
        <w:tabs>
          <w:tab w:val="left" w:pos="5670"/>
        </w:tabs>
        <w:spacing w:after="0" w:line="240" w:lineRule="auto"/>
        <w:jc w:val="both"/>
        <w:rPr>
          <w:rFonts w:ascii="Calibri" w:hAnsi="Calibri"/>
          <w:bCs/>
          <w:color w:val="7F7F7F" w:themeColor="text1" w:themeTint="80"/>
          <w:sz w:val="20"/>
          <w:szCs w:val="20"/>
        </w:rPr>
      </w:pPr>
      <w:r w:rsidRPr="00622A0C">
        <w:rPr>
          <w:rFonts w:ascii="Calibri" w:hAnsi="Calibri"/>
          <w:bCs/>
          <w:color w:val="7F7F7F" w:themeColor="text1" w:themeTint="80"/>
          <w:sz w:val="20"/>
          <w:szCs w:val="20"/>
        </w:rPr>
        <w:t xml:space="preserve">Proportion of women aged 20-24 who had given birth, by </w:t>
      </w:r>
      <w:r>
        <w:rPr>
          <w:rFonts w:ascii="Calibri" w:hAnsi="Calibri"/>
          <w:bCs/>
          <w:color w:val="7F7F7F" w:themeColor="text1" w:themeTint="80"/>
          <w:sz w:val="20"/>
          <w:szCs w:val="20"/>
        </w:rPr>
        <w:t>religion</w:t>
      </w:r>
      <w:r w:rsidRPr="00622A0C">
        <w:rPr>
          <w:rFonts w:ascii="Calibri" w:hAnsi="Calibri"/>
          <w:bCs/>
          <w:color w:val="7F7F7F" w:themeColor="text1" w:themeTint="80"/>
          <w:sz w:val="20"/>
          <w:szCs w:val="20"/>
        </w:rPr>
        <w:t>: Greater Dandenong, 2021</w:t>
      </w:r>
    </w:p>
    <w:p w14:paraId="5A09732D" w14:textId="77777777" w:rsidR="0051666C" w:rsidRDefault="0051666C" w:rsidP="0051666C">
      <w:pPr>
        <w:tabs>
          <w:tab w:val="left" w:pos="5670"/>
        </w:tabs>
        <w:spacing w:after="0" w:line="360" w:lineRule="auto"/>
        <w:jc w:val="both"/>
        <w:rPr>
          <w:rFonts w:ascii="Calibri" w:hAnsi="Calibri"/>
          <w:bCs/>
        </w:rPr>
      </w:pPr>
    </w:p>
    <w:p w14:paraId="3794681B" w14:textId="77777777" w:rsidR="0051666C" w:rsidRDefault="0051666C" w:rsidP="0051666C">
      <w:pPr>
        <w:tabs>
          <w:tab w:val="left" w:pos="5670"/>
        </w:tabs>
        <w:spacing w:after="0" w:line="360" w:lineRule="auto"/>
        <w:jc w:val="both"/>
        <w:rPr>
          <w:rFonts w:ascii="Calibri" w:hAnsi="Calibri"/>
          <w:bCs/>
        </w:rPr>
      </w:pPr>
    </w:p>
    <w:p w14:paraId="536A96B8" w14:textId="77777777" w:rsidR="0051666C" w:rsidRPr="00F905B1" w:rsidRDefault="0051666C" w:rsidP="0051666C">
      <w:pPr>
        <w:tabs>
          <w:tab w:val="left" w:pos="5670"/>
        </w:tabs>
        <w:spacing w:after="0" w:line="360" w:lineRule="auto"/>
        <w:jc w:val="both"/>
        <w:rPr>
          <w:rFonts w:ascii="Calibri" w:hAnsi="Calibri"/>
          <w:bCs/>
        </w:rPr>
      </w:pPr>
      <w:r>
        <w:rPr>
          <w:rFonts w:ascii="Calibri" w:hAnsi="Calibri"/>
          <w:bCs/>
        </w:rPr>
        <w:lastRenderedPageBreak/>
        <w:t>Such disparities in the proportion of young women who had given birth may not be attributed to religion alone, but to associated conditions such educational attainment.</w:t>
      </w:r>
    </w:p>
    <w:p w14:paraId="3B24F28D" w14:textId="77777777" w:rsidR="0051666C" w:rsidRPr="00BE070C" w:rsidRDefault="0051666C" w:rsidP="0051666C">
      <w:pPr>
        <w:tabs>
          <w:tab w:val="left" w:pos="5670"/>
        </w:tabs>
        <w:spacing w:after="0" w:line="360" w:lineRule="auto"/>
        <w:jc w:val="both"/>
        <w:rPr>
          <w:rFonts w:ascii="Calibri" w:hAnsi="Calibri"/>
          <w:bCs/>
        </w:rPr>
      </w:pPr>
      <w:r w:rsidRPr="00BE070C">
        <w:rPr>
          <w:rFonts w:ascii="Calibri" w:hAnsi="Calibri"/>
          <w:bCs/>
        </w:rPr>
        <w:t>Where the same information is disaggregated by educational attainment, wide differences in the proportions of young women who have given birth emerge, between those with completed secondary education and those who left school early.</w:t>
      </w:r>
      <w:r>
        <w:rPr>
          <w:rFonts w:ascii="Calibri" w:hAnsi="Calibri"/>
          <w:bCs/>
        </w:rPr>
        <w:t xml:space="preserve"> For example, among 20-24 year-old women in Greater Dandenong, who adhere to Hinduism, 43% of those with less than year 11 education had given birth, compared with just 2% of those with complete secondary education. A similar pattern, though less pronounced, may be seen among adherents to other religions.</w:t>
      </w:r>
    </w:p>
    <w:p w14:paraId="1379DFAB" w14:textId="77777777" w:rsidR="0051666C" w:rsidRDefault="0051666C" w:rsidP="0051666C">
      <w:pPr>
        <w:tabs>
          <w:tab w:val="left" w:pos="5670"/>
        </w:tabs>
        <w:spacing w:after="0" w:line="360" w:lineRule="auto"/>
        <w:jc w:val="both"/>
        <w:rPr>
          <w:rFonts w:ascii="Calibri" w:hAnsi="Calibri"/>
          <w:b/>
        </w:rPr>
      </w:pPr>
      <w:r>
        <w:rPr>
          <w:rFonts w:ascii="Calibri" w:hAnsi="Calibri"/>
          <w:b/>
          <w:noProof/>
        </w:rPr>
        <w:drawing>
          <wp:anchor distT="0" distB="0" distL="114300" distR="114300" simplePos="0" relativeHeight="251686912" behindDoc="0" locked="0" layoutInCell="1" allowOverlap="1" wp14:anchorId="17DFC296" wp14:editId="7E38BBE5">
            <wp:simplePos x="0" y="0"/>
            <wp:positionH relativeFrom="column">
              <wp:posOffset>22860</wp:posOffset>
            </wp:positionH>
            <wp:positionV relativeFrom="paragraph">
              <wp:posOffset>24130</wp:posOffset>
            </wp:positionV>
            <wp:extent cx="3965575" cy="25908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65575" cy="2590800"/>
                    </a:xfrm>
                    <a:prstGeom prst="rect">
                      <a:avLst/>
                    </a:prstGeom>
                    <a:noFill/>
                  </pic:spPr>
                </pic:pic>
              </a:graphicData>
            </a:graphic>
            <wp14:sizeRelH relativeFrom="page">
              <wp14:pctWidth>0</wp14:pctWidth>
            </wp14:sizeRelH>
            <wp14:sizeRelV relativeFrom="page">
              <wp14:pctHeight>0</wp14:pctHeight>
            </wp14:sizeRelV>
          </wp:anchor>
        </w:drawing>
      </w:r>
    </w:p>
    <w:p w14:paraId="458671CC" w14:textId="77777777" w:rsidR="0051666C" w:rsidRPr="00622A0C" w:rsidRDefault="0051666C" w:rsidP="0051666C">
      <w:pPr>
        <w:tabs>
          <w:tab w:val="left" w:pos="5670"/>
        </w:tabs>
        <w:spacing w:after="0" w:line="240" w:lineRule="auto"/>
        <w:jc w:val="both"/>
        <w:rPr>
          <w:rFonts w:ascii="Calibri" w:hAnsi="Calibri"/>
          <w:bCs/>
          <w:color w:val="7F7F7F" w:themeColor="text1" w:themeTint="80"/>
          <w:sz w:val="20"/>
          <w:szCs w:val="20"/>
        </w:rPr>
      </w:pPr>
      <w:r w:rsidRPr="00622A0C">
        <w:rPr>
          <w:rFonts w:ascii="Calibri" w:hAnsi="Calibri"/>
          <w:bCs/>
          <w:color w:val="7F7F7F" w:themeColor="text1" w:themeTint="80"/>
          <w:sz w:val="20"/>
          <w:szCs w:val="20"/>
        </w:rPr>
        <w:t xml:space="preserve">Proportion of women aged 20-24 who had given birth, by </w:t>
      </w:r>
      <w:r>
        <w:rPr>
          <w:rFonts w:ascii="Calibri" w:hAnsi="Calibri"/>
          <w:bCs/>
          <w:color w:val="7F7F7F" w:themeColor="text1" w:themeTint="80"/>
          <w:sz w:val="20"/>
          <w:szCs w:val="20"/>
        </w:rPr>
        <w:t>religion and educational attainment</w:t>
      </w:r>
      <w:r w:rsidRPr="00622A0C">
        <w:rPr>
          <w:rFonts w:ascii="Calibri" w:hAnsi="Calibri"/>
          <w:bCs/>
          <w:color w:val="7F7F7F" w:themeColor="text1" w:themeTint="80"/>
          <w:sz w:val="20"/>
          <w:szCs w:val="20"/>
        </w:rPr>
        <w:t>: Greater Dandenong, 2021</w:t>
      </w:r>
    </w:p>
    <w:p w14:paraId="51C86E4F" w14:textId="77777777" w:rsidR="0051666C" w:rsidRDefault="0051666C" w:rsidP="0051666C">
      <w:pPr>
        <w:tabs>
          <w:tab w:val="left" w:pos="5670"/>
        </w:tabs>
        <w:spacing w:after="0" w:line="360" w:lineRule="auto"/>
        <w:jc w:val="both"/>
        <w:rPr>
          <w:rFonts w:ascii="Calibri" w:hAnsi="Calibri"/>
          <w:b/>
        </w:rPr>
      </w:pPr>
    </w:p>
    <w:p w14:paraId="113CA651" w14:textId="77777777" w:rsidR="0051666C" w:rsidRDefault="0051666C" w:rsidP="0051666C">
      <w:pPr>
        <w:tabs>
          <w:tab w:val="left" w:pos="5103"/>
        </w:tabs>
        <w:spacing w:after="0" w:line="360" w:lineRule="auto"/>
        <w:jc w:val="both"/>
        <w:rPr>
          <w:rFonts w:ascii="Calibri" w:hAnsi="Calibri"/>
          <w:bCs/>
        </w:rPr>
      </w:pPr>
    </w:p>
    <w:p w14:paraId="5EC52E31" w14:textId="77777777" w:rsidR="0051666C" w:rsidRDefault="0051666C" w:rsidP="0051666C">
      <w:pPr>
        <w:tabs>
          <w:tab w:val="left" w:pos="5103"/>
        </w:tabs>
        <w:spacing w:after="0" w:line="360" w:lineRule="auto"/>
        <w:jc w:val="both"/>
        <w:rPr>
          <w:rFonts w:ascii="Calibri" w:hAnsi="Calibri"/>
          <w:bCs/>
        </w:rPr>
      </w:pPr>
    </w:p>
    <w:p w14:paraId="4D89F38E" w14:textId="77777777" w:rsidR="0051666C" w:rsidRDefault="0051666C" w:rsidP="0051666C">
      <w:pPr>
        <w:tabs>
          <w:tab w:val="left" w:pos="5103"/>
        </w:tabs>
        <w:spacing w:after="0" w:line="360" w:lineRule="auto"/>
        <w:jc w:val="both"/>
        <w:rPr>
          <w:rFonts w:ascii="Calibri" w:hAnsi="Calibri"/>
          <w:bCs/>
        </w:rPr>
      </w:pPr>
    </w:p>
    <w:p w14:paraId="40515BB0" w14:textId="77777777" w:rsidR="0051666C" w:rsidRDefault="0051666C" w:rsidP="0051666C">
      <w:pPr>
        <w:tabs>
          <w:tab w:val="left" w:pos="5103"/>
        </w:tabs>
        <w:spacing w:after="0" w:line="360" w:lineRule="auto"/>
        <w:jc w:val="both"/>
        <w:rPr>
          <w:rFonts w:ascii="Calibri" w:hAnsi="Calibri"/>
          <w:bCs/>
        </w:rPr>
      </w:pPr>
    </w:p>
    <w:p w14:paraId="0C374542" w14:textId="77777777" w:rsidR="0051666C" w:rsidRDefault="0051666C" w:rsidP="0051666C">
      <w:pPr>
        <w:tabs>
          <w:tab w:val="left" w:pos="5103"/>
        </w:tabs>
        <w:spacing w:after="0" w:line="360" w:lineRule="auto"/>
        <w:jc w:val="both"/>
        <w:rPr>
          <w:rFonts w:ascii="Calibri" w:hAnsi="Calibri"/>
          <w:bCs/>
        </w:rPr>
      </w:pPr>
    </w:p>
    <w:p w14:paraId="3F68B20B" w14:textId="77777777" w:rsidR="0051666C" w:rsidRDefault="0051666C" w:rsidP="0051666C">
      <w:pPr>
        <w:tabs>
          <w:tab w:val="left" w:pos="5103"/>
        </w:tabs>
        <w:spacing w:after="0" w:line="360" w:lineRule="auto"/>
        <w:jc w:val="both"/>
        <w:rPr>
          <w:rFonts w:ascii="Calibri" w:hAnsi="Calibri"/>
          <w:i/>
          <w:iCs/>
          <w:color w:val="000000" w:themeColor="text1"/>
        </w:rPr>
      </w:pPr>
    </w:p>
    <w:p w14:paraId="2E832B43" w14:textId="77777777" w:rsidR="0051666C" w:rsidRPr="00A6516A" w:rsidRDefault="0051666C" w:rsidP="0051666C">
      <w:pPr>
        <w:tabs>
          <w:tab w:val="left" w:pos="5529"/>
        </w:tabs>
        <w:spacing w:after="0" w:line="240" w:lineRule="auto"/>
        <w:jc w:val="both"/>
        <w:rPr>
          <w:rFonts w:ascii="Calibri" w:hAnsi="Calibri"/>
          <w:b/>
          <w:color w:val="7F7F7F"/>
        </w:rPr>
      </w:pPr>
      <w:r w:rsidRPr="00A6516A">
        <w:rPr>
          <w:rFonts w:ascii="Calibri" w:hAnsi="Calibri"/>
          <w:b/>
        </w:rPr>
        <w:t>Families</w:t>
      </w:r>
      <w:r>
        <w:rPr>
          <w:rFonts w:ascii="Calibri" w:hAnsi="Calibri"/>
          <w:b/>
        </w:rPr>
        <w:tab/>
      </w:r>
      <w:r w:rsidRPr="000726D5">
        <w:rPr>
          <w:rFonts w:ascii="Calibri" w:hAnsi="Calibri"/>
          <w:color w:val="7F7F7F"/>
          <w:sz w:val="20"/>
          <w:szCs w:val="20"/>
        </w:rPr>
        <w:t>Family Types: Greater Dandenong, 20</w:t>
      </w:r>
      <w:r>
        <w:rPr>
          <w:rFonts w:ascii="Calibri" w:hAnsi="Calibri"/>
          <w:color w:val="7F7F7F"/>
          <w:sz w:val="20"/>
          <w:szCs w:val="20"/>
        </w:rPr>
        <w:t>21</w:t>
      </w:r>
    </w:p>
    <w:p w14:paraId="791F65F4" w14:textId="77777777" w:rsidR="0051666C" w:rsidRDefault="0051666C" w:rsidP="0051666C">
      <w:pPr>
        <w:tabs>
          <w:tab w:val="left" w:pos="4395"/>
        </w:tabs>
        <w:spacing w:after="0" w:line="360" w:lineRule="auto"/>
        <w:jc w:val="both"/>
        <w:rPr>
          <w:rFonts w:ascii="Calibri" w:hAnsi="Calibri"/>
          <w:color w:val="000000"/>
        </w:rPr>
      </w:pPr>
      <w:r>
        <w:rPr>
          <w:rFonts w:ascii="Calibri" w:hAnsi="Calibri"/>
          <w:noProof/>
          <w:color w:val="000000"/>
        </w:rPr>
        <w:drawing>
          <wp:anchor distT="0" distB="0" distL="114300" distR="114300" simplePos="0" relativeHeight="251687936" behindDoc="0" locked="0" layoutInCell="1" allowOverlap="1" wp14:anchorId="618D445D" wp14:editId="03848D83">
            <wp:simplePos x="0" y="0"/>
            <wp:positionH relativeFrom="column">
              <wp:posOffset>3026410</wp:posOffset>
            </wp:positionH>
            <wp:positionV relativeFrom="paragraph">
              <wp:posOffset>3810</wp:posOffset>
            </wp:positionV>
            <wp:extent cx="3022600" cy="1953895"/>
            <wp:effectExtent l="0" t="0" r="6350" b="8255"/>
            <wp:wrapSquare wrapText="bothSides"/>
            <wp:docPr id="20" name="Picture 20"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pie chart&#10;&#10;Description automatically generated"/>
                    <pic:cNvPicPr>
                      <a:picLocks noChangeAspect="1" noChangeArrowheads="1"/>
                    </pic:cNvPicPr>
                  </pic:nvPicPr>
                  <pic:blipFill rotWithShape="1">
                    <a:blip r:embed="rId33">
                      <a:extLst>
                        <a:ext uri="{28A0092B-C50C-407E-A947-70E740481C1C}">
                          <a14:useLocalDpi xmlns:a14="http://schemas.microsoft.com/office/drawing/2010/main" val="0"/>
                        </a:ext>
                      </a:extLst>
                    </a:blip>
                    <a:srcRect l="8028" r="4586" b="2395"/>
                    <a:stretch/>
                  </pic:blipFill>
                  <pic:spPr bwMode="auto">
                    <a:xfrm>
                      <a:off x="0" y="0"/>
                      <a:ext cx="3022600" cy="19538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olor w:val="000000"/>
        </w:rPr>
        <w:t xml:space="preserve">In 2021, there were </w:t>
      </w:r>
      <w:bookmarkStart w:id="1" w:name="_Hlk49865347"/>
      <w:r>
        <w:rPr>
          <w:rFonts w:ascii="Calibri" w:hAnsi="Calibri"/>
          <w:color w:val="000000"/>
        </w:rPr>
        <w:t>approximately 40,000 families</w:t>
      </w:r>
      <w:r w:rsidRPr="00111466">
        <w:rPr>
          <w:rFonts w:ascii="Calibri" w:hAnsi="Calibri"/>
          <w:color w:val="000000"/>
        </w:rPr>
        <w:t xml:space="preserve"> in Greater Dandenong</w:t>
      </w:r>
      <w:r>
        <w:rPr>
          <w:rFonts w:ascii="Calibri" w:hAnsi="Calibri"/>
          <w:color w:val="000000"/>
        </w:rPr>
        <w:t>. Among them, a third</w:t>
      </w:r>
      <w:r w:rsidRPr="00111466">
        <w:rPr>
          <w:rFonts w:ascii="Calibri" w:hAnsi="Calibri"/>
          <w:color w:val="000000"/>
        </w:rPr>
        <w:t xml:space="preserve"> </w:t>
      </w:r>
      <w:r>
        <w:rPr>
          <w:rFonts w:ascii="Calibri" w:hAnsi="Calibri"/>
          <w:color w:val="000000"/>
        </w:rPr>
        <w:t>(</w:t>
      </w:r>
      <w:r w:rsidRPr="00111466">
        <w:rPr>
          <w:rFonts w:ascii="Calibri" w:hAnsi="Calibri"/>
          <w:color w:val="000000"/>
        </w:rPr>
        <w:t>30%</w:t>
      </w:r>
      <w:r>
        <w:rPr>
          <w:rFonts w:ascii="Calibri" w:hAnsi="Calibri"/>
          <w:color w:val="000000"/>
        </w:rPr>
        <w:t>)</w:t>
      </w:r>
      <w:r w:rsidRPr="00111466">
        <w:rPr>
          <w:rFonts w:ascii="Calibri" w:hAnsi="Calibri"/>
          <w:color w:val="000000"/>
        </w:rPr>
        <w:t xml:space="preserve"> </w:t>
      </w:r>
      <w:r>
        <w:rPr>
          <w:rFonts w:ascii="Calibri" w:hAnsi="Calibri"/>
          <w:color w:val="000000"/>
        </w:rPr>
        <w:t>were</w:t>
      </w:r>
      <w:r w:rsidRPr="00111466">
        <w:rPr>
          <w:rFonts w:ascii="Calibri" w:hAnsi="Calibri"/>
          <w:color w:val="000000"/>
        </w:rPr>
        <w:t xml:space="preserve"> couples</w:t>
      </w:r>
      <w:r>
        <w:rPr>
          <w:rFonts w:ascii="Calibri" w:hAnsi="Calibri"/>
          <w:color w:val="000000"/>
        </w:rPr>
        <w:t xml:space="preserve"> only</w:t>
      </w:r>
      <w:r w:rsidRPr="00111466">
        <w:rPr>
          <w:rFonts w:ascii="Calibri" w:hAnsi="Calibri"/>
          <w:color w:val="000000"/>
        </w:rPr>
        <w:t>, 4</w:t>
      </w:r>
      <w:r>
        <w:rPr>
          <w:rFonts w:ascii="Calibri" w:hAnsi="Calibri"/>
          <w:color w:val="000000"/>
        </w:rPr>
        <w:t>8</w:t>
      </w:r>
      <w:r w:rsidRPr="00111466">
        <w:rPr>
          <w:rFonts w:ascii="Calibri" w:hAnsi="Calibri"/>
          <w:color w:val="000000"/>
        </w:rPr>
        <w:t>% couples with children, 19% are headed by a single parent</w:t>
      </w:r>
      <w:r>
        <w:rPr>
          <w:rFonts w:ascii="Calibri" w:hAnsi="Calibri"/>
          <w:color w:val="000000"/>
        </w:rPr>
        <w:t>, and the balance, other family types.</w:t>
      </w:r>
      <w:bookmarkEnd w:id="1"/>
    </w:p>
    <w:p w14:paraId="44973FD2" w14:textId="77777777" w:rsidR="0051666C" w:rsidRPr="005F4DA3" w:rsidRDefault="0051666C" w:rsidP="0051666C">
      <w:pPr>
        <w:tabs>
          <w:tab w:val="left" w:pos="4395"/>
        </w:tabs>
        <w:spacing w:after="0" w:line="360" w:lineRule="auto"/>
        <w:jc w:val="both"/>
        <w:rPr>
          <w:rFonts w:ascii="Calibri" w:hAnsi="Calibri"/>
          <w:color w:val="000000"/>
        </w:rPr>
      </w:pPr>
    </w:p>
    <w:p w14:paraId="797830A1" w14:textId="77777777" w:rsidR="0051666C" w:rsidRDefault="0051666C" w:rsidP="0051666C">
      <w:pPr>
        <w:tabs>
          <w:tab w:val="left" w:pos="5103"/>
        </w:tabs>
        <w:spacing w:after="0" w:line="240" w:lineRule="auto"/>
        <w:jc w:val="both"/>
        <w:rPr>
          <w:rFonts w:ascii="Calibri" w:hAnsi="Calibri"/>
          <w:bCs/>
          <w:color w:val="7F7F7F" w:themeColor="text1" w:themeTint="80"/>
          <w:sz w:val="20"/>
          <w:szCs w:val="20"/>
        </w:rPr>
      </w:pPr>
      <w:r>
        <w:rPr>
          <w:rFonts w:ascii="Calibri" w:hAnsi="Calibri"/>
          <w:b/>
          <w:noProof/>
          <w:color w:val="000000"/>
        </w:rPr>
        <w:drawing>
          <wp:anchor distT="0" distB="0" distL="114300" distR="114300" simplePos="0" relativeHeight="251672576" behindDoc="0" locked="0" layoutInCell="1" allowOverlap="1" wp14:anchorId="0F359962" wp14:editId="164A0053">
            <wp:simplePos x="0" y="0"/>
            <wp:positionH relativeFrom="column">
              <wp:posOffset>-21590</wp:posOffset>
            </wp:positionH>
            <wp:positionV relativeFrom="paragraph">
              <wp:posOffset>412115</wp:posOffset>
            </wp:positionV>
            <wp:extent cx="3308350" cy="2222500"/>
            <wp:effectExtent l="0" t="0" r="635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08350" cy="2222500"/>
                    </a:xfrm>
                    <a:prstGeom prst="rect">
                      <a:avLst/>
                    </a:prstGeom>
                    <a:noFill/>
                  </pic:spPr>
                </pic:pic>
              </a:graphicData>
            </a:graphic>
            <wp14:sizeRelH relativeFrom="page">
              <wp14:pctWidth>0</wp14:pctWidth>
            </wp14:sizeRelH>
            <wp14:sizeRelV relativeFrom="page">
              <wp14:pctHeight>0</wp14:pctHeight>
            </wp14:sizeRelV>
          </wp:anchor>
        </w:drawing>
      </w:r>
      <w:r w:rsidRPr="00A6516A">
        <w:rPr>
          <w:rFonts w:ascii="Calibri" w:hAnsi="Calibri"/>
          <w:b/>
          <w:color w:val="000000"/>
        </w:rPr>
        <w:t>Marriage</w:t>
      </w:r>
      <w:r>
        <w:rPr>
          <w:rFonts w:ascii="Calibri" w:hAnsi="Calibri"/>
          <w:b/>
          <w:color w:val="000000"/>
        </w:rPr>
        <w:t xml:space="preserve">    </w:t>
      </w:r>
      <w:r w:rsidRPr="00FD3701">
        <w:rPr>
          <w:rFonts w:ascii="Calibri" w:hAnsi="Calibri"/>
          <w:bCs/>
          <w:color w:val="7F7F7F" w:themeColor="text1" w:themeTint="80"/>
          <w:sz w:val="20"/>
          <w:szCs w:val="20"/>
        </w:rPr>
        <w:t>Proportion of persons who are married, by</w:t>
      </w:r>
    </w:p>
    <w:p w14:paraId="12EE8C6C" w14:textId="77777777" w:rsidR="0051666C" w:rsidRPr="000726D5" w:rsidRDefault="0051666C" w:rsidP="0051666C">
      <w:pPr>
        <w:tabs>
          <w:tab w:val="left" w:pos="5103"/>
        </w:tabs>
        <w:spacing w:after="0" w:line="240" w:lineRule="auto"/>
        <w:jc w:val="both"/>
        <w:rPr>
          <w:rFonts w:ascii="Calibri" w:hAnsi="Calibri"/>
          <w:b/>
          <w:color w:val="7F7F7F"/>
          <w:sz w:val="20"/>
          <w:szCs w:val="20"/>
        </w:rPr>
      </w:pPr>
      <w:r>
        <w:rPr>
          <w:rFonts w:ascii="Calibri" w:hAnsi="Calibri"/>
          <w:bCs/>
          <w:color w:val="7F7F7F" w:themeColor="text1" w:themeTint="80"/>
          <w:sz w:val="20"/>
          <w:szCs w:val="20"/>
        </w:rPr>
        <w:t xml:space="preserve">                       </w:t>
      </w:r>
      <w:r w:rsidRPr="00FD3701">
        <w:rPr>
          <w:rFonts w:ascii="Calibri" w:hAnsi="Calibri"/>
          <w:bCs/>
          <w:color w:val="7F7F7F" w:themeColor="text1" w:themeTint="80"/>
          <w:sz w:val="20"/>
          <w:szCs w:val="20"/>
        </w:rPr>
        <w:t xml:space="preserve"> age: Greater Dandenong, 2021</w:t>
      </w:r>
    </w:p>
    <w:p w14:paraId="648DCF7E" w14:textId="77777777" w:rsidR="0051666C" w:rsidRDefault="0051666C" w:rsidP="0051666C">
      <w:pPr>
        <w:tabs>
          <w:tab w:val="left" w:pos="180"/>
        </w:tabs>
        <w:spacing w:after="0" w:line="360" w:lineRule="auto"/>
        <w:jc w:val="both"/>
        <w:rPr>
          <w:rFonts w:ascii="Calibri" w:hAnsi="Calibri"/>
        </w:rPr>
      </w:pPr>
      <w:r>
        <w:rPr>
          <w:rFonts w:ascii="Calibri" w:hAnsi="Calibri"/>
        </w:rPr>
        <w:t>In 2021, 49% of Greater Dandenong residents aged 18 or more were married – 89% in registered marriages and 11% defacto.</w:t>
      </w:r>
    </w:p>
    <w:p w14:paraId="2F5E00D2" w14:textId="77777777" w:rsidR="0051666C" w:rsidRDefault="0051666C" w:rsidP="0051666C">
      <w:pPr>
        <w:tabs>
          <w:tab w:val="left" w:pos="180"/>
        </w:tabs>
        <w:spacing w:after="0" w:line="360" w:lineRule="auto"/>
        <w:jc w:val="both"/>
        <w:rPr>
          <w:rFonts w:ascii="Calibri" w:hAnsi="Calibri"/>
        </w:rPr>
      </w:pPr>
      <w:r>
        <w:rPr>
          <w:noProof/>
          <w:lang w:eastAsia="en-AU"/>
        </w:rPr>
        <w:drawing>
          <wp:anchor distT="0" distB="0" distL="114300" distR="114300" simplePos="0" relativeHeight="252104704" behindDoc="0" locked="0" layoutInCell="1" allowOverlap="1" wp14:anchorId="2FFB1AB7" wp14:editId="58F6F7FF">
            <wp:simplePos x="0" y="0"/>
            <wp:positionH relativeFrom="column">
              <wp:posOffset>1701376</wp:posOffset>
            </wp:positionH>
            <wp:positionV relativeFrom="paragraph">
              <wp:posOffset>510751</wp:posOffset>
            </wp:positionV>
            <wp:extent cx="1413258" cy="676698"/>
            <wp:effectExtent l="0" t="0" r="0" b="9525"/>
            <wp:wrapNone/>
            <wp:docPr id="99" name="Picture 99" descr="E:\Photos\Family Marri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E:\Photos\Family Marriage.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13258" cy="676698"/>
                    </a:xfrm>
                    <a:prstGeom prst="rect">
                      <a:avLst/>
                    </a:prstGeom>
                    <a:noFill/>
                    <a:ln>
                      <a:noFill/>
                    </a:ln>
                    <a:effectLst>
                      <a:softEdge rad="63500"/>
                    </a:effectLst>
                  </pic:spPr>
                </pic:pic>
              </a:graphicData>
            </a:graphic>
            <wp14:sizeRelH relativeFrom="page">
              <wp14:pctWidth>0</wp14:pctWidth>
            </wp14:sizeRelH>
            <wp14:sizeRelV relativeFrom="page">
              <wp14:pctHeight>0</wp14:pctHeight>
            </wp14:sizeRelV>
          </wp:anchor>
        </w:drawing>
      </w:r>
      <w:r>
        <w:rPr>
          <w:rFonts w:ascii="Calibri" w:hAnsi="Calibri"/>
        </w:rPr>
        <w:t>The proportion of residents who were married rose steeply to its peak of 64% among those aged 35-39 years, before declining slightly into older age, and falling steeply among people aged 75 or more, as a consequence of mortality.</w:t>
      </w:r>
      <w:r w:rsidRPr="00A6516A">
        <w:rPr>
          <w:rFonts w:ascii="Calibri" w:hAnsi="Calibri"/>
        </w:rPr>
        <w:t xml:space="preserve"> </w:t>
      </w:r>
    </w:p>
    <w:p w14:paraId="2F09062F" w14:textId="77777777" w:rsidR="0051666C" w:rsidRDefault="0051666C" w:rsidP="0051666C">
      <w:pPr>
        <w:tabs>
          <w:tab w:val="left" w:pos="180"/>
        </w:tabs>
        <w:spacing w:after="0" w:line="240" w:lineRule="auto"/>
        <w:jc w:val="both"/>
        <w:rPr>
          <w:rFonts w:ascii="Calibri" w:hAnsi="Calibri"/>
          <w:i/>
          <w:iCs/>
        </w:rPr>
      </w:pPr>
    </w:p>
    <w:p w14:paraId="730B179D" w14:textId="77777777" w:rsidR="0051666C" w:rsidRDefault="0051666C" w:rsidP="0051666C">
      <w:pPr>
        <w:tabs>
          <w:tab w:val="left" w:pos="180"/>
        </w:tabs>
        <w:spacing w:after="0" w:line="240" w:lineRule="auto"/>
        <w:jc w:val="both"/>
        <w:rPr>
          <w:rFonts w:ascii="Calibri" w:hAnsi="Calibri"/>
          <w:i/>
          <w:iCs/>
        </w:rPr>
      </w:pPr>
    </w:p>
    <w:p w14:paraId="44524F48" w14:textId="083EFA0A" w:rsidR="0051666C" w:rsidRPr="00D46717" w:rsidRDefault="0051666C" w:rsidP="0051666C">
      <w:pPr>
        <w:tabs>
          <w:tab w:val="left" w:pos="180"/>
        </w:tabs>
        <w:spacing w:after="0" w:line="240" w:lineRule="auto"/>
        <w:jc w:val="both"/>
        <w:rPr>
          <w:rFonts w:ascii="Calibri" w:hAnsi="Calibri"/>
          <w:i/>
          <w:iCs/>
        </w:rPr>
      </w:pPr>
      <w:r w:rsidRPr="00D46717">
        <w:rPr>
          <w:rFonts w:ascii="Calibri" w:hAnsi="Calibri"/>
          <w:i/>
          <w:iCs/>
        </w:rPr>
        <w:lastRenderedPageBreak/>
        <w:t>Early Marriage</w:t>
      </w:r>
      <w:r>
        <w:rPr>
          <w:rFonts w:ascii="Calibri" w:hAnsi="Calibri"/>
          <w:i/>
          <w:iCs/>
        </w:rPr>
        <w:t xml:space="preserve">                     </w:t>
      </w:r>
      <w:r w:rsidRPr="00FD3701">
        <w:rPr>
          <w:rFonts w:ascii="Calibri" w:hAnsi="Calibri"/>
          <w:bCs/>
          <w:color w:val="7F7F7F" w:themeColor="text1" w:themeTint="80"/>
          <w:sz w:val="20"/>
          <w:szCs w:val="20"/>
        </w:rPr>
        <w:t xml:space="preserve">Proportion of </w:t>
      </w:r>
      <w:r>
        <w:rPr>
          <w:rFonts w:ascii="Calibri" w:hAnsi="Calibri"/>
          <w:bCs/>
          <w:color w:val="7F7F7F" w:themeColor="text1" w:themeTint="80"/>
          <w:sz w:val="20"/>
          <w:szCs w:val="20"/>
        </w:rPr>
        <w:t>20-24 year-olds</w:t>
      </w:r>
      <w:r w:rsidRPr="00FD3701">
        <w:rPr>
          <w:rFonts w:ascii="Calibri" w:hAnsi="Calibri"/>
          <w:bCs/>
          <w:color w:val="7F7F7F" w:themeColor="text1" w:themeTint="80"/>
          <w:sz w:val="20"/>
          <w:szCs w:val="20"/>
        </w:rPr>
        <w:t xml:space="preserve"> who are married, by </w:t>
      </w:r>
      <w:r>
        <w:rPr>
          <w:rFonts w:ascii="Calibri" w:hAnsi="Calibri"/>
          <w:bCs/>
          <w:color w:val="7F7F7F" w:themeColor="text1" w:themeTint="80"/>
          <w:sz w:val="20"/>
          <w:szCs w:val="20"/>
        </w:rPr>
        <w:t>birthplace</w:t>
      </w:r>
      <w:r w:rsidRPr="00FD3701">
        <w:rPr>
          <w:rFonts w:ascii="Calibri" w:hAnsi="Calibri"/>
          <w:bCs/>
          <w:color w:val="7F7F7F" w:themeColor="text1" w:themeTint="80"/>
          <w:sz w:val="20"/>
          <w:szCs w:val="20"/>
        </w:rPr>
        <w:t>: Greater Dandenong, 2021</w:t>
      </w:r>
    </w:p>
    <w:p w14:paraId="24B85294" w14:textId="14CE6715" w:rsidR="0051666C" w:rsidRDefault="0051666C" w:rsidP="0051666C">
      <w:pPr>
        <w:tabs>
          <w:tab w:val="left" w:pos="180"/>
        </w:tabs>
        <w:spacing w:after="0" w:line="360" w:lineRule="auto"/>
        <w:jc w:val="both"/>
        <w:rPr>
          <w:rFonts w:ascii="Calibri" w:hAnsi="Calibri"/>
        </w:rPr>
      </w:pPr>
      <w:r>
        <w:rPr>
          <w:rFonts w:ascii="Calibri" w:hAnsi="Calibri"/>
          <w:noProof/>
        </w:rPr>
        <w:drawing>
          <wp:anchor distT="0" distB="0" distL="114300" distR="114300" simplePos="0" relativeHeight="251688960" behindDoc="0" locked="0" layoutInCell="1" allowOverlap="1" wp14:anchorId="62B52A4B" wp14:editId="093118D7">
            <wp:simplePos x="0" y="0"/>
            <wp:positionH relativeFrom="column">
              <wp:posOffset>2501265</wp:posOffset>
            </wp:positionH>
            <wp:positionV relativeFrom="paragraph">
              <wp:posOffset>8255</wp:posOffset>
            </wp:positionV>
            <wp:extent cx="3606800" cy="301053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6800" cy="3010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anchor distT="24384" distB="80010" distL="138684" distR="191516" simplePos="0" relativeHeight="251691008" behindDoc="0" locked="0" layoutInCell="1" allowOverlap="1" wp14:anchorId="1F8E0F3B" wp14:editId="4D624CB1">
            <wp:simplePos x="0" y="0"/>
            <wp:positionH relativeFrom="column">
              <wp:posOffset>4545918</wp:posOffset>
            </wp:positionH>
            <wp:positionV relativeFrom="paragraph">
              <wp:posOffset>1724769</wp:posOffset>
            </wp:positionV>
            <wp:extent cx="1498600" cy="763160"/>
            <wp:effectExtent l="0" t="19050" r="44450" b="37465"/>
            <wp:wrapNone/>
            <wp:docPr id="94" name="Picture 49" descr="marri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9" descr="marriage 2.jpg"/>
                    <pic:cNvPicPr/>
                  </pic:nvPicPr>
                  <pic:blipFill>
                    <a:blip r:embed="rId37" cstate="print"/>
                    <a:stretch>
                      <a:fillRect/>
                    </a:stretch>
                  </pic:blipFill>
                  <pic:spPr>
                    <a:xfrm>
                      <a:off x="0" y="0"/>
                      <a:ext cx="1498600" cy="763160"/>
                    </a:xfrm>
                    <a:prstGeom prst="rect">
                      <a:avLst/>
                    </a:prstGeom>
                    <a:ln>
                      <a:noFill/>
                    </a:ln>
                    <a:effectLst>
                      <a:outerShdw blurRad="50800" dist="38100" dir="2700000" algn="tl" rotWithShape="0">
                        <a:prstClr val="black">
                          <a:alpha val="40000"/>
                        </a:prstClr>
                      </a:outerShdw>
                      <a:softEdge rad="317500"/>
                    </a:effectLst>
                  </pic:spPr>
                </pic:pic>
              </a:graphicData>
            </a:graphic>
            <wp14:sizeRelH relativeFrom="margin">
              <wp14:pctWidth>0</wp14:pctWidth>
            </wp14:sizeRelH>
            <wp14:sizeRelV relativeFrom="margin">
              <wp14:pctHeight>0</wp14:pctHeight>
            </wp14:sizeRelV>
          </wp:anchor>
        </w:drawing>
      </w:r>
      <w:r>
        <w:rPr>
          <w:rFonts w:ascii="Calibri" w:hAnsi="Calibri"/>
        </w:rPr>
        <w:t>While 11% of 20-24 year-olds in Greater Dandenong are married (registered or defacto), this proportion varies widely with birthplace. Over a quarter of 20-24 year-olds from Nepal, Bosnia, Bangladesh and Malaysia are married, compared with fewer than 10% among similarly-aged residents from Greece, Australia, Iran and Fiji.</w:t>
      </w:r>
    </w:p>
    <w:p w14:paraId="4E44ADF0" w14:textId="486C5E5C" w:rsidR="0051666C" w:rsidRDefault="0051666C" w:rsidP="0051666C">
      <w:pPr>
        <w:tabs>
          <w:tab w:val="left" w:pos="180"/>
        </w:tabs>
        <w:spacing w:after="0" w:line="360" w:lineRule="auto"/>
        <w:jc w:val="both"/>
        <w:rPr>
          <w:rFonts w:ascii="Calibri" w:hAnsi="Calibri"/>
        </w:rPr>
      </w:pPr>
    </w:p>
    <w:p w14:paraId="3BD1B68A" w14:textId="5855B29C" w:rsidR="0051666C" w:rsidRDefault="0051666C" w:rsidP="0051666C">
      <w:pPr>
        <w:tabs>
          <w:tab w:val="left" w:pos="180"/>
        </w:tabs>
        <w:spacing w:after="0" w:line="360" w:lineRule="auto"/>
        <w:jc w:val="both"/>
        <w:rPr>
          <w:rFonts w:ascii="Calibri" w:hAnsi="Calibri"/>
        </w:rPr>
      </w:pPr>
    </w:p>
    <w:p w14:paraId="7F5D1E5D" w14:textId="77777777" w:rsidR="0051666C" w:rsidRDefault="0051666C" w:rsidP="0051666C">
      <w:pPr>
        <w:tabs>
          <w:tab w:val="left" w:pos="180"/>
        </w:tabs>
        <w:spacing w:after="0" w:line="360" w:lineRule="auto"/>
        <w:jc w:val="both"/>
        <w:rPr>
          <w:rFonts w:ascii="Calibri" w:hAnsi="Calibri"/>
        </w:rPr>
      </w:pPr>
    </w:p>
    <w:p w14:paraId="06224B1D" w14:textId="77777777" w:rsidR="0051666C" w:rsidRDefault="0051666C" w:rsidP="0051666C">
      <w:pPr>
        <w:tabs>
          <w:tab w:val="left" w:pos="180"/>
        </w:tabs>
        <w:spacing w:after="0" w:line="360" w:lineRule="auto"/>
        <w:jc w:val="both"/>
        <w:rPr>
          <w:rFonts w:ascii="Calibri" w:hAnsi="Calibri"/>
        </w:rPr>
      </w:pPr>
      <w:r>
        <w:rPr>
          <w:rFonts w:ascii="Calibri" w:hAnsi="Calibri"/>
          <w:noProof/>
        </w:rPr>
        <w:drawing>
          <wp:anchor distT="0" distB="0" distL="114300" distR="114300" simplePos="0" relativeHeight="251689984" behindDoc="0" locked="0" layoutInCell="1" allowOverlap="1" wp14:anchorId="004C0098" wp14:editId="74734DF8">
            <wp:simplePos x="0" y="0"/>
            <wp:positionH relativeFrom="margin">
              <wp:align>left</wp:align>
            </wp:positionH>
            <wp:positionV relativeFrom="paragraph">
              <wp:posOffset>83185</wp:posOffset>
            </wp:positionV>
            <wp:extent cx="3211195" cy="1846580"/>
            <wp:effectExtent l="0" t="0" r="8255" b="127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8">
                      <a:extLst>
                        <a:ext uri="{28A0092B-C50C-407E-A947-70E740481C1C}">
                          <a14:useLocalDpi xmlns:a14="http://schemas.microsoft.com/office/drawing/2010/main" val="0"/>
                        </a:ext>
                      </a:extLst>
                    </a:blip>
                    <a:srcRect r="12962"/>
                    <a:stretch/>
                  </pic:blipFill>
                  <pic:spPr bwMode="auto">
                    <a:xfrm>
                      <a:off x="0" y="0"/>
                      <a:ext cx="3227348" cy="18562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rPr>
        <w:t>The proportion of young adults who are married is highest among those with limited secondary education, and higher among those with further secondary or post-school educational attainment.</w:t>
      </w:r>
    </w:p>
    <w:p w14:paraId="6CA85799" w14:textId="77777777" w:rsidR="0051666C" w:rsidRPr="0051666C" w:rsidRDefault="0051666C" w:rsidP="0051666C">
      <w:pPr>
        <w:tabs>
          <w:tab w:val="left" w:pos="180"/>
        </w:tabs>
        <w:spacing w:after="0" w:line="360" w:lineRule="auto"/>
        <w:jc w:val="both"/>
        <w:rPr>
          <w:rFonts w:ascii="Calibri" w:hAnsi="Calibri"/>
          <w:sz w:val="6"/>
          <w:szCs w:val="6"/>
        </w:rPr>
      </w:pPr>
    </w:p>
    <w:p w14:paraId="11356E0A" w14:textId="3262C62E" w:rsidR="0051666C" w:rsidRDefault="0051666C" w:rsidP="0051666C">
      <w:pPr>
        <w:tabs>
          <w:tab w:val="left" w:pos="180"/>
        </w:tabs>
        <w:spacing w:after="0" w:line="240" w:lineRule="auto"/>
        <w:jc w:val="both"/>
        <w:rPr>
          <w:rFonts w:ascii="Calibri" w:hAnsi="Calibri"/>
          <w:bCs/>
          <w:color w:val="7F7F7F" w:themeColor="text1" w:themeTint="80"/>
          <w:sz w:val="20"/>
          <w:szCs w:val="20"/>
        </w:rPr>
      </w:pPr>
      <w:r w:rsidRPr="00FD3701">
        <w:rPr>
          <w:rFonts w:ascii="Calibri" w:hAnsi="Calibri"/>
          <w:bCs/>
          <w:color w:val="7F7F7F" w:themeColor="text1" w:themeTint="80"/>
          <w:sz w:val="20"/>
          <w:szCs w:val="20"/>
        </w:rPr>
        <w:t xml:space="preserve">Proportion of </w:t>
      </w:r>
      <w:r>
        <w:rPr>
          <w:rFonts w:ascii="Calibri" w:hAnsi="Calibri"/>
          <w:bCs/>
          <w:color w:val="7F7F7F" w:themeColor="text1" w:themeTint="80"/>
          <w:sz w:val="20"/>
          <w:szCs w:val="20"/>
        </w:rPr>
        <w:t>20-24 year-olds</w:t>
      </w:r>
      <w:r w:rsidRPr="00FD3701">
        <w:rPr>
          <w:rFonts w:ascii="Calibri" w:hAnsi="Calibri"/>
          <w:bCs/>
          <w:color w:val="7F7F7F" w:themeColor="text1" w:themeTint="80"/>
          <w:sz w:val="20"/>
          <w:szCs w:val="20"/>
        </w:rPr>
        <w:t xml:space="preserve"> who are married, by </w:t>
      </w:r>
      <w:r>
        <w:rPr>
          <w:rFonts w:ascii="Calibri" w:hAnsi="Calibri"/>
          <w:bCs/>
          <w:color w:val="7F7F7F" w:themeColor="text1" w:themeTint="80"/>
          <w:sz w:val="20"/>
          <w:szCs w:val="20"/>
        </w:rPr>
        <w:t>religion and sex</w:t>
      </w:r>
      <w:r w:rsidRPr="00FD3701">
        <w:rPr>
          <w:rFonts w:ascii="Calibri" w:hAnsi="Calibri"/>
          <w:bCs/>
          <w:color w:val="7F7F7F" w:themeColor="text1" w:themeTint="80"/>
          <w:sz w:val="20"/>
          <w:szCs w:val="20"/>
        </w:rPr>
        <w:t>: Greater Dandenong, 2021</w:t>
      </w:r>
    </w:p>
    <w:p w14:paraId="125997DF" w14:textId="77777777" w:rsidR="0051666C" w:rsidRPr="0051666C" w:rsidRDefault="0051666C" w:rsidP="0051666C">
      <w:pPr>
        <w:tabs>
          <w:tab w:val="left" w:pos="180"/>
        </w:tabs>
        <w:spacing w:after="0" w:line="240" w:lineRule="auto"/>
        <w:jc w:val="both"/>
        <w:rPr>
          <w:rFonts w:ascii="Calibri" w:hAnsi="Calibri"/>
          <w:sz w:val="6"/>
          <w:szCs w:val="6"/>
        </w:rPr>
      </w:pPr>
    </w:p>
    <w:p w14:paraId="11A46C78" w14:textId="241D1EDE" w:rsidR="0051666C" w:rsidRDefault="0051666C" w:rsidP="0051666C">
      <w:pPr>
        <w:tabs>
          <w:tab w:val="left" w:pos="180"/>
        </w:tabs>
        <w:spacing w:after="0" w:line="360" w:lineRule="auto"/>
        <w:jc w:val="both"/>
        <w:rPr>
          <w:rFonts w:ascii="Calibri" w:hAnsi="Calibri"/>
        </w:rPr>
      </w:pPr>
      <w:r>
        <w:rPr>
          <w:rFonts w:ascii="Calibri" w:hAnsi="Calibri"/>
        </w:rPr>
        <w:t xml:space="preserve">The propensity of couples to be married also varies widely among Victorian municipalities, especially among young people. The proportion </w:t>
      </w:r>
      <w:r w:rsidR="002F6534">
        <w:rPr>
          <w:rFonts w:ascii="Calibri" w:hAnsi="Calibri"/>
        </w:rPr>
        <w:t>o</w:t>
      </w:r>
      <w:r>
        <w:rPr>
          <w:rFonts w:ascii="Calibri" w:hAnsi="Calibri"/>
        </w:rPr>
        <w:t>f 20-24 year-olds that are married descends from 25% in Glenelg and Pyrenees, to less than 10% in affluent metropolitan municipalities, such as Bayside, Nillumbik, Manningham and Boroondara.</w:t>
      </w:r>
    </w:p>
    <w:p w14:paraId="6BE1EAEB" w14:textId="77777777" w:rsidR="0051666C" w:rsidRPr="000874D7" w:rsidRDefault="0051666C" w:rsidP="0051666C">
      <w:pPr>
        <w:tabs>
          <w:tab w:val="left" w:pos="180"/>
        </w:tabs>
        <w:spacing w:before="120" w:after="0" w:line="360" w:lineRule="auto"/>
        <w:jc w:val="both"/>
        <w:rPr>
          <w:rFonts w:ascii="Calibri" w:hAnsi="Calibri"/>
          <w:i/>
        </w:rPr>
      </w:pPr>
      <w:r w:rsidRPr="000874D7">
        <w:rPr>
          <w:rFonts w:ascii="Calibri" w:hAnsi="Calibri"/>
          <w:i/>
        </w:rPr>
        <w:t>Other Marriage Trends</w:t>
      </w:r>
    </w:p>
    <w:p w14:paraId="54FE2378" w14:textId="77777777" w:rsidR="0051666C" w:rsidRPr="0036219A" w:rsidRDefault="0051666C" w:rsidP="0051666C">
      <w:pPr>
        <w:tabs>
          <w:tab w:val="left" w:pos="180"/>
        </w:tabs>
        <w:spacing w:after="0" w:line="360" w:lineRule="auto"/>
        <w:jc w:val="both"/>
        <w:rPr>
          <w:rFonts w:ascii="Calibri" w:hAnsi="Calibri"/>
        </w:rPr>
      </w:pPr>
      <w:r w:rsidRPr="0036219A">
        <w:rPr>
          <w:rFonts w:ascii="Calibri" w:hAnsi="Calibri"/>
        </w:rPr>
        <w:t>Across Australia, people marry less often and later in life than in the past</w:t>
      </w:r>
      <w:r>
        <w:rPr>
          <w:rFonts w:ascii="Calibri" w:hAnsi="Calibri"/>
        </w:rPr>
        <w:t>. Between 1980 and 2020, the median age of marriage has risen from 23 to 31 among women and from 26 to 32 years among men. Meantime, the proportion of 20-24 year-old men who marry in a 12-month period has declined to a tenth of its 1980 level.</w:t>
      </w:r>
      <w:r w:rsidRPr="0036219A">
        <w:rPr>
          <w:rFonts w:ascii="Calibri" w:hAnsi="Calibri"/>
        </w:rPr>
        <w:t xml:space="preserve"> </w:t>
      </w:r>
    </w:p>
    <w:p w14:paraId="461233B3" w14:textId="184730A1" w:rsidR="0051666C" w:rsidRDefault="0051666C" w:rsidP="0051666C">
      <w:pPr>
        <w:tabs>
          <w:tab w:val="left" w:pos="180"/>
        </w:tabs>
        <w:spacing w:after="0" w:line="360" w:lineRule="auto"/>
        <w:jc w:val="both"/>
        <w:rPr>
          <w:rFonts w:ascii="Calibri" w:hAnsi="Calibri"/>
        </w:rPr>
      </w:pPr>
      <w:r>
        <w:rPr>
          <w:rFonts w:ascii="Calibri" w:hAnsi="Calibri"/>
        </w:rPr>
        <w:t>In addition</w:t>
      </w:r>
      <w:r w:rsidRPr="0036219A">
        <w:rPr>
          <w:rFonts w:ascii="Calibri" w:hAnsi="Calibri"/>
        </w:rPr>
        <w:t xml:space="preserve">, the influence of tradition upon marriage has </w:t>
      </w:r>
      <w:r>
        <w:rPr>
          <w:rFonts w:ascii="Calibri" w:hAnsi="Calibri"/>
        </w:rPr>
        <w:t>dwindled</w:t>
      </w:r>
      <w:r w:rsidRPr="0036219A">
        <w:rPr>
          <w:rFonts w:ascii="Calibri" w:hAnsi="Calibri"/>
        </w:rPr>
        <w:t xml:space="preserve">, with the </w:t>
      </w:r>
      <w:r>
        <w:rPr>
          <w:rFonts w:ascii="Calibri" w:hAnsi="Calibri"/>
        </w:rPr>
        <w:t>proportion</w:t>
      </w:r>
      <w:r w:rsidRPr="0036219A">
        <w:rPr>
          <w:rFonts w:ascii="Calibri" w:hAnsi="Calibri"/>
        </w:rPr>
        <w:t xml:space="preserve"> of </w:t>
      </w:r>
      <w:r>
        <w:rPr>
          <w:rFonts w:ascii="Calibri" w:hAnsi="Calibri"/>
        </w:rPr>
        <w:t xml:space="preserve">Australian </w:t>
      </w:r>
      <w:r w:rsidRPr="0036219A">
        <w:rPr>
          <w:rFonts w:ascii="Calibri" w:hAnsi="Calibri"/>
        </w:rPr>
        <w:t xml:space="preserve">marriages presided over by a civil celebrant rising from </w:t>
      </w:r>
      <w:r>
        <w:rPr>
          <w:rFonts w:ascii="Calibri" w:hAnsi="Calibri"/>
        </w:rPr>
        <w:t xml:space="preserve">3% in 1906, to </w:t>
      </w:r>
      <w:r w:rsidRPr="0036219A">
        <w:rPr>
          <w:rFonts w:ascii="Calibri" w:hAnsi="Calibri"/>
        </w:rPr>
        <w:t xml:space="preserve">10% </w:t>
      </w:r>
      <w:r>
        <w:rPr>
          <w:rFonts w:ascii="Calibri" w:hAnsi="Calibri"/>
        </w:rPr>
        <w:t xml:space="preserve">by </w:t>
      </w:r>
      <w:r w:rsidRPr="0036219A">
        <w:rPr>
          <w:rFonts w:ascii="Calibri" w:hAnsi="Calibri"/>
        </w:rPr>
        <w:t>1960</w:t>
      </w:r>
      <w:r>
        <w:rPr>
          <w:rFonts w:ascii="Calibri" w:hAnsi="Calibri"/>
        </w:rPr>
        <w:t>,</w:t>
      </w:r>
      <w:r w:rsidRPr="0036219A">
        <w:rPr>
          <w:rFonts w:ascii="Calibri" w:hAnsi="Calibri"/>
        </w:rPr>
        <w:t xml:space="preserve"> </w:t>
      </w:r>
      <w:r>
        <w:rPr>
          <w:rFonts w:ascii="Calibri" w:hAnsi="Calibri"/>
        </w:rPr>
        <w:t>before climbing to</w:t>
      </w:r>
      <w:r w:rsidRPr="0036219A">
        <w:rPr>
          <w:rFonts w:ascii="Calibri" w:hAnsi="Calibri"/>
        </w:rPr>
        <w:t xml:space="preserve"> </w:t>
      </w:r>
      <w:r>
        <w:rPr>
          <w:rFonts w:ascii="Calibri" w:hAnsi="Calibri"/>
        </w:rPr>
        <w:t>80</w:t>
      </w:r>
      <w:r w:rsidRPr="0036219A">
        <w:rPr>
          <w:rFonts w:ascii="Calibri" w:hAnsi="Calibri"/>
        </w:rPr>
        <w:t>% by 20</w:t>
      </w:r>
      <w:r>
        <w:rPr>
          <w:rFonts w:ascii="Calibri" w:hAnsi="Calibri"/>
        </w:rPr>
        <w:t xml:space="preserve">20. A further trend is the apparently rising number of same-sex couples, as well as the formal recognition of registered marriage between individuals of the same sex, since 2017. </w:t>
      </w:r>
      <w:r w:rsidRPr="007E5926">
        <w:rPr>
          <w:rFonts w:ascii="Calibri" w:hAnsi="Calibri"/>
        </w:rPr>
        <w:t xml:space="preserve">Approximately 500 persons in Greater Dandenong reported in the 2021 Census that they were members of same-sex couples - </w:t>
      </w:r>
      <w:r>
        <w:rPr>
          <w:rFonts w:ascii="Calibri" w:hAnsi="Calibri"/>
        </w:rPr>
        <w:t>representing</w:t>
      </w:r>
      <w:r w:rsidRPr="007E5926">
        <w:rPr>
          <w:rFonts w:ascii="Calibri" w:hAnsi="Calibri"/>
        </w:rPr>
        <w:t xml:space="preserve"> 0.6% of all residents living as couples. Among these 500 residents, 41% were living as husband</w:t>
      </w:r>
      <w:r>
        <w:rPr>
          <w:rFonts w:ascii="Calibri" w:hAnsi="Calibri"/>
        </w:rPr>
        <w:t>,</w:t>
      </w:r>
      <w:r w:rsidRPr="007E5926">
        <w:rPr>
          <w:rFonts w:ascii="Calibri" w:hAnsi="Calibri"/>
        </w:rPr>
        <w:t xml:space="preserve"> wife or partner and 59% stated that they were living as de facto partners.</w:t>
      </w:r>
    </w:p>
    <w:p w14:paraId="24FAFBAD" w14:textId="77777777" w:rsidR="00B645C3" w:rsidRPr="001A72AF" w:rsidRDefault="00B645C3" w:rsidP="00B645C3">
      <w:pPr>
        <w:pBdr>
          <w:top w:val="single" w:sz="4" w:space="1" w:color="auto"/>
          <w:bottom w:val="single" w:sz="4" w:space="1" w:color="auto"/>
        </w:pBdr>
        <w:tabs>
          <w:tab w:val="center" w:pos="4678"/>
        </w:tabs>
        <w:jc w:val="center"/>
        <w:rPr>
          <w:rFonts w:ascii="Calibri" w:hAnsi="Calibri"/>
          <w:sz w:val="32"/>
          <w:szCs w:val="32"/>
        </w:rPr>
      </w:pPr>
      <w:r>
        <w:rPr>
          <w:noProof/>
          <w:lang w:eastAsia="en-AU"/>
        </w:rPr>
        <w:lastRenderedPageBreak/>
        <w:drawing>
          <wp:anchor distT="0" distB="210820" distL="382524" distR="579120" simplePos="0" relativeHeight="251695104" behindDoc="1" locked="0" layoutInCell="1" allowOverlap="1" wp14:anchorId="2D027712" wp14:editId="13F3A9A0">
            <wp:simplePos x="0" y="0"/>
            <wp:positionH relativeFrom="column">
              <wp:posOffset>4863465</wp:posOffset>
            </wp:positionH>
            <wp:positionV relativeFrom="paragraph">
              <wp:posOffset>228600</wp:posOffset>
            </wp:positionV>
            <wp:extent cx="1148080" cy="1372870"/>
            <wp:effectExtent l="1905" t="0" r="0" b="0"/>
            <wp:wrapTight wrapText="bothSides">
              <wp:wrapPolygon edited="0">
                <wp:start x="21564" y="1169"/>
                <wp:lineTo x="19414" y="-30"/>
                <wp:lineTo x="418" y="-30"/>
                <wp:lineTo x="418" y="1169"/>
                <wp:lineTo x="418" y="20051"/>
                <wp:lineTo x="4002" y="21250"/>
                <wp:lineTo x="15830" y="21250"/>
                <wp:lineTo x="21206" y="20051"/>
                <wp:lineTo x="21564" y="20051"/>
                <wp:lineTo x="21564" y="1169"/>
              </wp:wrapPolygon>
            </wp:wrapTight>
            <wp:docPr id="36" name="Picture 3" descr="Alma sh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3" descr="Alma short.jpg"/>
                    <pic:cNvPicPr>
                      <a:picLocks noChangeAspect="1" noChangeArrowheads="1"/>
                    </pic:cNvPicPr>
                  </pic:nvPicPr>
                  <pic:blipFill>
                    <a:blip r:embed="rId39" cstate="print"/>
                    <a:srcRect l="33391" r="24361" b="21948"/>
                    <a:stretch>
                      <a:fillRect/>
                    </a:stretch>
                  </pic:blipFill>
                  <pic:spPr bwMode="auto">
                    <a:xfrm rot="-5400000">
                      <a:off x="0" y="0"/>
                      <a:ext cx="1148080" cy="13728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1A72AF">
        <w:rPr>
          <w:rFonts w:ascii="Calibri" w:hAnsi="Calibri"/>
          <w:noProof/>
          <w:sz w:val="32"/>
          <w:szCs w:val="32"/>
          <w:lang w:val="en-US"/>
        </w:rPr>
        <w:t>Older Residents</w:t>
      </w:r>
    </w:p>
    <w:p w14:paraId="4B95E26E" w14:textId="77777777" w:rsidR="00B645C3" w:rsidRDefault="00B645C3" w:rsidP="00B645C3">
      <w:pPr>
        <w:tabs>
          <w:tab w:val="left" w:pos="284"/>
        </w:tabs>
        <w:spacing w:after="0" w:line="360" w:lineRule="auto"/>
        <w:jc w:val="both"/>
        <w:rPr>
          <w:sz w:val="10"/>
          <w:szCs w:val="10"/>
        </w:rPr>
      </w:pPr>
    </w:p>
    <w:p w14:paraId="501C73D8" w14:textId="77141823" w:rsidR="00B645C3" w:rsidRPr="00861359" w:rsidRDefault="00B645C3" w:rsidP="00B645C3">
      <w:pPr>
        <w:tabs>
          <w:tab w:val="left" w:pos="284"/>
        </w:tabs>
        <w:spacing w:after="0" w:line="360" w:lineRule="auto"/>
        <w:jc w:val="both"/>
        <w:rPr>
          <w:rFonts w:ascii="Calibri" w:hAnsi="Calibri"/>
        </w:rPr>
      </w:pPr>
      <w:r w:rsidRPr="00861359">
        <w:rPr>
          <w:rFonts w:ascii="Calibri" w:hAnsi="Calibri"/>
          <w:b/>
        </w:rPr>
        <w:t>Population</w:t>
      </w:r>
      <w:r w:rsidRPr="00861359">
        <w:rPr>
          <w:rFonts w:ascii="Calibri" w:hAnsi="Calibri"/>
        </w:rPr>
        <w:t xml:space="preserve">: In 2021, approximately </w:t>
      </w:r>
      <w:r>
        <w:rPr>
          <w:rFonts w:ascii="Calibri" w:hAnsi="Calibri"/>
        </w:rPr>
        <w:t>17,760</w:t>
      </w:r>
      <w:r w:rsidRPr="00861359">
        <w:rPr>
          <w:rFonts w:ascii="Calibri" w:hAnsi="Calibri"/>
        </w:rPr>
        <w:t xml:space="preserve"> people in Greater Dandenong</w:t>
      </w:r>
      <w:r>
        <w:rPr>
          <w:rFonts w:ascii="Calibri" w:hAnsi="Calibri"/>
        </w:rPr>
        <w:t>,</w:t>
      </w:r>
      <w:r w:rsidRPr="00861359">
        <w:rPr>
          <w:rFonts w:ascii="Calibri" w:hAnsi="Calibri"/>
        </w:rPr>
        <w:t xml:space="preserve"> or </w:t>
      </w:r>
      <w:r>
        <w:rPr>
          <w:rFonts w:ascii="Calibri" w:hAnsi="Calibri"/>
        </w:rPr>
        <w:t>11% of</w:t>
      </w:r>
      <w:r w:rsidRPr="00861359">
        <w:rPr>
          <w:rFonts w:ascii="Calibri" w:hAnsi="Calibri"/>
        </w:rPr>
        <w:t xml:space="preserve"> residents</w:t>
      </w:r>
      <w:r>
        <w:rPr>
          <w:rFonts w:ascii="Calibri" w:hAnsi="Calibri"/>
        </w:rPr>
        <w:t>,</w:t>
      </w:r>
      <w:r w:rsidRPr="00861359">
        <w:rPr>
          <w:rFonts w:ascii="Calibri" w:hAnsi="Calibri"/>
        </w:rPr>
        <w:t xml:space="preserve"> were aged 70 years or more. </w:t>
      </w:r>
      <w:r>
        <w:rPr>
          <w:rFonts w:ascii="Calibri" w:hAnsi="Calibri"/>
        </w:rPr>
        <w:t>This number represents a rise of 14% in the number of residents of this age range, foreshadowing future growth in the number of older residents.</w:t>
      </w:r>
    </w:p>
    <w:p w14:paraId="6E951629" w14:textId="3BAD370D" w:rsidR="00B645C3" w:rsidRPr="00B645C3" w:rsidRDefault="00B645C3" w:rsidP="00B645C3">
      <w:pPr>
        <w:tabs>
          <w:tab w:val="left" w:pos="284"/>
        </w:tabs>
        <w:spacing w:after="0" w:line="240" w:lineRule="auto"/>
        <w:jc w:val="both"/>
        <w:rPr>
          <w:rFonts w:ascii="Calibri" w:hAnsi="Calibri"/>
          <w:color w:val="7F7F7F"/>
          <w:sz w:val="10"/>
          <w:szCs w:val="10"/>
        </w:rPr>
      </w:pPr>
    </w:p>
    <w:p w14:paraId="688003ED" w14:textId="4E893893" w:rsidR="00B645C3" w:rsidRPr="00C9604B" w:rsidRDefault="00B645C3" w:rsidP="00B645C3">
      <w:pPr>
        <w:tabs>
          <w:tab w:val="left" w:pos="284"/>
        </w:tabs>
        <w:spacing w:after="0" w:line="240" w:lineRule="auto"/>
        <w:jc w:val="both"/>
        <w:rPr>
          <w:rFonts w:ascii="Calibri" w:hAnsi="Calibri"/>
          <w:color w:val="7F7F7F"/>
          <w:sz w:val="20"/>
          <w:szCs w:val="20"/>
        </w:rPr>
      </w:pPr>
      <w:r w:rsidRPr="00C9604B">
        <w:rPr>
          <w:rFonts w:ascii="Calibri" w:hAnsi="Calibri"/>
          <w:color w:val="7F7F7F"/>
          <w:sz w:val="20"/>
          <w:szCs w:val="20"/>
        </w:rPr>
        <w:t>Persons aged 70 years or more, by selected birthplaces, 20</w:t>
      </w:r>
      <w:r>
        <w:rPr>
          <w:rFonts w:ascii="Calibri" w:hAnsi="Calibri"/>
          <w:color w:val="7F7F7F"/>
          <w:sz w:val="20"/>
          <w:szCs w:val="20"/>
        </w:rPr>
        <w:t>21</w:t>
      </w:r>
    </w:p>
    <w:p w14:paraId="12237DA2" w14:textId="014C4A8E" w:rsidR="00B645C3" w:rsidRPr="000030B5" w:rsidRDefault="00B645C3" w:rsidP="00B645C3">
      <w:pPr>
        <w:spacing w:after="0" w:line="240" w:lineRule="auto"/>
        <w:jc w:val="both"/>
        <w:rPr>
          <w:rFonts w:ascii="Calibri" w:hAnsi="Calibri"/>
          <w:b/>
        </w:rPr>
      </w:pPr>
      <w:r>
        <w:rPr>
          <w:rFonts w:ascii="Calibri" w:hAnsi="Calibri"/>
          <w:b/>
          <w:noProof/>
        </w:rPr>
        <w:drawing>
          <wp:anchor distT="0" distB="0" distL="114300" distR="114300" simplePos="0" relativeHeight="251693056" behindDoc="0" locked="0" layoutInCell="1" allowOverlap="1" wp14:anchorId="30A1426B" wp14:editId="2121460B">
            <wp:simplePos x="0" y="0"/>
            <wp:positionH relativeFrom="page">
              <wp:posOffset>741819</wp:posOffset>
            </wp:positionH>
            <wp:positionV relativeFrom="paragraph">
              <wp:posOffset>51497</wp:posOffset>
            </wp:positionV>
            <wp:extent cx="3248025" cy="2423795"/>
            <wp:effectExtent l="0" t="0" r="9525"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48025" cy="2423795"/>
                    </a:xfrm>
                    <a:prstGeom prst="rect">
                      <a:avLst/>
                    </a:prstGeom>
                    <a:noFill/>
                  </pic:spPr>
                </pic:pic>
              </a:graphicData>
            </a:graphic>
            <wp14:sizeRelH relativeFrom="page">
              <wp14:pctWidth>0</wp14:pctWidth>
            </wp14:sizeRelH>
            <wp14:sizeRelV relativeFrom="page">
              <wp14:pctHeight>0</wp14:pctHeight>
            </wp14:sizeRelV>
          </wp:anchor>
        </w:drawing>
      </w:r>
      <w:r w:rsidRPr="000030B5">
        <w:rPr>
          <w:rFonts w:ascii="Calibri" w:hAnsi="Calibri"/>
          <w:b/>
        </w:rPr>
        <w:t>Cultural</w:t>
      </w:r>
      <w:r>
        <w:rPr>
          <w:rFonts w:ascii="Calibri" w:hAnsi="Calibri"/>
          <w:b/>
        </w:rPr>
        <w:t xml:space="preserve"> </w:t>
      </w:r>
      <w:r w:rsidRPr="000030B5">
        <w:rPr>
          <w:rFonts w:ascii="Calibri" w:hAnsi="Calibri"/>
          <w:b/>
        </w:rPr>
        <w:t>Diversity</w:t>
      </w:r>
    </w:p>
    <w:p w14:paraId="76975DDB" w14:textId="087FD433" w:rsidR="00B645C3" w:rsidRPr="000030B5" w:rsidRDefault="00B645C3" w:rsidP="00B645C3">
      <w:pPr>
        <w:tabs>
          <w:tab w:val="left" w:pos="284"/>
        </w:tabs>
        <w:spacing w:after="0" w:line="360" w:lineRule="auto"/>
        <w:jc w:val="both"/>
        <w:rPr>
          <w:rFonts w:ascii="Calibri" w:hAnsi="Calibri"/>
        </w:rPr>
      </w:pPr>
      <w:r>
        <w:rPr>
          <w:rFonts w:ascii="Calibri" w:hAnsi="Calibri"/>
        </w:rPr>
        <w:t xml:space="preserve">In 2021, </w:t>
      </w:r>
      <w:r w:rsidRPr="000030B5">
        <w:rPr>
          <w:rFonts w:ascii="Calibri" w:hAnsi="Calibri"/>
        </w:rPr>
        <w:t>three-quarters</w:t>
      </w:r>
      <w:r>
        <w:rPr>
          <w:rFonts w:ascii="Calibri" w:hAnsi="Calibri"/>
        </w:rPr>
        <w:t xml:space="preserve"> (75%)</w:t>
      </w:r>
      <w:r w:rsidRPr="000030B5">
        <w:rPr>
          <w:rFonts w:ascii="Calibri" w:hAnsi="Calibri"/>
        </w:rPr>
        <w:t xml:space="preserve"> of </w:t>
      </w:r>
      <w:r>
        <w:rPr>
          <w:rFonts w:ascii="Calibri" w:hAnsi="Calibri"/>
        </w:rPr>
        <w:t xml:space="preserve">local </w:t>
      </w:r>
      <w:r w:rsidRPr="000030B5">
        <w:rPr>
          <w:rFonts w:ascii="Calibri" w:hAnsi="Calibri"/>
        </w:rPr>
        <w:t>residents aged 7</w:t>
      </w:r>
      <w:r>
        <w:rPr>
          <w:rFonts w:ascii="Calibri" w:hAnsi="Calibri"/>
        </w:rPr>
        <w:t>0 or more</w:t>
      </w:r>
      <w:r w:rsidRPr="000030B5">
        <w:rPr>
          <w:rFonts w:ascii="Calibri" w:hAnsi="Calibri"/>
        </w:rPr>
        <w:t xml:space="preserve"> </w:t>
      </w:r>
      <w:r>
        <w:rPr>
          <w:rFonts w:ascii="Calibri" w:hAnsi="Calibri"/>
        </w:rPr>
        <w:t>were</w:t>
      </w:r>
      <w:r w:rsidRPr="000030B5">
        <w:rPr>
          <w:rFonts w:ascii="Calibri" w:hAnsi="Calibri"/>
        </w:rPr>
        <w:t xml:space="preserve"> born overseas – higher than the metropolitan level of 5%</w:t>
      </w:r>
      <w:r>
        <w:rPr>
          <w:rFonts w:ascii="Calibri" w:hAnsi="Calibri"/>
        </w:rPr>
        <w:t>,</w:t>
      </w:r>
      <w:r w:rsidRPr="000030B5">
        <w:rPr>
          <w:rFonts w:ascii="Calibri" w:hAnsi="Calibri"/>
        </w:rPr>
        <w:t xml:space="preserve"> and the </w:t>
      </w:r>
      <w:r>
        <w:rPr>
          <w:rFonts w:ascii="Calibri" w:hAnsi="Calibri"/>
        </w:rPr>
        <w:t>second largest</w:t>
      </w:r>
      <w:r w:rsidRPr="000030B5">
        <w:rPr>
          <w:rFonts w:ascii="Calibri" w:hAnsi="Calibri"/>
        </w:rPr>
        <w:t xml:space="preserve"> proportion in Victoria. </w:t>
      </w:r>
    </w:p>
    <w:p w14:paraId="27F888A1" w14:textId="77777777" w:rsidR="00B645C3" w:rsidRDefault="00B645C3" w:rsidP="00B645C3">
      <w:pPr>
        <w:tabs>
          <w:tab w:val="left" w:pos="284"/>
        </w:tabs>
        <w:spacing w:after="0" w:line="360" w:lineRule="auto"/>
        <w:jc w:val="both"/>
        <w:rPr>
          <w:rFonts w:ascii="Calibri" w:hAnsi="Calibri"/>
        </w:rPr>
      </w:pPr>
      <w:r>
        <w:rPr>
          <w:rFonts w:ascii="Calibri" w:hAnsi="Calibri"/>
        </w:rPr>
        <w:t>Their birthplaces include</w:t>
      </w:r>
      <w:r w:rsidRPr="000030B5">
        <w:rPr>
          <w:rFonts w:ascii="Calibri" w:hAnsi="Calibri"/>
        </w:rPr>
        <w:t xml:space="preserve"> Italy</w:t>
      </w:r>
      <w:r>
        <w:rPr>
          <w:rFonts w:ascii="Calibri" w:hAnsi="Calibri"/>
        </w:rPr>
        <w:t>,</w:t>
      </w:r>
      <w:r w:rsidRPr="000030B5">
        <w:rPr>
          <w:rFonts w:ascii="Calibri" w:hAnsi="Calibri"/>
        </w:rPr>
        <w:t xml:space="preserve"> Vietnam,</w:t>
      </w:r>
      <w:r>
        <w:rPr>
          <w:rFonts w:ascii="Calibri" w:hAnsi="Calibri"/>
        </w:rPr>
        <w:t xml:space="preserve"> Greece, England</w:t>
      </w:r>
      <w:r w:rsidRPr="000030B5">
        <w:rPr>
          <w:rFonts w:ascii="Calibri" w:hAnsi="Calibri"/>
        </w:rPr>
        <w:t>, Sri Lanka</w:t>
      </w:r>
      <w:r>
        <w:rPr>
          <w:rFonts w:ascii="Calibri" w:hAnsi="Calibri"/>
        </w:rPr>
        <w:t xml:space="preserve"> and China.</w:t>
      </w:r>
    </w:p>
    <w:p w14:paraId="049E5BE3" w14:textId="77777777" w:rsidR="00B645C3" w:rsidRDefault="00B645C3" w:rsidP="00B645C3">
      <w:pPr>
        <w:tabs>
          <w:tab w:val="left" w:pos="284"/>
        </w:tabs>
        <w:spacing w:after="0" w:line="360" w:lineRule="auto"/>
        <w:jc w:val="both"/>
        <w:rPr>
          <w:rFonts w:ascii="Calibri" w:hAnsi="Calibri"/>
          <w:color w:val="7F7F7F"/>
          <w:sz w:val="6"/>
          <w:szCs w:val="6"/>
        </w:rPr>
      </w:pPr>
    </w:p>
    <w:p w14:paraId="4A37CD4F" w14:textId="77777777" w:rsidR="00B645C3" w:rsidRDefault="00B645C3" w:rsidP="00B645C3">
      <w:pPr>
        <w:tabs>
          <w:tab w:val="left" w:pos="284"/>
        </w:tabs>
        <w:spacing w:after="0" w:line="360" w:lineRule="auto"/>
        <w:jc w:val="both"/>
        <w:rPr>
          <w:rFonts w:ascii="Calibri" w:hAnsi="Calibri"/>
          <w:color w:val="7F7F7F"/>
          <w:sz w:val="6"/>
          <w:szCs w:val="6"/>
        </w:rPr>
      </w:pPr>
    </w:p>
    <w:p w14:paraId="59CC323B" w14:textId="77777777" w:rsidR="00B645C3" w:rsidRDefault="00B645C3" w:rsidP="00B645C3">
      <w:pPr>
        <w:tabs>
          <w:tab w:val="left" w:pos="284"/>
        </w:tabs>
        <w:spacing w:after="0" w:line="360" w:lineRule="auto"/>
        <w:jc w:val="both"/>
        <w:rPr>
          <w:rFonts w:ascii="Calibri" w:hAnsi="Calibri"/>
          <w:color w:val="7F7F7F"/>
          <w:sz w:val="6"/>
          <w:szCs w:val="6"/>
        </w:rPr>
      </w:pPr>
    </w:p>
    <w:p w14:paraId="09AFD5CE" w14:textId="55C958F1" w:rsidR="00B645C3" w:rsidRPr="00073937" w:rsidRDefault="00B645C3" w:rsidP="00B645C3">
      <w:pPr>
        <w:tabs>
          <w:tab w:val="left" w:pos="284"/>
        </w:tabs>
        <w:spacing w:after="0" w:line="360" w:lineRule="auto"/>
        <w:jc w:val="both"/>
        <w:rPr>
          <w:rFonts w:ascii="Calibri" w:hAnsi="Calibri"/>
          <w:color w:val="7F7F7F"/>
          <w:sz w:val="6"/>
          <w:szCs w:val="6"/>
        </w:rPr>
      </w:pPr>
      <w:r>
        <w:rPr>
          <w:rFonts w:ascii="Calibri" w:hAnsi="Calibri"/>
          <w:noProof/>
          <w:color w:val="7F7F7F"/>
          <w:sz w:val="6"/>
          <w:szCs w:val="6"/>
        </w:rPr>
        <w:drawing>
          <wp:anchor distT="0" distB="0" distL="114300" distR="114300" simplePos="0" relativeHeight="251697152" behindDoc="0" locked="0" layoutInCell="1" allowOverlap="1" wp14:anchorId="390A5DF8" wp14:editId="2608E8F1">
            <wp:simplePos x="0" y="0"/>
            <wp:positionH relativeFrom="column">
              <wp:posOffset>2775662</wp:posOffset>
            </wp:positionH>
            <wp:positionV relativeFrom="line">
              <wp:posOffset>148652</wp:posOffset>
            </wp:positionV>
            <wp:extent cx="3318510" cy="524319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18510" cy="5243195"/>
                    </a:xfrm>
                    <a:prstGeom prst="rect">
                      <a:avLst/>
                    </a:prstGeom>
                    <a:noFill/>
                  </pic:spPr>
                </pic:pic>
              </a:graphicData>
            </a:graphic>
            <wp14:sizeRelH relativeFrom="page">
              <wp14:pctWidth>0</wp14:pctWidth>
            </wp14:sizeRelH>
            <wp14:sizeRelV relativeFrom="page">
              <wp14:pctHeight>0</wp14:pctHeight>
            </wp14:sizeRelV>
          </wp:anchor>
        </w:drawing>
      </w:r>
    </w:p>
    <w:p w14:paraId="39AA078B" w14:textId="77777777" w:rsidR="00B645C3" w:rsidRDefault="00B645C3" w:rsidP="00B645C3">
      <w:pPr>
        <w:tabs>
          <w:tab w:val="left" w:pos="284"/>
        </w:tabs>
        <w:spacing w:after="0" w:line="360" w:lineRule="auto"/>
        <w:jc w:val="both"/>
        <w:rPr>
          <w:rFonts w:ascii="Calibri" w:hAnsi="Calibri"/>
          <w:color w:val="7F7F7F"/>
          <w:sz w:val="20"/>
          <w:szCs w:val="20"/>
        </w:rPr>
      </w:pPr>
    </w:p>
    <w:p w14:paraId="4AF032D1" w14:textId="5CA58AC4" w:rsidR="00B645C3" w:rsidRDefault="00B645C3" w:rsidP="00B645C3">
      <w:pPr>
        <w:tabs>
          <w:tab w:val="left" w:pos="284"/>
        </w:tabs>
        <w:spacing w:after="0" w:line="360" w:lineRule="auto"/>
        <w:jc w:val="both"/>
        <w:rPr>
          <w:rFonts w:ascii="Calibri" w:hAnsi="Calibri"/>
          <w:color w:val="7F7F7F"/>
          <w:sz w:val="20"/>
          <w:szCs w:val="20"/>
        </w:rPr>
      </w:pPr>
    </w:p>
    <w:p w14:paraId="7BDA5529" w14:textId="77777777" w:rsidR="00B645C3" w:rsidRPr="008D7367" w:rsidRDefault="00B645C3" w:rsidP="00B645C3">
      <w:pPr>
        <w:tabs>
          <w:tab w:val="left" w:pos="284"/>
        </w:tabs>
        <w:spacing w:after="0" w:line="240" w:lineRule="auto"/>
        <w:jc w:val="both"/>
        <w:rPr>
          <w:rFonts w:ascii="Calibri" w:hAnsi="Calibri"/>
          <w:color w:val="7F7F7F"/>
          <w:sz w:val="20"/>
          <w:szCs w:val="20"/>
        </w:rPr>
      </w:pPr>
      <w:r w:rsidRPr="008D7367">
        <w:rPr>
          <w:rFonts w:ascii="Calibri" w:hAnsi="Calibri"/>
          <w:color w:val="7F7F7F"/>
          <w:sz w:val="20"/>
          <w:szCs w:val="20"/>
        </w:rPr>
        <w:t>Change in population aged 70+, by selected birthplaces, 2006 to 20</w:t>
      </w:r>
      <w:r>
        <w:rPr>
          <w:rFonts w:ascii="Calibri" w:hAnsi="Calibri"/>
          <w:color w:val="7F7F7F"/>
          <w:sz w:val="20"/>
          <w:szCs w:val="20"/>
        </w:rPr>
        <w:t>21</w:t>
      </w:r>
    </w:p>
    <w:p w14:paraId="020212EA" w14:textId="77777777" w:rsidR="00B645C3" w:rsidRDefault="00B645C3" w:rsidP="00B645C3">
      <w:pPr>
        <w:tabs>
          <w:tab w:val="left" w:pos="284"/>
        </w:tabs>
        <w:spacing w:after="0" w:line="360" w:lineRule="auto"/>
        <w:jc w:val="both"/>
        <w:rPr>
          <w:rFonts w:ascii="Calibri" w:hAnsi="Calibri"/>
          <w:sz w:val="6"/>
          <w:szCs w:val="6"/>
        </w:rPr>
      </w:pPr>
    </w:p>
    <w:p w14:paraId="249C48CA" w14:textId="77777777" w:rsidR="00B645C3" w:rsidRDefault="00B645C3" w:rsidP="00B645C3">
      <w:pPr>
        <w:tabs>
          <w:tab w:val="left" w:pos="284"/>
        </w:tabs>
        <w:spacing w:after="0" w:line="360" w:lineRule="auto"/>
        <w:jc w:val="both"/>
        <w:rPr>
          <w:rFonts w:ascii="Calibri" w:hAnsi="Calibri"/>
          <w:sz w:val="6"/>
          <w:szCs w:val="6"/>
        </w:rPr>
      </w:pPr>
    </w:p>
    <w:p w14:paraId="1AA1468D" w14:textId="77777777" w:rsidR="00B645C3" w:rsidRPr="00073937" w:rsidRDefault="00B645C3" w:rsidP="00B645C3">
      <w:pPr>
        <w:tabs>
          <w:tab w:val="left" w:pos="284"/>
        </w:tabs>
        <w:spacing w:after="0" w:line="360" w:lineRule="auto"/>
        <w:jc w:val="both"/>
        <w:rPr>
          <w:rFonts w:ascii="Calibri" w:hAnsi="Calibri"/>
          <w:sz w:val="6"/>
          <w:szCs w:val="6"/>
        </w:rPr>
      </w:pPr>
    </w:p>
    <w:p w14:paraId="381C5F8C" w14:textId="77777777" w:rsidR="00B645C3" w:rsidRPr="00DF0DE6" w:rsidRDefault="00B645C3" w:rsidP="00B645C3">
      <w:pPr>
        <w:tabs>
          <w:tab w:val="left" w:pos="284"/>
        </w:tabs>
        <w:spacing w:after="0" w:line="360" w:lineRule="auto"/>
        <w:jc w:val="both"/>
        <w:rPr>
          <w:rFonts w:ascii="Calibri" w:hAnsi="Calibri"/>
        </w:rPr>
      </w:pPr>
      <w:r w:rsidRPr="00DF0DE6">
        <w:rPr>
          <w:rFonts w:ascii="Calibri" w:hAnsi="Calibri"/>
        </w:rPr>
        <w:t>The 20</w:t>
      </w:r>
      <w:r>
        <w:rPr>
          <w:rFonts w:ascii="Calibri" w:hAnsi="Calibri"/>
        </w:rPr>
        <w:t>21</w:t>
      </w:r>
      <w:r w:rsidRPr="00DF0DE6">
        <w:rPr>
          <w:rFonts w:ascii="Calibri" w:hAnsi="Calibri"/>
        </w:rPr>
        <w:t xml:space="preserve"> Census </w:t>
      </w:r>
      <w:r>
        <w:rPr>
          <w:rFonts w:ascii="Calibri" w:hAnsi="Calibri"/>
        </w:rPr>
        <w:t xml:space="preserve">also </w:t>
      </w:r>
      <w:r w:rsidRPr="00DF0DE6">
        <w:rPr>
          <w:rFonts w:ascii="Calibri" w:hAnsi="Calibri"/>
        </w:rPr>
        <w:t xml:space="preserve">recorded that </w:t>
      </w:r>
      <w:r>
        <w:rPr>
          <w:rFonts w:ascii="Calibri" w:hAnsi="Calibri"/>
        </w:rPr>
        <w:t>30</w:t>
      </w:r>
      <w:r w:rsidRPr="00DF0DE6">
        <w:rPr>
          <w:rFonts w:ascii="Calibri" w:hAnsi="Calibri"/>
        </w:rPr>
        <w:t xml:space="preserve"> </w:t>
      </w:r>
      <w:r>
        <w:rPr>
          <w:rFonts w:ascii="Calibri" w:hAnsi="Calibri"/>
        </w:rPr>
        <w:t xml:space="preserve">Indigenous </w:t>
      </w:r>
      <w:r w:rsidRPr="00DF0DE6">
        <w:rPr>
          <w:rFonts w:ascii="Calibri" w:hAnsi="Calibri"/>
        </w:rPr>
        <w:t xml:space="preserve">residents were aged 70 or more. </w:t>
      </w:r>
    </w:p>
    <w:p w14:paraId="338A4CE9" w14:textId="77777777" w:rsidR="00B645C3" w:rsidRDefault="00B645C3" w:rsidP="00B645C3">
      <w:pPr>
        <w:tabs>
          <w:tab w:val="left" w:pos="284"/>
        </w:tabs>
        <w:spacing w:after="0" w:line="360" w:lineRule="auto"/>
        <w:jc w:val="both"/>
        <w:rPr>
          <w:rFonts w:ascii="Calibri" w:hAnsi="Calibri"/>
          <w:b/>
          <w:bCs/>
        </w:rPr>
      </w:pPr>
    </w:p>
    <w:p w14:paraId="5BB55252" w14:textId="77777777" w:rsidR="00B645C3" w:rsidRDefault="00B645C3" w:rsidP="00B645C3">
      <w:pPr>
        <w:tabs>
          <w:tab w:val="left" w:pos="284"/>
        </w:tabs>
        <w:spacing w:after="0" w:line="360" w:lineRule="auto"/>
        <w:jc w:val="both"/>
        <w:rPr>
          <w:rFonts w:ascii="Calibri" w:hAnsi="Calibri"/>
          <w:b/>
          <w:bCs/>
        </w:rPr>
      </w:pPr>
    </w:p>
    <w:p w14:paraId="5623FF29" w14:textId="77777777" w:rsidR="00B645C3" w:rsidRPr="00FB71CF" w:rsidRDefault="00B645C3" w:rsidP="00B645C3">
      <w:pPr>
        <w:tabs>
          <w:tab w:val="left" w:pos="284"/>
        </w:tabs>
        <w:spacing w:after="0" w:line="360" w:lineRule="auto"/>
        <w:jc w:val="both"/>
        <w:rPr>
          <w:rFonts w:ascii="Calibri" w:hAnsi="Calibri"/>
          <w:b/>
          <w:bCs/>
        </w:rPr>
      </w:pPr>
      <w:r w:rsidRPr="00FB71CF">
        <w:rPr>
          <w:rFonts w:ascii="Calibri" w:hAnsi="Calibri"/>
          <w:b/>
          <w:bCs/>
        </w:rPr>
        <w:t>Cultural Diversity Trends</w:t>
      </w:r>
    </w:p>
    <w:p w14:paraId="3E00ACE6" w14:textId="0C35E2A0" w:rsidR="00B645C3" w:rsidRDefault="00B645C3" w:rsidP="00B645C3">
      <w:pPr>
        <w:tabs>
          <w:tab w:val="left" w:pos="284"/>
        </w:tabs>
        <w:spacing w:after="0" w:line="360" w:lineRule="auto"/>
        <w:jc w:val="both"/>
        <w:rPr>
          <w:rFonts w:ascii="Calibri" w:hAnsi="Calibri"/>
        </w:rPr>
      </w:pPr>
      <w:r>
        <w:rPr>
          <w:rFonts w:ascii="Calibri" w:hAnsi="Calibri"/>
        </w:rPr>
        <w:t>During the 15-year period from 2006 to 2021, the number of residents aged 70 or more, from European countries, such as Russia, Netherlands, Britain, Germany, Italy, Mal</w:t>
      </w:r>
      <w:r w:rsidR="002F6534">
        <w:rPr>
          <w:rFonts w:ascii="Calibri" w:hAnsi="Calibri"/>
        </w:rPr>
        <w:t>t</w:t>
      </w:r>
      <w:r>
        <w:rPr>
          <w:rFonts w:ascii="Calibri" w:hAnsi="Calibri"/>
        </w:rPr>
        <w:t xml:space="preserve">a and others, either declined or rose to only a small extent. </w:t>
      </w:r>
    </w:p>
    <w:p w14:paraId="3AF5C7B3" w14:textId="77777777" w:rsidR="00B645C3" w:rsidRDefault="00B645C3" w:rsidP="00B645C3">
      <w:pPr>
        <w:tabs>
          <w:tab w:val="left" w:pos="284"/>
        </w:tabs>
        <w:spacing w:after="0" w:line="360" w:lineRule="auto"/>
        <w:jc w:val="both"/>
        <w:rPr>
          <w:rFonts w:ascii="Calibri" w:hAnsi="Calibri"/>
        </w:rPr>
      </w:pPr>
      <w:r>
        <w:rPr>
          <w:rFonts w:ascii="Calibri" w:hAnsi="Calibri"/>
        </w:rPr>
        <w:t>During the same period, the number of older residents from Asian nations such as Vietnam, Cambodia, China, Sri Lanka and India grew substantially (diagram, right).</w:t>
      </w:r>
    </w:p>
    <w:p w14:paraId="01FAF732" w14:textId="77777777" w:rsidR="00B645C3" w:rsidRPr="00DF0DE6" w:rsidRDefault="00B645C3" w:rsidP="00B645C3">
      <w:pPr>
        <w:tabs>
          <w:tab w:val="left" w:pos="284"/>
        </w:tabs>
        <w:spacing w:after="0" w:line="360" w:lineRule="auto"/>
        <w:jc w:val="both"/>
        <w:rPr>
          <w:rFonts w:ascii="Calibri" w:hAnsi="Calibri"/>
        </w:rPr>
      </w:pPr>
    </w:p>
    <w:p w14:paraId="0A7717CF" w14:textId="77777777" w:rsidR="00B645C3" w:rsidRPr="007A623F" w:rsidRDefault="00B645C3" w:rsidP="00B645C3">
      <w:pPr>
        <w:tabs>
          <w:tab w:val="left" w:pos="284"/>
          <w:tab w:val="left" w:pos="6096"/>
        </w:tabs>
        <w:spacing w:after="0" w:line="360" w:lineRule="auto"/>
        <w:jc w:val="both"/>
        <w:rPr>
          <w:rFonts w:ascii="Calibri" w:hAnsi="Calibri"/>
          <w:b/>
        </w:rPr>
      </w:pPr>
      <w:r w:rsidRPr="000030B5">
        <w:rPr>
          <w:rFonts w:ascii="Calibri" w:hAnsi="Calibri"/>
          <w:b/>
        </w:rPr>
        <w:lastRenderedPageBreak/>
        <w:t>Spoken Languages</w:t>
      </w:r>
    </w:p>
    <w:p w14:paraId="15D909CA" w14:textId="77777777" w:rsidR="00B645C3" w:rsidRDefault="00B645C3" w:rsidP="00B645C3">
      <w:pPr>
        <w:tabs>
          <w:tab w:val="left" w:pos="284"/>
        </w:tabs>
        <w:spacing w:after="0" w:line="360" w:lineRule="auto"/>
        <w:jc w:val="both"/>
        <w:rPr>
          <w:rFonts w:ascii="Calibri" w:hAnsi="Calibri"/>
        </w:rPr>
      </w:pPr>
      <w:r>
        <w:rPr>
          <w:rFonts w:ascii="Calibri" w:hAnsi="Calibri"/>
          <w:noProof/>
          <w:color w:val="7F7F7F"/>
          <w:sz w:val="20"/>
          <w:szCs w:val="20"/>
        </w:rPr>
        <w:drawing>
          <wp:anchor distT="0" distB="0" distL="114300" distR="114300" simplePos="0" relativeHeight="251696128" behindDoc="0" locked="0" layoutInCell="1" allowOverlap="1" wp14:anchorId="3C7CD448" wp14:editId="1BE894E4">
            <wp:simplePos x="0" y="0"/>
            <wp:positionH relativeFrom="column">
              <wp:posOffset>-1270</wp:posOffset>
            </wp:positionH>
            <wp:positionV relativeFrom="line">
              <wp:posOffset>4445</wp:posOffset>
            </wp:positionV>
            <wp:extent cx="3467100" cy="2872105"/>
            <wp:effectExtent l="0" t="0" r="0" b="444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2">
                      <a:extLst>
                        <a:ext uri="{28A0092B-C50C-407E-A947-70E740481C1C}">
                          <a14:useLocalDpi xmlns:a14="http://schemas.microsoft.com/office/drawing/2010/main" val="0"/>
                        </a:ext>
                      </a:extLst>
                    </a:blip>
                    <a:srcRect r="9926"/>
                    <a:stretch/>
                  </pic:blipFill>
                  <pic:spPr bwMode="auto">
                    <a:xfrm>
                      <a:off x="0" y="0"/>
                      <a:ext cx="3467100" cy="287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noProof/>
          <w:lang w:eastAsia="en-AU"/>
        </w:rPr>
        <w:drawing>
          <wp:anchor distT="0" distB="0" distL="114300" distR="114300" simplePos="0" relativeHeight="251694080" behindDoc="0" locked="0" layoutInCell="1" allowOverlap="1" wp14:anchorId="44A4B449" wp14:editId="7DA53CF7">
            <wp:simplePos x="0" y="0"/>
            <wp:positionH relativeFrom="column">
              <wp:posOffset>-1795462</wp:posOffset>
            </wp:positionH>
            <wp:positionV relativeFrom="paragraph">
              <wp:posOffset>952182</wp:posOffset>
            </wp:positionV>
            <wp:extent cx="883920" cy="1265582"/>
            <wp:effectExtent l="0" t="0" r="0" b="0"/>
            <wp:wrapNone/>
            <wp:docPr id="58" name="Picture 57" descr="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jpg"/>
                    <pic:cNvPicPr/>
                  </pic:nvPicPr>
                  <pic:blipFill>
                    <a:blip r:embed="rId43" cstate="print"/>
                    <a:stretch>
                      <a:fillRect/>
                    </a:stretch>
                  </pic:blipFill>
                  <pic:spPr>
                    <a:xfrm>
                      <a:off x="0" y="0"/>
                      <a:ext cx="883920" cy="1265582"/>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0030B5">
        <w:rPr>
          <w:rFonts w:ascii="Calibri" w:hAnsi="Calibri"/>
        </w:rPr>
        <w:t>Reflecting the cultural diversity of residents aged 70</w:t>
      </w:r>
      <w:r>
        <w:rPr>
          <w:rFonts w:ascii="Calibri" w:hAnsi="Calibri"/>
        </w:rPr>
        <w:t xml:space="preserve"> or more, over</w:t>
      </w:r>
      <w:r w:rsidRPr="000030B5">
        <w:rPr>
          <w:rFonts w:ascii="Calibri" w:hAnsi="Calibri"/>
        </w:rPr>
        <w:t xml:space="preserve"> half (5</w:t>
      </w:r>
      <w:r>
        <w:rPr>
          <w:rFonts w:ascii="Calibri" w:hAnsi="Calibri"/>
        </w:rPr>
        <w:t>6</w:t>
      </w:r>
      <w:r w:rsidRPr="000030B5">
        <w:rPr>
          <w:rFonts w:ascii="Calibri" w:hAnsi="Calibri"/>
        </w:rPr>
        <w:t xml:space="preserve">%) speak languages other than English at home, including </w:t>
      </w:r>
      <w:r>
        <w:rPr>
          <w:rFonts w:ascii="Calibri" w:hAnsi="Calibri"/>
        </w:rPr>
        <w:t>Greek and Vietnamese</w:t>
      </w:r>
      <w:r w:rsidRPr="000030B5">
        <w:rPr>
          <w:rFonts w:ascii="Calibri" w:hAnsi="Calibri"/>
        </w:rPr>
        <w:t xml:space="preserve"> (</w:t>
      </w:r>
      <w:r>
        <w:rPr>
          <w:rFonts w:ascii="Calibri" w:hAnsi="Calibri"/>
        </w:rPr>
        <w:t xml:space="preserve">each </w:t>
      </w:r>
      <w:r w:rsidRPr="000030B5">
        <w:rPr>
          <w:rFonts w:ascii="Calibri" w:hAnsi="Calibri"/>
        </w:rPr>
        <w:t xml:space="preserve">spoken by </w:t>
      </w:r>
      <w:r>
        <w:rPr>
          <w:rFonts w:ascii="Calibri" w:hAnsi="Calibri"/>
        </w:rPr>
        <w:t>6.8</w:t>
      </w:r>
      <w:r w:rsidRPr="000030B5">
        <w:rPr>
          <w:rFonts w:ascii="Calibri" w:hAnsi="Calibri"/>
        </w:rPr>
        <w:t xml:space="preserve">% of older residents), </w:t>
      </w:r>
      <w:r>
        <w:rPr>
          <w:rFonts w:ascii="Calibri" w:hAnsi="Calibri"/>
        </w:rPr>
        <w:t>Italian</w:t>
      </w:r>
      <w:r w:rsidRPr="000030B5">
        <w:rPr>
          <w:rFonts w:ascii="Calibri" w:hAnsi="Calibri"/>
        </w:rPr>
        <w:t xml:space="preserve"> (</w:t>
      </w:r>
      <w:r>
        <w:rPr>
          <w:rFonts w:ascii="Calibri" w:hAnsi="Calibri"/>
        </w:rPr>
        <w:t>5.9</w:t>
      </w:r>
      <w:r w:rsidRPr="000030B5">
        <w:rPr>
          <w:rFonts w:ascii="Calibri" w:hAnsi="Calibri"/>
        </w:rPr>
        <w:t xml:space="preserve">%), </w:t>
      </w:r>
      <w:r>
        <w:rPr>
          <w:rFonts w:ascii="Calibri" w:hAnsi="Calibri"/>
        </w:rPr>
        <w:t>Khmer</w:t>
      </w:r>
      <w:r w:rsidRPr="000030B5">
        <w:rPr>
          <w:rFonts w:ascii="Calibri" w:hAnsi="Calibri"/>
        </w:rPr>
        <w:t xml:space="preserve"> (</w:t>
      </w:r>
      <w:r>
        <w:rPr>
          <w:rFonts w:ascii="Calibri" w:hAnsi="Calibri"/>
        </w:rPr>
        <w:t>3.3</w:t>
      </w:r>
      <w:r w:rsidRPr="000030B5">
        <w:rPr>
          <w:rFonts w:ascii="Calibri" w:hAnsi="Calibri"/>
        </w:rPr>
        <w:t>%), Cantonese (</w:t>
      </w:r>
      <w:r>
        <w:rPr>
          <w:rFonts w:ascii="Calibri" w:hAnsi="Calibri"/>
        </w:rPr>
        <w:t>3.2</w:t>
      </w:r>
      <w:r w:rsidRPr="000030B5">
        <w:rPr>
          <w:rFonts w:ascii="Calibri" w:hAnsi="Calibri"/>
        </w:rPr>
        <w:t xml:space="preserve">%), </w:t>
      </w:r>
      <w:r>
        <w:rPr>
          <w:rFonts w:ascii="Calibri" w:hAnsi="Calibri"/>
        </w:rPr>
        <w:t>Mandarin (2.9%) and others.</w:t>
      </w:r>
      <w:r w:rsidRPr="000030B5">
        <w:rPr>
          <w:rFonts w:ascii="Calibri" w:hAnsi="Calibri"/>
        </w:rPr>
        <w:t xml:space="preserve"> </w:t>
      </w:r>
    </w:p>
    <w:p w14:paraId="42593697" w14:textId="77777777" w:rsidR="00B645C3" w:rsidRPr="0066142E" w:rsidRDefault="00B645C3" w:rsidP="00B645C3">
      <w:pPr>
        <w:tabs>
          <w:tab w:val="left" w:pos="284"/>
          <w:tab w:val="left" w:pos="6096"/>
        </w:tabs>
        <w:spacing w:after="0" w:line="360" w:lineRule="auto"/>
        <w:jc w:val="both"/>
        <w:rPr>
          <w:rFonts w:ascii="Calibri" w:hAnsi="Calibri"/>
          <w:color w:val="7F7F7F"/>
          <w:sz w:val="12"/>
          <w:szCs w:val="12"/>
        </w:rPr>
      </w:pPr>
    </w:p>
    <w:p w14:paraId="73901F23" w14:textId="77777777" w:rsidR="00B645C3" w:rsidRDefault="00B645C3" w:rsidP="00B645C3">
      <w:pPr>
        <w:tabs>
          <w:tab w:val="left" w:pos="284"/>
          <w:tab w:val="left" w:pos="6096"/>
        </w:tabs>
        <w:spacing w:after="0" w:line="240" w:lineRule="auto"/>
        <w:jc w:val="both"/>
        <w:rPr>
          <w:rFonts w:ascii="Calibri" w:hAnsi="Calibri"/>
          <w:color w:val="7F7F7F"/>
          <w:sz w:val="20"/>
          <w:szCs w:val="20"/>
        </w:rPr>
      </w:pPr>
      <w:r w:rsidRPr="007A623F">
        <w:rPr>
          <w:rFonts w:ascii="Calibri" w:hAnsi="Calibri"/>
          <w:color w:val="7F7F7F"/>
          <w:sz w:val="20"/>
          <w:szCs w:val="20"/>
        </w:rPr>
        <w:t xml:space="preserve">Persons aged 70 years or more, by selected </w:t>
      </w:r>
      <w:r>
        <w:rPr>
          <w:rFonts w:ascii="Calibri" w:hAnsi="Calibri"/>
          <w:color w:val="7F7F7F"/>
          <w:sz w:val="20"/>
          <w:szCs w:val="20"/>
        </w:rPr>
        <w:t>spoken languages: Greater Dandenong,</w:t>
      </w:r>
      <w:r w:rsidRPr="007A623F">
        <w:rPr>
          <w:rFonts w:ascii="Calibri" w:hAnsi="Calibri"/>
          <w:color w:val="7F7F7F"/>
          <w:sz w:val="20"/>
          <w:szCs w:val="20"/>
        </w:rPr>
        <w:t xml:space="preserve"> 20</w:t>
      </w:r>
      <w:r>
        <w:rPr>
          <w:rFonts w:ascii="Calibri" w:hAnsi="Calibri"/>
          <w:color w:val="7F7F7F"/>
          <w:sz w:val="20"/>
          <w:szCs w:val="20"/>
        </w:rPr>
        <w:t>21</w:t>
      </w:r>
    </w:p>
    <w:p w14:paraId="7B076B36" w14:textId="77777777" w:rsidR="00B645C3" w:rsidRPr="0066142E" w:rsidRDefault="00B645C3" w:rsidP="00B645C3">
      <w:pPr>
        <w:tabs>
          <w:tab w:val="left" w:pos="284"/>
          <w:tab w:val="left" w:pos="6096"/>
        </w:tabs>
        <w:spacing w:after="0" w:line="360" w:lineRule="auto"/>
        <w:jc w:val="both"/>
        <w:rPr>
          <w:rFonts w:ascii="Calibri" w:hAnsi="Calibri"/>
          <w:color w:val="7F7F7F"/>
          <w:sz w:val="12"/>
          <w:szCs w:val="12"/>
        </w:rPr>
      </w:pPr>
    </w:p>
    <w:p w14:paraId="66A8ED3A" w14:textId="77777777" w:rsidR="00B645C3" w:rsidRDefault="00B645C3" w:rsidP="00B645C3">
      <w:pPr>
        <w:tabs>
          <w:tab w:val="left" w:pos="284"/>
        </w:tabs>
        <w:spacing w:after="0" w:line="360" w:lineRule="auto"/>
        <w:jc w:val="both"/>
        <w:rPr>
          <w:rFonts w:ascii="Calibri" w:hAnsi="Calibri"/>
        </w:rPr>
      </w:pPr>
    </w:p>
    <w:p w14:paraId="79A1B896" w14:textId="77777777" w:rsidR="00B645C3" w:rsidRDefault="00B645C3" w:rsidP="00B645C3">
      <w:pPr>
        <w:tabs>
          <w:tab w:val="left" w:pos="284"/>
        </w:tabs>
        <w:spacing w:after="0" w:line="360" w:lineRule="auto"/>
        <w:jc w:val="both"/>
        <w:rPr>
          <w:rFonts w:ascii="Calibri" w:hAnsi="Calibri"/>
          <w:b/>
        </w:rPr>
      </w:pPr>
    </w:p>
    <w:p w14:paraId="0E0E518F" w14:textId="77777777" w:rsidR="00B645C3" w:rsidRDefault="00B645C3" w:rsidP="00B645C3">
      <w:pPr>
        <w:tabs>
          <w:tab w:val="left" w:pos="284"/>
        </w:tabs>
        <w:spacing w:after="0" w:line="360" w:lineRule="auto"/>
        <w:jc w:val="both"/>
        <w:rPr>
          <w:rFonts w:ascii="Calibri" w:hAnsi="Calibri"/>
          <w:b/>
        </w:rPr>
      </w:pPr>
    </w:p>
    <w:p w14:paraId="11BAAEDC" w14:textId="05BF117B" w:rsidR="00B645C3" w:rsidRPr="000030B5" w:rsidRDefault="00B645C3" w:rsidP="00B645C3">
      <w:pPr>
        <w:tabs>
          <w:tab w:val="left" w:pos="284"/>
        </w:tabs>
        <w:spacing w:after="0" w:line="360" w:lineRule="auto"/>
        <w:jc w:val="both"/>
        <w:rPr>
          <w:rFonts w:ascii="Calibri" w:hAnsi="Calibri"/>
          <w:b/>
        </w:rPr>
      </w:pPr>
      <w:r>
        <w:rPr>
          <w:rFonts w:ascii="Calibri" w:hAnsi="Calibri"/>
          <w:noProof/>
        </w:rPr>
        <w:drawing>
          <wp:anchor distT="0" distB="0" distL="114300" distR="114300" simplePos="0" relativeHeight="251698176" behindDoc="0" locked="0" layoutInCell="1" allowOverlap="1" wp14:anchorId="4720D7E0" wp14:editId="520687DD">
            <wp:simplePos x="0" y="0"/>
            <wp:positionH relativeFrom="column">
              <wp:posOffset>2332355</wp:posOffset>
            </wp:positionH>
            <wp:positionV relativeFrom="line">
              <wp:posOffset>227330</wp:posOffset>
            </wp:positionV>
            <wp:extent cx="3720465" cy="2776220"/>
            <wp:effectExtent l="0" t="0" r="0" b="508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20465" cy="2776220"/>
                    </a:xfrm>
                    <a:prstGeom prst="rect">
                      <a:avLst/>
                    </a:prstGeom>
                    <a:noFill/>
                  </pic:spPr>
                </pic:pic>
              </a:graphicData>
            </a:graphic>
            <wp14:sizeRelH relativeFrom="page">
              <wp14:pctWidth>0</wp14:pctWidth>
            </wp14:sizeRelH>
            <wp14:sizeRelV relativeFrom="page">
              <wp14:pctHeight>0</wp14:pctHeight>
            </wp14:sizeRelV>
          </wp:anchor>
        </w:drawing>
      </w:r>
      <w:r w:rsidRPr="000030B5">
        <w:rPr>
          <w:rFonts w:ascii="Calibri" w:hAnsi="Calibri"/>
          <w:b/>
        </w:rPr>
        <w:t>English Fluency</w:t>
      </w:r>
    </w:p>
    <w:p w14:paraId="41D2E48B" w14:textId="77777777" w:rsidR="00B645C3" w:rsidRDefault="00B645C3" w:rsidP="00B645C3">
      <w:pPr>
        <w:tabs>
          <w:tab w:val="left" w:pos="284"/>
        </w:tabs>
        <w:spacing w:after="0" w:line="360" w:lineRule="auto"/>
        <w:jc w:val="both"/>
        <w:rPr>
          <w:rFonts w:ascii="Calibri" w:hAnsi="Calibri"/>
        </w:rPr>
      </w:pPr>
      <w:r>
        <w:rPr>
          <w:rFonts w:ascii="Calibri" w:hAnsi="Calibri"/>
        </w:rPr>
        <w:t>Nearly a third</w:t>
      </w:r>
      <w:r w:rsidRPr="000030B5">
        <w:rPr>
          <w:rFonts w:ascii="Calibri" w:hAnsi="Calibri"/>
        </w:rPr>
        <w:t xml:space="preserve"> (</w:t>
      </w:r>
      <w:r>
        <w:rPr>
          <w:rFonts w:ascii="Calibri" w:hAnsi="Calibri"/>
        </w:rPr>
        <w:t>30</w:t>
      </w:r>
      <w:r w:rsidRPr="000030B5">
        <w:rPr>
          <w:rFonts w:ascii="Calibri" w:hAnsi="Calibri"/>
        </w:rPr>
        <w:t>%) of residents aged 70</w:t>
      </w:r>
      <w:r>
        <w:rPr>
          <w:rFonts w:ascii="Calibri" w:hAnsi="Calibri"/>
        </w:rPr>
        <w:t xml:space="preserve"> or more </w:t>
      </w:r>
      <w:r w:rsidRPr="000030B5">
        <w:rPr>
          <w:rFonts w:ascii="Calibri" w:hAnsi="Calibri"/>
        </w:rPr>
        <w:t>ha</w:t>
      </w:r>
      <w:r>
        <w:rPr>
          <w:rFonts w:ascii="Calibri" w:hAnsi="Calibri"/>
        </w:rPr>
        <w:t>s</w:t>
      </w:r>
      <w:r w:rsidRPr="000030B5">
        <w:rPr>
          <w:rFonts w:ascii="Calibri" w:hAnsi="Calibri"/>
        </w:rPr>
        <w:t xml:space="preserve"> limited fluency in the use of spoken English</w:t>
      </w:r>
      <w:r>
        <w:rPr>
          <w:rFonts w:ascii="Calibri" w:hAnsi="Calibri"/>
        </w:rPr>
        <w:t xml:space="preserve"> -</w:t>
      </w:r>
      <w:r w:rsidRPr="000030B5">
        <w:rPr>
          <w:rFonts w:ascii="Calibri" w:hAnsi="Calibri"/>
        </w:rPr>
        <w:t xml:space="preserve"> the highest proportion in Victoria.</w:t>
      </w:r>
      <w:r>
        <w:rPr>
          <w:rFonts w:ascii="Calibri" w:hAnsi="Calibri"/>
        </w:rPr>
        <w:t xml:space="preserve"> </w:t>
      </w:r>
    </w:p>
    <w:p w14:paraId="5296924B" w14:textId="77777777" w:rsidR="00B645C3" w:rsidRDefault="00B645C3" w:rsidP="00B645C3">
      <w:pPr>
        <w:tabs>
          <w:tab w:val="left" w:pos="284"/>
        </w:tabs>
        <w:spacing w:after="0" w:line="360" w:lineRule="auto"/>
        <w:jc w:val="both"/>
        <w:rPr>
          <w:rFonts w:ascii="Calibri" w:hAnsi="Calibri"/>
        </w:rPr>
      </w:pPr>
      <w:r>
        <w:rPr>
          <w:rFonts w:ascii="Calibri" w:hAnsi="Calibri"/>
        </w:rPr>
        <w:t xml:space="preserve">These include over four-fifths </w:t>
      </w:r>
      <w:r w:rsidRPr="000030B5">
        <w:rPr>
          <w:rFonts w:ascii="Calibri" w:hAnsi="Calibri"/>
        </w:rPr>
        <w:t xml:space="preserve">of </w:t>
      </w:r>
      <w:r>
        <w:rPr>
          <w:rFonts w:ascii="Calibri" w:hAnsi="Calibri"/>
        </w:rPr>
        <w:t>older residents</w:t>
      </w:r>
      <w:r w:rsidRPr="000030B5">
        <w:rPr>
          <w:rFonts w:ascii="Calibri" w:hAnsi="Calibri"/>
        </w:rPr>
        <w:t xml:space="preserve"> who speak </w:t>
      </w:r>
      <w:r>
        <w:rPr>
          <w:rFonts w:ascii="Calibri" w:hAnsi="Calibri"/>
        </w:rPr>
        <w:t>Khmer, Vietnamese, Mandarin, Cantonese and Min Nan.</w:t>
      </w:r>
    </w:p>
    <w:p w14:paraId="7577335D" w14:textId="77777777" w:rsidR="00B645C3" w:rsidRDefault="00B645C3" w:rsidP="00B645C3">
      <w:pPr>
        <w:tabs>
          <w:tab w:val="left" w:pos="284"/>
        </w:tabs>
        <w:spacing w:after="0" w:line="360" w:lineRule="auto"/>
        <w:jc w:val="both"/>
        <w:rPr>
          <w:rFonts w:ascii="Calibri" w:hAnsi="Calibri"/>
        </w:rPr>
      </w:pPr>
    </w:p>
    <w:p w14:paraId="78FA7B1B" w14:textId="77777777" w:rsidR="00B645C3" w:rsidRPr="00C9604B" w:rsidRDefault="00B645C3" w:rsidP="00B645C3">
      <w:pPr>
        <w:tabs>
          <w:tab w:val="left" w:pos="284"/>
        </w:tabs>
        <w:spacing w:after="0" w:line="240" w:lineRule="auto"/>
        <w:jc w:val="both"/>
        <w:rPr>
          <w:rFonts w:ascii="Calibri" w:hAnsi="Calibri"/>
          <w:color w:val="7F7F7F"/>
          <w:sz w:val="20"/>
          <w:szCs w:val="20"/>
        </w:rPr>
      </w:pPr>
      <w:r>
        <w:rPr>
          <w:rFonts w:ascii="Calibri" w:hAnsi="Calibri"/>
          <w:b/>
          <w:noProof/>
        </w:rPr>
        <w:drawing>
          <wp:anchor distT="0" distB="0" distL="114300" distR="114300" simplePos="0" relativeHeight="251700224" behindDoc="0" locked="0" layoutInCell="1" allowOverlap="1" wp14:anchorId="5F96FACE" wp14:editId="3E20A2A7">
            <wp:simplePos x="0" y="0"/>
            <wp:positionH relativeFrom="column">
              <wp:posOffset>4758372</wp:posOffset>
            </wp:positionH>
            <wp:positionV relativeFrom="line">
              <wp:posOffset>29845</wp:posOffset>
            </wp:positionV>
            <wp:extent cx="1323833" cy="880349"/>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mily 3.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323833" cy="88034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9604B">
        <w:rPr>
          <w:rFonts w:ascii="Calibri" w:hAnsi="Calibri"/>
          <w:color w:val="7F7F7F"/>
          <w:sz w:val="20"/>
          <w:szCs w:val="20"/>
        </w:rPr>
        <w:t>Per cent of residents aged 70 years or more, who have limited English fluency</w:t>
      </w:r>
      <w:r>
        <w:rPr>
          <w:rFonts w:ascii="Calibri" w:hAnsi="Calibri"/>
          <w:color w:val="7F7F7F"/>
          <w:sz w:val="20"/>
          <w:szCs w:val="20"/>
        </w:rPr>
        <w:t>: Greater Dandenong</w:t>
      </w:r>
      <w:r w:rsidRPr="00C9604B">
        <w:rPr>
          <w:rFonts w:ascii="Calibri" w:hAnsi="Calibri"/>
          <w:color w:val="7F7F7F"/>
          <w:sz w:val="20"/>
          <w:szCs w:val="20"/>
        </w:rPr>
        <w:t>, 2016</w:t>
      </w:r>
    </w:p>
    <w:p w14:paraId="3C51B29F" w14:textId="77777777" w:rsidR="00B645C3" w:rsidRDefault="00B645C3" w:rsidP="00B645C3">
      <w:pPr>
        <w:tabs>
          <w:tab w:val="left" w:pos="284"/>
        </w:tabs>
        <w:spacing w:after="0" w:line="360" w:lineRule="auto"/>
        <w:jc w:val="both"/>
        <w:rPr>
          <w:rFonts w:ascii="Calibri" w:hAnsi="Calibri"/>
        </w:rPr>
      </w:pPr>
    </w:p>
    <w:p w14:paraId="253E4253" w14:textId="77777777" w:rsidR="00B645C3" w:rsidRPr="00C0506D" w:rsidRDefault="00B645C3" w:rsidP="00B645C3">
      <w:pPr>
        <w:tabs>
          <w:tab w:val="left" w:pos="284"/>
          <w:tab w:val="left" w:pos="5245"/>
        </w:tabs>
        <w:spacing w:after="0" w:line="360" w:lineRule="auto"/>
        <w:jc w:val="both"/>
        <w:rPr>
          <w:rFonts w:ascii="Calibri" w:hAnsi="Calibri"/>
          <w:b/>
        </w:rPr>
      </w:pPr>
      <w:r w:rsidRPr="000030B5">
        <w:rPr>
          <w:rFonts w:ascii="Calibri" w:hAnsi="Calibri"/>
          <w:b/>
        </w:rPr>
        <w:t>Household Types</w:t>
      </w:r>
      <w:r>
        <w:rPr>
          <w:rFonts w:ascii="Calibri" w:hAnsi="Calibri"/>
          <w:noProof/>
          <w:sz w:val="20"/>
          <w:szCs w:val="20"/>
        </w:rPr>
        <w:drawing>
          <wp:anchor distT="0" distB="0" distL="114300" distR="114300" simplePos="0" relativeHeight="251699200" behindDoc="0" locked="0" layoutInCell="1" allowOverlap="1" wp14:anchorId="050CB724" wp14:editId="53DA84B8">
            <wp:simplePos x="0" y="0"/>
            <wp:positionH relativeFrom="column">
              <wp:posOffset>2223135</wp:posOffset>
            </wp:positionH>
            <wp:positionV relativeFrom="line">
              <wp:posOffset>39370</wp:posOffset>
            </wp:positionV>
            <wp:extent cx="3895659" cy="2257425"/>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6">
                      <a:extLst>
                        <a:ext uri="{28A0092B-C50C-407E-A947-70E740481C1C}">
                          <a14:useLocalDpi xmlns:a14="http://schemas.microsoft.com/office/drawing/2010/main" val="0"/>
                        </a:ext>
                      </a:extLst>
                    </a:blip>
                    <a:srcRect l="3456" t="3385" r="7079" b="7783"/>
                    <a:stretch/>
                  </pic:blipFill>
                  <pic:spPr bwMode="auto">
                    <a:xfrm>
                      <a:off x="0" y="0"/>
                      <a:ext cx="3895659" cy="2257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832558" w14:textId="77777777" w:rsidR="00B645C3" w:rsidRPr="001F2648" w:rsidRDefault="00B645C3" w:rsidP="00B645C3">
      <w:pPr>
        <w:tabs>
          <w:tab w:val="left" w:pos="284"/>
          <w:tab w:val="left" w:pos="5670"/>
        </w:tabs>
        <w:spacing w:after="0" w:line="360" w:lineRule="auto"/>
        <w:jc w:val="both"/>
        <w:rPr>
          <w:rFonts w:ascii="Calibri" w:hAnsi="Calibri"/>
        </w:rPr>
      </w:pPr>
      <w:r w:rsidRPr="001F2648">
        <w:rPr>
          <w:rFonts w:ascii="Calibri" w:hAnsi="Calibri"/>
        </w:rPr>
        <w:t xml:space="preserve">Of the </w:t>
      </w:r>
      <w:r>
        <w:rPr>
          <w:rFonts w:ascii="Calibri" w:hAnsi="Calibri"/>
        </w:rPr>
        <w:t>91</w:t>
      </w:r>
      <w:r w:rsidRPr="001F2648">
        <w:rPr>
          <w:rFonts w:ascii="Calibri" w:hAnsi="Calibri"/>
        </w:rPr>
        <w:t xml:space="preserve">% of </w:t>
      </w:r>
      <w:r>
        <w:rPr>
          <w:rFonts w:ascii="Calibri" w:hAnsi="Calibri"/>
        </w:rPr>
        <w:t>residents aged 70 or more,</w:t>
      </w:r>
      <w:r w:rsidRPr="001F2648">
        <w:rPr>
          <w:rFonts w:ascii="Calibri" w:hAnsi="Calibri"/>
        </w:rPr>
        <w:t xml:space="preserve"> who live in private hous</w:t>
      </w:r>
      <w:r>
        <w:rPr>
          <w:rFonts w:ascii="Calibri" w:hAnsi="Calibri"/>
        </w:rPr>
        <w:t>e</w:t>
      </w:r>
      <w:r w:rsidRPr="001F2648">
        <w:rPr>
          <w:rFonts w:ascii="Calibri" w:hAnsi="Calibri"/>
        </w:rPr>
        <w:t>holds, over half are members of a couple, about a quarter</w:t>
      </w:r>
      <w:r>
        <w:rPr>
          <w:rFonts w:ascii="Calibri" w:hAnsi="Calibri"/>
        </w:rPr>
        <w:t xml:space="preserve"> are</w:t>
      </w:r>
      <w:r w:rsidRPr="001F2648">
        <w:rPr>
          <w:rFonts w:ascii="Calibri" w:hAnsi="Calibri"/>
        </w:rPr>
        <w:t xml:space="preserve"> lone persons,</w:t>
      </w:r>
      <w:r>
        <w:rPr>
          <w:rFonts w:ascii="Calibri" w:hAnsi="Calibri"/>
        </w:rPr>
        <w:t xml:space="preserve"> and</w:t>
      </w:r>
      <w:r w:rsidRPr="001F2648">
        <w:rPr>
          <w:rFonts w:ascii="Calibri" w:hAnsi="Calibri"/>
        </w:rPr>
        <w:t xml:space="preserve"> 7.5% are lone parents. </w:t>
      </w:r>
    </w:p>
    <w:p w14:paraId="223C8DD7" w14:textId="77777777" w:rsidR="00B645C3" w:rsidRPr="00567C96" w:rsidRDefault="00B645C3" w:rsidP="00B645C3">
      <w:pPr>
        <w:tabs>
          <w:tab w:val="left" w:pos="284"/>
        </w:tabs>
        <w:spacing w:after="0" w:line="240" w:lineRule="auto"/>
        <w:jc w:val="both"/>
        <w:rPr>
          <w:rFonts w:ascii="Calibri" w:hAnsi="Calibri"/>
          <w:b/>
          <w:sz w:val="8"/>
          <w:szCs w:val="8"/>
        </w:rPr>
      </w:pPr>
    </w:p>
    <w:p w14:paraId="081A4807" w14:textId="77777777" w:rsidR="00B645C3" w:rsidRDefault="00B645C3" w:rsidP="00B645C3">
      <w:pPr>
        <w:tabs>
          <w:tab w:val="left" w:pos="284"/>
        </w:tabs>
        <w:spacing w:after="0" w:line="240" w:lineRule="auto"/>
        <w:jc w:val="both"/>
        <w:rPr>
          <w:rFonts w:ascii="Calibri" w:hAnsi="Calibri"/>
          <w:b/>
        </w:rPr>
      </w:pPr>
      <w:r>
        <w:rPr>
          <w:rFonts w:ascii="Calibri" w:hAnsi="Calibri"/>
          <w:color w:val="7F7F7F"/>
          <w:sz w:val="20"/>
          <w:szCs w:val="20"/>
        </w:rPr>
        <w:t>Relationship in Household</w:t>
      </w:r>
      <w:r w:rsidRPr="0074374B">
        <w:rPr>
          <w:rFonts w:ascii="Calibri" w:hAnsi="Calibri"/>
          <w:color w:val="7F7F7F"/>
          <w:sz w:val="20"/>
          <w:szCs w:val="20"/>
        </w:rPr>
        <w:t>, Persons aged 70+ and living in a private dwelling, 20</w:t>
      </w:r>
      <w:r>
        <w:rPr>
          <w:rFonts w:ascii="Calibri" w:hAnsi="Calibri"/>
          <w:color w:val="7F7F7F"/>
          <w:sz w:val="20"/>
          <w:szCs w:val="20"/>
        </w:rPr>
        <w:t>21</w:t>
      </w:r>
    </w:p>
    <w:p w14:paraId="7349DCA0" w14:textId="77777777" w:rsidR="00B645C3" w:rsidRDefault="00B645C3" w:rsidP="00B645C3">
      <w:pPr>
        <w:tabs>
          <w:tab w:val="left" w:pos="284"/>
        </w:tabs>
        <w:spacing w:after="0" w:line="360" w:lineRule="auto"/>
        <w:jc w:val="both"/>
        <w:rPr>
          <w:rFonts w:ascii="Calibri" w:hAnsi="Calibri"/>
          <w:b/>
        </w:rPr>
      </w:pPr>
    </w:p>
    <w:p w14:paraId="73A1ED25" w14:textId="77777777" w:rsidR="00B645C3" w:rsidRDefault="00B645C3" w:rsidP="00B645C3">
      <w:pPr>
        <w:tabs>
          <w:tab w:val="left" w:pos="284"/>
        </w:tabs>
        <w:spacing w:after="0" w:line="360" w:lineRule="auto"/>
        <w:jc w:val="both"/>
        <w:rPr>
          <w:rFonts w:ascii="Calibri" w:hAnsi="Calibri"/>
          <w:b/>
        </w:rPr>
      </w:pPr>
    </w:p>
    <w:p w14:paraId="26138A92" w14:textId="77777777" w:rsidR="00B645C3" w:rsidRPr="00A53A26" w:rsidRDefault="00B645C3" w:rsidP="00B645C3">
      <w:pPr>
        <w:tabs>
          <w:tab w:val="left" w:pos="284"/>
        </w:tabs>
        <w:spacing w:after="0" w:line="360" w:lineRule="auto"/>
        <w:jc w:val="both"/>
        <w:rPr>
          <w:rFonts w:ascii="Calibri" w:hAnsi="Calibri"/>
          <w:bCs/>
          <w:i/>
          <w:iCs/>
        </w:rPr>
      </w:pPr>
      <w:r w:rsidRPr="00A53A26">
        <w:rPr>
          <w:rFonts w:ascii="Calibri" w:hAnsi="Calibri"/>
          <w:bCs/>
          <w:i/>
          <w:iCs/>
        </w:rPr>
        <w:lastRenderedPageBreak/>
        <w:t>Older residents living with children</w:t>
      </w:r>
    </w:p>
    <w:p w14:paraId="56B7CCB1" w14:textId="77777777" w:rsidR="00B645C3" w:rsidRPr="0060282C" w:rsidRDefault="00B645C3" w:rsidP="00B645C3">
      <w:pPr>
        <w:tabs>
          <w:tab w:val="left" w:pos="284"/>
        </w:tabs>
        <w:spacing w:after="0" w:line="360" w:lineRule="auto"/>
        <w:jc w:val="both"/>
        <w:rPr>
          <w:rFonts w:ascii="Calibri" w:hAnsi="Calibri"/>
          <w:bCs/>
        </w:rPr>
      </w:pPr>
      <w:r>
        <w:rPr>
          <w:rFonts w:ascii="Calibri" w:hAnsi="Calibri"/>
          <w:bCs/>
        </w:rPr>
        <w:t>The proportion of older residents who live with – and potentially receive support in daily living from – their children varies widely with birthplace. Of</w:t>
      </w:r>
      <w:r w:rsidRPr="0060282C">
        <w:rPr>
          <w:rFonts w:ascii="Calibri" w:hAnsi="Calibri"/>
          <w:bCs/>
        </w:rPr>
        <w:t xml:space="preserve"> residents aged 70 or more in 2021 who were living in a private residence, 34% of those from Afghanistan, 21% of those from Burma, and approximately 15% of older residents from Burma, China, Macedonia, the Philippines and Vietnam</w:t>
      </w:r>
      <w:r>
        <w:rPr>
          <w:rFonts w:ascii="Calibri" w:hAnsi="Calibri"/>
          <w:bCs/>
        </w:rPr>
        <w:t xml:space="preserve"> were living with one of their children</w:t>
      </w:r>
      <w:r w:rsidRPr="0060282C">
        <w:rPr>
          <w:rFonts w:ascii="Calibri" w:hAnsi="Calibri"/>
          <w:bCs/>
        </w:rPr>
        <w:t>. By contrast 2% of Australian-born residents of that age were living</w:t>
      </w:r>
      <w:r>
        <w:rPr>
          <w:rFonts w:ascii="Calibri" w:hAnsi="Calibri"/>
          <w:bCs/>
        </w:rPr>
        <w:t xml:space="preserve"> </w:t>
      </w:r>
      <w:r w:rsidRPr="0060282C">
        <w:rPr>
          <w:rFonts w:ascii="Calibri" w:hAnsi="Calibri"/>
          <w:bCs/>
        </w:rPr>
        <w:t>with one of their children.</w:t>
      </w:r>
    </w:p>
    <w:p w14:paraId="64349158" w14:textId="77777777" w:rsidR="00B645C3" w:rsidRDefault="00B645C3" w:rsidP="00B645C3">
      <w:pPr>
        <w:tabs>
          <w:tab w:val="left" w:pos="284"/>
        </w:tabs>
        <w:spacing w:after="0" w:line="360" w:lineRule="auto"/>
        <w:jc w:val="both"/>
        <w:rPr>
          <w:rFonts w:ascii="Calibri" w:hAnsi="Calibri"/>
          <w:b/>
        </w:rPr>
      </w:pPr>
    </w:p>
    <w:p w14:paraId="4FB8BE26" w14:textId="77777777" w:rsidR="00B645C3" w:rsidRPr="00A5391C" w:rsidRDefault="00B645C3" w:rsidP="00B645C3">
      <w:pPr>
        <w:tabs>
          <w:tab w:val="left" w:pos="284"/>
        </w:tabs>
        <w:spacing w:after="0" w:line="360" w:lineRule="auto"/>
        <w:jc w:val="both"/>
        <w:rPr>
          <w:rFonts w:ascii="Calibri" w:hAnsi="Calibri"/>
          <w:b/>
        </w:rPr>
      </w:pPr>
      <w:r w:rsidRPr="00A5391C">
        <w:rPr>
          <w:rFonts w:ascii="Calibri" w:hAnsi="Calibri"/>
          <w:b/>
        </w:rPr>
        <w:t xml:space="preserve">Incomes, Employment and Welfare Dependence </w:t>
      </w:r>
    </w:p>
    <w:p w14:paraId="7D63A832" w14:textId="77777777" w:rsidR="00B645C3" w:rsidRPr="00A5391C" w:rsidRDefault="00B645C3" w:rsidP="00B645C3">
      <w:pPr>
        <w:tabs>
          <w:tab w:val="left" w:pos="284"/>
        </w:tabs>
        <w:spacing w:after="0" w:line="360" w:lineRule="auto"/>
        <w:jc w:val="both"/>
        <w:rPr>
          <w:rFonts w:ascii="Calibri" w:hAnsi="Calibri"/>
          <w:i/>
        </w:rPr>
      </w:pPr>
      <w:r w:rsidRPr="00A5391C">
        <w:rPr>
          <w:rFonts w:ascii="Calibri" w:hAnsi="Calibri"/>
          <w:i/>
        </w:rPr>
        <w:t>Incomes and employment</w:t>
      </w:r>
    </w:p>
    <w:p w14:paraId="733871AF" w14:textId="77777777" w:rsidR="00B645C3" w:rsidRDefault="00B645C3" w:rsidP="00B645C3">
      <w:pPr>
        <w:tabs>
          <w:tab w:val="left" w:pos="284"/>
        </w:tabs>
        <w:spacing w:after="0" w:line="360" w:lineRule="auto"/>
        <w:jc w:val="both"/>
        <w:rPr>
          <w:rFonts w:ascii="Calibri" w:hAnsi="Calibri"/>
        </w:rPr>
      </w:pPr>
      <w:r>
        <w:rPr>
          <w:rFonts w:ascii="Calibri" w:hAnsi="Calibri"/>
        </w:rPr>
        <w:t>In 2021,</w:t>
      </w:r>
      <w:r w:rsidRPr="00A5391C">
        <w:rPr>
          <w:rFonts w:ascii="Calibri" w:hAnsi="Calibri"/>
        </w:rPr>
        <w:t xml:space="preserve"> the median income among Greater Dandenong residents aged 55-59</w:t>
      </w:r>
      <w:r>
        <w:rPr>
          <w:rFonts w:ascii="Calibri" w:hAnsi="Calibri"/>
        </w:rPr>
        <w:t xml:space="preserve">, an age when many are </w:t>
      </w:r>
      <w:r w:rsidRPr="00A5391C">
        <w:rPr>
          <w:rFonts w:ascii="Calibri" w:hAnsi="Calibri"/>
        </w:rPr>
        <w:t>approaching retirement</w:t>
      </w:r>
      <w:r>
        <w:rPr>
          <w:rFonts w:ascii="Calibri" w:hAnsi="Calibri"/>
        </w:rPr>
        <w:t>,</w:t>
      </w:r>
      <w:r w:rsidRPr="00A5391C">
        <w:rPr>
          <w:rFonts w:ascii="Calibri" w:hAnsi="Calibri"/>
        </w:rPr>
        <w:t xml:space="preserve"> </w:t>
      </w:r>
      <w:r>
        <w:rPr>
          <w:rFonts w:ascii="Calibri" w:hAnsi="Calibri"/>
        </w:rPr>
        <w:t>stood at</w:t>
      </w:r>
      <w:r w:rsidRPr="00A5391C">
        <w:rPr>
          <w:rFonts w:ascii="Calibri" w:hAnsi="Calibri"/>
        </w:rPr>
        <w:t xml:space="preserve"> $</w:t>
      </w:r>
      <w:r>
        <w:rPr>
          <w:rFonts w:ascii="Calibri" w:hAnsi="Calibri"/>
        </w:rPr>
        <w:t xml:space="preserve">707 (including $874 among men and $525 among women) - </w:t>
      </w:r>
      <w:r w:rsidRPr="00A5391C">
        <w:rPr>
          <w:rFonts w:ascii="Calibri" w:hAnsi="Calibri"/>
        </w:rPr>
        <w:t xml:space="preserve">the lowest in Melbourne in </w:t>
      </w:r>
      <w:r>
        <w:rPr>
          <w:rFonts w:ascii="Calibri" w:hAnsi="Calibri"/>
        </w:rPr>
        <w:t>2021</w:t>
      </w:r>
      <w:r w:rsidRPr="00A5391C">
        <w:rPr>
          <w:rFonts w:ascii="Calibri" w:hAnsi="Calibri"/>
        </w:rPr>
        <w:t xml:space="preserve"> and substantially less than the corresponding Victorian </w:t>
      </w:r>
      <w:r>
        <w:rPr>
          <w:rFonts w:ascii="Calibri" w:hAnsi="Calibri"/>
        </w:rPr>
        <w:t>median</w:t>
      </w:r>
      <w:r w:rsidRPr="00A5391C">
        <w:rPr>
          <w:rFonts w:ascii="Calibri" w:hAnsi="Calibri"/>
        </w:rPr>
        <w:t xml:space="preserve"> of $</w:t>
      </w:r>
      <w:r>
        <w:rPr>
          <w:rFonts w:ascii="Calibri" w:hAnsi="Calibri"/>
        </w:rPr>
        <w:t>1,017</w:t>
      </w:r>
      <w:r w:rsidRPr="00A5391C">
        <w:rPr>
          <w:rFonts w:ascii="Calibri" w:hAnsi="Calibri"/>
        </w:rPr>
        <w:t xml:space="preserve">. </w:t>
      </w:r>
    </w:p>
    <w:p w14:paraId="576E3997" w14:textId="77777777" w:rsidR="00B645C3" w:rsidRPr="002B445E" w:rsidRDefault="00B645C3" w:rsidP="00B645C3">
      <w:pPr>
        <w:tabs>
          <w:tab w:val="left" w:pos="284"/>
        </w:tabs>
        <w:spacing w:after="0" w:line="360" w:lineRule="auto"/>
        <w:jc w:val="both"/>
        <w:rPr>
          <w:rFonts w:ascii="Calibri" w:hAnsi="Calibri"/>
        </w:rPr>
      </w:pPr>
      <w:r w:rsidRPr="00A5391C">
        <w:rPr>
          <w:rFonts w:ascii="Calibri" w:hAnsi="Calibri"/>
        </w:rPr>
        <w:t xml:space="preserve">Among </w:t>
      </w:r>
      <w:r>
        <w:rPr>
          <w:rFonts w:ascii="Calibri" w:hAnsi="Calibri"/>
        </w:rPr>
        <w:t>residents of this age</w:t>
      </w:r>
      <w:r w:rsidRPr="00A5391C">
        <w:rPr>
          <w:rFonts w:ascii="Calibri" w:hAnsi="Calibri"/>
        </w:rPr>
        <w:t xml:space="preserve">, </w:t>
      </w:r>
      <w:r>
        <w:rPr>
          <w:rFonts w:ascii="Calibri" w:hAnsi="Calibri"/>
        </w:rPr>
        <w:t>61</w:t>
      </w:r>
      <w:r w:rsidRPr="00A5391C">
        <w:rPr>
          <w:rFonts w:ascii="Calibri" w:hAnsi="Calibri"/>
        </w:rPr>
        <w:t>% were in paid employment</w:t>
      </w:r>
      <w:r>
        <w:rPr>
          <w:rFonts w:ascii="Calibri" w:hAnsi="Calibri"/>
        </w:rPr>
        <w:t xml:space="preserve"> – including 69% of males and 53% of females – lower than the</w:t>
      </w:r>
      <w:r w:rsidRPr="00A5391C">
        <w:rPr>
          <w:rFonts w:ascii="Calibri" w:hAnsi="Calibri"/>
        </w:rPr>
        <w:t xml:space="preserve"> </w:t>
      </w:r>
      <w:r>
        <w:rPr>
          <w:rFonts w:ascii="Calibri" w:hAnsi="Calibri"/>
        </w:rPr>
        <w:t>Victorian</w:t>
      </w:r>
      <w:r w:rsidRPr="00A5391C">
        <w:rPr>
          <w:rFonts w:ascii="Calibri" w:hAnsi="Calibri"/>
        </w:rPr>
        <w:t xml:space="preserve"> level of </w:t>
      </w:r>
      <w:r>
        <w:rPr>
          <w:rFonts w:ascii="Calibri" w:hAnsi="Calibri"/>
        </w:rPr>
        <w:t>73</w:t>
      </w:r>
      <w:r w:rsidRPr="00A5391C">
        <w:rPr>
          <w:rFonts w:ascii="Calibri" w:hAnsi="Calibri"/>
        </w:rPr>
        <w:t>%.</w:t>
      </w:r>
      <w:r>
        <w:rPr>
          <w:rFonts w:ascii="Calibri" w:hAnsi="Calibri"/>
        </w:rPr>
        <w:t xml:space="preserve"> </w:t>
      </w:r>
      <w:r w:rsidRPr="002B445E">
        <w:rPr>
          <w:rFonts w:ascii="Calibri" w:hAnsi="Calibri"/>
        </w:rPr>
        <w:t xml:space="preserve">Consequently, a substantial proportion of residents </w:t>
      </w:r>
      <w:r>
        <w:rPr>
          <w:rFonts w:ascii="Calibri" w:hAnsi="Calibri"/>
        </w:rPr>
        <w:t>may enter their older age</w:t>
      </w:r>
      <w:r w:rsidRPr="002B445E">
        <w:rPr>
          <w:rFonts w:ascii="Calibri" w:hAnsi="Calibri"/>
        </w:rPr>
        <w:t xml:space="preserve"> </w:t>
      </w:r>
      <w:r>
        <w:rPr>
          <w:rFonts w:ascii="Calibri" w:hAnsi="Calibri"/>
        </w:rPr>
        <w:t>with a recent history of low income and non-employment,</w:t>
      </w:r>
      <w:r w:rsidRPr="002B445E">
        <w:rPr>
          <w:rFonts w:ascii="Calibri" w:hAnsi="Calibri"/>
        </w:rPr>
        <w:t xml:space="preserve"> exposing them to the risk of financial hardship</w:t>
      </w:r>
      <w:r>
        <w:rPr>
          <w:rFonts w:ascii="Calibri" w:hAnsi="Calibri"/>
        </w:rPr>
        <w:t xml:space="preserve"> during retirement</w:t>
      </w:r>
      <w:r w:rsidRPr="002B445E">
        <w:rPr>
          <w:rFonts w:ascii="Calibri" w:hAnsi="Calibri"/>
        </w:rPr>
        <w:t xml:space="preserve">. </w:t>
      </w:r>
    </w:p>
    <w:p w14:paraId="3AA428CD" w14:textId="77777777" w:rsidR="00B645C3" w:rsidRPr="00A5391C" w:rsidRDefault="00B645C3" w:rsidP="00B645C3">
      <w:pPr>
        <w:tabs>
          <w:tab w:val="left" w:pos="284"/>
        </w:tabs>
        <w:spacing w:after="0" w:line="360" w:lineRule="auto"/>
        <w:jc w:val="both"/>
        <w:rPr>
          <w:rFonts w:ascii="Calibri" w:hAnsi="Calibri"/>
          <w:i/>
        </w:rPr>
      </w:pPr>
      <w:r w:rsidRPr="00A5391C">
        <w:rPr>
          <w:rFonts w:ascii="Calibri" w:hAnsi="Calibri"/>
          <w:i/>
        </w:rPr>
        <w:t>Pensions</w:t>
      </w:r>
    </w:p>
    <w:p w14:paraId="46BE1D3C" w14:textId="77777777" w:rsidR="00B645C3" w:rsidRPr="00A5391C" w:rsidRDefault="00B645C3" w:rsidP="00B645C3">
      <w:pPr>
        <w:tabs>
          <w:tab w:val="left" w:pos="284"/>
        </w:tabs>
        <w:spacing w:after="0" w:line="360" w:lineRule="auto"/>
        <w:jc w:val="both"/>
        <w:rPr>
          <w:rFonts w:ascii="Calibri" w:hAnsi="Calibri"/>
        </w:rPr>
      </w:pPr>
      <w:r w:rsidRPr="00A5391C">
        <w:rPr>
          <w:rFonts w:ascii="Calibri" w:hAnsi="Calibri"/>
        </w:rPr>
        <w:t xml:space="preserve">In </w:t>
      </w:r>
      <w:r>
        <w:rPr>
          <w:rFonts w:ascii="Calibri" w:hAnsi="Calibri"/>
        </w:rPr>
        <w:t>June</w:t>
      </w:r>
      <w:r w:rsidRPr="00A5391C">
        <w:rPr>
          <w:rFonts w:ascii="Calibri" w:hAnsi="Calibri"/>
        </w:rPr>
        <w:t xml:space="preserve"> 20</w:t>
      </w:r>
      <w:r>
        <w:rPr>
          <w:rFonts w:ascii="Calibri" w:hAnsi="Calibri"/>
        </w:rPr>
        <w:t>22</w:t>
      </w:r>
      <w:r w:rsidRPr="00A5391C">
        <w:rPr>
          <w:rFonts w:ascii="Calibri" w:hAnsi="Calibri"/>
        </w:rPr>
        <w:t xml:space="preserve">, the ratio of </w:t>
      </w:r>
      <w:r>
        <w:rPr>
          <w:rFonts w:ascii="Calibri" w:hAnsi="Calibri"/>
        </w:rPr>
        <w:t>a</w:t>
      </w:r>
      <w:r w:rsidRPr="00A5391C">
        <w:rPr>
          <w:rFonts w:ascii="Calibri" w:hAnsi="Calibri"/>
        </w:rPr>
        <w:t xml:space="preserve">ged </w:t>
      </w:r>
      <w:r>
        <w:rPr>
          <w:rFonts w:ascii="Calibri" w:hAnsi="Calibri"/>
        </w:rPr>
        <w:t>p</w:t>
      </w:r>
      <w:r w:rsidRPr="00A5391C">
        <w:rPr>
          <w:rFonts w:ascii="Calibri" w:hAnsi="Calibri"/>
        </w:rPr>
        <w:t xml:space="preserve">ension recipients to persons aged 65 years or more in Greater Dandenong </w:t>
      </w:r>
      <w:r>
        <w:rPr>
          <w:rFonts w:ascii="Calibri" w:hAnsi="Calibri"/>
        </w:rPr>
        <w:t xml:space="preserve">(expressed as a percentage) </w:t>
      </w:r>
      <w:r w:rsidRPr="00A5391C">
        <w:rPr>
          <w:rFonts w:ascii="Calibri" w:hAnsi="Calibri"/>
        </w:rPr>
        <w:t xml:space="preserve">was </w:t>
      </w:r>
      <w:r>
        <w:rPr>
          <w:rFonts w:ascii="Calibri" w:hAnsi="Calibri"/>
        </w:rPr>
        <w:t>68</w:t>
      </w:r>
      <w:r w:rsidRPr="00A5391C">
        <w:rPr>
          <w:rFonts w:ascii="Calibri" w:hAnsi="Calibri"/>
        </w:rPr>
        <w:t xml:space="preserve">% - </w:t>
      </w:r>
      <w:r>
        <w:rPr>
          <w:rFonts w:ascii="Calibri" w:hAnsi="Calibri"/>
        </w:rPr>
        <w:t xml:space="preserve">higher than the metropolitan level of 52%, and </w:t>
      </w:r>
      <w:r w:rsidRPr="00A5391C">
        <w:rPr>
          <w:rFonts w:ascii="Calibri" w:hAnsi="Calibri"/>
        </w:rPr>
        <w:t xml:space="preserve">the </w:t>
      </w:r>
      <w:r>
        <w:rPr>
          <w:rFonts w:ascii="Calibri" w:hAnsi="Calibri"/>
        </w:rPr>
        <w:t>second</w:t>
      </w:r>
      <w:r w:rsidRPr="00A5391C">
        <w:rPr>
          <w:rFonts w:ascii="Calibri" w:hAnsi="Calibri"/>
        </w:rPr>
        <w:t xml:space="preserve"> highest </w:t>
      </w:r>
      <w:r>
        <w:rPr>
          <w:rFonts w:ascii="Calibri" w:hAnsi="Calibri"/>
        </w:rPr>
        <w:t>level of dependence upon the pension in the State</w:t>
      </w:r>
      <w:r w:rsidRPr="00A5391C">
        <w:rPr>
          <w:rFonts w:ascii="Calibri" w:hAnsi="Calibri"/>
        </w:rPr>
        <w:t xml:space="preserve">. </w:t>
      </w:r>
    </w:p>
    <w:p w14:paraId="06745BB2" w14:textId="348A03F7" w:rsidR="006F675F" w:rsidRDefault="006F675F">
      <w:pPr>
        <w:rPr>
          <w:rFonts w:ascii="Calibri" w:hAnsi="Calibri"/>
        </w:rPr>
      </w:pPr>
      <w:r>
        <w:rPr>
          <w:rFonts w:ascii="Calibri" w:hAnsi="Calibri"/>
        </w:rPr>
        <w:br w:type="page"/>
      </w:r>
    </w:p>
    <w:p w14:paraId="6C70504A" w14:textId="77777777" w:rsidR="006F675F" w:rsidRPr="00BE5A0B" w:rsidRDefault="006F675F" w:rsidP="00A26F54">
      <w:pPr>
        <w:pBdr>
          <w:top w:val="single" w:sz="4" w:space="0" w:color="auto"/>
          <w:bottom w:val="single" w:sz="4" w:space="1" w:color="auto"/>
        </w:pBdr>
        <w:tabs>
          <w:tab w:val="center" w:pos="4678"/>
        </w:tabs>
        <w:jc w:val="center"/>
        <w:rPr>
          <w:rFonts w:ascii="Calibri" w:hAnsi="Calibri"/>
          <w:noProof/>
          <w:sz w:val="32"/>
          <w:szCs w:val="32"/>
        </w:rPr>
      </w:pPr>
      <w:bookmarkStart w:id="2" w:name="_Hlk180842970"/>
      <w:r w:rsidRPr="00BE5A0B">
        <w:rPr>
          <w:rFonts w:ascii="Calibri" w:hAnsi="Calibri"/>
          <w:noProof/>
          <w:sz w:val="32"/>
          <w:szCs w:val="32"/>
        </w:rPr>
        <w:lastRenderedPageBreak/>
        <w:t xml:space="preserve">Cultural Diversity and Settlement </w:t>
      </w:r>
    </w:p>
    <w:bookmarkEnd w:id="2"/>
    <w:p w14:paraId="2BC50DB0" w14:textId="77777777" w:rsidR="006F675F" w:rsidRDefault="006F675F" w:rsidP="006F675F">
      <w:pPr>
        <w:tabs>
          <w:tab w:val="left" w:pos="284"/>
        </w:tabs>
        <w:spacing w:after="0" w:line="360" w:lineRule="auto"/>
        <w:jc w:val="both"/>
        <w:rPr>
          <w:b/>
          <w:color w:val="000000"/>
          <w:sz w:val="10"/>
          <w:szCs w:val="10"/>
        </w:rPr>
      </w:pPr>
      <w:r>
        <w:rPr>
          <w:rFonts w:ascii="Calibri" w:hAnsi="Calibri"/>
          <w:noProof/>
          <w:color w:val="000000"/>
        </w:rPr>
        <w:drawing>
          <wp:anchor distT="0" distB="0" distL="114300" distR="114300" simplePos="0" relativeHeight="252091392" behindDoc="0" locked="0" layoutInCell="1" allowOverlap="1" wp14:anchorId="07550B91" wp14:editId="28A2B8A7">
            <wp:simplePos x="0" y="0"/>
            <wp:positionH relativeFrom="column">
              <wp:posOffset>2327275</wp:posOffset>
            </wp:positionH>
            <wp:positionV relativeFrom="paragraph">
              <wp:posOffset>36195</wp:posOffset>
            </wp:positionV>
            <wp:extent cx="3783965" cy="5283200"/>
            <wp:effectExtent l="0" t="0" r="6985"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83965" cy="5283200"/>
                    </a:xfrm>
                    <a:prstGeom prst="rect">
                      <a:avLst/>
                    </a:prstGeom>
                    <a:noFill/>
                  </pic:spPr>
                </pic:pic>
              </a:graphicData>
            </a:graphic>
            <wp14:sizeRelH relativeFrom="page">
              <wp14:pctWidth>0</wp14:pctWidth>
            </wp14:sizeRelH>
            <wp14:sizeRelV relativeFrom="page">
              <wp14:pctHeight>0</wp14:pctHeight>
            </wp14:sizeRelV>
          </wp:anchor>
        </w:drawing>
      </w:r>
    </w:p>
    <w:p w14:paraId="41AAD481" w14:textId="77777777" w:rsidR="006F675F" w:rsidRPr="00330EA5" w:rsidRDefault="006F675F" w:rsidP="006F675F">
      <w:pPr>
        <w:tabs>
          <w:tab w:val="left" w:pos="284"/>
        </w:tabs>
        <w:spacing w:after="0"/>
        <w:jc w:val="both"/>
        <w:rPr>
          <w:rFonts w:ascii="Calibri" w:hAnsi="Calibri"/>
          <w:b/>
          <w:color w:val="000000"/>
        </w:rPr>
      </w:pPr>
      <w:r w:rsidRPr="00330EA5">
        <w:rPr>
          <w:rFonts w:ascii="Calibri" w:hAnsi="Calibri"/>
          <w:b/>
          <w:color w:val="000000"/>
        </w:rPr>
        <w:t>Cultural Diversity</w:t>
      </w:r>
    </w:p>
    <w:p w14:paraId="51A74236" w14:textId="77777777" w:rsidR="006F675F" w:rsidRDefault="006F675F" w:rsidP="006F675F">
      <w:pPr>
        <w:tabs>
          <w:tab w:val="left" w:pos="284"/>
        </w:tabs>
        <w:spacing w:after="0" w:line="360" w:lineRule="auto"/>
        <w:jc w:val="both"/>
        <w:rPr>
          <w:rFonts w:ascii="Calibri" w:hAnsi="Calibri"/>
          <w:color w:val="000000"/>
        </w:rPr>
      </w:pPr>
      <w:r>
        <w:rPr>
          <w:rFonts w:ascii="Calibri" w:hAnsi="Calibri"/>
          <w:color w:val="000000"/>
        </w:rPr>
        <w:t>The 2021 Census found that G</w:t>
      </w:r>
      <w:r w:rsidRPr="00330EA5">
        <w:rPr>
          <w:rFonts w:ascii="Calibri" w:hAnsi="Calibri"/>
          <w:color w:val="000000"/>
        </w:rPr>
        <w:t xml:space="preserve">reater Dandenong is the most culturally diverse locality in </w:t>
      </w:r>
      <w:r>
        <w:rPr>
          <w:rFonts w:ascii="Calibri" w:hAnsi="Calibri"/>
          <w:color w:val="000000"/>
        </w:rPr>
        <w:t>Australia</w:t>
      </w:r>
      <w:r>
        <w:rPr>
          <w:rStyle w:val="FootnoteReference"/>
          <w:rFonts w:ascii="Calibri" w:hAnsi="Calibri"/>
          <w:color w:val="000000"/>
        </w:rPr>
        <w:footnoteReference w:id="1"/>
      </w:r>
      <w:r>
        <w:rPr>
          <w:rFonts w:ascii="Calibri" w:hAnsi="Calibri"/>
          <w:color w:val="000000"/>
        </w:rPr>
        <w:t>,</w:t>
      </w:r>
      <w:r w:rsidRPr="00330EA5">
        <w:rPr>
          <w:rFonts w:ascii="Calibri" w:hAnsi="Calibri"/>
          <w:color w:val="000000"/>
        </w:rPr>
        <w:t xml:space="preserve"> </w:t>
      </w:r>
      <w:r>
        <w:rPr>
          <w:rFonts w:ascii="Calibri" w:hAnsi="Calibri"/>
          <w:color w:val="000000"/>
        </w:rPr>
        <w:t xml:space="preserve">as it was in 2016, </w:t>
      </w:r>
      <w:r w:rsidRPr="00330EA5">
        <w:rPr>
          <w:rFonts w:ascii="Calibri" w:hAnsi="Calibri"/>
          <w:color w:val="000000"/>
        </w:rPr>
        <w:t xml:space="preserve">with residents from </w:t>
      </w:r>
      <w:r>
        <w:rPr>
          <w:rFonts w:ascii="Calibri" w:hAnsi="Calibri"/>
          <w:color w:val="000000"/>
        </w:rPr>
        <w:t>at least 154</w:t>
      </w:r>
      <w:r w:rsidRPr="00330EA5">
        <w:rPr>
          <w:rFonts w:ascii="Calibri" w:hAnsi="Calibri"/>
          <w:color w:val="000000"/>
        </w:rPr>
        <w:t xml:space="preserve"> different birthplaces</w:t>
      </w:r>
      <w:r>
        <w:rPr>
          <w:rFonts w:ascii="Calibri" w:hAnsi="Calibri"/>
          <w:color w:val="000000"/>
        </w:rPr>
        <w:t xml:space="preserve"> and</w:t>
      </w:r>
      <w:r w:rsidRPr="00330EA5">
        <w:rPr>
          <w:rFonts w:ascii="Calibri" w:hAnsi="Calibri"/>
          <w:color w:val="000000"/>
        </w:rPr>
        <w:t xml:space="preserve"> well over half (6</w:t>
      </w:r>
      <w:r>
        <w:rPr>
          <w:rFonts w:ascii="Calibri" w:hAnsi="Calibri"/>
          <w:color w:val="000000"/>
        </w:rPr>
        <w:t>3.4</w:t>
      </w:r>
      <w:r w:rsidRPr="00330EA5">
        <w:rPr>
          <w:rFonts w:ascii="Calibri" w:hAnsi="Calibri"/>
          <w:color w:val="000000"/>
        </w:rPr>
        <w:t xml:space="preserve">%) of its </w:t>
      </w:r>
      <w:r>
        <w:rPr>
          <w:rFonts w:ascii="Calibri" w:hAnsi="Calibri"/>
          <w:color w:val="000000"/>
        </w:rPr>
        <w:t>population</w:t>
      </w:r>
      <w:r w:rsidRPr="00330EA5">
        <w:rPr>
          <w:rFonts w:ascii="Calibri" w:hAnsi="Calibri"/>
          <w:color w:val="000000"/>
        </w:rPr>
        <w:t xml:space="preserve"> born overseas</w:t>
      </w:r>
      <w:r>
        <w:rPr>
          <w:rFonts w:ascii="Calibri" w:hAnsi="Calibri"/>
          <w:color w:val="000000"/>
        </w:rPr>
        <w:t xml:space="preserve">. </w:t>
      </w:r>
    </w:p>
    <w:p w14:paraId="18A3FA4B" w14:textId="77777777" w:rsidR="006F675F" w:rsidRDefault="006F675F" w:rsidP="006F675F">
      <w:pPr>
        <w:tabs>
          <w:tab w:val="left" w:pos="284"/>
        </w:tabs>
        <w:spacing w:after="0" w:line="360" w:lineRule="auto"/>
        <w:jc w:val="both"/>
        <w:rPr>
          <w:rFonts w:ascii="Calibri" w:hAnsi="Calibri"/>
          <w:color w:val="000000"/>
        </w:rPr>
      </w:pPr>
      <w:r>
        <w:rPr>
          <w:rFonts w:ascii="Calibri" w:hAnsi="Calibri"/>
          <w:color w:val="000000"/>
        </w:rPr>
        <w:t>Major b</w:t>
      </w:r>
      <w:r w:rsidRPr="00330EA5">
        <w:rPr>
          <w:rFonts w:ascii="Calibri" w:hAnsi="Calibri"/>
          <w:color w:val="000000"/>
        </w:rPr>
        <w:t>irthplaces</w:t>
      </w:r>
      <w:r>
        <w:rPr>
          <w:rFonts w:ascii="Calibri" w:hAnsi="Calibri"/>
          <w:color w:val="000000"/>
        </w:rPr>
        <w:t>, aside from Australia,</w:t>
      </w:r>
      <w:r w:rsidRPr="00330EA5">
        <w:rPr>
          <w:rFonts w:ascii="Calibri" w:hAnsi="Calibri"/>
          <w:color w:val="000000"/>
        </w:rPr>
        <w:t xml:space="preserve"> </w:t>
      </w:r>
      <w:r>
        <w:rPr>
          <w:rFonts w:ascii="Calibri" w:hAnsi="Calibri"/>
          <w:color w:val="000000"/>
        </w:rPr>
        <w:t>included</w:t>
      </w:r>
      <w:r w:rsidRPr="00330EA5">
        <w:rPr>
          <w:rFonts w:ascii="Calibri" w:hAnsi="Calibri"/>
          <w:color w:val="000000"/>
        </w:rPr>
        <w:t xml:space="preserve"> Vietnam, </w:t>
      </w:r>
      <w:r>
        <w:rPr>
          <w:rFonts w:ascii="Calibri" w:hAnsi="Calibri"/>
          <w:color w:val="000000"/>
        </w:rPr>
        <w:t>India, Cambodia, Sri Lanka, China, Afghanistan, Malaysia, Philippines, Pakistan, and New Zealand</w:t>
      </w:r>
      <w:r w:rsidRPr="00330EA5">
        <w:rPr>
          <w:rFonts w:ascii="Calibri" w:hAnsi="Calibri"/>
          <w:color w:val="000000"/>
        </w:rPr>
        <w:t>.</w:t>
      </w:r>
      <w:r>
        <w:rPr>
          <w:rFonts w:ascii="Calibri" w:hAnsi="Calibri"/>
          <w:color w:val="000000"/>
        </w:rPr>
        <w:t xml:space="preserve"> </w:t>
      </w:r>
    </w:p>
    <w:p w14:paraId="65C5DF91" w14:textId="77777777" w:rsidR="006F675F" w:rsidRDefault="006F675F" w:rsidP="006F675F">
      <w:pPr>
        <w:tabs>
          <w:tab w:val="left" w:pos="284"/>
        </w:tabs>
        <w:spacing w:after="0" w:line="360" w:lineRule="auto"/>
        <w:jc w:val="both"/>
        <w:rPr>
          <w:rFonts w:ascii="Calibri" w:hAnsi="Calibri"/>
          <w:color w:val="000000"/>
        </w:rPr>
      </w:pPr>
      <w:r>
        <w:rPr>
          <w:rFonts w:ascii="Calibri" w:hAnsi="Calibri"/>
          <w:color w:val="000000"/>
        </w:rPr>
        <w:t>More than four out of five (88%) residents have at least one overseas-born parent.</w:t>
      </w:r>
    </w:p>
    <w:p w14:paraId="731EB316" w14:textId="77777777" w:rsidR="006F675F" w:rsidRDefault="006F675F" w:rsidP="006F675F">
      <w:pPr>
        <w:tabs>
          <w:tab w:val="left" w:pos="284"/>
        </w:tabs>
        <w:spacing w:after="0" w:line="360" w:lineRule="auto"/>
        <w:jc w:val="both"/>
        <w:rPr>
          <w:rFonts w:ascii="Calibri" w:hAnsi="Calibri"/>
          <w:color w:val="000000"/>
        </w:rPr>
      </w:pPr>
    </w:p>
    <w:p w14:paraId="4BAA5B9D" w14:textId="1E182432" w:rsidR="006F675F" w:rsidRPr="006F675F" w:rsidRDefault="006F675F" w:rsidP="006F675F">
      <w:pPr>
        <w:tabs>
          <w:tab w:val="left" w:pos="284"/>
        </w:tabs>
        <w:spacing w:after="0"/>
        <w:jc w:val="both"/>
        <w:rPr>
          <w:rFonts w:ascii="Calibri" w:hAnsi="Calibri"/>
          <w:color w:val="7F7F7F"/>
        </w:rPr>
      </w:pPr>
      <w:r w:rsidRPr="00E30446">
        <w:rPr>
          <w:rFonts w:ascii="Calibri" w:hAnsi="Calibri"/>
          <w:color w:val="7F7F7F"/>
        </w:rPr>
        <w:t>Population by Selected Birthplaces: Greater Dandenong, 20</w:t>
      </w:r>
      <w:r>
        <w:rPr>
          <w:rFonts w:ascii="Calibri" w:hAnsi="Calibri"/>
          <w:color w:val="7F7F7F"/>
        </w:rPr>
        <w:t>21</w:t>
      </w:r>
    </w:p>
    <w:p w14:paraId="68CBF051" w14:textId="23683A8A" w:rsidR="00BE29A1" w:rsidRDefault="00BE29A1" w:rsidP="006F675F">
      <w:pPr>
        <w:tabs>
          <w:tab w:val="left" w:pos="5812"/>
        </w:tabs>
        <w:spacing w:after="0"/>
        <w:jc w:val="both"/>
        <w:rPr>
          <w:rFonts w:ascii="Calibri" w:hAnsi="Calibri"/>
          <w:b/>
          <w:color w:val="000000"/>
        </w:rPr>
      </w:pPr>
    </w:p>
    <w:p w14:paraId="1477F3CE" w14:textId="39AFCB0F" w:rsidR="00BE29A1" w:rsidRDefault="00BE29A1" w:rsidP="006F675F">
      <w:pPr>
        <w:tabs>
          <w:tab w:val="left" w:pos="5812"/>
        </w:tabs>
        <w:spacing w:after="0"/>
        <w:jc w:val="both"/>
        <w:rPr>
          <w:rFonts w:ascii="Calibri" w:hAnsi="Calibri"/>
          <w:b/>
          <w:color w:val="000000"/>
        </w:rPr>
      </w:pPr>
      <w:r>
        <w:rPr>
          <w:rFonts w:ascii="Calibri" w:hAnsi="Calibri"/>
          <w:b/>
          <w:noProof/>
          <w:color w:val="000000"/>
        </w:rPr>
        <w:drawing>
          <wp:anchor distT="0" distB="0" distL="114300" distR="114300" simplePos="0" relativeHeight="252094464" behindDoc="0" locked="0" layoutInCell="1" allowOverlap="1" wp14:anchorId="63332B4C" wp14:editId="280DC7E1">
            <wp:simplePos x="0" y="0"/>
            <wp:positionH relativeFrom="margin">
              <wp:align>left</wp:align>
            </wp:positionH>
            <wp:positionV relativeFrom="paragraph">
              <wp:posOffset>276649</wp:posOffset>
            </wp:positionV>
            <wp:extent cx="4071620" cy="3004820"/>
            <wp:effectExtent l="0" t="0" r="5080" b="508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8">
                      <a:extLst>
                        <a:ext uri="{28A0092B-C50C-407E-A947-70E740481C1C}">
                          <a14:useLocalDpi xmlns:a14="http://schemas.microsoft.com/office/drawing/2010/main" val="0"/>
                        </a:ext>
                      </a:extLst>
                    </a:blip>
                    <a:srcRect r="3644" b="54037"/>
                    <a:stretch/>
                  </pic:blipFill>
                  <pic:spPr bwMode="auto">
                    <a:xfrm>
                      <a:off x="0" y="0"/>
                      <a:ext cx="4071620" cy="3004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8968FB" w14:textId="4DB0B81C" w:rsidR="006F675F" w:rsidRDefault="006F675F" w:rsidP="006F675F">
      <w:pPr>
        <w:tabs>
          <w:tab w:val="left" w:pos="5812"/>
        </w:tabs>
        <w:spacing w:after="0"/>
        <w:jc w:val="both"/>
        <w:rPr>
          <w:rFonts w:ascii="Calibri" w:hAnsi="Calibri"/>
          <w:b/>
          <w:color w:val="000000"/>
        </w:rPr>
      </w:pPr>
      <w:r>
        <w:rPr>
          <w:rFonts w:ascii="Calibri" w:hAnsi="Calibri"/>
          <w:b/>
          <w:color w:val="000000"/>
        </w:rPr>
        <w:t xml:space="preserve">Recently-arrived Residents </w:t>
      </w:r>
    </w:p>
    <w:p w14:paraId="6F8D41F1" w14:textId="0BF075B5" w:rsidR="006F675F" w:rsidRDefault="00BE29A1" w:rsidP="006F675F">
      <w:pPr>
        <w:tabs>
          <w:tab w:val="left" w:pos="284"/>
        </w:tabs>
        <w:spacing w:after="0" w:line="360" w:lineRule="auto"/>
        <w:jc w:val="both"/>
        <w:rPr>
          <w:rFonts w:ascii="Calibri" w:hAnsi="Calibri"/>
          <w:color w:val="000000"/>
        </w:rPr>
      </w:pPr>
      <w:r>
        <w:rPr>
          <w:rFonts w:ascii="Calibri" w:hAnsi="Calibri"/>
          <w:noProof/>
          <w:color w:val="000000"/>
          <w:lang w:eastAsia="en-AU"/>
        </w:rPr>
        <w:drawing>
          <wp:anchor distT="0" distB="0" distL="114300" distR="114300" simplePos="0" relativeHeight="252095488" behindDoc="0" locked="0" layoutInCell="1" allowOverlap="1" wp14:anchorId="4C222B39" wp14:editId="3E4315B7">
            <wp:simplePos x="0" y="0"/>
            <wp:positionH relativeFrom="margin">
              <wp:posOffset>2506980</wp:posOffset>
            </wp:positionH>
            <wp:positionV relativeFrom="paragraph">
              <wp:posOffset>1729528</wp:posOffset>
            </wp:positionV>
            <wp:extent cx="1528762" cy="1066175"/>
            <wp:effectExtent l="0" t="0" r="0" b="63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Ethnic 27.jpg"/>
                    <pic:cNvPicPr/>
                  </pic:nvPicPr>
                  <pic:blipFill>
                    <a:blip r:embed="rId49">
                      <a:extLst>
                        <a:ext uri="{28A0092B-C50C-407E-A947-70E740481C1C}">
                          <a14:useLocalDpi xmlns:a14="http://schemas.microsoft.com/office/drawing/2010/main" val="0"/>
                        </a:ext>
                      </a:extLst>
                    </a:blip>
                    <a:stretch>
                      <a:fillRect/>
                    </a:stretch>
                  </pic:blipFill>
                  <pic:spPr>
                    <a:xfrm>
                      <a:off x="0" y="0"/>
                      <a:ext cx="1528762" cy="1066175"/>
                    </a:xfrm>
                    <a:prstGeom prst="rect">
                      <a:avLst/>
                    </a:prstGeom>
                    <a:ln>
                      <a:noFill/>
                    </a:ln>
                    <a:effectLst>
                      <a:softEdge rad="317500"/>
                    </a:effectLst>
                  </pic:spPr>
                </pic:pic>
              </a:graphicData>
            </a:graphic>
            <wp14:sizeRelH relativeFrom="page">
              <wp14:pctWidth>0</wp14:pctWidth>
            </wp14:sizeRelH>
            <wp14:sizeRelV relativeFrom="page">
              <wp14:pctHeight>0</wp14:pctHeight>
            </wp14:sizeRelV>
          </wp:anchor>
        </w:drawing>
      </w:r>
      <w:r w:rsidR="006F675F">
        <w:rPr>
          <w:rFonts w:ascii="Calibri" w:hAnsi="Calibri"/>
          <w:color w:val="000000"/>
        </w:rPr>
        <w:t xml:space="preserve">The Census recorded that approximately 2,038 residents of Greater Dandenong had arrived in Australia after 2019, representing 1.3% of the population - compared with 6.4% in 2016, but still the third highest proportion in Victoria. </w:t>
      </w:r>
    </w:p>
    <w:p w14:paraId="1927B5CF" w14:textId="77777777" w:rsidR="006F675F" w:rsidRPr="004D7D44" w:rsidRDefault="006F675F" w:rsidP="006F675F">
      <w:pPr>
        <w:tabs>
          <w:tab w:val="left" w:pos="5812"/>
        </w:tabs>
        <w:spacing w:after="0" w:line="240" w:lineRule="auto"/>
        <w:jc w:val="both"/>
        <w:rPr>
          <w:rFonts w:ascii="Calibri" w:hAnsi="Calibri"/>
          <w:color w:val="7F7F7F"/>
          <w:sz w:val="8"/>
          <w:szCs w:val="8"/>
        </w:rPr>
      </w:pPr>
    </w:p>
    <w:p w14:paraId="23769866" w14:textId="5ED0B9A4" w:rsidR="006F675F" w:rsidRDefault="006F675F" w:rsidP="006F675F">
      <w:pPr>
        <w:tabs>
          <w:tab w:val="left" w:pos="5812"/>
        </w:tabs>
        <w:spacing w:after="0"/>
        <w:jc w:val="both"/>
        <w:rPr>
          <w:rFonts w:ascii="Calibri" w:hAnsi="Calibri"/>
          <w:b/>
          <w:color w:val="000000"/>
        </w:rPr>
      </w:pPr>
      <w:r w:rsidRPr="00E30446">
        <w:rPr>
          <w:rFonts w:ascii="Calibri" w:hAnsi="Calibri"/>
          <w:color w:val="7F7F7F"/>
        </w:rPr>
        <w:t xml:space="preserve">Residents who had arrived in Australia in the past 18 months, by </w:t>
      </w:r>
      <w:r w:rsidRPr="00E30446">
        <w:rPr>
          <w:rFonts w:ascii="Calibri" w:hAnsi="Calibri"/>
          <w:color w:val="7F7F7F"/>
        </w:rPr>
        <w:lastRenderedPageBreak/>
        <w:t>birthplace</w:t>
      </w:r>
      <w:r>
        <w:rPr>
          <w:rFonts w:ascii="Calibri" w:hAnsi="Calibri"/>
          <w:color w:val="7F7F7F"/>
        </w:rPr>
        <w:t>: Greater Dandenong, 2021</w:t>
      </w:r>
    </w:p>
    <w:p w14:paraId="6B8765E0" w14:textId="225055E7" w:rsidR="006F675F" w:rsidRDefault="006F675F" w:rsidP="006F675F">
      <w:pPr>
        <w:tabs>
          <w:tab w:val="left" w:pos="284"/>
        </w:tabs>
        <w:spacing w:after="0" w:line="360" w:lineRule="auto"/>
        <w:jc w:val="both"/>
        <w:rPr>
          <w:rFonts w:ascii="Calibri" w:hAnsi="Calibri"/>
          <w:color w:val="000000"/>
        </w:rPr>
      </w:pPr>
      <w:r>
        <w:rPr>
          <w:rFonts w:ascii="Calibri" w:hAnsi="Calibri"/>
          <w:color w:val="000000"/>
        </w:rPr>
        <w:t xml:space="preserve">Among these new arrivals, 23% were born in India, 12.7% were from each of Cambodia and Afghanistan, 12% were from Vietnam, and 9% were from Pakistan. Together, these ten nations account for nearly seven-tenths (79%) of residents who had arrived in Australia in the 18 months prior to the 2021 Census. </w:t>
      </w:r>
    </w:p>
    <w:p w14:paraId="445C371D" w14:textId="4F66F486" w:rsidR="006F675F" w:rsidRDefault="00BE29A1" w:rsidP="006F675F">
      <w:pPr>
        <w:tabs>
          <w:tab w:val="left" w:pos="5812"/>
        </w:tabs>
        <w:spacing w:after="0"/>
        <w:jc w:val="both"/>
        <w:rPr>
          <w:rFonts w:ascii="Calibri" w:hAnsi="Calibri"/>
          <w:b/>
          <w:color w:val="000000"/>
        </w:rPr>
      </w:pPr>
      <w:r>
        <w:rPr>
          <w:rFonts w:ascii="Calibri" w:hAnsi="Calibri"/>
          <w:noProof/>
          <w:color w:val="000000"/>
        </w:rPr>
        <w:drawing>
          <wp:anchor distT="0" distB="0" distL="114300" distR="114300" simplePos="0" relativeHeight="252092416" behindDoc="0" locked="0" layoutInCell="1" allowOverlap="1" wp14:anchorId="354ED827" wp14:editId="3CA31D1B">
            <wp:simplePos x="0" y="0"/>
            <wp:positionH relativeFrom="column">
              <wp:posOffset>2209800</wp:posOffset>
            </wp:positionH>
            <wp:positionV relativeFrom="paragraph">
              <wp:posOffset>61595</wp:posOffset>
            </wp:positionV>
            <wp:extent cx="3953510" cy="5248910"/>
            <wp:effectExtent l="0" t="0" r="8890" b="8890"/>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0">
                      <a:extLst>
                        <a:ext uri="{28A0092B-C50C-407E-A947-70E740481C1C}">
                          <a14:useLocalDpi xmlns:a14="http://schemas.microsoft.com/office/drawing/2010/main" val="0"/>
                        </a:ext>
                      </a:extLst>
                    </a:blip>
                    <a:srcRect b="46433"/>
                    <a:stretch/>
                  </pic:blipFill>
                  <pic:spPr bwMode="auto">
                    <a:xfrm>
                      <a:off x="0" y="0"/>
                      <a:ext cx="3953510" cy="5248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BB2D60" w14:textId="57BC05A2" w:rsidR="006F675F" w:rsidRDefault="006F675F" w:rsidP="006F675F">
      <w:pPr>
        <w:tabs>
          <w:tab w:val="left" w:pos="5812"/>
        </w:tabs>
        <w:spacing w:after="0"/>
        <w:jc w:val="both"/>
        <w:rPr>
          <w:rFonts w:ascii="Calibri" w:hAnsi="Calibri"/>
          <w:b/>
          <w:color w:val="000000"/>
        </w:rPr>
      </w:pPr>
      <w:r>
        <w:rPr>
          <w:rFonts w:ascii="Calibri" w:hAnsi="Calibri"/>
          <w:b/>
          <w:color w:val="000000"/>
        </w:rPr>
        <w:t>S</w:t>
      </w:r>
      <w:r w:rsidRPr="00330EA5">
        <w:rPr>
          <w:rFonts w:ascii="Calibri" w:hAnsi="Calibri"/>
          <w:b/>
          <w:color w:val="000000"/>
        </w:rPr>
        <w:t>ettlement</w:t>
      </w:r>
    </w:p>
    <w:p w14:paraId="47C88D8C" w14:textId="6C4C8A6A" w:rsidR="006F675F" w:rsidRPr="0086574A" w:rsidRDefault="006F675F" w:rsidP="006F675F">
      <w:pPr>
        <w:tabs>
          <w:tab w:val="left" w:pos="5812"/>
        </w:tabs>
        <w:spacing w:after="0" w:line="360" w:lineRule="auto"/>
        <w:jc w:val="both"/>
        <w:rPr>
          <w:rFonts w:ascii="Calibri" w:hAnsi="Calibri"/>
          <w:color w:val="000000"/>
        </w:rPr>
      </w:pPr>
      <w:r w:rsidRPr="0086574A">
        <w:rPr>
          <w:rFonts w:ascii="Calibri" w:hAnsi="Calibri"/>
          <w:color w:val="000000"/>
        </w:rPr>
        <w:t xml:space="preserve">In 2020/21, 56,000 people settled in </w:t>
      </w:r>
      <w:r>
        <w:rPr>
          <w:rFonts w:ascii="Calibri" w:hAnsi="Calibri"/>
          <w:color w:val="000000"/>
        </w:rPr>
        <w:t>Victoria</w:t>
      </w:r>
      <w:r w:rsidRPr="0086574A">
        <w:rPr>
          <w:rFonts w:ascii="Calibri" w:hAnsi="Calibri"/>
          <w:color w:val="000000"/>
        </w:rPr>
        <w:t xml:space="preserve"> from overseas. </w:t>
      </w:r>
      <w:r>
        <w:rPr>
          <w:rFonts w:ascii="Calibri" w:hAnsi="Calibri"/>
          <w:color w:val="000000"/>
        </w:rPr>
        <w:t>About o</w:t>
      </w:r>
      <w:r w:rsidRPr="0086574A">
        <w:rPr>
          <w:rFonts w:ascii="Calibri" w:hAnsi="Calibri"/>
          <w:color w:val="000000"/>
        </w:rPr>
        <w:t>ne in twenty of them, numbering 2,9</w:t>
      </w:r>
      <w:r>
        <w:rPr>
          <w:rFonts w:ascii="Calibri" w:hAnsi="Calibri"/>
          <w:color w:val="000000"/>
        </w:rPr>
        <w:t>20</w:t>
      </w:r>
      <w:r w:rsidRPr="0086574A">
        <w:rPr>
          <w:rFonts w:ascii="Calibri" w:hAnsi="Calibri"/>
          <w:color w:val="000000"/>
        </w:rPr>
        <w:t xml:space="preserve"> people, settled in Greater Dandenong - representing the fourth highest rate of immigrant settlement among Victorian </w:t>
      </w:r>
      <w:r>
        <w:rPr>
          <w:rFonts w:ascii="Calibri" w:hAnsi="Calibri"/>
          <w:color w:val="000000"/>
        </w:rPr>
        <w:t>municipalities (after Melbourne, Wyndham and Monash)</w:t>
      </w:r>
      <w:r w:rsidRPr="0086574A">
        <w:rPr>
          <w:rFonts w:ascii="Calibri" w:hAnsi="Calibri"/>
          <w:color w:val="000000"/>
        </w:rPr>
        <w:t>.</w:t>
      </w:r>
    </w:p>
    <w:p w14:paraId="73EB0D3F" w14:textId="77777777" w:rsidR="006F675F" w:rsidRDefault="006F675F" w:rsidP="006F675F">
      <w:pPr>
        <w:tabs>
          <w:tab w:val="left" w:pos="5812"/>
        </w:tabs>
        <w:spacing w:after="0" w:line="360" w:lineRule="auto"/>
        <w:jc w:val="both"/>
        <w:rPr>
          <w:rFonts w:ascii="Calibri" w:hAnsi="Calibri"/>
          <w:color w:val="000000"/>
        </w:rPr>
      </w:pPr>
    </w:p>
    <w:p w14:paraId="1B681E7A" w14:textId="77777777" w:rsidR="006F675F" w:rsidRPr="00144F3C" w:rsidRDefault="006F675F" w:rsidP="006F675F">
      <w:pPr>
        <w:tabs>
          <w:tab w:val="left" w:pos="5812"/>
        </w:tabs>
        <w:spacing w:after="0"/>
        <w:jc w:val="both"/>
        <w:rPr>
          <w:rFonts w:ascii="Calibri" w:hAnsi="Calibri"/>
          <w:color w:val="7F7F7F" w:themeColor="text1" w:themeTint="80"/>
        </w:rPr>
      </w:pPr>
      <w:r w:rsidRPr="00144F3C">
        <w:rPr>
          <w:rFonts w:ascii="Calibri" w:hAnsi="Calibri"/>
          <w:color w:val="7F7F7F" w:themeColor="text1" w:themeTint="80"/>
        </w:rPr>
        <w:t>Migrant settlement by Birthplace: Greater Dandenong, 2020/21</w:t>
      </w:r>
    </w:p>
    <w:p w14:paraId="0465FA14" w14:textId="77777777" w:rsidR="006F675F" w:rsidRDefault="006F675F" w:rsidP="006F675F">
      <w:pPr>
        <w:tabs>
          <w:tab w:val="left" w:pos="5812"/>
        </w:tabs>
        <w:spacing w:after="0" w:line="360" w:lineRule="auto"/>
        <w:jc w:val="both"/>
        <w:rPr>
          <w:rFonts w:ascii="Calibri" w:hAnsi="Calibri"/>
          <w:color w:val="000000"/>
        </w:rPr>
      </w:pPr>
    </w:p>
    <w:p w14:paraId="573776E1" w14:textId="361D452E" w:rsidR="006F675F" w:rsidRDefault="006F675F" w:rsidP="006F675F">
      <w:pPr>
        <w:tabs>
          <w:tab w:val="left" w:pos="5812"/>
        </w:tabs>
        <w:spacing w:after="0" w:line="360" w:lineRule="auto"/>
        <w:jc w:val="both"/>
        <w:rPr>
          <w:rFonts w:ascii="Calibri" w:hAnsi="Calibri"/>
          <w:color w:val="000000"/>
        </w:rPr>
      </w:pPr>
      <w:r>
        <w:rPr>
          <w:rFonts w:ascii="Calibri" w:hAnsi="Calibri"/>
          <w:noProof/>
          <w:lang w:eastAsia="en-AU"/>
        </w:rPr>
        <w:drawing>
          <wp:anchor distT="0" distB="0" distL="114300" distR="114300" simplePos="0" relativeHeight="252093440" behindDoc="0" locked="0" layoutInCell="1" allowOverlap="1" wp14:anchorId="6CF73F2D" wp14:editId="29E3009D">
            <wp:simplePos x="0" y="0"/>
            <wp:positionH relativeFrom="margin">
              <wp:posOffset>4281381</wp:posOffset>
            </wp:positionH>
            <wp:positionV relativeFrom="paragraph">
              <wp:posOffset>146473</wp:posOffset>
            </wp:positionV>
            <wp:extent cx="1781117" cy="1172123"/>
            <wp:effectExtent l="0" t="0" r="0" b="9525"/>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Ethnic 10.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81117" cy="1172123"/>
                    </a:xfrm>
                    <a:prstGeom prst="rect">
                      <a:avLst/>
                    </a:prstGeom>
                    <a:ln>
                      <a:noFill/>
                    </a:ln>
                    <a:effectLst>
                      <a:softEdge rad="317500"/>
                    </a:effectLst>
                  </pic:spPr>
                </pic:pic>
              </a:graphicData>
            </a:graphic>
            <wp14:sizeRelH relativeFrom="page">
              <wp14:pctWidth>0</wp14:pctWidth>
            </wp14:sizeRelH>
            <wp14:sizeRelV relativeFrom="page">
              <wp14:pctHeight>0</wp14:pctHeight>
            </wp14:sizeRelV>
          </wp:anchor>
        </w:drawing>
      </w:r>
    </w:p>
    <w:p w14:paraId="05D876A0" w14:textId="77777777" w:rsidR="006F675F" w:rsidRDefault="006F675F" w:rsidP="006F675F">
      <w:pPr>
        <w:tabs>
          <w:tab w:val="left" w:pos="5812"/>
        </w:tabs>
        <w:spacing w:after="0" w:line="360" w:lineRule="auto"/>
        <w:jc w:val="both"/>
        <w:rPr>
          <w:rFonts w:ascii="Calibri" w:hAnsi="Calibri"/>
          <w:color w:val="000000"/>
        </w:rPr>
      </w:pPr>
    </w:p>
    <w:p w14:paraId="5C4B8648" w14:textId="2ADE883D" w:rsidR="006F675F" w:rsidRDefault="006F675F" w:rsidP="006F675F">
      <w:pPr>
        <w:tabs>
          <w:tab w:val="left" w:pos="5812"/>
        </w:tabs>
        <w:spacing w:after="0" w:line="360" w:lineRule="auto"/>
        <w:jc w:val="both"/>
        <w:rPr>
          <w:rFonts w:ascii="Calibri" w:hAnsi="Calibri"/>
          <w:color w:val="000000"/>
        </w:rPr>
      </w:pPr>
    </w:p>
    <w:p w14:paraId="586B4DCC" w14:textId="77777777" w:rsidR="006F675F" w:rsidRDefault="006F675F" w:rsidP="006F675F">
      <w:pPr>
        <w:tabs>
          <w:tab w:val="left" w:pos="5812"/>
        </w:tabs>
        <w:spacing w:after="0" w:line="360" w:lineRule="auto"/>
        <w:jc w:val="both"/>
        <w:rPr>
          <w:rFonts w:ascii="Calibri" w:hAnsi="Calibri"/>
          <w:color w:val="000000"/>
        </w:rPr>
      </w:pPr>
    </w:p>
    <w:p w14:paraId="27947C8D" w14:textId="77777777" w:rsidR="006F675F" w:rsidRDefault="006F675F" w:rsidP="006F675F">
      <w:pPr>
        <w:tabs>
          <w:tab w:val="left" w:pos="5812"/>
        </w:tabs>
        <w:spacing w:line="360" w:lineRule="auto"/>
        <w:jc w:val="both"/>
        <w:rPr>
          <w:rFonts w:ascii="Calibri" w:hAnsi="Calibri"/>
          <w:color w:val="000000"/>
        </w:rPr>
      </w:pPr>
    </w:p>
    <w:p w14:paraId="067B0737" w14:textId="77777777" w:rsidR="006F675F" w:rsidRDefault="006F675F" w:rsidP="006F675F">
      <w:pPr>
        <w:tabs>
          <w:tab w:val="left" w:pos="5812"/>
        </w:tabs>
        <w:spacing w:line="360" w:lineRule="auto"/>
        <w:jc w:val="both"/>
        <w:rPr>
          <w:rFonts w:ascii="Calibri" w:hAnsi="Calibri"/>
          <w:color w:val="000000"/>
        </w:rPr>
      </w:pPr>
    </w:p>
    <w:p w14:paraId="08115D8B" w14:textId="77777777" w:rsidR="00BE29A1" w:rsidRDefault="00BE29A1" w:rsidP="006F675F">
      <w:pPr>
        <w:tabs>
          <w:tab w:val="left" w:pos="5812"/>
        </w:tabs>
        <w:spacing w:line="360" w:lineRule="auto"/>
        <w:jc w:val="both"/>
        <w:rPr>
          <w:rFonts w:ascii="Calibri" w:hAnsi="Calibri"/>
          <w:color w:val="000000"/>
        </w:rPr>
      </w:pPr>
    </w:p>
    <w:p w14:paraId="3220BC38" w14:textId="77777777" w:rsidR="006F675F" w:rsidRDefault="006F675F" w:rsidP="006F675F">
      <w:pPr>
        <w:tabs>
          <w:tab w:val="left" w:pos="5812"/>
        </w:tabs>
        <w:spacing w:line="360" w:lineRule="auto"/>
        <w:jc w:val="both"/>
        <w:rPr>
          <w:rFonts w:ascii="Calibri" w:hAnsi="Calibri"/>
          <w:color w:val="000000"/>
        </w:rPr>
      </w:pPr>
      <w:r>
        <w:rPr>
          <w:rFonts w:ascii="Calibri" w:hAnsi="Calibri"/>
          <w:color w:val="000000"/>
        </w:rPr>
        <w:t>Among these settlers over half (51%) had arrived under skilled provisions, 46% under family reunion schemes, and 3% as humanitarian arrivals.</w:t>
      </w:r>
    </w:p>
    <w:p w14:paraId="2CE17F52" w14:textId="77777777" w:rsidR="006F675F" w:rsidRDefault="006F675F" w:rsidP="006F675F">
      <w:pPr>
        <w:tabs>
          <w:tab w:val="left" w:pos="5812"/>
        </w:tabs>
        <w:spacing w:line="360" w:lineRule="auto"/>
        <w:jc w:val="both"/>
        <w:rPr>
          <w:rFonts w:ascii="Calibri" w:hAnsi="Calibri"/>
          <w:color w:val="000000"/>
        </w:rPr>
      </w:pPr>
      <w:r>
        <w:rPr>
          <w:rFonts w:ascii="Calibri" w:hAnsi="Calibri"/>
          <w:noProof/>
          <w:color w:val="000000"/>
        </w:rPr>
        <w:drawing>
          <wp:anchor distT="0" distB="0" distL="114300" distR="114300" simplePos="0" relativeHeight="252090368" behindDoc="0" locked="0" layoutInCell="1" allowOverlap="1" wp14:anchorId="75960D74" wp14:editId="188F0E62">
            <wp:simplePos x="0" y="0"/>
            <wp:positionH relativeFrom="column">
              <wp:posOffset>103505</wp:posOffset>
            </wp:positionH>
            <wp:positionV relativeFrom="paragraph">
              <wp:posOffset>27305</wp:posOffset>
            </wp:positionV>
            <wp:extent cx="3724275" cy="1957070"/>
            <wp:effectExtent l="0" t="0" r="9525" b="5080"/>
            <wp:wrapSquare wrapText="bothSides"/>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24275" cy="1957070"/>
                    </a:xfrm>
                    <a:prstGeom prst="rect">
                      <a:avLst/>
                    </a:prstGeom>
                    <a:noFill/>
                  </pic:spPr>
                </pic:pic>
              </a:graphicData>
            </a:graphic>
            <wp14:sizeRelH relativeFrom="page">
              <wp14:pctWidth>0</wp14:pctWidth>
            </wp14:sizeRelH>
            <wp14:sizeRelV relativeFrom="page">
              <wp14:pctHeight>0</wp14:pctHeight>
            </wp14:sizeRelV>
          </wp:anchor>
        </w:drawing>
      </w:r>
    </w:p>
    <w:p w14:paraId="61DE317F" w14:textId="77777777" w:rsidR="006F675F" w:rsidRPr="002A2372" w:rsidRDefault="006F675F" w:rsidP="00A3419A">
      <w:pPr>
        <w:tabs>
          <w:tab w:val="left" w:pos="5812"/>
        </w:tabs>
        <w:spacing w:after="0" w:line="240" w:lineRule="auto"/>
        <w:jc w:val="both"/>
        <w:rPr>
          <w:rFonts w:ascii="Calibri" w:hAnsi="Calibri"/>
          <w:color w:val="7F7F7F" w:themeColor="text1" w:themeTint="80"/>
        </w:rPr>
      </w:pPr>
      <w:r w:rsidRPr="002A2372">
        <w:rPr>
          <w:rFonts w:ascii="Calibri" w:hAnsi="Calibri"/>
          <w:color w:val="7F7F7F" w:themeColor="text1" w:themeTint="80"/>
        </w:rPr>
        <w:t>Settlement by Stream: Greater Dandenong, 2020/21</w:t>
      </w:r>
    </w:p>
    <w:p w14:paraId="2DC6FC10" w14:textId="77777777" w:rsidR="00B645C3" w:rsidRDefault="00B645C3" w:rsidP="00B645C3">
      <w:pPr>
        <w:tabs>
          <w:tab w:val="left" w:pos="284"/>
        </w:tabs>
        <w:spacing w:line="360" w:lineRule="auto"/>
        <w:jc w:val="both"/>
        <w:rPr>
          <w:rFonts w:ascii="Calibri" w:hAnsi="Calibri"/>
        </w:rPr>
      </w:pPr>
    </w:p>
    <w:p w14:paraId="0D84A3BB" w14:textId="644371CA" w:rsidR="006F675F" w:rsidRDefault="006F675F">
      <w:pPr>
        <w:rPr>
          <w:rFonts w:ascii="Calibri" w:hAnsi="Calibri"/>
        </w:rPr>
      </w:pPr>
      <w:r>
        <w:rPr>
          <w:rFonts w:ascii="Calibri" w:hAnsi="Calibri"/>
        </w:rPr>
        <w:br w:type="page"/>
      </w:r>
    </w:p>
    <w:p w14:paraId="27C8AB93" w14:textId="104E7EFC" w:rsidR="002D3B84" w:rsidRPr="00984D6A" w:rsidRDefault="002D3B84" w:rsidP="00A26F54">
      <w:pPr>
        <w:pBdr>
          <w:top w:val="single" w:sz="4" w:space="0" w:color="auto"/>
          <w:bottom w:val="single" w:sz="4" w:space="1" w:color="auto"/>
        </w:pBdr>
        <w:tabs>
          <w:tab w:val="center" w:pos="4678"/>
        </w:tabs>
        <w:jc w:val="center"/>
        <w:rPr>
          <w:rFonts w:ascii="Calibri" w:hAnsi="Calibri"/>
          <w:noProof/>
          <w:sz w:val="32"/>
          <w:szCs w:val="32"/>
        </w:rPr>
      </w:pPr>
      <w:r>
        <w:rPr>
          <w:rFonts w:ascii="Calibri" w:hAnsi="Calibri"/>
          <w:noProof/>
          <w:sz w:val="32"/>
          <w:szCs w:val="32"/>
        </w:rPr>
        <w:lastRenderedPageBreak/>
        <w:t>People Seeking Asylum</w:t>
      </w:r>
    </w:p>
    <w:p w14:paraId="586AEF28" w14:textId="61BAECA5" w:rsidR="002D3B84" w:rsidRDefault="002D3B84" w:rsidP="002D3B84">
      <w:pPr>
        <w:spacing w:after="0"/>
      </w:pPr>
    </w:p>
    <w:p w14:paraId="1965B9AF" w14:textId="46276129" w:rsidR="002D3B84" w:rsidRDefault="002D3B84" w:rsidP="002D3B84">
      <w:pPr>
        <w:spacing w:after="0"/>
      </w:pPr>
    </w:p>
    <w:p w14:paraId="6E91347B" w14:textId="486788E2" w:rsidR="002D3B84" w:rsidRDefault="002D3B84" w:rsidP="002D3B84">
      <w:pPr>
        <w:spacing w:after="0" w:line="360" w:lineRule="auto"/>
        <w:jc w:val="both"/>
        <w:rPr>
          <w:rFonts w:ascii="Calibri" w:hAnsi="Calibri"/>
          <w:b/>
          <w:noProof/>
          <w:sz w:val="12"/>
          <w:szCs w:val="12"/>
          <w:lang w:eastAsia="en-AU"/>
        </w:rPr>
      </w:pPr>
      <w:r w:rsidRPr="009A517A">
        <w:t xml:space="preserve">The following remarks summarise information published by the Commonwealth Department of Immigration and Border Protection concerning the number, geographic distribution and characteristics of </w:t>
      </w:r>
      <w:r>
        <w:t>People seeking asylum who had arrived in Australia by boat, who were living in Victoria</w:t>
      </w:r>
      <w:r w:rsidRPr="009A517A">
        <w:t xml:space="preserve"> in </w:t>
      </w:r>
      <w:r>
        <w:t>June 2022</w:t>
      </w:r>
      <w:r w:rsidRPr="009A517A">
        <w:t>.</w:t>
      </w:r>
      <w:r w:rsidRPr="00096454">
        <w:rPr>
          <w:rFonts w:ascii="Calibri" w:hAnsi="Calibri"/>
          <w:b/>
          <w:noProof/>
          <w:sz w:val="12"/>
          <w:szCs w:val="12"/>
          <w:lang w:eastAsia="en-AU"/>
        </w:rPr>
        <w:t xml:space="preserve"> </w:t>
      </w:r>
    </w:p>
    <w:p w14:paraId="53973E94" w14:textId="4228C059" w:rsidR="002D3B84" w:rsidRDefault="002D3B84" w:rsidP="002D3B84">
      <w:pPr>
        <w:spacing w:after="0" w:line="360" w:lineRule="auto"/>
        <w:jc w:val="both"/>
      </w:pPr>
      <w:r>
        <w:rPr>
          <w:noProof/>
        </w:rPr>
        <w:drawing>
          <wp:anchor distT="0" distB="0" distL="114300" distR="114300" simplePos="0" relativeHeight="252097536" behindDoc="0" locked="0" layoutInCell="1" allowOverlap="1" wp14:anchorId="22CF7D04" wp14:editId="1E9AF7FA">
            <wp:simplePos x="0" y="0"/>
            <wp:positionH relativeFrom="column">
              <wp:posOffset>2369820</wp:posOffset>
            </wp:positionH>
            <wp:positionV relativeFrom="paragraph">
              <wp:posOffset>220345</wp:posOffset>
            </wp:positionV>
            <wp:extent cx="3682365" cy="5096510"/>
            <wp:effectExtent l="0" t="0" r="0" b="8890"/>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3">
                      <a:extLst>
                        <a:ext uri="{28A0092B-C50C-407E-A947-70E740481C1C}">
                          <a14:useLocalDpi xmlns:a14="http://schemas.microsoft.com/office/drawing/2010/main" val="0"/>
                        </a:ext>
                      </a:extLst>
                    </a:blip>
                    <a:srcRect l="2224" r="12445"/>
                    <a:stretch/>
                  </pic:blipFill>
                  <pic:spPr bwMode="auto">
                    <a:xfrm>
                      <a:off x="0" y="0"/>
                      <a:ext cx="3682365" cy="5096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48A32E" w14:textId="7006FE8C" w:rsidR="002D3B84" w:rsidRPr="009A517A" w:rsidRDefault="002D3B84" w:rsidP="002D3B84">
      <w:pPr>
        <w:spacing w:after="0" w:line="360" w:lineRule="auto"/>
        <w:jc w:val="both"/>
      </w:pPr>
    </w:p>
    <w:p w14:paraId="39A91FBC" w14:textId="77777777" w:rsidR="002D3B84" w:rsidRDefault="002D3B84" w:rsidP="002D3B84">
      <w:pPr>
        <w:spacing w:after="0"/>
        <w:jc w:val="both"/>
      </w:pPr>
    </w:p>
    <w:p w14:paraId="28334B3C" w14:textId="77777777" w:rsidR="002D3B84" w:rsidRDefault="002D3B84" w:rsidP="002D3B84">
      <w:pPr>
        <w:spacing w:after="0"/>
        <w:jc w:val="both"/>
      </w:pPr>
    </w:p>
    <w:p w14:paraId="52DA11C4" w14:textId="7B2EAB3C" w:rsidR="002D3B84" w:rsidRDefault="002D3B84" w:rsidP="002D3B84">
      <w:pPr>
        <w:spacing w:after="0"/>
        <w:jc w:val="both"/>
        <w:rPr>
          <w:rFonts w:ascii="Calibri" w:eastAsia="Calibri" w:hAnsi="Calibri"/>
          <w:b/>
        </w:rPr>
      </w:pPr>
      <w:r w:rsidRPr="00621205">
        <w:rPr>
          <w:rFonts w:ascii="Calibri" w:eastAsia="Calibri" w:hAnsi="Calibri"/>
          <w:b/>
        </w:rPr>
        <w:t>Municipality of Residence</w:t>
      </w:r>
    </w:p>
    <w:p w14:paraId="12E8654C" w14:textId="77777777" w:rsidR="002D3B84" w:rsidRPr="00F16BB5" w:rsidRDefault="002D3B84" w:rsidP="002D3B84">
      <w:pPr>
        <w:spacing w:after="0"/>
        <w:jc w:val="both"/>
        <w:rPr>
          <w:b/>
          <w:i/>
          <w:color w:val="7F7F7F" w:themeColor="text1" w:themeTint="80"/>
        </w:rPr>
      </w:pPr>
      <w:r>
        <w:rPr>
          <w:color w:val="7F7F7F" w:themeColor="text1" w:themeTint="80"/>
          <w:sz w:val="20"/>
          <w:szCs w:val="20"/>
        </w:rPr>
        <w:t xml:space="preserve">People seeking asylum </w:t>
      </w:r>
      <w:r w:rsidRPr="00F16BB5">
        <w:rPr>
          <w:color w:val="7F7F7F" w:themeColor="text1" w:themeTint="80"/>
          <w:sz w:val="20"/>
          <w:szCs w:val="20"/>
        </w:rPr>
        <w:t>by Municipality of Residence: June 2022</w:t>
      </w:r>
    </w:p>
    <w:p w14:paraId="7882C6F5" w14:textId="3DC536D0" w:rsidR="002D3B84" w:rsidRDefault="002D3B84" w:rsidP="002D3B84">
      <w:pPr>
        <w:spacing w:after="0" w:line="360" w:lineRule="auto"/>
        <w:jc w:val="both"/>
      </w:pPr>
    </w:p>
    <w:p w14:paraId="4C17A79A" w14:textId="77777777" w:rsidR="002D3B84" w:rsidRDefault="002D3B84" w:rsidP="002D3B84">
      <w:pPr>
        <w:spacing w:after="0" w:line="360" w:lineRule="auto"/>
        <w:jc w:val="both"/>
      </w:pPr>
    </w:p>
    <w:p w14:paraId="4285AFDD" w14:textId="77777777" w:rsidR="002D3B84" w:rsidRDefault="002D3B84" w:rsidP="002D3B84">
      <w:pPr>
        <w:spacing w:after="0" w:line="360" w:lineRule="auto"/>
        <w:jc w:val="both"/>
      </w:pPr>
    </w:p>
    <w:p w14:paraId="1DB880DD" w14:textId="77777777" w:rsidR="002D3B84" w:rsidRPr="009A517A" w:rsidRDefault="002D3B84" w:rsidP="002D3B84">
      <w:pPr>
        <w:spacing w:after="0" w:line="360" w:lineRule="auto"/>
        <w:jc w:val="both"/>
      </w:pPr>
      <w:r w:rsidRPr="00732DE0">
        <w:rPr>
          <w:rFonts w:ascii="Calibri" w:hAnsi="Calibri"/>
          <w:noProof/>
          <w:lang w:eastAsia="en-AU"/>
        </w:rPr>
        <w:drawing>
          <wp:anchor distT="0" distB="0" distL="114300" distR="114300" simplePos="0" relativeHeight="252098560" behindDoc="0" locked="0" layoutInCell="1" allowOverlap="1" wp14:anchorId="346A447D" wp14:editId="6BD246D9">
            <wp:simplePos x="0" y="0"/>
            <wp:positionH relativeFrom="column">
              <wp:posOffset>4788535</wp:posOffset>
            </wp:positionH>
            <wp:positionV relativeFrom="paragraph">
              <wp:posOffset>119168</wp:posOffset>
            </wp:positionV>
            <wp:extent cx="1075690" cy="1790065"/>
            <wp:effectExtent l="0" t="0" r="0" b="635"/>
            <wp:wrapNone/>
            <wp:docPr id="184" name="Picture 11" descr="Family 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Family 7.jpg"/>
                    <pic:cNvPicPr>
                      <a:picLocks noChangeArrowheads="1"/>
                    </pic:cNvPicPr>
                  </pic:nvPicPr>
                  <pic:blipFill>
                    <a:blip r:embed="rId54" cstate="print"/>
                    <a:srcRect l="6290" t="3407" r="15759" b="5804"/>
                    <a:stretch>
                      <a:fillRect/>
                    </a:stretch>
                  </pic:blipFill>
                  <pic:spPr bwMode="auto">
                    <a:xfrm>
                      <a:off x="0" y="0"/>
                      <a:ext cx="1075690" cy="17900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t>At this time</w:t>
      </w:r>
      <w:r w:rsidRPr="009A517A">
        <w:t xml:space="preserve">, </w:t>
      </w:r>
      <w:r>
        <w:t xml:space="preserve">4,791 people seeking asylum, who had arrived in Australia by boat, </w:t>
      </w:r>
      <w:r w:rsidRPr="009A517A">
        <w:t xml:space="preserve">were living in Victoria. </w:t>
      </w:r>
    </w:p>
    <w:p w14:paraId="4A344E04" w14:textId="77777777" w:rsidR="002D3B84" w:rsidRDefault="002D3B84" w:rsidP="002D3B84">
      <w:pPr>
        <w:spacing w:after="0" w:line="360" w:lineRule="auto"/>
        <w:jc w:val="both"/>
      </w:pPr>
      <w:r>
        <w:rPr>
          <w:rFonts w:ascii="Calibri" w:hAnsi="Calibri"/>
          <w:noProof/>
          <w:lang w:eastAsia="en-AU"/>
        </w:rPr>
        <w:t>Four-fifths</w:t>
      </w:r>
      <w:r w:rsidRPr="00732DE0">
        <w:t xml:space="preserve"> (</w:t>
      </w:r>
      <w:r>
        <w:t>20</w:t>
      </w:r>
      <w:r w:rsidRPr="009A517A">
        <w:t xml:space="preserve">%) were male and </w:t>
      </w:r>
      <w:r>
        <w:t xml:space="preserve">over one-fifth (20%) </w:t>
      </w:r>
      <w:r w:rsidRPr="009A517A">
        <w:t xml:space="preserve">female. </w:t>
      </w:r>
    </w:p>
    <w:p w14:paraId="53A1BDFA" w14:textId="77777777" w:rsidR="002D3B84" w:rsidRDefault="002D3B84" w:rsidP="002D3B84">
      <w:pPr>
        <w:spacing w:after="0" w:line="360" w:lineRule="auto"/>
        <w:jc w:val="both"/>
      </w:pPr>
    </w:p>
    <w:p w14:paraId="7F020771" w14:textId="77777777" w:rsidR="002D3B84" w:rsidRDefault="002D3B84" w:rsidP="002D3B84">
      <w:pPr>
        <w:spacing w:after="0" w:line="360" w:lineRule="auto"/>
        <w:jc w:val="both"/>
      </w:pPr>
    </w:p>
    <w:p w14:paraId="0BE48246" w14:textId="77777777" w:rsidR="002D3B84" w:rsidRDefault="002D3B84" w:rsidP="002D3B84">
      <w:pPr>
        <w:spacing w:after="0" w:line="360" w:lineRule="auto"/>
        <w:jc w:val="both"/>
      </w:pPr>
    </w:p>
    <w:p w14:paraId="58667399" w14:textId="77777777" w:rsidR="002D3B84" w:rsidRDefault="002D3B84" w:rsidP="002D3B84">
      <w:pPr>
        <w:spacing w:after="0" w:line="360" w:lineRule="auto"/>
        <w:jc w:val="both"/>
      </w:pPr>
    </w:p>
    <w:p w14:paraId="6D6D88F3" w14:textId="77777777" w:rsidR="002D3B84" w:rsidRDefault="002D3B84" w:rsidP="002D3B84">
      <w:pPr>
        <w:spacing w:after="0" w:line="360" w:lineRule="auto"/>
        <w:jc w:val="both"/>
      </w:pPr>
    </w:p>
    <w:p w14:paraId="1E2BC059" w14:textId="77777777" w:rsidR="002D3B84" w:rsidRDefault="002D3B84" w:rsidP="002D3B84">
      <w:pPr>
        <w:spacing w:after="0" w:line="360" w:lineRule="auto"/>
        <w:jc w:val="both"/>
      </w:pPr>
    </w:p>
    <w:p w14:paraId="0F7EE9BB" w14:textId="77777777" w:rsidR="002D3B84" w:rsidRDefault="002D3B84" w:rsidP="002D3B84">
      <w:pPr>
        <w:spacing w:after="0" w:line="360" w:lineRule="auto"/>
        <w:jc w:val="both"/>
      </w:pPr>
    </w:p>
    <w:p w14:paraId="12D964C8" w14:textId="77777777" w:rsidR="002D3B84" w:rsidRPr="009A517A" w:rsidRDefault="002D3B84" w:rsidP="002D3B84">
      <w:pPr>
        <w:spacing w:after="0" w:line="360" w:lineRule="auto"/>
        <w:jc w:val="both"/>
      </w:pPr>
    </w:p>
    <w:p w14:paraId="38FC08D3" w14:textId="77777777" w:rsidR="002D3B84" w:rsidRDefault="002D3B84" w:rsidP="002D3B84">
      <w:pPr>
        <w:spacing w:after="0" w:line="360" w:lineRule="auto"/>
        <w:jc w:val="both"/>
      </w:pPr>
      <w:r>
        <w:t>Twenty-one per cent</w:t>
      </w:r>
      <w:r w:rsidRPr="009A517A">
        <w:t xml:space="preserve"> of </w:t>
      </w:r>
      <w:r>
        <w:t>those</w:t>
      </w:r>
      <w:r w:rsidRPr="009A517A">
        <w:t xml:space="preserve"> </w:t>
      </w:r>
      <w:r>
        <w:t>people seeking asylum whose municipality could be determined</w:t>
      </w:r>
      <w:r w:rsidRPr="009A517A">
        <w:rPr>
          <w:rStyle w:val="FootnoteReference"/>
        </w:rPr>
        <w:footnoteReference w:id="2"/>
      </w:r>
      <w:r w:rsidRPr="009A517A">
        <w:t xml:space="preserve"> - numbering </w:t>
      </w:r>
      <w:r>
        <w:t>882</w:t>
      </w:r>
      <w:r w:rsidRPr="009A517A">
        <w:t xml:space="preserve"> - resided in Greater Dandenong</w:t>
      </w:r>
      <w:r>
        <w:t xml:space="preserve"> -</w:t>
      </w:r>
      <w:r w:rsidRPr="009A517A">
        <w:t xml:space="preserve"> the </w:t>
      </w:r>
      <w:r>
        <w:t xml:space="preserve">second </w:t>
      </w:r>
      <w:r w:rsidRPr="009A517A">
        <w:t>largest number in any Victorian municipality</w:t>
      </w:r>
      <w:r>
        <w:t>, after Brimbank with 927 people seeking asylum.</w:t>
      </w:r>
    </w:p>
    <w:p w14:paraId="37EB5B06" w14:textId="77777777" w:rsidR="002D3B84" w:rsidRDefault="002D3B84" w:rsidP="002D3B84">
      <w:pPr>
        <w:spacing w:after="0"/>
      </w:pPr>
      <w:r>
        <w:br w:type="page"/>
      </w:r>
    </w:p>
    <w:p w14:paraId="5B0FBCE2" w14:textId="77777777" w:rsidR="002D3B84" w:rsidRPr="00D10F06" w:rsidRDefault="002D3B84" w:rsidP="002D3B84">
      <w:pPr>
        <w:spacing w:after="0" w:line="360" w:lineRule="auto"/>
        <w:jc w:val="both"/>
        <w:rPr>
          <w:b/>
        </w:rPr>
      </w:pPr>
      <w:r w:rsidRPr="00D10F06">
        <w:rPr>
          <w:b/>
        </w:rPr>
        <w:lastRenderedPageBreak/>
        <w:t xml:space="preserve">Changes in Number of </w:t>
      </w:r>
      <w:r>
        <w:rPr>
          <w:b/>
        </w:rPr>
        <w:t>People seeking asylum</w:t>
      </w:r>
    </w:p>
    <w:p w14:paraId="05CE23CA" w14:textId="77777777" w:rsidR="002D3B84" w:rsidRDefault="002D3B84" w:rsidP="002D3B84">
      <w:pPr>
        <w:spacing w:after="0" w:line="360" w:lineRule="auto"/>
        <w:jc w:val="both"/>
      </w:pPr>
      <w:r w:rsidRPr="009A517A">
        <w:t xml:space="preserve">In the </w:t>
      </w:r>
      <w:r>
        <w:t>period from September 2014</w:t>
      </w:r>
      <w:r w:rsidRPr="009A517A">
        <w:t xml:space="preserve"> to </w:t>
      </w:r>
      <w:r>
        <w:t>June 2022</w:t>
      </w:r>
      <w:r w:rsidRPr="009A517A">
        <w:t xml:space="preserve">, the number of </w:t>
      </w:r>
      <w:r>
        <w:t xml:space="preserve">people seeking asylum </w:t>
      </w:r>
      <w:r w:rsidRPr="009A517A">
        <w:t xml:space="preserve">residing in Victoria fell by </w:t>
      </w:r>
      <w:r>
        <w:t>51%, or approximately 4,492 people.</w:t>
      </w:r>
    </w:p>
    <w:p w14:paraId="503FAF42" w14:textId="77777777" w:rsidR="002D3B84" w:rsidRDefault="002D3B84" w:rsidP="002D3B84">
      <w:pPr>
        <w:spacing w:after="0" w:line="360" w:lineRule="auto"/>
        <w:jc w:val="both"/>
      </w:pPr>
    </w:p>
    <w:p w14:paraId="36335DA1" w14:textId="77777777" w:rsidR="002D3B84" w:rsidRPr="00586026" w:rsidRDefault="002D3B84" w:rsidP="002D3B84">
      <w:pPr>
        <w:spacing w:after="0"/>
        <w:jc w:val="both"/>
        <w:rPr>
          <w:color w:val="404040" w:themeColor="text1" w:themeTint="BF"/>
          <w:sz w:val="20"/>
          <w:szCs w:val="20"/>
        </w:rPr>
      </w:pPr>
      <w:r>
        <w:rPr>
          <w:noProof/>
        </w:rPr>
        <w:drawing>
          <wp:anchor distT="0" distB="0" distL="114300" distR="114300" simplePos="0" relativeHeight="252099584" behindDoc="0" locked="0" layoutInCell="1" allowOverlap="1" wp14:anchorId="7CF4F20F" wp14:editId="2B3579F1">
            <wp:simplePos x="0" y="0"/>
            <wp:positionH relativeFrom="margin">
              <wp:align>right</wp:align>
            </wp:positionH>
            <wp:positionV relativeFrom="paragraph">
              <wp:posOffset>9525</wp:posOffset>
            </wp:positionV>
            <wp:extent cx="4022090" cy="6866255"/>
            <wp:effectExtent l="0" t="0" r="0" b="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a:extLst>
                        <a:ext uri="{28A0092B-C50C-407E-A947-70E740481C1C}">
                          <a14:useLocalDpi xmlns:a14="http://schemas.microsoft.com/office/drawing/2010/main" val="0"/>
                        </a:ext>
                      </a:extLst>
                    </a:blip>
                    <a:srcRect l="16505" r="9139"/>
                    <a:stretch/>
                  </pic:blipFill>
                  <pic:spPr bwMode="auto">
                    <a:xfrm>
                      <a:off x="0" y="0"/>
                      <a:ext cx="4022090" cy="6866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84355">
        <w:rPr>
          <w:color w:val="404040" w:themeColor="text1" w:themeTint="BF"/>
          <w:sz w:val="20"/>
          <w:szCs w:val="20"/>
        </w:rPr>
        <w:t xml:space="preserve">Change in Number of </w:t>
      </w:r>
      <w:r>
        <w:rPr>
          <w:color w:val="404040" w:themeColor="text1" w:themeTint="BF"/>
          <w:sz w:val="20"/>
          <w:szCs w:val="20"/>
        </w:rPr>
        <w:t>People Seeking Asylum</w:t>
      </w:r>
      <w:r w:rsidRPr="00584355">
        <w:rPr>
          <w:color w:val="404040" w:themeColor="text1" w:themeTint="BF"/>
          <w:sz w:val="20"/>
          <w:szCs w:val="20"/>
        </w:rPr>
        <w:t>, by Municipality: September 201</w:t>
      </w:r>
      <w:r>
        <w:rPr>
          <w:color w:val="404040" w:themeColor="text1" w:themeTint="BF"/>
          <w:sz w:val="20"/>
          <w:szCs w:val="20"/>
        </w:rPr>
        <w:t>4</w:t>
      </w:r>
      <w:r w:rsidRPr="00584355">
        <w:rPr>
          <w:color w:val="404040" w:themeColor="text1" w:themeTint="BF"/>
          <w:sz w:val="20"/>
          <w:szCs w:val="20"/>
        </w:rPr>
        <w:t xml:space="preserve"> to </w:t>
      </w:r>
      <w:r>
        <w:rPr>
          <w:color w:val="404040" w:themeColor="text1" w:themeTint="BF"/>
          <w:sz w:val="20"/>
          <w:szCs w:val="20"/>
        </w:rPr>
        <w:t>June 2022</w:t>
      </w:r>
      <w:r>
        <w:rPr>
          <w:rStyle w:val="FootnoteReference"/>
        </w:rPr>
        <w:footnoteReference w:id="3"/>
      </w:r>
    </w:p>
    <w:p w14:paraId="6B9BBD7B" w14:textId="77777777" w:rsidR="002D3B84" w:rsidRDefault="002D3B84" w:rsidP="002D3B84">
      <w:pPr>
        <w:spacing w:after="0" w:line="360" w:lineRule="auto"/>
        <w:jc w:val="both"/>
      </w:pPr>
    </w:p>
    <w:p w14:paraId="50C10946" w14:textId="77777777" w:rsidR="002D3B84" w:rsidRDefault="002D3B84" w:rsidP="002D3B84">
      <w:pPr>
        <w:spacing w:after="0" w:line="360" w:lineRule="auto"/>
        <w:jc w:val="both"/>
      </w:pPr>
    </w:p>
    <w:p w14:paraId="188DAA5C" w14:textId="117A0683" w:rsidR="002D3B84" w:rsidRPr="000613B7" w:rsidRDefault="002D3B84" w:rsidP="002D3B84">
      <w:pPr>
        <w:spacing w:after="0" w:line="360" w:lineRule="auto"/>
        <w:jc w:val="both"/>
      </w:pPr>
      <w:r>
        <w:t>During this period, a decline of 1,935 was recorded within Greater Dandenong – the largest in Victoria – accompanied by falls of 498 in Brimbank and 395 in Casey</w:t>
      </w:r>
      <w:r w:rsidRPr="009A517A">
        <w:t xml:space="preserve"> (diagram </w:t>
      </w:r>
      <w:r>
        <w:t>above</w:t>
      </w:r>
      <w:r w:rsidRPr="009A517A">
        <w:t>)</w:t>
      </w:r>
      <w:r>
        <w:t>. Overall, the number of people seeking asylum halved across Victoria in that time, falling from 8,777 to 4,285</w:t>
      </w:r>
    </w:p>
    <w:p w14:paraId="0DCD3C6E" w14:textId="46FB2DE1" w:rsidR="002D3B84" w:rsidRDefault="00045F7F" w:rsidP="002D3B84">
      <w:pPr>
        <w:spacing w:after="0"/>
      </w:pPr>
      <w:r w:rsidRPr="00271DF3">
        <w:rPr>
          <w:rFonts w:ascii="Calibri" w:hAnsi="Calibri"/>
          <w:noProof/>
          <w:color w:val="000000"/>
          <w:sz w:val="16"/>
          <w:szCs w:val="16"/>
          <w:lang w:eastAsia="en-AU"/>
        </w:rPr>
        <w:drawing>
          <wp:anchor distT="0" distB="0" distL="114300" distR="114300" simplePos="0" relativeHeight="252103680" behindDoc="0" locked="0" layoutInCell="1" allowOverlap="1" wp14:anchorId="55C9E070" wp14:editId="1EDC1B36">
            <wp:simplePos x="0" y="0"/>
            <wp:positionH relativeFrom="column">
              <wp:posOffset>2742778</wp:posOffset>
            </wp:positionH>
            <wp:positionV relativeFrom="paragraph">
              <wp:posOffset>1994112</wp:posOffset>
            </wp:positionV>
            <wp:extent cx="1777580" cy="1532043"/>
            <wp:effectExtent l="0" t="0" r="0" b="0"/>
            <wp:wrapNone/>
            <wp:docPr id="11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56" cstate="print"/>
                    <a:srcRect l="3189" b="4692"/>
                    <a:stretch>
                      <a:fillRect/>
                    </a:stretch>
                  </pic:blipFill>
                  <pic:spPr bwMode="auto">
                    <a:xfrm>
                      <a:off x="0" y="0"/>
                      <a:ext cx="1786904" cy="1540079"/>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D3B84">
        <w:br w:type="page"/>
      </w:r>
    </w:p>
    <w:p w14:paraId="1593F37F" w14:textId="77777777" w:rsidR="002D3B84" w:rsidRPr="00621205" w:rsidRDefault="002D3B84" w:rsidP="002D3B84">
      <w:pPr>
        <w:spacing w:after="0" w:line="360" w:lineRule="auto"/>
        <w:jc w:val="both"/>
        <w:rPr>
          <w:rFonts w:ascii="Calibri" w:eastAsia="Calibri" w:hAnsi="Calibri"/>
          <w:b/>
        </w:rPr>
      </w:pPr>
      <w:r w:rsidRPr="00621205">
        <w:rPr>
          <w:rFonts w:ascii="Calibri" w:eastAsia="Calibri" w:hAnsi="Calibri"/>
          <w:b/>
        </w:rPr>
        <w:lastRenderedPageBreak/>
        <w:t>Suburb of Residence</w:t>
      </w:r>
    </w:p>
    <w:p w14:paraId="67F11711" w14:textId="77777777" w:rsidR="002D3B84" w:rsidRDefault="002D3B84" w:rsidP="002D3B84">
      <w:pPr>
        <w:spacing w:after="0" w:line="360" w:lineRule="auto"/>
        <w:jc w:val="both"/>
      </w:pPr>
      <w:r w:rsidRPr="009A517A">
        <w:t xml:space="preserve">Among </w:t>
      </w:r>
      <w:r>
        <w:t xml:space="preserve">people seeking asylum </w:t>
      </w:r>
      <w:r w:rsidRPr="009A517A">
        <w:t xml:space="preserve">in Greater Dandenong, </w:t>
      </w:r>
      <w:r>
        <w:t>about two-thirds</w:t>
      </w:r>
      <w:r w:rsidRPr="009A517A">
        <w:t xml:space="preserve"> (</w:t>
      </w:r>
      <w:r>
        <w:t>591</w:t>
      </w:r>
      <w:r w:rsidRPr="009A517A">
        <w:t xml:space="preserve">) resided in </w:t>
      </w:r>
      <w:r>
        <w:t xml:space="preserve">the suburbs of </w:t>
      </w:r>
      <w:r w:rsidRPr="009A517A">
        <w:t>Dandenong</w:t>
      </w:r>
      <w:r>
        <w:t xml:space="preserve"> and Dandenong North, with</w:t>
      </w:r>
      <w:r w:rsidRPr="009A517A">
        <w:t xml:space="preserve"> a further </w:t>
      </w:r>
      <w:r>
        <w:t>138</w:t>
      </w:r>
      <w:r w:rsidRPr="009A517A">
        <w:t xml:space="preserve"> in Springvale, </w:t>
      </w:r>
      <w:r>
        <w:t>131</w:t>
      </w:r>
      <w:r w:rsidRPr="009A517A">
        <w:t xml:space="preserve"> in Noble Park</w:t>
      </w:r>
      <w:r>
        <w:t xml:space="preserve"> and Noble Park North, 15 in Springvale South and Dingley Village,</w:t>
      </w:r>
      <w:r w:rsidRPr="009A517A">
        <w:t xml:space="preserve"> and</w:t>
      </w:r>
      <w:r>
        <w:t xml:space="preserve"> 14</w:t>
      </w:r>
      <w:r w:rsidRPr="009A517A">
        <w:t xml:space="preserve"> </w:t>
      </w:r>
      <w:r>
        <w:t>in Keysborough</w:t>
      </w:r>
      <w:r w:rsidRPr="009A517A">
        <w:t xml:space="preserve">. </w:t>
      </w:r>
      <w:r>
        <w:rPr>
          <w:sz w:val="16"/>
          <w:szCs w:val="16"/>
        </w:rPr>
        <w:t>(T</w:t>
      </w:r>
      <w:r w:rsidRPr="007333EB">
        <w:rPr>
          <w:sz w:val="16"/>
          <w:szCs w:val="16"/>
        </w:rPr>
        <w:t>otal</w:t>
      </w:r>
      <w:r>
        <w:rPr>
          <w:sz w:val="16"/>
          <w:szCs w:val="16"/>
        </w:rPr>
        <w:t xml:space="preserve"> slightly</w:t>
      </w:r>
      <w:r w:rsidRPr="007333EB">
        <w:rPr>
          <w:sz w:val="16"/>
          <w:szCs w:val="16"/>
        </w:rPr>
        <w:t xml:space="preserve"> exceeds the municipal total</w:t>
      </w:r>
      <w:r>
        <w:rPr>
          <w:sz w:val="16"/>
          <w:szCs w:val="16"/>
        </w:rPr>
        <w:t>,</w:t>
      </w:r>
      <w:r w:rsidRPr="007333EB">
        <w:rPr>
          <w:sz w:val="16"/>
          <w:szCs w:val="16"/>
        </w:rPr>
        <w:t xml:space="preserve"> due to the inclusion of Dingley Village)</w:t>
      </w:r>
      <w:r>
        <w:t xml:space="preserve"> </w:t>
      </w:r>
    </w:p>
    <w:p w14:paraId="270ECF67" w14:textId="77777777" w:rsidR="002D3B84" w:rsidRDefault="002D3B84" w:rsidP="002D3B84">
      <w:pPr>
        <w:spacing w:after="0" w:line="360" w:lineRule="auto"/>
        <w:jc w:val="both"/>
      </w:pPr>
    </w:p>
    <w:p w14:paraId="7E376F4A" w14:textId="77777777" w:rsidR="002D3B84" w:rsidRDefault="002D3B84" w:rsidP="002D3B84">
      <w:pPr>
        <w:spacing w:after="0" w:line="360" w:lineRule="auto"/>
        <w:jc w:val="both"/>
      </w:pPr>
      <w:r>
        <w:rPr>
          <w:noProof/>
        </w:rPr>
        <w:drawing>
          <wp:anchor distT="0" distB="0" distL="114300" distR="114300" simplePos="0" relativeHeight="252102656" behindDoc="0" locked="0" layoutInCell="1" allowOverlap="1" wp14:anchorId="30BE632E" wp14:editId="12EFA3CC">
            <wp:simplePos x="0" y="0"/>
            <wp:positionH relativeFrom="column">
              <wp:posOffset>-635</wp:posOffset>
            </wp:positionH>
            <wp:positionV relativeFrom="paragraph">
              <wp:posOffset>1270</wp:posOffset>
            </wp:positionV>
            <wp:extent cx="5109210" cy="7585710"/>
            <wp:effectExtent l="0" t="0" r="0" b="0"/>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09210" cy="7585710"/>
                    </a:xfrm>
                    <a:prstGeom prst="rect">
                      <a:avLst/>
                    </a:prstGeom>
                    <a:noFill/>
                  </pic:spPr>
                </pic:pic>
              </a:graphicData>
            </a:graphic>
            <wp14:sizeRelH relativeFrom="page">
              <wp14:pctWidth>0</wp14:pctWidth>
            </wp14:sizeRelH>
            <wp14:sizeRelV relativeFrom="page">
              <wp14:pctHeight>0</wp14:pctHeight>
            </wp14:sizeRelV>
          </wp:anchor>
        </w:drawing>
      </w:r>
    </w:p>
    <w:p w14:paraId="2FB57806" w14:textId="77777777" w:rsidR="002D3B84" w:rsidRDefault="002D3B84" w:rsidP="002D3B84">
      <w:pPr>
        <w:spacing w:after="0" w:line="360" w:lineRule="auto"/>
        <w:jc w:val="both"/>
      </w:pPr>
      <w:r w:rsidRPr="009A517A">
        <w:t xml:space="preserve">The diagram </w:t>
      </w:r>
      <w:r>
        <w:t>at left</w:t>
      </w:r>
      <w:r w:rsidRPr="009A517A">
        <w:t xml:space="preserve"> illustrates the number of </w:t>
      </w:r>
      <w:r>
        <w:t xml:space="preserve">people seeking asylum </w:t>
      </w:r>
      <w:r w:rsidRPr="009A517A">
        <w:t xml:space="preserve">in a selection of </w:t>
      </w:r>
      <w:r>
        <w:t xml:space="preserve">Victoria </w:t>
      </w:r>
      <w:r w:rsidRPr="009A517A">
        <w:t>suburbs</w:t>
      </w:r>
      <w:r>
        <w:t xml:space="preserve"> and towns</w:t>
      </w:r>
      <w:r w:rsidRPr="009A517A">
        <w:t xml:space="preserve">. </w:t>
      </w:r>
    </w:p>
    <w:p w14:paraId="5FCA47AF" w14:textId="77777777" w:rsidR="002D3B84" w:rsidRDefault="002D3B84" w:rsidP="002D3B84">
      <w:pPr>
        <w:spacing w:after="0" w:line="360" w:lineRule="auto"/>
        <w:jc w:val="both"/>
      </w:pPr>
    </w:p>
    <w:p w14:paraId="6E2CE5AE" w14:textId="77777777" w:rsidR="002D3B84" w:rsidRDefault="002D3B84" w:rsidP="002D3B84">
      <w:pPr>
        <w:spacing w:after="0" w:line="360" w:lineRule="auto"/>
        <w:jc w:val="both"/>
      </w:pPr>
    </w:p>
    <w:p w14:paraId="4B742DA2" w14:textId="77777777" w:rsidR="002D3B84" w:rsidRDefault="002D3B84" w:rsidP="002D3B84">
      <w:pPr>
        <w:spacing w:after="0" w:line="360" w:lineRule="auto"/>
        <w:jc w:val="both"/>
      </w:pPr>
    </w:p>
    <w:p w14:paraId="43078F92" w14:textId="77777777" w:rsidR="002D3B84" w:rsidRDefault="002D3B84" w:rsidP="002D3B84">
      <w:pPr>
        <w:spacing w:after="0" w:line="360" w:lineRule="auto"/>
        <w:jc w:val="both"/>
      </w:pPr>
    </w:p>
    <w:p w14:paraId="141BA736" w14:textId="77777777" w:rsidR="002D3B84" w:rsidRDefault="002D3B84" w:rsidP="002D3B84">
      <w:pPr>
        <w:spacing w:after="0" w:line="360" w:lineRule="auto"/>
        <w:jc w:val="both"/>
      </w:pPr>
    </w:p>
    <w:p w14:paraId="03EA8DED" w14:textId="77777777" w:rsidR="002D3B84" w:rsidRPr="00584355" w:rsidRDefault="002D3B84" w:rsidP="002D3B84">
      <w:pPr>
        <w:spacing w:after="0"/>
        <w:jc w:val="both"/>
        <w:rPr>
          <w:color w:val="404040" w:themeColor="text1" w:themeTint="BF"/>
          <w:sz w:val="20"/>
          <w:szCs w:val="20"/>
        </w:rPr>
      </w:pPr>
      <w:r>
        <w:rPr>
          <w:color w:val="404040" w:themeColor="text1" w:themeTint="BF"/>
          <w:sz w:val="20"/>
          <w:szCs w:val="20"/>
        </w:rPr>
        <w:t>People seeking asylum</w:t>
      </w:r>
      <w:r w:rsidRPr="00584355">
        <w:rPr>
          <w:color w:val="404040" w:themeColor="text1" w:themeTint="BF"/>
          <w:sz w:val="20"/>
          <w:szCs w:val="20"/>
        </w:rPr>
        <w:t xml:space="preserve">, by Suburb of Residence: </w:t>
      </w:r>
      <w:r>
        <w:rPr>
          <w:color w:val="404040" w:themeColor="text1" w:themeTint="BF"/>
          <w:sz w:val="20"/>
          <w:szCs w:val="20"/>
        </w:rPr>
        <w:t>June 2022</w:t>
      </w:r>
    </w:p>
    <w:p w14:paraId="58535F44" w14:textId="77777777" w:rsidR="002D3B84" w:rsidRPr="0088055A" w:rsidRDefault="002D3B84" w:rsidP="002D3B84">
      <w:pPr>
        <w:spacing w:after="0"/>
        <w:jc w:val="both"/>
        <w:rPr>
          <w:sz w:val="8"/>
          <w:szCs w:val="8"/>
        </w:rPr>
      </w:pPr>
    </w:p>
    <w:p w14:paraId="117A86F4" w14:textId="77777777" w:rsidR="002D3B84" w:rsidRDefault="002D3B84" w:rsidP="002D3B84">
      <w:pPr>
        <w:spacing w:after="0"/>
        <w:jc w:val="center"/>
      </w:pPr>
    </w:p>
    <w:p w14:paraId="2497EA8D" w14:textId="77777777" w:rsidR="002D3B84" w:rsidRDefault="002D3B84" w:rsidP="002D3B84">
      <w:pPr>
        <w:spacing w:after="0"/>
        <w:rPr>
          <w:rFonts w:ascii="Calibri" w:eastAsia="Calibri" w:hAnsi="Calibri"/>
          <w:b/>
        </w:rPr>
      </w:pPr>
      <w:r>
        <w:rPr>
          <w:rFonts w:ascii="Calibri" w:eastAsia="Calibri" w:hAnsi="Calibri"/>
          <w:b/>
        </w:rPr>
        <w:br w:type="page"/>
      </w:r>
    </w:p>
    <w:p w14:paraId="730DE7A1" w14:textId="77777777" w:rsidR="002D3B84" w:rsidRPr="00776058" w:rsidRDefault="002D3B84" w:rsidP="002D3B84">
      <w:pPr>
        <w:spacing w:after="0" w:line="360" w:lineRule="auto"/>
        <w:jc w:val="both"/>
        <w:rPr>
          <w:b/>
          <w:i/>
          <w:color w:val="323E4F" w:themeColor="text2" w:themeShade="BF"/>
        </w:rPr>
      </w:pPr>
      <w:r>
        <w:rPr>
          <w:noProof/>
        </w:rPr>
        <w:lastRenderedPageBreak/>
        <w:drawing>
          <wp:anchor distT="0" distB="0" distL="114300" distR="114300" simplePos="0" relativeHeight="252100608" behindDoc="0" locked="0" layoutInCell="1" allowOverlap="1" wp14:anchorId="0E6B728C" wp14:editId="4B16297E">
            <wp:simplePos x="0" y="0"/>
            <wp:positionH relativeFrom="column">
              <wp:posOffset>2040467</wp:posOffset>
            </wp:positionH>
            <wp:positionV relativeFrom="paragraph">
              <wp:posOffset>118533</wp:posOffset>
            </wp:positionV>
            <wp:extent cx="4055533" cy="2703689"/>
            <wp:effectExtent l="0" t="0" r="2540" b="1905"/>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55533" cy="2703689"/>
                    </a:xfrm>
                    <a:prstGeom prst="rect">
                      <a:avLst/>
                    </a:prstGeom>
                    <a:noFill/>
                  </pic:spPr>
                </pic:pic>
              </a:graphicData>
            </a:graphic>
            <wp14:sizeRelH relativeFrom="page">
              <wp14:pctWidth>0</wp14:pctWidth>
            </wp14:sizeRelH>
            <wp14:sizeRelV relativeFrom="page">
              <wp14:pctHeight>0</wp14:pctHeight>
            </wp14:sizeRelV>
          </wp:anchor>
        </w:drawing>
      </w:r>
      <w:r w:rsidRPr="00621205">
        <w:rPr>
          <w:rFonts w:ascii="Calibri" w:eastAsia="Calibri" w:hAnsi="Calibri"/>
          <w:b/>
        </w:rPr>
        <w:t xml:space="preserve">Age </w:t>
      </w:r>
    </w:p>
    <w:p w14:paraId="777C0578" w14:textId="77777777" w:rsidR="002D3B84" w:rsidRDefault="002D3B84" w:rsidP="002D3B84">
      <w:pPr>
        <w:spacing w:after="0" w:line="360" w:lineRule="auto"/>
        <w:jc w:val="both"/>
      </w:pPr>
      <w:r w:rsidRPr="009A517A">
        <w:t xml:space="preserve">Information concerning age, birthplace and other social characteristics of </w:t>
      </w:r>
      <w:r>
        <w:t>people seeking asylum</w:t>
      </w:r>
      <w:r w:rsidRPr="009A517A">
        <w:t xml:space="preserve">, is available at a State-wide level. </w:t>
      </w:r>
    </w:p>
    <w:p w14:paraId="6BEAC1B4" w14:textId="77777777" w:rsidR="002D3B84" w:rsidRPr="003A465B" w:rsidRDefault="002D3B84" w:rsidP="002D3B84">
      <w:pPr>
        <w:spacing w:after="0" w:line="360" w:lineRule="auto"/>
        <w:jc w:val="both"/>
      </w:pPr>
    </w:p>
    <w:p w14:paraId="28161300" w14:textId="77777777" w:rsidR="002D3B84" w:rsidRPr="00584355" w:rsidRDefault="002D3B84" w:rsidP="002D3B84">
      <w:pPr>
        <w:spacing w:after="0"/>
        <w:rPr>
          <w:color w:val="404040" w:themeColor="text1" w:themeTint="BF"/>
          <w:sz w:val="20"/>
          <w:szCs w:val="20"/>
        </w:rPr>
      </w:pPr>
      <w:r>
        <w:rPr>
          <w:color w:val="404040" w:themeColor="text1" w:themeTint="BF"/>
          <w:sz w:val="20"/>
          <w:szCs w:val="20"/>
        </w:rPr>
        <w:t xml:space="preserve">People seeking asylum </w:t>
      </w:r>
      <w:r w:rsidRPr="00584355">
        <w:rPr>
          <w:color w:val="404040" w:themeColor="text1" w:themeTint="BF"/>
          <w:sz w:val="20"/>
          <w:szCs w:val="20"/>
        </w:rPr>
        <w:t xml:space="preserve">across Victoria, by Age: </w:t>
      </w:r>
      <w:r>
        <w:rPr>
          <w:color w:val="404040" w:themeColor="text1" w:themeTint="BF"/>
          <w:sz w:val="20"/>
          <w:szCs w:val="20"/>
        </w:rPr>
        <w:t>June 2022</w:t>
      </w:r>
    </w:p>
    <w:p w14:paraId="71E39D2C" w14:textId="77777777" w:rsidR="002D3B84" w:rsidRDefault="002D3B84" w:rsidP="002D3B84">
      <w:pPr>
        <w:spacing w:after="0" w:line="360" w:lineRule="auto"/>
        <w:jc w:val="both"/>
      </w:pPr>
    </w:p>
    <w:p w14:paraId="44118756" w14:textId="77777777" w:rsidR="002D3B84" w:rsidRPr="009A517A" w:rsidRDefault="002D3B84" w:rsidP="002D3B84">
      <w:pPr>
        <w:spacing w:after="0" w:line="360" w:lineRule="auto"/>
        <w:jc w:val="both"/>
      </w:pPr>
      <w:r w:rsidRPr="009A517A">
        <w:t xml:space="preserve">Among the </w:t>
      </w:r>
      <w:r>
        <w:t>4,791</w:t>
      </w:r>
      <w:r w:rsidRPr="009A517A">
        <w:t xml:space="preserve"> </w:t>
      </w:r>
      <w:r>
        <w:t xml:space="preserve">people seeking asylum </w:t>
      </w:r>
      <w:r w:rsidRPr="009A517A">
        <w:t>in Victoria,</w:t>
      </w:r>
      <w:r>
        <w:t xml:space="preserve"> nearly</w:t>
      </w:r>
      <w:r w:rsidRPr="009A517A">
        <w:t xml:space="preserve"> </w:t>
      </w:r>
      <w:r>
        <w:t xml:space="preserve">a quarter (22%) </w:t>
      </w:r>
      <w:r w:rsidRPr="009A517A">
        <w:t xml:space="preserve">were </w:t>
      </w:r>
      <w:r>
        <w:t>aged up to 25</w:t>
      </w:r>
      <w:r w:rsidRPr="009A517A">
        <w:t xml:space="preserve"> years, </w:t>
      </w:r>
      <w:r>
        <w:t>nearly two-thirds (65%) were</w:t>
      </w:r>
      <w:r w:rsidRPr="009A517A">
        <w:t xml:space="preserve"> </w:t>
      </w:r>
      <w:r>
        <w:t>26</w:t>
      </w:r>
      <w:r w:rsidRPr="009A517A">
        <w:t xml:space="preserve"> to </w:t>
      </w:r>
      <w:r>
        <w:t>45</w:t>
      </w:r>
      <w:r w:rsidRPr="009A517A">
        <w:t xml:space="preserve"> years old, and </w:t>
      </w:r>
      <w:r>
        <w:t>13%</w:t>
      </w:r>
      <w:r w:rsidRPr="009A517A">
        <w:t xml:space="preserve"> over 45.</w:t>
      </w:r>
    </w:p>
    <w:p w14:paraId="6F81CCE0" w14:textId="77777777" w:rsidR="002D3B84" w:rsidRDefault="002D3B84" w:rsidP="002D3B84">
      <w:pPr>
        <w:spacing w:after="0"/>
        <w:jc w:val="both"/>
        <w:rPr>
          <w:color w:val="7F7F7F" w:themeColor="text1" w:themeTint="80"/>
        </w:rPr>
      </w:pPr>
    </w:p>
    <w:p w14:paraId="619D9706" w14:textId="77777777" w:rsidR="002D3B84" w:rsidRDefault="002D3B84" w:rsidP="002D3B84">
      <w:pPr>
        <w:spacing w:after="0"/>
        <w:jc w:val="both"/>
        <w:rPr>
          <w:color w:val="7F7F7F" w:themeColor="text1" w:themeTint="80"/>
        </w:rPr>
      </w:pPr>
    </w:p>
    <w:p w14:paraId="75B79F83" w14:textId="77777777" w:rsidR="002D3B84" w:rsidRDefault="002D3B84" w:rsidP="002D3B84">
      <w:pPr>
        <w:spacing w:after="0"/>
        <w:jc w:val="both"/>
      </w:pPr>
    </w:p>
    <w:p w14:paraId="206F58BB" w14:textId="77777777" w:rsidR="002D3B84" w:rsidRPr="003E723D" w:rsidRDefault="002D3B84" w:rsidP="002D3B84">
      <w:pPr>
        <w:spacing w:after="0" w:line="360" w:lineRule="auto"/>
        <w:jc w:val="both"/>
        <w:rPr>
          <w:rFonts w:ascii="Calibri" w:eastAsia="Calibri" w:hAnsi="Calibri"/>
          <w:b/>
        </w:rPr>
      </w:pPr>
      <w:r>
        <w:rPr>
          <w:rFonts w:ascii="Calibri" w:eastAsia="Calibri" w:hAnsi="Calibri"/>
          <w:b/>
          <w:noProof/>
        </w:rPr>
        <w:drawing>
          <wp:anchor distT="0" distB="0" distL="114300" distR="114300" simplePos="0" relativeHeight="252101632" behindDoc="0" locked="0" layoutInCell="1" allowOverlap="1" wp14:anchorId="2C42AF4D" wp14:editId="154BDF5D">
            <wp:simplePos x="0" y="0"/>
            <wp:positionH relativeFrom="column">
              <wp:posOffset>109432</wp:posOffset>
            </wp:positionH>
            <wp:positionV relativeFrom="paragraph">
              <wp:posOffset>5292</wp:posOffset>
            </wp:positionV>
            <wp:extent cx="3945255" cy="5128895"/>
            <wp:effectExtent l="0" t="0" r="0" b="0"/>
            <wp:wrapSquare wrapText="bothSides"/>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45255" cy="5128895"/>
                    </a:xfrm>
                    <a:prstGeom prst="rect">
                      <a:avLst/>
                    </a:prstGeom>
                    <a:noFill/>
                  </pic:spPr>
                </pic:pic>
              </a:graphicData>
            </a:graphic>
            <wp14:sizeRelH relativeFrom="page">
              <wp14:pctWidth>0</wp14:pctWidth>
            </wp14:sizeRelH>
            <wp14:sizeRelV relativeFrom="page">
              <wp14:pctHeight>0</wp14:pctHeight>
            </wp14:sizeRelV>
          </wp:anchor>
        </w:drawing>
      </w:r>
      <w:r w:rsidRPr="00621205">
        <w:rPr>
          <w:rFonts w:ascii="Calibri" w:eastAsia="Calibri" w:hAnsi="Calibri"/>
          <w:b/>
        </w:rPr>
        <w:t>Birthplace</w:t>
      </w:r>
    </w:p>
    <w:p w14:paraId="6AABC663" w14:textId="77777777" w:rsidR="002D3B84" w:rsidRPr="00EE1B29" w:rsidRDefault="002D3B84" w:rsidP="002D3B84">
      <w:pPr>
        <w:spacing w:after="0" w:line="360" w:lineRule="auto"/>
        <w:jc w:val="both"/>
      </w:pPr>
      <w:r>
        <w:t xml:space="preserve">People seeking asylum </w:t>
      </w:r>
      <w:r w:rsidRPr="009A517A">
        <w:t xml:space="preserve">throughout Victoria </w:t>
      </w:r>
      <w:r>
        <w:t>are</w:t>
      </w:r>
      <w:r w:rsidRPr="009A517A">
        <w:t xml:space="preserve"> largely from </w:t>
      </w:r>
      <w:r>
        <w:t>Sri Lanka</w:t>
      </w:r>
      <w:r w:rsidRPr="009A517A">
        <w:t xml:space="preserve"> </w:t>
      </w:r>
      <w:r>
        <w:t>(</w:t>
      </w:r>
      <w:r w:rsidRPr="009A517A">
        <w:t xml:space="preserve">accounting for </w:t>
      </w:r>
      <w:r>
        <w:t>1,448</w:t>
      </w:r>
      <w:r w:rsidRPr="009A517A">
        <w:t xml:space="preserve"> or </w:t>
      </w:r>
      <w:r>
        <w:t>30%) Iran</w:t>
      </w:r>
      <w:r w:rsidRPr="009A517A">
        <w:t>, Afghanistan</w:t>
      </w:r>
      <w:r>
        <w:t xml:space="preserve">, </w:t>
      </w:r>
      <w:r w:rsidRPr="009A517A">
        <w:t>Pakistan</w:t>
      </w:r>
      <w:r>
        <w:t xml:space="preserve"> and Iraq. </w:t>
      </w:r>
      <w:r w:rsidRPr="009A517A">
        <w:t xml:space="preserve">Together, these </w:t>
      </w:r>
      <w:r>
        <w:t>birthplaces</w:t>
      </w:r>
      <w:r w:rsidRPr="009A517A">
        <w:t xml:space="preserve"> account for </w:t>
      </w:r>
      <w:r>
        <w:t>nearly four-fifths (79%) of People seeking asylum in Victoria</w:t>
      </w:r>
      <w:r w:rsidRPr="009A517A">
        <w:t xml:space="preserve"> (accompanying diagram)</w:t>
      </w:r>
      <w:r>
        <w:t>.</w:t>
      </w:r>
    </w:p>
    <w:p w14:paraId="5AE6B69B" w14:textId="77777777" w:rsidR="002D3B84" w:rsidRDefault="002D3B84" w:rsidP="002D3B84">
      <w:pPr>
        <w:spacing w:after="0" w:line="360" w:lineRule="auto"/>
        <w:jc w:val="both"/>
        <w:rPr>
          <w:noProof/>
        </w:rPr>
      </w:pPr>
    </w:p>
    <w:p w14:paraId="5FF82EB3" w14:textId="77777777" w:rsidR="002D3B84" w:rsidRDefault="002D3B84" w:rsidP="002D3B84">
      <w:pPr>
        <w:spacing w:after="0" w:line="360" w:lineRule="auto"/>
        <w:jc w:val="both"/>
        <w:rPr>
          <w:noProof/>
        </w:rPr>
      </w:pPr>
    </w:p>
    <w:p w14:paraId="4F24736D" w14:textId="77777777" w:rsidR="002D3B84" w:rsidRPr="00584355" w:rsidRDefault="002D3B84" w:rsidP="002D3B84">
      <w:pPr>
        <w:spacing w:after="0"/>
        <w:jc w:val="both"/>
        <w:rPr>
          <w:color w:val="404040" w:themeColor="text1" w:themeTint="BF"/>
          <w:sz w:val="20"/>
          <w:szCs w:val="20"/>
        </w:rPr>
      </w:pPr>
      <w:r>
        <w:rPr>
          <w:color w:val="404040" w:themeColor="text1" w:themeTint="BF"/>
          <w:sz w:val="20"/>
          <w:szCs w:val="20"/>
        </w:rPr>
        <w:t xml:space="preserve">People seeking asylum </w:t>
      </w:r>
      <w:r w:rsidRPr="00584355">
        <w:rPr>
          <w:color w:val="404040" w:themeColor="text1" w:themeTint="BF"/>
          <w:sz w:val="20"/>
          <w:szCs w:val="20"/>
        </w:rPr>
        <w:t xml:space="preserve">across Victoria by </w:t>
      </w:r>
      <w:r>
        <w:rPr>
          <w:color w:val="404040" w:themeColor="text1" w:themeTint="BF"/>
          <w:sz w:val="20"/>
          <w:szCs w:val="20"/>
        </w:rPr>
        <w:t xml:space="preserve">Selected </w:t>
      </w:r>
      <w:r w:rsidRPr="00584355">
        <w:rPr>
          <w:color w:val="404040" w:themeColor="text1" w:themeTint="BF"/>
          <w:sz w:val="20"/>
          <w:szCs w:val="20"/>
        </w:rPr>
        <w:t xml:space="preserve">Birthplace: </w:t>
      </w:r>
      <w:r>
        <w:rPr>
          <w:color w:val="404040" w:themeColor="text1" w:themeTint="BF"/>
          <w:sz w:val="20"/>
          <w:szCs w:val="20"/>
        </w:rPr>
        <w:t>June 2022</w:t>
      </w:r>
    </w:p>
    <w:p w14:paraId="446CF3BD" w14:textId="77777777" w:rsidR="002D3B84" w:rsidRDefault="002D3B84" w:rsidP="002D3B84">
      <w:pPr>
        <w:spacing w:after="0" w:line="360" w:lineRule="auto"/>
        <w:jc w:val="center"/>
        <w:rPr>
          <w:noProof/>
        </w:rPr>
      </w:pPr>
    </w:p>
    <w:p w14:paraId="1CFC1ABA" w14:textId="77777777" w:rsidR="006F675F" w:rsidRDefault="006F675F" w:rsidP="006F675F">
      <w:r>
        <w:br w:type="page"/>
      </w:r>
    </w:p>
    <w:p w14:paraId="508D2519" w14:textId="77777777" w:rsidR="00972663" w:rsidRPr="00464E59" w:rsidRDefault="00972663" w:rsidP="00E87888">
      <w:pPr>
        <w:pBdr>
          <w:top w:val="single" w:sz="4" w:space="0" w:color="auto"/>
          <w:bottom w:val="single" w:sz="4" w:space="1" w:color="auto"/>
        </w:pBdr>
        <w:tabs>
          <w:tab w:val="center" w:pos="4678"/>
        </w:tabs>
        <w:spacing w:after="0" w:line="240" w:lineRule="auto"/>
        <w:jc w:val="center"/>
        <w:rPr>
          <w:rFonts w:ascii="Calibri" w:hAnsi="Calibri"/>
          <w:noProof/>
          <w:sz w:val="32"/>
          <w:szCs w:val="32"/>
        </w:rPr>
      </w:pPr>
      <w:r w:rsidRPr="00464E59">
        <w:rPr>
          <w:rFonts w:ascii="Calibri" w:hAnsi="Calibri"/>
          <w:noProof/>
          <w:sz w:val="32"/>
          <w:szCs w:val="32"/>
        </w:rPr>
        <w:lastRenderedPageBreak/>
        <w:t xml:space="preserve">Spoken Languages </w:t>
      </w:r>
    </w:p>
    <w:p w14:paraId="51D50460" w14:textId="77777777" w:rsidR="00972663" w:rsidRDefault="00972663" w:rsidP="00972663">
      <w:pPr>
        <w:tabs>
          <w:tab w:val="left" w:pos="284"/>
          <w:tab w:val="left" w:pos="5245"/>
        </w:tabs>
        <w:spacing w:after="0" w:line="360" w:lineRule="auto"/>
        <w:jc w:val="both"/>
        <w:rPr>
          <w:rFonts w:ascii="Calibri" w:hAnsi="Calibri"/>
          <w:color w:val="000000"/>
        </w:rPr>
      </w:pPr>
      <w:r>
        <w:rPr>
          <w:rFonts w:ascii="Calibri" w:hAnsi="Calibri"/>
          <w:color w:val="000000"/>
        </w:rPr>
        <w:t>More than</w:t>
      </w:r>
      <w:r w:rsidRPr="00F569C6">
        <w:rPr>
          <w:rFonts w:ascii="Calibri" w:hAnsi="Calibri"/>
          <w:color w:val="000000"/>
        </w:rPr>
        <w:t xml:space="preserve"> two-thirds of the residents of Greater Dandenong speak languages other than English in their homes,</w:t>
      </w:r>
      <w:r>
        <w:rPr>
          <w:rFonts w:ascii="Calibri" w:hAnsi="Calibri"/>
          <w:color w:val="000000"/>
        </w:rPr>
        <w:t xml:space="preserve"> while</w:t>
      </w:r>
      <w:r w:rsidRPr="00F569C6">
        <w:rPr>
          <w:rFonts w:ascii="Calibri" w:hAnsi="Calibri"/>
          <w:color w:val="000000"/>
        </w:rPr>
        <w:t xml:space="preserve"> one in seven has limited fluency in the use of spoken English.</w:t>
      </w:r>
    </w:p>
    <w:p w14:paraId="7415BDF9" w14:textId="77777777" w:rsidR="00972663" w:rsidRPr="00972663" w:rsidRDefault="00972663" w:rsidP="00972663">
      <w:pPr>
        <w:tabs>
          <w:tab w:val="left" w:pos="5245"/>
        </w:tabs>
        <w:spacing w:after="0" w:line="240" w:lineRule="auto"/>
        <w:ind w:left="425"/>
        <w:jc w:val="right"/>
        <w:rPr>
          <w:rFonts w:ascii="Calibri" w:hAnsi="Calibri"/>
          <w:color w:val="000000"/>
          <w:sz w:val="20"/>
          <w:szCs w:val="20"/>
        </w:rPr>
      </w:pPr>
      <w:r w:rsidRPr="00972663">
        <w:rPr>
          <w:rFonts w:ascii="Calibri" w:hAnsi="Calibri"/>
          <w:color w:val="000000"/>
          <w:sz w:val="20"/>
          <w:szCs w:val="20"/>
        </w:rPr>
        <w:t xml:space="preserve"> </w:t>
      </w:r>
      <w:r w:rsidRPr="00972663">
        <w:rPr>
          <w:rFonts w:ascii="Calibri" w:hAnsi="Calibri"/>
          <w:color w:val="7F7F7F"/>
          <w:sz w:val="20"/>
          <w:szCs w:val="20"/>
        </w:rPr>
        <w:t>Spoken Languages: Greater Dandenong, 2021</w:t>
      </w:r>
    </w:p>
    <w:p w14:paraId="0125F744" w14:textId="77777777" w:rsidR="00972663" w:rsidRPr="002A6BF2" w:rsidRDefault="00972663" w:rsidP="00972663">
      <w:pPr>
        <w:tabs>
          <w:tab w:val="left" w:pos="284"/>
          <w:tab w:val="left" w:pos="4820"/>
        </w:tabs>
        <w:spacing w:after="0" w:line="360" w:lineRule="auto"/>
        <w:rPr>
          <w:rFonts w:ascii="Calibri" w:hAnsi="Calibri"/>
          <w:b/>
          <w:color w:val="000000"/>
          <w:sz w:val="10"/>
          <w:szCs w:val="10"/>
        </w:rPr>
      </w:pPr>
      <w:r w:rsidRPr="002A6BF2">
        <w:rPr>
          <w:rFonts w:ascii="Calibri" w:hAnsi="Calibri"/>
          <w:noProof/>
          <w:color w:val="000000"/>
        </w:rPr>
        <w:drawing>
          <wp:anchor distT="0" distB="0" distL="114300" distR="114300" simplePos="0" relativeHeight="251703296" behindDoc="0" locked="0" layoutInCell="1" allowOverlap="1" wp14:anchorId="00DB199E" wp14:editId="70727DBD">
            <wp:simplePos x="0" y="0"/>
            <wp:positionH relativeFrom="column">
              <wp:posOffset>2123122</wp:posOffset>
            </wp:positionH>
            <wp:positionV relativeFrom="paragraph">
              <wp:posOffset>44767</wp:posOffset>
            </wp:positionV>
            <wp:extent cx="4027170" cy="3543300"/>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27170" cy="3543300"/>
                    </a:xfrm>
                    <a:prstGeom prst="rect">
                      <a:avLst/>
                    </a:prstGeom>
                    <a:noFill/>
                  </pic:spPr>
                </pic:pic>
              </a:graphicData>
            </a:graphic>
            <wp14:sizeRelH relativeFrom="page">
              <wp14:pctWidth>0</wp14:pctWidth>
            </wp14:sizeRelH>
            <wp14:sizeRelV relativeFrom="page">
              <wp14:pctHeight>0</wp14:pctHeight>
            </wp14:sizeRelV>
          </wp:anchor>
        </w:drawing>
      </w:r>
    </w:p>
    <w:p w14:paraId="288B9E48" w14:textId="77777777" w:rsidR="00972663" w:rsidRPr="00330EA5" w:rsidRDefault="00972663" w:rsidP="00972663">
      <w:pPr>
        <w:tabs>
          <w:tab w:val="left" w:pos="284"/>
          <w:tab w:val="left" w:pos="4820"/>
        </w:tabs>
        <w:spacing w:after="0" w:line="360" w:lineRule="auto"/>
        <w:rPr>
          <w:rFonts w:ascii="Calibri" w:hAnsi="Calibri"/>
          <w:b/>
          <w:color w:val="000000"/>
        </w:rPr>
      </w:pPr>
      <w:r w:rsidRPr="00330EA5">
        <w:rPr>
          <w:rFonts w:ascii="Calibri" w:hAnsi="Calibri"/>
          <w:b/>
          <w:color w:val="000000"/>
        </w:rPr>
        <w:t>Spoken Languages</w:t>
      </w:r>
      <w:r>
        <w:rPr>
          <w:rFonts w:ascii="Calibri" w:hAnsi="Calibri"/>
          <w:b/>
          <w:color w:val="000000"/>
        </w:rPr>
        <w:t xml:space="preserve"> </w:t>
      </w:r>
    </w:p>
    <w:p w14:paraId="0F43FAF0" w14:textId="77777777" w:rsidR="00972663" w:rsidRPr="00330EA5" w:rsidRDefault="00972663" w:rsidP="00972663">
      <w:pPr>
        <w:tabs>
          <w:tab w:val="left" w:pos="284"/>
        </w:tabs>
        <w:spacing w:after="0" w:line="360" w:lineRule="auto"/>
        <w:jc w:val="both"/>
        <w:rPr>
          <w:rFonts w:ascii="Calibri" w:hAnsi="Calibri"/>
          <w:color w:val="000000"/>
        </w:rPr>
      </w:pPr>
      <w:r>
        <w:rPr>
          <w:rFonts w:ascii="Calibri" w:hAnsi="Calibri"/>
          <w:noProof/>
          <w:color w:val="000000"/>
          <w:lang w:eastAsia="en-AU"/>
        </w:rPr>
        <w:drawing>
          <wp:anchor distT="0" distB="0" distL="114300" distR="114300" simplePos="0" relativeHeight="251702272" behindDoc="0" locked="0" layoutInCell="1" allowOverlap="1" wp14:anchorId="734EB677" wp14:editId="2DBAF3E2">
            <wp:simplePos x="0" y="0"/>
            <wp:positionH relativeFrom="column">
              <wp:posOffset>4358640</wp:posOffset>
            </wp:positionH>
            <wp:positionV relativeFrom="paragraph">
              <wp:posOffset>871855</wp:posOffset>
            </wp:positionV>
            <wp:extent cx="1649616" cy="1097280"/>
            <wp:effectExtent l="0" t="0" r="8255" b="762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 3.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649616" cy="10972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color w:val="000000"/>
        </w:rPr>
        <w:t>In 2021, over 69%</w:t>
      </w:r>
      <w:r w:rsidRPr="00330EA5">
        <w:rPr>
          <w:rFonts w:ascii="Calibri" w:hAnsi="Calibri"/>
          <w:color w:val="000000"/>
        </w:rPr>
        <w:t xml:space="preserve"> </w:t>
      </w:r>
      <w:r>
        <w:rPr>
          <w:rFonts w:ascii="Calibri" w:hAnsi="Calibri"/>
          <w:color w:val="000000"/>
        </w:rPr>
        <w:t xml:space="preserve">of </w:t>
      </w:r>
      <w:r w:rsidRPr="00330EA5">
        <w:rPr>
          <w:rFonts w:ascii="Calibri" w:hAnsi="Calibri"/>
          <w:color w:val="000000"/>
        </w:rPr>
        <w:t xml:space="preserve">residents </w:t>
      </w:r>
      <w:r>
        <w:rPr>
          <w:rFonts w:ascii="Calibri" w:hAnsi="Calibri"/>
          <w:color w:val="000000"/>
        </w:rPr>
        <w:t>spoke</w:t>
      </w:r>
      <w:r w:rsidRPr="00330EA5">
        <w:rPr>
          <w:rFonts w:ascii="Calibri" w:hAnsi="Calibri"/>
          <w:color w:val="000000"/>
        </w:rPr>
        <w:t xml:space="preserve"> languages other than English</w:t>
      </w:r>
      <w:r>
        <w:rPr>
          <w:rFonts w:ascii="Calibri" w:hAnsi="Calibri"/>
          <w:color w:val="000000"/>
        </w:rPr>
        <w:t xml:space="preserve"> in their homes</w:t>
      </w:r>
      <w:r w:rsidRPr="00330EA5">
        <w:rPr>
          <w:rFonts w:ascii="Calibri" w:hAnsi="Calibri"/>
          <w:color w:val="000000"/>
        </w:rPr>
        <w:t xml:space="preserve"> – the largest proportion in Victori</w:t>
      </w:r>
      <w:r>
        <w:rPr>
          <w:rFonts w:ascii="Calibri" w:hAnsi="Calibri"/>
          <w:color w:val="000000"/>
        </w:rPr>
        <w:t xml:space="preserve">a and over twice the metropolitan level of 31%. Among the more than 135 different languages spoken are </w:t>
      </w:r>
      <w:r w:rsidRPr="00330EA5">
        <w:rPr>
          <w:rFonts w:ascii="Calibri" w:hAnsi="Calibri"/>
          <w:color w:val="000000"/>
        </w:rPr>
        <w:t xml:space="preserve">Vietnamese, Khmer, Chinese, Greek, Punjabi </w:t>
      </w:r>
      <w:r>
        <w:rPr>
          <w:rFonts w:ascii="Calibri" w:hAnsi="Calibri"/>
          <w:color w:val="000000"/>
        </w:rPr>
        <w:t>and</w:t>
      </w:r>
      <w:r w:rsidRPr="00330EA5">
        <w:rPr>
          <w:rFonts w:ascii="Calibri" w:hAnsi="Calibri"/>
          <w:color w:val="000000"/>
        </w:rPr>
        <w:t xml:space="preserve"> Sinhalese.</w:t>
      </w:r>
    </w:p>
    <w:p w14:paraId="3DFE92CE" w14:textId="6D5C4439" w:rsidR="00972663" w:rsidRDefault="00972663" w:rsidP="00972663">
      <w:pPr>
        <w:tabs>
          <w:tab w:val="left" w:pos="284"/>
        </w:tabs>
        <w:spacing w:after="0" w:line="360" w:lineRule="auto"/>
        <w:jc w:val="both"/>
        <w:rPr>
          <w:rFonts w:ascii="Calibri" w:hAnsi="Calibri"/>
          <w:color w:val="000000"/>
        </w:rPr>
      </w:pPr>
      <w:r>
        <w:rPr>
          <w:rFonts w:ascii="Calibri" w:hAnsi="Calibri"/>
          <w:noProof/>
          <w:color w:val="000000"/>
          <w:lang w:eastAsia="en-AU"/>
        </w:rPr>
        <w:drawing>
          <wp:anchor distT="0" distB="0" distL="114300" distR="114300" simplePos="0" relativeHeight="251705344" behindDoc="0" locked="0" layoutInCell="1" allowOverlap="1" wp14:anchorId="782AFA4B" wp14:editId="1A3111C2">
            <wp:simplePos x="0" y="0"/>
            <wp:positionH relativeFrom="column">
              <wp:posOffset>4729526</wp:posOffset>
            </wp:positionH>
            <wp:positionV relativeFrom="paragraph">
              <wp:posOffset>271718</wp:posOffset>
            </wp:positionV>
            <wp:extent cx="1095375" cy="108814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Ethnic 22.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095375" cy="108814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color w:val="000000"/>
        </w:rPr>
        <w:t>Greater Dandenong has the widest diversity of languages in Victoria and the second highest in Australia.</w:t>
      </w:r>
    </w:p>
    <w:p w14:paraId="6A52C136" w14:textId="3C3C38CF" w:rsidR="00972663" w:rsidRDefault="00972663" w:rsidP="00972663">
      <w:pPr>
        <w:tabs>
          <w:tab w:val="left" w:pos="284"/>
        </w:tabs>
        <w:spacing w:after="0" w:line="360" w:lineRule="auto"/>
        <w:jc w:val="both"/>
        <w:rPr>
          <w:rFonts w:ascii="Calibri" w:hAnsi="Calibri"/>
          <w:color w:val="000000"/>
        </w:rPr>
      </w:pPr>
    </w:p>
    <w:p w14:paraId="03CB2B02" w14:textId="77777777" w:rsidR="00972663" w:rsidRDefault="00972663" w:rsidP="00972663">
      <w:pPr>
        <w:tabs>
          <w:tab w:val="left" w:pos="284"/>
        </w:tabs>
        <w:spacing w:after="0" w:line="360" w:lineRule="auto"/>
        <w:jc w:val="both"/>
        <w:rPr>
          <w:rFonts w:ascii="Calibri" w:hAnsi="Calibri"/>
          <w:color w:val="000000"/>
        </w:rPr>
      </w:pPr>
    </w:p>
    <w:p w14:paraId="243D9EE8" w14:textId="77777777" w:rsidR="00972663" w:rsidRPr="0093082A" w:rsidRDefault="00972663" w:rsidP="00972663">
      <w:pPr>
        <w:tabs>
          <w:tab w:val="left" w:pos="284"/>
        </w:tabs>
        <w:spacing w:after="0" w:line="360" w:lineRule="auto"/>
        <w:jc w:val="both"/>
        <w:rPr>
          <w:rFonts w:ascii="Calibri" w:hAnsi="Calibri"/>
          <w:color w:val="000000"/>
        </w:rPr>
      </w:pPr>
    </w:p>
    <w:p w14:paraId="6B05E014" w14:textId="700ED89C" w:rsidR="00972663" w:rsidRPr="00972663" w:rsidRDefault="00972663" w:rsidP="00972663">
      <w:pPr>
        <w:tabs>
          <w:tab w:val="left" w:pos="3686"/>
        </w:tabs>
        <w:spacing w:after="0" w:line="240" w:lineRule="auto"/>
        <w:jc w:val="both"/>
        <w:rPr>
          <w:rFonts w:ascii="Calibri" w:hAnsi="Calibri"/>
          <w:color w:val="7F7F7F"/>
          <w:sz w:val="20"/>
          <w:szCs w:val="20"/>
        </w:rPr>
      </w:pPr>
      <w:r w:rsidRPr="00330EA5">
        <w:rPr>
          <w:rFonts w:ascii="Calibri" w:hAnsi="Calibri"/>
          <w:b/>
          <w:noProof/>
        </w:rPr>
        <w:t>English Fluency</w:t>
      </w:r>
      <w:r>
        <w:rPr>
          <w:rFonts w:ascii="Calibri" w:hAnsi="Calibri"/>
          <w:b/>
          <w:noProof/>
        </w:rPr>
        <w:tab/>
      </w:r>
      <w:r w:rsidRPr="00972663">
        <w:rPr>
          <w:rFonts w:ascii="Calibri" w:hAnsi="Calibri"/>
          <w:color w:val="7F7F7F"/>
          <w:sz w:val="20"/>
          <w:szCs w:val="20"/>
        </w:rPr>
        <w:t>Limited English fluency by Spoken Language: Greater Dandenong, 2021</w:t>
      </w:r>
    </w:p>
    <w:p w14:paraId="5B724923" w14:textId="0498DDE6" w:rsidR="00972663" w:rsidRDefault="00972663" w:rsidP="00972663">
      <w:pPr>
        <w:tabs>
          <w:tab w:val="left" w:pos="284"/>
        </w:tabs>
        <w:spacing w:after="0" w:line="360" w:lineRule="auto"/>
        <w:jc w:val="both"/>
        <w:rPr>
          <w:rFonts w:ascii="Calibri" w:hAnsi="Calibri"/>
          <w:color w:val="000000"/>
        </w:rPr>
      </w:pPr>
      <w:r>
        <w:rPr>
          <w:rFonts w:ascii="Calibri" w:hAnsi="Calibri"/>
          <w:noProof/>
          <w:color w:val="000000"/>
        </w:rPr>
        <w:drawing>
          <wp:anchor distT="0" distB="0" distL="114300" distR="114300" simplePos="0" relativeHeight="251704320" behindDoc="0" locked="0" layoutInCell="1" allowOverlap="1" wp14:anchorId="238FFFE1" wp14:editId="6F073CF0">
            <wp:simplePos x="0" y="0"/>
            <wp:positionH relativeFrom="column">
              <wp:posOffset>2060777</wp:posOffset>
            </wp:positionH>
            <wp:positionV relativeFrom="paragraph">
              <wp:posOffset>113990</wp:posOffset>
            </wp:positionV>
            <wp:extent cx="4032885" cy="3309620"/>
            <wp:effectExtent l="0" t="0" r="5715" b="508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32885" cy="330962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olor w:val="000000"/>
        </w:rPr>
        <w:t xml:space="preserve">Nearly one </w:t>
      </w:r>
      <w:r w:rsidRPr="00330EA5">
        <w:rPr>
          <w:rFonts w:ascii="Calibri" w:hAnsi="Calibri"/>
          <w:color w:val="000000"/>
        </w:rPr>
        <w:t xml:space="preserve">in </w:t>
      </w:r>
      <w:r>
        <w:rPr>
          <w:rFonts w:ascii="Calibri" w:hAnsi="Calibri"/>
          <w:color w:val="000000"/>
        </w:rPr>
        <w:t>five</w:t>
      </w:r>
      <w:r w:rsidRPr="00330EA5">
        <w:rPr>
          <w:rFonts w:ascii="Calibri" w:hAnsi="Calibri"/>
          <w:color w:val="000000"/>
        </w:rPr>
        <w:t xml:space="preserve"> residents - accounting for </w:t>
      </w:r>
      <w:r>
        <w:rPr>
          <w:rFonts w:ascii="Calibri" w:hAnsi="Calibri"/>
          <w:color w:val="000000"/>
        </w:rPr>
        <w:t>nearly 23,000</w:t>
      </w:r>
      <w:r w:rsidRPr="00330EA5">
        <w:rPr>
          <w:rFonts w:ascii="Calibri" w:hAnsi="Calibri"/>
          <w:color w:val="000000"/>
        </w:rPr>
        <w:t xml:space="preserve"> people</w:t>
      </w:r>
      <w:r>
        <w:rPr>
          <w:rFonts w:ascii="Calibri" w:hAnsi="Calibri"/>
          <w:color w:val="000000"/>
        </w:rPr>
        <w:t xml:space="preserve"> or 18% of the population at the time of the 2021 Census</w:t>
      </w:r>
      <w:r w:rsidRPr="00330EA5">
        <w:rPr>
          <w:rFonts w:ascii="Calibri" w:hAnsi="Calibri"/>
          <w:color w:val="000000"/>
        </w:rPr>
        <w:t xml:space="preserve"> - has limited fluency in</w:t>
      </w:r>
      <w:r>
        <w:rPr>
          <w:rFonts w:ascii="Calibri" w:hAnsi="Calibri"/>
          <w:color w:val="000000"/>
        </w:rPr>
        <w:t xml:space="preserve"> the use of </w:t>
      </w:r>
      <w:r w:rsidRPr="00330EA5">
        <w:rPr>
          <w:rFonts w:ascii="Calibri" w:hAnsi="Calibri"/>
          <w:color w:val="000000"/>
        </w:rPr>
        <w:t xml:space="preserve"> spoken English –</w:t>
      </w:r>
      <w:r>
        <w:rPr>
          <w:rFonts w:ascii="Calibri" w:hAnsi="Calibri"/>
          <w:color w:val="000000"/>
        </w:rPr>
        <w:t xml:space="preserve"> about</w:t>
      </w:r>
      <w:r w:rsidRPr="00330EA5">
        <w:rPr>
          <w:rFonts w:ascii="Calibri" w:hAnsi="Calibri"/>
          <w:color w:val="000000"/>
        </w:rPr>
        <w:t xml:space="preserve"> four times the metropolitan level of 4</w:t>
      </w:r>
      <w:r>
        <w:rPr>
          <w:rFonts w:ascii="Calibri" w:hAnsi="Calibri"/>
          <w:color w:val="000000"/>
        </w:rPr>
        <w:t>.6</w:t>
      </w:r>
      <w:r w:rsidRPr="00330EA5">
        <w:rPr>
          <w:rFonts w:ascii="Calibri" w:hAnsi="Calibri"/>
          <w:color w:val="000000"/>
        </w:rPr>
        <w:t>%.</w:t>
      </w:r>
    </w:p>
    <w:p w14:paraId="4A6CB6E1" w14:textId="77777777" w:rsidR="00972663" w:rsidRDefault="00972663" w:rsidP="00972663">
      <w:pPr>
        <w:tabs>
          <w:tab w:val="left" w:pos="284"/>
        </w:tabs>
        <w:spacing w:after="0" w:line="360" w:lineRule="auto"/>
        <w:jc w:val="both"/>
        <w:rPr>
          <w:rFonts w:ascii="Calibri" w:hAnsi="Calibri"/>
          <w:color w:val="000000"/>
        </w:rPr>
      </w:pPr>
      <w:r>
        <w:rPr>
          <w:rFonts w:ascii="Calibri" w:hAnsi="Calibri"/>
          <w:color w:val="000000"/>
        </w:rPr>
        <w:t>Many</w:t>
      </w:r>
      <w:r w:rsidRPr="00330EA5">
        <w:rPr>
          <w:rFonts w:ascii="Calibri" w:hAnsi="Calibri"/>
          <w:color w:val="000000"/>
        </w:rPr>
        <w:t xml:space="preserve"> reside</w:t>
      </w:r>
      <w:r>
        <w:rPr>
          <w:rFonts w:ascii="Calibri" w:hAnsi="Calibri"/>
          <w:color w:val="000000"/>
        </w:rPr>
        <w:t xml:space="preserve">nts who speak Vietnamese, Khmer, </w:t>
      </w:r>
      <w:r w:rsidRPr="00330EA5">
        <w:rPr>
          <w:rFonts w:ascii="Calibri" w:hAnsi="Calibri"/>
          <w:color w:val="000000"/>
        </w:rPr>
        <w:t>Chinese languag</w:t>
      </w:r>
      <w:r>
        <w:rPr>
          <w:rFonts w:ascii="Calibri" w:hAnsi="Calibri"/>
          <w:color w:val="000000"/>
        </w:rPr>
        <w:t>es, Afghani languages and Greek have limited English fluency</w:t>
      </w:r>
      <w:r w:rsidRPr="00330EA5">
        <w:rPr>
          <w:rFonts w:ascii="Calibri" w:hAnsi="Calibri"/>
          <w:color w:val="000000"/>
        </w:rPr>
        <w:t xml:space="preserve"> </w:t>
      </w:r>
      <w:r>
        <w:rPr>
          <w:rFonts w:ascii="Calibri" w:hAnsi="Calibri"/>
          <w:color w:val="000000"/>
        </w:rPr>
        <w:t>(above right).</w:t>
      </w:r>
    </w:p>
    <w:p w14:paraId="47B0B68C" w14:textId="77777777" w:rsidR="00972663" w:rsidRPr="00196079" w:rsidRDefault="00972663" w:rsidP="00972663">
      <w:pPr>
        <w:tabs>
          <w:tab w:val="left" w:pos="284"/>
        </w:tabs>
        <w:spacing w:after="0" w:line="360" w:lineRule="auto"/>
        <w:jc w:val="both"/>
        <w:rPr>
          <w:rFonts w:ascii="Calibri" w:hAnsi="Calibri"/>
          <w:color w:val="000000"/>
        </w:rPr>
      </w:pPr>
      <w:r>
        <w:rPr>
          <w:rFonts w:ascii="Calibri" w:hAnsi="Calibri"/>
          <w:color w:val="000000"/>
        </w:rPr>
        <w:t>The prevalence of limited fluency in the use of spoken English, varies widely among the municipalities of Victoria and is highest in Greater Dandenong.</w:t>
      </w:r>
      <w:r w:rsidRPr="002D5711">
        <w:rPr>
          <w:rFonts w:ascii="Calibri" w:hAnsi="Calibri"/>
          <w:color w:val="000000"/>
        </w:rPr>
        <w:t xml:space="preserve"> </w:t>
      </w:r>
    </w:p>
    <w:p w14:paraId="6157E669" w14:textId="77777777" w:rsidR="00972663" w:rsidRPr="002D5711" w:rsidRDefault="00972663" w:rsidP="00972663">
      <w:pPr>
        <w:tabs>
          <w:tab w:val="left" w:pos="284"/>
        </w:tabs>
        <w:spacing w:after="0" w:line="360" w:lineRule="auto"/>
        <w:jc w:val="both"/>
        <w:rPr>
          <w:rFonts w:ascii="Calibri" w:hAnsi="Calibri"/>
          <w:color w:val="000000"/>
          <w:sz w:val="18"/>
          <w:szCs w:val="18"/>
        </w:rPr>
      </w:pPr>
      <w:r>
        <w:rPr>
          <w:rFonts w:ascii="Calibri" w:hAnsi="Calibri"/>
          <w:noProof/>
          <w:color w:val="000000"/>
        </w:rPr>
        <w:lastRenderedPageBreak/>
        <w:drawing>
          <wp:anchor distT="0" distB="0" distL="114300" distR="114300" simplePos="0" relativeHeight="251707392" behindDoc="0" locked="0" layoutInCell="1" allowOverlap="1" wp14:anchorId="5BAD3F93" wp14:editId="206CC1EC">
            <wp:simplePos x="0" y="0"/>
            <wp:positionH relativeFrom="margin">
              <wp:posOffset>46355</wp:posOffset>
            </wp:positionH>
            <wp:positionV relativeFrom="paragraph">
              <wp:posOffset>5715</wp:posOffset>
            </wp:positionV>
            <wp:extent cx="4046220" cy="5376545"/>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3">
                      <a:extLst>
                        <a:ext uri="{28A0092B-C50C-407E-A947-70E740481C1C}">
                          <a14:useLocalDpi xmlns:a14="http://schemas.microsoft.com/office/drawing/2010/main" val="0"/>
                        </a:ext>
                      </a:extLst>
                    </a:blip>
                    <a:srcRect b="44531"/>
                    <a:stretch/>
                  </pic:blipFill>
                  <pic:spPr bwMode="auto">
                    <a:xfrm>
                      <a:off x="0" y="0"/>
                      <a:ext cx="4046220" cy="5376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5711">
        <w:rPr>
          <w:rFonts w:ascii="Calibri" w:hAnsi="Calibri"/>
          <w:color w:val="000000"/>
          <w:sz w:val="18"/>
          <w:szCs w:val="18"/>
        </w:rPr>
        <w:t xml:space="preserve">(Municipalities where the prevalence of limited English fluency was less than </w:t>
      </w:r>
      <w:r>
        <w:rPr>
          <w:rFonts w:ascii="Calibri" w:hAnsi="Calibri"/>
          <w:color w:val="000000"/>
          <w:sz w:val="18"/>
          <w:szCs w:val="18"/>
        </w:rPr>
        <w:t>1</w:t>
      </w:r>
      <w:r w:rsidRPr="002D5711">
        <w:rPr>
          <w:rFonts w:ascii="Calibri" w:hAnsi="Calibri"/>
          <w:color w:val="000000"/>
          <w:sz w:val="18"/>
          <w:szCs w:val="18"/>
        </w:rPr>
        <w:t>% are omitted from the accompanying diagram)</w:t>
      </w:r>
    </w:p>
    <w:p w14:paraId="042F23EA" w14:textId="77777777" w:rsidR="00972663" w:rsidRDefault="00972663" w:rsidP="00972663">
      <w:pPr>
        <w:tabs>
          <w:tab w:val="left" w:pos="284"/>
        </w:tabs>
        <w:spacing w:after="0" w:line="360" w:lineRule="auto"/>
        <w:jc w:val="both"/>
        <w:rPr>
          <w:rFonts w:ascii="Calibri" w:hAnsi="Calibri"/>
          <w:color w:val="000000"/>
          <w:sz w:val="18"/>
          <w:szCs w:val="18"/>
        </w:rPr>
      </w:pPr>
    </w:p>
    <w:p w14:paraId="1F816C5A" w14:textId="77777777" w:rsidR="00972663" w:rsidRDefault="00972663" w:rsidP="00972663">
      <w:pPr>
        <w:tabs>
          <w:tab w:val="left" w:pos="284"/>
        </w:tabs>
        <w:spacing w:after="0" w:line="360" w:lineRule="auto"/>
        <w:jc w:val="both"/>
        <w:rPr>
          <w:rFonts w:ascii="Calibri" w:hAnsi="Calibri"/>
          <w:color w:val="000000"/>
          <w:sz w:val="18"/>
          <w:szCs w:val="18"/>
        </w:rPr>
      </w:pPr>
    </w:p>
    <w:p w14:paraId="43266FD8" w14:textId="77777777" w:rsidR="00972663" w:rsidRDefault="00972663" w:rsidP="00972663">
      <w:pPr>
        <w:tabs>
          <w:tab w:val="left" w:pos="284"/>
        </w:tabs>
        <w:spacing w:after="0" w:line="360" w:lineRule="auto"/>
        <w:jc w:val="both"/>
        <w:rPr>
          <w:rFonts w:ascii="Calibri" w:hAnsi="Calibri"/>
          <w:color w:val="000000"/>
          <w:sz w:val="18"/>
          <w:szCs w:val="18"/>
        </w:rPr>
      </w:pPr>
    </w:p>
    <w:p w14:paraId="349D7F52" w14:textId="77777777" w:rsidR="00972663" w:rsidRPr="00972663" w:rsidRDefault="00972663" w:rsidP="00972663">
      <w:pPr>
        <w:tabs>
          <w:tab w:val="left" w:pos="284"/>
        </w:tabs>
        <w:spacing w:after="0" w:line="240" w:lineRule="auto"/>
        <w:jc w:val="both"/>
        <w:rPr>
          <w:rFonts w:ascii="Calibri" w:hAnsi="Calibri"/>
          <w:color w:val="000000"/>
          <w:sz w:val="20"/>
          <w:szCs w:val="20"/>
        </w:rPr>
      </w:pPr>
      <w:r w:rsidRPr="00972663">
        <w:rPr>
          <w:rFonts w:ascii="Calibri" w:hAnsi="Calibri"/>
          <w:color w:val="7F7F7F"/>
          <w:sz w:val="20"/>
          <w:szCs w:val="20"/>
        </w:rPr>
        <w:t>Limited English fluency: Selected Victorian municipalities, 2021</w:t>
      </w:r>
    </w:p>
    <w:p w14:paraId="192A3C11" w14:textId="77777777" w:rsidR="00972663" w:rsidRDefault="00972663" w:rsidP="00972663">
      <w:pPr>
        <w:tabs>
          <w:tab w:val="left" w:pos="284"/>
        </w:tabs>
        <w:spacing w:after="0" w:line="360" w:lineRule="auto"/>
        <w:jc w:val="both"/>
        <w:rPr>
          <w:rFonts w:ascii="Calibri" w:hAnsi="Calibri"/>
          <w:color w:val="000000"/>
          <w:sz w:val="18"/>
          <w:szCs w:val="18"/>
        </w:rPr>
      </w:pPr>
    </w:p>
    <w:p w14:paraId="044F1266" w14:textId="77777777" w:rsidR="00972663" w:rsidRDefault="00972663" w:rsidP="00972663">
      <w:pPr>
        <w:tabs>
          <w:tab w:val="left" w:pos="284"/>
        </w:tabs>
        <w:spacing w:after="0" w:line="360" w:lineRule="auto"/>
        <w:jc w:val="both"/>
        <w:rPr>
          <w:rFonts w:ascii="Calibri" w:hAnsi="Calibri"/>
          <w:color w:val="000000"/>
          <w:sz w:val="18"/>
          <w:szCs w:val="18"/>
        </w:rPr>
      </w:pPr>
    </w:p>
    <w:p w14:paraId="68818BB3" w14:textId="77777777" w:rsidR="00972663" w:rsidRDefault="00972663" w:rsidP="00972663">
      <w:pPr>
        <w:tabs>
          <w:tab w:val="left" w:pos="284"/>
        </w:tabs>
        <w:spacing w:after="0" w:line="360" w:lineRule="auto"/>
        <w:jc w:val="both"/>
        <w:rPr>
          <w:rFonts w:ascii="Calibri" w:hAnsi="Calibri"/>
          <w:color w:val="000000"/>
          <w:sz w:val="18"/>
          <w:szCs w:val="18"/>
        </w:rPr>
      </w:pPr>
    </w:p>
    <w:p w14:paraId="4CD93827" w14:textId="77777777" w:rsidR="00972663" w:rsidRDefault="00972663" w:rsidP="00972663">
      <w:pPr>
        <w:tabs>
          <w:tab w:val="left" w:pos="284"/>
        </w:tabs>
        <w:spacing w:after="0" w:line="360" w:lineRule="auto"/>
        <w:jc w:val="both"/>
        <w:rPr>
          <w:rFonts w:ascii="Calibri" w:hAnsi="Calibri"/>
          <w:color w:val="000000"/>
          <w:sz w:val="18"/>
          <w:szCs w:val="18"/>
        </w:rPr>
      </w:pPr>
    </w:p>
    <w:p w14:paraId="444C201C" w14:textId="77777777" w:rsidR="00972663" w:rsidRDefault="00972663" w:rsidP="00972663">
      <w:pPr>
        <w:tabs>
          <w:tab w:val="left" w:pos="284"/>
        </w:tabs>
        <w:spacing w:after="0" w:line="360" w:lineRule="auto"/>
        <w:jc w:val="both"/>
        <w:rPr>
          <w:rFonts w:ascii="Calibri" w:hAnsi="Calibri"/>
          <w:color w:val="000000"/>
          <w:sz w:val="18"/>
          <w:szCs w:val="18"/>
        </w:rPr>
      </w:pPr>
    </w:p>
    <w:p w14:paraId="3778BA40" w14:textId="77777777" w:rsidR="00972663" w:rsidRDefault="00972663" w:rsidP="00972663">
      <w:pPr>
        <w:tabs>
          <w:tab w:val="left" w:pos="284"/>
        </w:tabs>
        <w:spacing w:after="0" w:line="360" w:lineRule="auto"/>
        <w:jc w:val="both"/>
        <w:rPr>
          <w:rFonts w:ascii="Calibri" w:hAnsi="Calibri"/>
          <w:color w:val="000000"/>
          <w:sz w:val="18"/>
          <w:szCs w:val="18"/>
        </w:rPr>
      </w:pPr>
    </w:p>
    <w:p w14:paraId="2D8DE831" w14:textId="77777777" w:rsidR="00972663" w:rsidRDefault="00972663" w:rsidP="00972663">
      <w:pPr>
        <w:tabs>
          <w:tab w:val="left" w:pos="284"/>
        </w:tabs>
        <w:spacing w:after="0" w:line="360" w:lineRule="auto"/>
        <w:jc w:val="both"/>
        <w:rPr>
          <w:rFonts w:ascii="Calibri" w:hAnsi="Calibri"/>
          <w:color w:val="000000"/>
          <w:sz w:val="18"/>
          <w:szCs w:val="18"/>
        </w:rPr>
      </w:pPr>
    </w:p>
    <w:p w14:paraId="38116975" w14:textId="77777777" w:rsidR="00972663" w:rsidRDefault="00972663" w:rsidP="00972663">
      <w:pPr>
        <w:tabs>
          <w:tab w:val="left" w:pos="284"/>
        </w:tabs>
        <w:spacing w:after="0" w:line="360" w:lineRule="auto"/>
        <w:jc w:val="both"/>
        <w:rPr>
          <w:rFonts w:ascii="Calibri" w:hAnsi="Calibri"/>
          <w:color w:val="000000"/>
          <w:sz w:val="18"/>
          <w:szCs w:val="18"/>
        </w:rPr>
      </w:pPr>
    </w:p>
    <w:p w14:paraId="0F077630" w14:textId="77777777" w:rsidR="00972663" w:rsidRDefault="00972663" w:rsidP="00972663">
      <w:pPr>
        <w:tabs>
          <w:tab w:val="left" w:pos="284"/>
        </w:tabs>
        <w:spacing w:after="0" w:line="360" w:lineRule="auto"/>
        <w:jc w:val="both"/>
        <w:rPr>
          <w:rFonts w:ascii="Calibri" w:hAnsi="Calibri"/>
          <w:color w:val="000000"/>
          <w:sz w:val="18"/>
          <w:szCs w:val="18"/>
        </w:rPr>
      </w:pPr>
    </w:p>
    <w:p w14:paraId="2C4DCA42" w14:textId="77777777" w:rsidR="00972663" w:rsidRDefault="00972663" w:rsidP="00972663">
      <w:pPr>
        <w:tabs>
          <w:tab w:val="left" w:pos="284"/>
        </w:tabs>
        <w:spacing w:after="0" w:line="360" w:lineRule="auto"/>
        <w:jc w:val="both"/>
        <w:rPr>
          <w:rFonts w:ascii="Calibri" w:hAnsi="Calibri"/>
          <w:color w:val="000000"/>
          <w:sz w:val="18"/>
          <w:szCs w:val="18"/>
        </w:rPr>
      </w:pPr>
    </w:p>
    <w:p w14:paraId="3F551002" w14:textId="77777777" w:rsidR="00972663" w:rsidRDefault="00972663" w:rsidP="00972663">
      <w:pPr>
        <w:tabs>
          <w:tab w:val="left" w:pos="284"/>
        </w:tabs>
        <w:spacing w:after="0" w:line="360" w:lineRule="auto"/>
        <w:jc w:val="both"/>
        <w:rPr>
          <w:rFonts w:ascii="Calibri" w:hAnsi="Calibri"/>
          <w:color w:val="000000"/>
        </w:rPr>
      </w:pPr>
    </w:p>
    <w:p w14:paraId="3D53E1E3" w14:textId="77777777" w:rsidR="00972663" w:rsidRDefault="00972663" w:rsidP="00972663">
      <w:pPr>
        <w:tabs>
          <w:tab w:val="left" w:pos="284"/>
        </w:tabs>
        <w:spacing w:after="0" w:line="360" w:lineRule="auto"/>
        <w:jc w:val="both"/>
        <w:rPr>
          <w:rFonts w:ascii="Calibri" w:hAnsi="Calibri"/>
          <w:color w:val="000000"/>
        </w:rPr>
      </w:pPr>
    </w:p>
    <w:p w14:paraId="560D8E0A" w14:textId="77777777" w:rsidR="00972663" w:rsidRDefault="00972663" w:rsidP="00972663">
      <w:pPr>
        <w:tabs>
          <w:tab w:val="left" w:pos="284"/>
        </w:tabs>
        <w:spacing w:after="0" w:line="360" w:lineRule="auto"/>
        <w:jc w:val="both"/>
        <w:rPr>
          <w:rFonts w:ascii="Calibri" w:hAnsi="Calibri"/>
          <w:color w:val="000000"/>
        </w:rPr>
      </w:pPr>
      <w:r>
        <w:rPr>
          <w:rFonts w:ascii="Calibri" w:hAnsi="Calibri"/>
          <w:noProof/>
          <w:color w:val="000000"/>
          <w:lang w:eastAsia="en-AU"/>
        </w:rPr>
        <w:drawing>
          <wp:anchor distT="0" distB="0" distL="114300" distR="114300" simplePos="0" relativeHeight="251708416" behindDoc="0" locked="0" layoutInCell="1" allowOverlap="1" wp14:anchorId="07583435" wp14:editId="5DD794F1">
            <wp:simplePos x="0" y="0"/>
            <wp:positionH relativeFrom="column">
              <wp:posOffset>2974340</wp:posOffset>
            </wp:positionH>
            <wp:positionV relativeFrom="paragraph">
              <wp:posOffset>44450</wp:posOffset>
            </wp:positionV>
            <wp:extent cx="1061720" cy="994410"/>
            <wp:effectExtent l="0" t="0" r="508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erce 14.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061720" cy="9944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10F07E6" w14:textId="77777777" w:rsidR="00972663" w:rsidRDefault="00972663" w:rsidP="00972663">
      <w:pPr>
        <w:tabs>
          <w:tab w:val="left" w:pos="284"/>
        </w:tabs>
        <w:spacing w:after="0" w:line="360" w:lineRule="auto"/>
        <w:jc w:val="both"/>
        <w:rPr>
          <w:rFonts w:ascii="Calibri" w:hAnsi="Calibri"/>
          <w:color w:val="000000"/>
        </w:rPr>
      </w:pPr>
    </w:p>
    <w:p w14:paraId="18AEDC79" w14:textId="77777777" w:rsidR="00972663" w:rsidRDefault="00972663" w:rsidP="00972663">
      <w:pPr>
        <w:tabs>
          <w:tab w:val="left" w:pos="284"/>
        </w:tabs>
        <w:spacing w:after="0" w:line="360" w:lineRule="auto"/>
        <w:jc w:val="both"/>
        <w:rPr>
          <w:rFonts w:ascii="Calibri" w:hAnsi="Calibri"/>
          <w:color w:val="000000"/>
        </w:rPr>
      </w:pPr>
    </w:p>
    <w:p w14:paraId="074CC03D" w14:textId="77777777" w:rsidR="00972663" w:rsidRDefault="00972663" w:rsidP="00972663">
      <w:pPr>
        <w:tabs>
          <w:tab w:val="left" w:pos="284"/>
        </w:tabs>
        <w:spacing w:after="0" w:line="360" w:lineRule="auto"/>
        <w:jc w:val="both"/>
        <w:rPr>
          <w:rFonts w:ascii="Calibri" w:hAnsi="Calibri"/>
          <w:color w:val="000000"/>
        </w:rPr>
      </w:pPr>
    </w:p>
    <w:p w14:paraId="289AAAB1" w14:textId="77777777" w:rsidR="00972663" w:rsidRDefault="00972663" w:rsidP="00972663">
      <w:pPr>
        <w:tabs>
          <w:tab w:val="left" w:pos="284"/>
        </w:tabs>
        <w:spacing w:after="0" w:line="360" w:lineRule="auto"/>
        <w:jc w:val="both"/>
        <w:rPr>
          <w:rFonts w:ascii="Calibri" w:hAnsi="Calibri"/>
          <w:color w:val="000000"/>
        </w:rPr>
      </w:pPr>
    </w:p>
    <w:p w14:paraId="26779311" w14:textId="6783066E" w:rsidR="00972663" w:rsidRDefault="00972663" w:rsidP="00972663">
      <w:pPr>
        <w:tabs>
          <w:tab w:val="left" w:pos="284"/>
        </w:tabs>
        <w:spacing w:after="0" w:line="360" w:lineRule="auto"/>
        <w:jc w:val="both"/>
        <w:rPr>
          <w:rFonts w:ascii="Calibri" w:hAnsi="Calibri"/>
          <w:color w:val="000000"/>
        </w:rPr>
      </w:pPr>
      <w:r>
        <w:rPr>
          <w:rFonts w:ascii="Calibri" w:hAnsi="Calibri"/>
          <w:noProof/>
          <w:color w:val="7F7F7F"/>
          <w:sz w:val="18"/>
          <w:szCs w:val="18"/>
        </w:rPr>
        <w:drawing>
          <wp:anchor distT="0" distB="0" distL="114300" distR="114300" simplePos="0" relativeHeight="251706368" behindDoc="0" locked="0" layoutInCell="1" allowOverlap="1" wp14:anchorId="3279CA87" wp14:editId="055B62E1">
            <wp:simplePos x="0" y="0"/>
            <wp:positionH relativeFrom="margin">
              <wp:posOffset>2184717</wp:posOffset>
            </wp:positionH>
            <wp:positionV relativeFrom="paragraph">
              <wp:posOffset>225425</wp:posOffset>
            </wp:positionV>
            <wp:extent cx="3804285" cy="2719070"/>
            <wp:effectExtent l="0" t="0" r="5715" b="508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04285" cy="2719070"/>
                    </a:xfrm>
                    <a:prstGeom prst="rect">
                      <a:avLst/>
                    </a:prstGeom>
                    <a:noFill/>
                  </pic:spPr>
                </pic:pic>
              </a:graphicData>
            </a:graphic>
            <wp14:sizeRelH relativeFrom="page">
              <wp14:pctWidth>0</wp14:pctWidth>
            </wp14:sizeRelH>
            <wp14:sizeRelV relativeFrom="page">
              <wp14:pctHeight>0</wp14:pctHeight>
            </wp14:sizeRelV>
          </wp:anchor>
        </w:drawing>
      </w:r>
    </w:p>
    <w:p w14:paraId="5451C1C6" w14:textId="77777777" w:rsidR="00972663" w:rsidRDefault="00972663" w:rsidP="00972663">
      <w:pPr>
        <w:tabs>
          <w:tab w:val="left" w:pos="284"/>
        </w:tabs>
        <w:spacing w:after="0" w:line="360" w:lineRule="auto"/>
        <w:jc w:val="both"/>
        <w:rPr>
          <w:rFonts w:ascii="Calibri" w:hAnsi="Calibri"/>
          <w:color w:val="000000"/>
        </w:rPr>
      </w:pPr>
      <w:r w:rsidRPr="000D58E7">
        <w:rPr>
          <w:rFonts w:ascii="Calibri" w:hAnsi="Calibri"/>
          <w:color w:val="000000"/>
        </w:rPr>
        <w:t xml:space="preserve">The prevalence of limited English fluency </w:t>
      </w:r>
      <w:r>
        <w:rPr>
          <w:rFonts w:ascii="Calibri" w:hAnsi="Calibri"/>
          <w:color w:val="000000"/>
        </w:rPr>
        <w:t>varies</w:t>
      </w:r>
      <w:r w:rsidRPr="000D58E7">
        <w:rPr>
          <w:rFonts w:ascii="Calibri" w:hAnsi="Calibri"/>
          <w:color w:val="000000"/>
        </w:rPr>
        <w:t xml:space="preserve"> among the suburbs of Greater Dandenong, </w:t>
      </w:r>
      <w:r>
        <w:rPr>
          <w:rFonts w:ascii="Calibri" w:hAnsi="Calibri"/>
          <w:color w:val="000000"/>
        </w:rPr>
        <w:t>from over 26% in Springvale and Springvale South, to 10.8% in Noble Park North.</w:t>
      </w:r>
    </w:p>
    <w:p w14:paraId="5F83B786" w14:textId="77777777" w:rsidR="00972663" w:rsidRDefault="00972663" w:rsidP="00972663">
      <w:pPr>
        <w:tabs>
          <w:tab w:val="left" w:pos="284"/>
        </w:tabs>
        <w:spacing w:after="0" w:line="360" w:lineRule="auto"/>
        <w:jc w:val="both"/>
        <w:rPr>
          <w:rFonts w:ascii="Calibri" w:hAnsi="Calibri"/>
          <w:color w:val="000000"/>
        </w:rPr>
      </w:pPr>
    </w:p>
    <w:p w14:paraId="5B246D6A" w14:textId="77777777" w:rsidR="00972663" w:rsidRPr="00972663" w:rsidRDefault="00972663" w:rsidP="00972663">
      <w:pPr>
        <w:tabs>
          <w:tab w:val="left" w:pos="284"/>
        </w:tabs>
        <w:spacing w:after="0" w:line="240" w:lineRule="auto"/>
        <w:jc w:val="both"/>
        <w:rPr>
          <w:rFonts w:ascii="Calibri" w:hAnsi="Calibri"/>
          <w:color w:val="7F7F7F"/>
          <w:sz w:val="20"/>
          <w:szCs w:val="20"/>
        </w:rPr>
      </w:pPr>
      <w:r w:rsidRPr="00972663">
        <w:rPr>
          <w:rFonts w:ascii="Calibri" w:hAnsi="Calibri"/>
          <w:color w:val="7F7F7F"/>
          <w:sz w:val="20"/>
          <w:szCs w:val="20"/>
        </w:rPr>
        <w:t>Prevalence of Limited English Fluency: Suburbs of Greater Dandenong, 2021</w:t>
      </w:r>
    </w:p>
    <w:p w14:paraId="1F865E44" w14:textId="77777777" w:rsidR="00972663" w:rsidRPr="000E2796" w:rsidRDefault="00972663" w:rsidP="00972663">
      <w:pPr>
        <w:tabs>
          <w:tab w:val="left" w:pos="284"/>
        </w:tabs>
        <w:spacing w:after="0" w:line="360" w:lineRule="auto"/>
        <w:jc w:val="both"/>
        <w:rPr>
          <w:rFonts w:ascii="Calibri" w:hAnsi="Calibri"/>
          <w:color w:val="7F7F7F"/>
          <w:sz w:val="18"/>
          <w:szCs w:val="18"/>
        </w:rPr>
      </w:pPr>
    </w:p>
    <w:p w14:paraId="405BAEA1" w14:textId="77777777" w:rsidR="0051666C" w:rsidRDefault="0051666C" w:rsidP="00972663">
      <w:pPr>
        <w:tabs>
          <w:tab w:val="left" w:pos="180"/>
        </w:tabs>
        <w:spacing w:after="0" w:line="360" w:lineRule="auto"/>
        <w:jc w:val="both"/>
        <w:rPr>
          <w:rFonts w:ascii="Calibri" w:hAnsi="Calibri"/>
        </w:rPr>
      </w:pPr>
    </w:p>
    <w:p w14:paraId="09188051" w14:textId="77777777" w:rsidR="00E81EEF" w:rsidRDefault="00E81EEF" w:rsidP="0051666C">
      <w:pPr>
        <w:spacing w:after="0" w:line="360" w:lineRule="auto"/>
      </w:pPr>
    </w:p>
    <w:p w14:paraId="043BD7FE" w14:textId="5092FE06" w:rsidR="00972663" w:rsidRDefault="00972663">
      <w:r>
        <w:br w:type="page"/>
      </w:r>
    </w:p>
    <w:p w14:paraId="71E3B4D3" w14:textId="3F1E6111" w:rsidR="00E87888" w:rsidRPr="00464E59" w:rsidRDefault="006F675F" w:rsidP="00A26F54">
      <w:pPr>
        <w:pBdr>
          <w:top w:val="single" w:sz="4" w:space="0" w:color="auto"/>
          <w:bottom w:val="single" w:sz="4" w:space="1" w:color="auto"/>
        </w:pBdr>
        <w:tabs>
          <w:tab w:val="center" w:pos="4678"/>
        </w:tabs>
        <w:spacing w:after="0" w:line="240" w:lineRule="auto"/>
        <w:jc w:val="center"/>
        <w:rPr>
          <w:rFonts w:ascii="Calibri" w:hAnsi="Calibri"/>
          <w:noProof/>
          <w:sz w:val="32"/>
          <w:szCs w:val="32"/>
        </w:rPr>
      </w:pPr>
      <w:r>
        <w:rPr>
          <w:rFonts w:ascii="Calibri" w:hAnsi="Calibri"/>
          <w:noProof/>
          <w:sz w:val="32"/>
          <w:szCs w:val="32"/>
        </w:rPr>
        <w:lastRenderedPageBreak/>
        <w:t>Religion</w:t>
      </w:r>
    </w:p>
    <w:p w14:paraId="2A70AEAF" w14:textId="77777777" w:rsidR="00924593" w:rsidRPr="00402283" w:rsidRDefault="00924593" w:rsidP="00924593">
      <w:pPr>
        <w:tabs>
          <w:tab w:val="left" w:pos="284"/>
        </w:tabs>
        <w:spacing w:after="0" w:line="360" w:lineRule="auto"/>
        <w:jc w:val="both"/>
        <w:rPr>
          <w:color w:val="000000"/>
        </w:rPr>
      </w:pPr>
    </w:p>
    <w:p w14:paraId="3FEA2F30" w14:textId="77777777" w:rsidR="00924593" w:rsidRPr="00464325" w:rsidRDefault="00924593" w:rsidP="00924593">
      <w:pPr>
        <w:spacing w:after="0" w:line="360" w:lineRule="auto"/>
        <w:rPr>
          <w:b/>
        </w:rPr>
      </w:pPr>
      <w:r w:rsidRPr="00402283">
        <w:rPr>
          <w:b/>
        </w:rPr>
        <w:t>Religious Faith in Greater Dandenong</w:t>
      </w:r>
    </w:p>
    <w:p w14:paraId="16212672" w14:textId="77777777" w:rsidR="00924593" w:rsidRPr="00402283" w:rsidRDefault="00924593" w:rsidP="00924593">
      <w:pPr>
        <w:tabs>
          <w:tab w:val="left" w:pos="284"/>
        </w:tabs>
        <w:spacing w:after="0" w:line="360" w:lineRule="auto"/>
        <w:jc w:val="both"/>
        <w:rPr>
          <w:color w:val="000000"/>
        </w:rPr>
      </w:pPr>
      <w:r>
        <w:rPr>
          <w:noProof/>
          <w:color w:val="000000"/>
        </w:rPr>
        <w:drawing>
          <wp:anchor distT="0" distB="0" distL="114300" distR="114300" simplePos="0" relativeHeight="251715584" behindDoc="0" locked="0" layoutInCell="1" allowOverlap="1" wp14:anchorId="3B2BD232" wp14:editId="1B2BA1EE">
            <wp:simplePos x="0" y="0"/>
            <wp:positionH relativeFrom="column">
              <wp:posOffset>55880</wp:posOffset>
            </wp:positionH>
            <wp:positionV relativeFrom="paragraph">
              <wp:posOffset>341630</wp:posOffset>
            </wp:positionV>
            <wp:extent cx="4074160" cy="2676525"/>
            <wp:effectExtent l="0" t="0" r="2540" b="952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74160" cy="2676525"/>
                    </a:xfrm>
                    <a:prstGeom prst="rect">
                      <a:avLst/>
                    </a:prstGeom>
                    <a:noFill/>
                  </pic:spPr>
                </pic:pic>
              </a:graphicData>
            </a:graphic>
            <wp14:sizeRelH relativeFrom="page">
              <wp14:pctWidth>0</wp14:pctWidth>
            </wp14:sizeRelH>
            <wp14:sizeRelV relativeFrom="page">
              <wp14:pctHeight>0</wp14:pctHeight>
            </wp14:sizeRelV>
          </wp:anchor>
        </w:drawing>
      </w:r>
      <w:r w:rsidRPr="00402283">
        <w:rPr>
          <w:color w:val="000000"/>
        </w:rPr>
        <w:t xml:space="preserve">The diversity of </w:t>
      </w:r>
      <w:r>
        <w:rPr>
          <w:color w:val="000000"/>
        </w:rPr>
        <w:t>Greater Dandenong</w:t>
      </w:r>
      <w:r w:rsidRPr="00402283">
        <w:rPr>
          <w:color w:val="000000"/>
        </w:rPr>
        <w:t xml:space="preserve"> is reflected in </w:t>
      </w:r>
      <w:r>
        <w:rPr>
          <w:color w:val="000000"/>
        </w:rPr>
        <w:t>its</w:t>
      </w:r>
      <w:r w:rsidRPr="00402283">
        <w:rPr>
          <w:color w:val="000000"/>
        </w:rPr>
        <w:t xml:space="preserve"> range of religious faiths, which include Buddhism, adhered to by approximately 1</w:t>
      </w:r>
      <w:r>
        <w:rPr>
          <w:color w:val="000000"/>
        </w:rPr>
        <w:t>7</w:t>
      </w:r>
      <w:r w:rsidRPr="00402283">
        <w:rPr>
          <w:color w:val="000000"/>
        </w:rPr>
        <w:t>% of residents, Islam [1</w:t>
      </w:r>
      <w:r>
        <w:rPr>
          <w:color w:val="000000"/>
        </w:rPr>
        <w:t>5</w:t>
      </w:r>
      <w:r w:rsidRPr="00402283">
        <w:rPr>
          <w:color w:val="000000"/>
        </w:rPr>
        <w:t>%], Hinduism [5%] and Christianity [</w:t>
      </w:r>
      <w:r>
        <w:rPr>
          <w:color w:val="000000"/>
        </w:rPr>
        <w:t>36</w:t>
      </w:r>
      <w:r w:rsidRPr="00402283">
        <w:rPr>
          <w:color w:val="000000"/>
        </w:rPr>
        <w:t>%</w:t>
      </w:r>
      <w:r>
        <w:rPr>
          <w:color w:val="000000"/>
        </w:rPr>
        <w:t xml:space="preserve"> - down from 41% in the 2016 Census</w:t>
      </w:r>
      <w:r w:rsidRPr="00402283">
        <w:rPr>
          <w:color w:val="000000"/>
        </w:rPr>
        <w:t>].</w:t>
      </w:r>
      <w:r>
        <w:rPr>
          <w:color w:val="000000"/>
        </w:rPr>
        <w:t xml:space="preserve"> A further 23% of residents are atheists.</w:t>
      </w:r>
    </w:p>
    <w:p w14:paraId="10CCAD5F" w14:textId="77777777" w:rsidR="00924593" w:rsidRDefault="00924593" w:rsidP="00924593">
      <w:pPr>
        <w:tabs>
          <w:tab w:val="left" w:pos="5812"/>
        </w:tabs>
        <w:spacing w:after="0" w:line="360" w:lineRule="auto"/>
        <w:jc w:val="both"/>
        <w:rPr>
          <w:b/>
          <w:color w:val="000000"/>
          <w:sz w:val="6"/>
          <w:szCs w:val="6"/>
        </w:rPr>
      </w:pPr>
    </w:p>
    <w:p w14:paraId="1723D3B4" w14:textId="77777777" w:rsidR="00924593" w:rsidRDefault="00924593" w:rsidP="00924593">
      <w:pPr>
        <w:tabs>
          <w:tab w:val="left" w:pos="5812"/>
        </w:tabs>
        <w:spacing w:after="0" w:line="360" w:lineRule="auto"/>
        <w:jc w:val="both"/>
        <w:rPr>
          <w:b/>
          <w:color w:val="000000"/>
          <w:sz w:val="6"/>
          <w:szCs w:val="6"/>
        </w:rPr>
      </w:pPr>
    </w:p>
    <w:p w14:paraId="547D7116" w14:textId="77777777" w:rsidR="00924593" w:rsidRDefault="00924593" w:rsidP="00924593">
      <w:pPr>
        <w:tabs>
          <w:tab w:val="left" w:pos="5812"/>
        </w:tabs>
        <w:spacing w:after="0" w:line="360" w:lineRule="auto"/>
        <w:jc w:val="both"/>
        <w:rPr>
          <w:b/>
          <w:color w:val="000000"/>
          <w:sz w:val="6"/>
          <w:szCs w:val="6"/>
        </w:rPr>
      </w:pPr>
    </w:p>
    <w:p w14:paraId="6B684AE2" w14:textId="77777777" w:rsidR="00924593" w:rsidRDefault="00924593" w:rsidP="00924593">
      <w:pPr>
        <w:tabs>
          <w:tab w:val="left" w:pos="5812"/>
        </w:tabs>
        <w:spacing w:after="0" w:line="360" w:lineRule="auto"/>
        <w:jc w:val="both"/>
        <w:rPr>
          <w:b/>
          <w:color w:val="000000"/>
          <w:sz w:val="6"/>
          <w:szCs w:val="6"/>
        </w:rPr>
      </w:pPr>
    </w:p>
    <w:p w14:paraId="1B0D9D8A" w14:textId="77777777" w:rsidR="00924593" w:rsidRDefault="00924593" w:rsidP="00924593">
      <w:pPr>
        <w:tabs>
          <w:tab w:val="left" w:pos="5812"/>
        </w:tabs>
        <w:spacing w:after="0" w:line="360" w:lineRule="auto"/>
        <w:jc w:val="both"/>
        <w:rPr>
          <w:b/>
          <w:color w:val="000000"/>
          <w:sz w:val="6"/>
          <w:szCs w:val="6"/>
        </w:rPr>
      </w:pPr>
    </w:p>
    <w:p w14:paraId="74617E16" w14:textId="77777777" w:rsidR="00924593" w:rsidRDefault="00924593" w:rsidP="00924593">
      <w:pPr>
        <w:tabs>
          <w:tab w:val="left" w:pos="5812"/>
        </w:tabs>
        <w:spacing w:after="0" w:line="360" w:lineRule="auto"/>
        <w:jc w:val="both"/>
        <w:rPr>
          <w:b/>
          <w:color w:val="000000"/>
          <w:sz w:val="6"/>
          <w:szCs w:val="6"/>
        </w:rPr>
      </w:pPr>
    </w:p>
    <w:p w14:paraId="5B2F12B8" w14:textId="77777777" w:rsidR="00924593" w:rsidRPr="008460F8" w:rsidRDefault="00924593" w:rsidP="00924593">
      <w:pPr>
        <w:tabs>
          <w:tab w:val="left" w:pos="5812"/>
        </w:tabs>
        <w:spacing w:after="0" w:line="360" w:lineRule="auto"/>
        <w:jc w:val="both"/>
        <w:rPr>
          <w:b/>
          <w:color w:val="000000"/>
          <w:sz w:val="6"/>
          <w:szCs w:val="6"/>
        </w:rPr>
      </w:pPr>
    </w:p>
    <w:p w14:paraId="37EDF915" w14:textId="77777777" w:rsidR="00924593" w:rsidRPr="00205CE9" w:rsidRDefault="00924593" w:rsidP="00924593">
      <w:pPr>
        <w:tabs>
          <w:tab w:val="left" w:pos="5812"/>
        </w:tabs>
        <w:spacing w:after="0" w:line="240" w:lineRule="auto"/>
        <w:jc w:val="both"/>
        <w:rPr>
          <w:bCs/>
          <w:color w:val="7F7F7F" w:themeColor="text1" w:themeTint="80"/>
        </w:rPr>
      </w:pPr>
      <w:r w:rsidRPr="00205CE9">
        <w:rPr>
          <w:bCs/>
          <w:color w:val="7F7F7F" w:themeColor="text1" w:themeTint="80"/>
        </w:rPr>
        <w:t>Per cent of residents who adhere to major faiths: Greater Dandenong, 2021</w:t>
      </w:r>
    </w:p>
    <w:p w14:paraId="3F79651C" w14:textId="77777777" w:rsidR="00924593" w:rsidRDefault="00924593" w:rsidP="00924593">
      <w:pPr>
        <w:tabs>
          <w:tab w:val="left" w:pos="5812"/>
        </w:tabs>
        <w:spacing w:after="0" w:line="360" w:lineRule="auto"/>
        <w:jc w:val="both"/>
        <w:rPr>
          <w:b/>
          <w:color w:val="000000"/>
          <w:sz w:val="6"/>
          <w:szCs w:val="6"/>
        </w:rPr>
      </w:pPr>
    </w:p>
    <w:p w14:paraId="2F28ABC7" w14:textId="77777777" w:rsidR="00924593" w:rsidRDefault="00924593" w:rsidP="00924593">
      <w:pPr>
        <w:tabs>
          <w:tab w:val="left" w:pos="5812"/>
        </w:tabs>
        <w:spacing w:after="0" w:line="360" w:lineRule="auto"/>
        <w:jc w:val="both"/>
        <w:rPr>
          <w:b/>
          <w:color w:val="000000"/>
          <w:sz w:val="6"/>
          <w:szCs w:val="6"/>
        </w:rPr>
      </w:pPr>
    </w:p>
    <w:p w14:paraId="4652CB82" w14:textId="77777777" w:rsidR="00924593" w:rsidRDefault="00924593" w:rsidP="00924593">
      <w:pPr>
        <w:tabs>
          <w:tab w:val="left" w:pos="5812"/>
        </w:tabs>
        <w:spacing w:after="0" w:line="360" w:lineRule="auto"/>
        <w:jc w:val="both"/>
        <w:rPr>
          <w:b/>
          <w:color w:val="000000"/>
          <w:sz w:val="6"/>
          <w:szCs w:val="6"/>
        </w:rPr>
      </w:pPr>
    </w:p>
    <w:p w14:paraId="71560860" w14:textId="77777777" w:rsidR="00924593" w:rsidRDefault="00924593" w:rsidP="00924593">
      <w:pPr>
        <w:tabs>
          <w:tab w:val="left" w:pos="5812"/>
        </w:tabs>
        <w:spacing w:after="0" w:line="360" w:lineRule="auto"/>
        <w:jc w:val="both"/>
        <w:rPr>
          <w:b/>
          <w:color w:val="000000"/>
          <w:sz w:val="6"/>
          <w:szCs w:val="6"/>
        </w:rPr>
      </w:pPr>
    </w:p>
    <w:p w14:paraId="0C8C3607" w14:textId="77777777" w:rsidR="00924593" w:rsidRDefault="00924593" w:rsidP="00924593">
      <w:pPr>
        <w:tabs>
          <w:tab w:val="left" w:pos="5812"/>
        </w:tabs>
        <w:spacing w:after="0" w:line="360" w:lineRule="auto"/>
        <w:jc w:val="both"/>
        <w:rPr>
          <w:b/>
          <w:color w:val="000000"/>
          <w:sz w:val="6"/>
          <w:szCs w:val="6"/>
        </w:rPr>
      </w:pPr>
    </w:p>
    <w:p w14:paraId="7A01546D" w14:textId="77777777" w:rsidR="00924593" w:rsidRDefault="00924593" w:rsidP="00924593">
      <w:pPr>
        <w:tabs>
          <w:tab w:val="left" w:pos="5812"/>
        </w:tabs>
        <w:spacing w:after="0" w:line="360" w:lineRule="auto"/>
        <w:jc w:val="both"/>
        <w:rPr>
          <w:b/>
          <w:color w:val="000000"/>
          <w:sz w:val="6"/>
          <w:szCs w:val="6"/>
        </w:rPr>
      </w:pPr>
    </w:p>
    <w:p w14:paraId="2010C80B" w14:textId="77777777" w:rsidR="00924593" w:rsidRDefault="00924593" w:rsidP="00924593">
      <w:pPr>
        <w:tabs>
          <w:tab w:val="left" w:pos="5812"/>
        </w:tabs>
        <w:spacing w:after="0" w:line="360" w:lineRule="auto"/>
        <w:jc w:val="both"/>
        <w:rPr>
          <w:b/>
          <w:color w:val="000000"/>
          <w:sz w:val="6"/>
          <w:szCs w:val="6"/>
        </w:rPr>
      </w:pPr>
    </w:p>
    <w:p w14:paraId="3ED71DF2" w14:textId="77777777" w:rsidR="00924593" w:rsidRDefault="00924593" w:rsidP="00924593">
      <w:pPr>
        <w:tabs>
          <w:tab w:val="left" w:pos="5812"/>
        </w:tabs>
        <w:spacing w:after="0" w:line="360" w:lineRule="auto"/>
        <w:jc w:val="both"/>
        <w:rPr>
          <w:b/>
          <w:color w:val="000000"/>
          <w:sz w:val="6"/>
          <w:szCs w:val="6"/>
        </w:rPr>
      </w:pPr>
    </w:p>
    <w:p w14:paraId="5DA49F7C" w14:textId="77777777" w:rsidR="00924593" w:rsidRPr="008460F8" w:rsidRDefault="00924593" w:rsidP="00924593">
      <w:pPr>
        <w:tabs>
          <w:tab w:val="left" w:pos="5812"/>
        </w:tabs>
        <w:spacing w:after="0" w:line="360" w:lineRule="auto"/>
        <w:jc w:val="both"/>
        <w:rPr>
          <w:b/>
          <w:color w:val="000000"/>
          <w:sz w:val="6"/>
          <w:szCs w:val="6"/>
        </w:rPr>
      </w:pPr>
    </w:p>
    <w:p w14:paraId="5188D804" w14:textId="77777777" w:rsidR="00924593" w:rsidRDefault="00924593" w:rsidP="00924593">
      <w:pPr>
        <w:tabs>
          <w:tab w:val="left" w:pos="5812"/>
        </w:tabs>
        <w:spacing w:after="0" w:line="360" w:lineRule="auto"/>
        <w:jc w:val="both"/>
        <w:rPr>
          <w:color w:val="000000"/>
        </w:rPr>
      </w:pPr>
    </w:p>
    <w:p w14:paraId="09D3E1B4" w14:textId="77777777" w:rsidR="00924593" w:rsidRDefault="00924593" w:rsidP="00924593">
      <w:pPr>
        <w:tabs>
          <w:tab w:val="left" w:pos="5812"/>
        </w:tabs>
        <w:spacing w:after="0" w:line="360" w:lineRule="auto"/>
        <w:jc w:val="both"/>
        <w:rPr>
          <w:color w:val="000000"/>
        </w:rPr>
      </w:pPr>
      <w:r w:rsidRPr="00205CE9">
        <w:rPr>
          <w:color w:val="000000"/>
        </w:rPr>
        <w:t>Perhaps reflecting settlement patterns and the age makeup of the population, the proportion of residents who follow Islam and Hinduism tends to decline with age, whereas the prevalence of Christianity, Buddhism and Atheism is relatively stable across age groups.</w:t>
      </w:r>
    </w:p>
    <w:p w14:paraId="20867E79" w14:textId="77777777" w:rsidR="00924593" w:rsidRDefault="00924593" w:rsidP="00924593">
      <w:pPr>
        <w:tabs>
          <w:tab w:val="left" w:pos="5812"/>
        </w:tabs>
        <w:spacing w:after="0" w:line="360" w:lineRule="auto"/>
        <w:jc w:val="both"/>
        <w:rPr>
          <w:color w:val="000000"/>
        </w:rPr>
      </w:pPr>
    </w:p>
    <w:p w14:paraId="63CC521C" w14:textId="77777777" w:rsidR="00924593" w:rsidRPr="008460F8" w:rsidRDefault="00924593" w:rsidP="00924593">
      <w:pPr>
        <w:tabs>
          <w:tab w:val="left" w:pos="5812"/>
        </w:tabs>
        <w:spacing w:after="0" w:line="360" w:lineRule="auto"/>
        <w:jc w:val="both"/>
        <w:rPr>
          <w:i/>
          <w:iCs/>
          <w:color w:val="000000"/>
        </w:rPr>
      </w:pPr>
      <w:r w:rsidRPr="008460F8">
        <w:rPr>
          <w:i/>
          <w:iCs/>
          <w:color w:val="000000"/>
        </w:rPr>
        <w:t>Religion and Birthplaces</w:t>
      </w:r>
    </w:p>
    <w:p w14:paraId="3076E4B3" w14:textId="77777777" w:rsidR="00924593" w:rsidRDefault="00924593" w:rsidP="00924593">
      <w:pPr>
        <w:tabs>
          <w:tab w:val="left" w:pos="5812"/>
        </w:tabs>
        <w:spacing w:after="0" w:line="360" w:lineRule="auto"/>
        <w:jc w:val="both"/>
        <w:rPr>
          <w:color w:val="000000"/>
        </w:rPr>
      </w:pPr>
      <w:r>
        <w:rPr>
          <w:noProof/>
          <w:color w:val="000000"/>
        </w:rPr>
        <w:drawing>
          <wp:anchor distT="0" distB="0" distL="114300" distR="114300" simplePos="0" relativeHeight="251711488" behindDoc="0" locked="0" layoutInCell="1" allowOverlap="1" wp14:anchorId="73EFF229" wp14:editId="572A12C4">
            <wp:simplePos x="0" y="0"/>
            <wp:positionH relativeFrom="column">
              <wp:posOffset>2433955</wp:posOffset>
            </wp:positionH>
            <wp:positionV relativeFrom="paragraph">
              <wp:posOffset>725170</wp:posOffset>
            </wp:positionV>
            <wp:extent cx="3584575" cy="2338070"/>
            <wp:effectExtent l="0" t="0" r="0" b="508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584575" cy="2338070"/>
                    </a:xfrm>
                    <a:prstGeom prst="rect">
                      <a:avLst/>
                    </a:prstGeom>
                    <a:noFill/>
                  </pic:spPr>
                </pic:pic>
              </a:graphicData>
            </a:graphic>
            <wp14:sizeRelH relativeFrom="page">
              <wp14:pctWidth>0</wp14:pctWidth>
            </wp14:sizeRelH>
            <wp14:sizeRelV relativeFrom="page">
              <wp14:pctHeight>0</wp14:pctHeight>
            </wp14:sizeRelV>
          </wp:anchor>
        </w:drawing>
      </w:r>
      <w:r>
        <w:rPr>
          <w:color w:val="000000"/>
        </w:rPr>
        <w:t>Major birthplaces among Greater Dandenong residents who adhere to each major religious category, vary widely. The number of residents from various birthplaces who adhere to each of the major religious, is illustrated below.</w:t>
      </w:r>
    </w:p>
    <w:p w14:paraId="5C30696A" w14:textId="77777777" w:rsidR="00924593" w:rsidRDefault="00924593" w:rsidP="00924593">
      <w:pPr>
        <w:tabs>
          <w:tab w:val="left" w:pos="5812"/>
        </w:tabs>
        <w:spacing w:after="0" w:line="360" w:lineRule="auto"/>
        <w:jc w:val="both"/>
        <w:rPr>
          <w:color w:val="000000"/>
        </w:rPr>
      </w:pPr>
    </w:p>
    <w:p w14:paraId="4848DECD" w14:textId="77777777" w:rsidR="00924593" w:rsidRPr="008460F8" w:rsidRDefault="00924593" w:rsidP="00924593">
      <w:pPr>
        <w:tabs>
          <w:tab w:val="left" w:pos="5812"/>
        </w:tabs>
        <w:spacing w:after="0" w:line="240" w:lineRule="auto"/>
        <w:jc w:val="both"/>
        <w:rPr>
          <w:color w:val="7F7F7F" w:themeColor="text1" w:themeTint="80"/>
        </w:rPr>
      </w:pPr>
      <w:r w:rsidRPr="008460F8">
        <w:rPr>
          <w:color w:val="7F7F7F" w:themeColor="text1" w:themeTint="80"/>
        </w:rPr>
        <w:t>Number of people by selected birthplace</w:t>
      </w:r>
      <w:r>
        <w:rPr>
          <w:color w:val="7F7F7F" w:themeColor="text1" w:themeTint="80"/>
        </w:rPr>
        <w:t xml:space="preserve"> </w:t>
      </w:r>
      <w:r w:rsidRPr="008460F8">
        <w:rPr>
          <w:color w:val="7F7F7F" w:themeColor="text1" w:themeTint="80"/>
        </w:rPr>
        <w:t xml:space="preserve">who adhere to </w:t>
      </w:r>
      <w:r>
        <w:rPr>
          <w:color w:val="7F7F7F" w:themeColor="text1" w:themeTint="80"/>
        </w:rPr>
        <w:t>Buddhism:</w:t>
      </w:r>
      <w:r w:rsidRPr="008460F8">
        <w:rPr>
          <w:color w:val="7F7F7F" w:themeColor="text1" w:themeTint="80"/>
        </w:rPr>
        <w:t xml:space="preserve"> Greater Dandenong, 2021</w:t>
      </w:r>
    </w:p>
    <w:p w14:paraId="2E982967" w14:textId="77777777" w:rsidR="00924593" w:rsidRDefault="00924593" w:rsidP="00924593">
      <w:pPr>
        <w:tabs>
          <w:tab w:val="left" w:pos="5812"/>
        </w:tabs>
        <w:spacing w:after="0" w:line="360" w:lineRule="auto"/>
        <w:jc w:val="both"/>
        <w:rPr>
          <w:color w:val="000000"/>
        </w:rPr>
      </w:pPr>
    </w:p>
    <w:p w14:paraId="1E792079" w14:textId="77777777" w:rsidR="00924593" w:rsidRDefault="00924593" w:rsidP="00924593">
      <w:pPr>
        <w:tabs>
          <w:tab w:val="left" w:pos="5812"/>
        </w:tabs>
        <w:spacing w:after="0" w:line="360" w:lineRule="auto"/>
        <w:jc w:val="both"/>
        <w:rPr>
          <w:color w:val="000000"/>
        </w:rPr>
      </w:pPr>
    </w:p>
    <w:p w14:paraId="27DF8372" w14:textId="77777777" w:rsidR="00924593" w:rsidRDefault="00924593" w:rsidP="00924593">
      <w:pPr>
        <w:tabs>
          <w:tab w:val="left" w:pos="5812"/>
        </w:tabs>
        <w:spacing w:after="0" w:line="360" w:lineRule="auto"/>
        <w:jc w:val="both"/>
        <w:rPr>
          <w:color w:val="000000"/>
        </w:rPr>
      </w:pPr>
    </w:p>
    <w:p w14:paraId="44C27CD0" w14:textId="77777777" w:rsidR="00924593" w:rsidRDefault="00924593" w:rsidP="00924593">
      <w:pPr>
        <w:tabs>
          <w:tab w:val="left" w:pos="5812"/>
        </w:tabs>
        <w:spacing w:after="0" w:line="360" w:lineRule="auto"/>
        <w:jc w:val="both"/>
        <w:rPr>
          <w:color w:val="000000"/>
        </w:rPr>
      </w:pPr>
    </w:p>
    <w:p w14:paraId="743B0D94" w14:textId="77777777" w:rsidR="00924593" w:rsidRDefault="00924593" w:rsidP="00924593">
      <w:pPr>
        <w:tabs>
          <w:tab w:val="left" w:pos="5812"/>
        </w:tabs>
        <w:spacing w:after="0" w:line="360" w:lineRule="auto"/>
        <w:jc w:val="both"/>
        <w:rPr>
          <w:color w:val="000000"/>
        </w:rPr>
      </w:pPr>
    </w:p>
    <w:p w14:paraId="1884D4B0" w14:textId="77777777" w:rsidR="00924593" w:rsidRDefault="00924593" w:rsidP="00924593">
      <w:pPr>
        <w:tabs>
          <w:tab w:val="left" w:pos="5812"/>
        </w:tabs>
        <w:spacing w:after="0" w:line="360" w:lineRule="auto"/>
        <w:jc w:val="both"/>
        <w:rPr>
          <w:color w:val="000000"/>
        </w:rPr>
      </w:pPr>
    </w:p>
    <w:p w14:paraId="3AE02966" w14:textId="77777777" w:rsidR="00924593" w:rsidRDefault="00924593" w:rsidP="00924593">
      <w:pPr>
        <w:tabs>
          <w:tab w:val="left" w:pos="5812"/>
        </w:tabs>
        <w:spacing w:after="0" w:line="360" w:lineRule="auto"/>
        <w:jc w:val="both"/>
        <w:rPr>
          <w:color w:val="7F7F7F" w:themeColor="text1" w:themeTint="80"/>
        </w:rPr>
      </w:pPr>
    </w:p>
    <w:p w14:paraId="6D2976DB" w14:textId="77777777" w:rsidR="00924593" w:rsidRDefault="00924593" w:rsidP="00924593">
      <w:pPr>
        <w:tabs>
          <w:tab w:val="left" w:pos="5812"/>
        </w:tabs>
        <w:spacing w:after="0" w:line="360" w:lineRule="auto"/>
        <w:jc w:val="both"/>
        <w:rPr>
          <w:color w:val="7F7F7F" w:themeColor="text1" w:themeTint="80"/>
        </w:rPr>
      </w:pPr>
      <w:r>
        <w:rPr>
          <w:noProof/>
          <w:color w:val="000000"/>
        </w:rPr>
        <w:lastRenderedPageBreak/>
        <w:drawing>
          <wp:anchor distT="0" distB="0" distL="114300" distR="114300" simplePos="0" relativeHeight="251710464" behindDoc="0" locked="0" layoutInCell="1" allowOverlap="1" wp14:anchorId="041EDD6C" wp14:editId="2F212126">
            <wp:simplePos x="0" y="0"/>
            <wp:positionH relativeFrom="column">
              <wp:posOffset>60960</wp:posOffset>
            </wp:positionH>
            <wp:positionV relativeFrom="paragraph">
              <wp:posOffset>-1270</wp:posOffset>
            </wp:positionV>
            <wp:extent cx="3839845" cy="2505075"/>
            <wp:effectExtent l="0" t="0" r="8255" b="952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39845" cy="2505075"/>
                    </a:xfrm>
                    <a:prstGeom prst="rect">
                      <a:avLst/>
                    </a:prstGeom>
                    <a:noFill/>
                  </pic:spPr>
                </pic:pic>
              </a:graphicData>
            </a:graphic>
            <wp14:sizeRelH relativeFrom="page">
              <wp14:pctWidth>0</wp14:pctWidth>
            </wp14:sizeRelH>
            <wp14:sizeRelV relativeFrom="page">
              <wp14:pctHeight>0</wp14:pctHeight>
            </wp14:sizeRelV>
          </wp:anchor>
        </w:drawing>
      </w:r>
    </w:p>
    <w:p w14:paraId="6AC1B155" w14:textId="77777777" w:rsidR="00924593" w:rsidRDefault="00924593" w:rsidP="00924593">
      <w:pPr>
        <w:tabs>
          <w:tab w:val="left" w:pos="5812"/>
        </w:tabs>
        <w:spacing w:after="0" w:line="360" w:lineRule="auto"/>
        <w:jc w:val="both"/>
        <w:rPr>
          <w:color w:val="7F7F7F" w:themeColor="text1" w:themeTint="80"/>
        </w:rPr>
      </w:pPr>
    </w:p>
    <w:p w14:paraId="23BCFACC" w14:textId="77777777" w:rsidR="00924593" w:rsidRDefault="00924593" w:rsidP="00924593">
      <w:pPr>
        <w:tabs>
          <w:tab w:val="left" w:pos="5812"/>
        </w:tabs>
        <w:spacing w:after="0" w:line="360" w:lineRule="auto"/>
        <w:jc w:val="both"/>
        <w:rPr>
          <w:color w:val="7F7F7F" w:themeColor="text1" w:themeTint="80"/>
        </w:rPr>
      </w:pPr>
    </w:p>
    <w:p w14:paraId="23EE33AF" w14:textId="77777777" w:rsidR="00924593" w:rsidRDefault="00924593" w:rsidP="00924593">
      <w:pPr>
        <w:tabs>
          <w:tab w:val="left" w:pos="5812"/>
        </w:tabs>
        <w:spacing w:after="0" w:line="360" w:lineRule="auto"/>
        <w:jc w:val="both"/>
        <w:rPr>
          <w:color w:val="7F7F7F" w:themeColor="text1" w:themeTint="80"/>
        </w:rPr>
      </w:pPr>
    </w:p>
    <w:p w14:paraId="044196AC" w14:textId="77777777" w:rsidR="00924593" w:rsidRDefault="00924593" w:rsidP="00924593">
      <w:pPr>
        <w:tabs>
          <w:tab w:val="left" w:pos="5812"/>
        </w:tabs>
        <w:spacing w:after="0" w:line="360" w:lineRule="auto"/>
        <w:jc w:val="both"/>
        <w:rPr>
          <w:color w:val="7F7F7F" w:themeColor="text1" w:themeTint="80"/>
        </w:rPr>
      </w:pPr>
    </w:p>
    <w:p w14:paraId="633DECA5" w14:textId="77777777" w:rsidR="00924593" w:rsidRPr="008460F8" w:rsidRDefault="00924593" w:rsidP="00924593">
      <w:pPr>
        <w:tabs>
          <w:tab w:val="left" w:pos="5812"/>
        </w:tabs>
        <w:spacing w:after="0" w:line="240" w:lineRule="auto"/>
        <w:jc w:val="both"/>
        <w:rPr>
          <w:color w:val="7F7F7F" w:themeColor="text1" w:themeTint="80"/>
        </w:rPr>
      </w:pPr>
      <w:r w:rsidRPr="008460F8">
        <w:rPr>
          <w:color w:val="7F7F7F" w:themeColor="text1" w:themeTint="80"/>
        </w:rPr>
        <w:t>Number of people by selected birthplace</w:t>
      </w:r>
      <w:r>
        <w:rPr>
          <w:color w:val="7F7F7F" w:themeColor="text1" w:themeTint="80"/>
        </w:rPr>
        <w:t xml:space="preserve"> </w:t>
      </w:r>
      <w:r w:rsidRPr="008460F8">
        <w:rPr>
          <w:color w:val="7F7F7F" w:themeColor="text1" w:themeTint="80"/>
        </w:rPr>
        <w:t>who adhere to Islam</w:t>
      </w:r>
      <w:r>
        <w:rPr>
          <w:color w:val="7F7F7F" w:themeColor="text1" w:themeTint="80"/>
        </w:rPr>
        <w:t>:</w:t>
      </w:r>
      <w:r w:rsidRPr="008460F8">
        <w:rPr>
          <w:color w:val="7F7F7F" w:themeColor="text1" w:themeTint="80"/>
        </w:rPr>
        <w:t xml:space="preserve"> Greater Dandenong, 2021</w:t>
      </w:r>
    </w:p>
    <w:p w14:paraId="59AC5D91" w14:textId="77777777" w:rsidR="00924593" w:rsidRDefault="00924593" w:rsidP="00924593">
      <w:pPr>
        <w:tabs>
          <w:tab w:val="left" w:pos="5812"/>
        </w:tabs>
        <w:spacing w:after="0" w:line="360" w:lineRule="auto"/>
        <w:jc w:val="both"/>
        <w:rPr>
          <w:b/>
          <w:color w:val="000000"/>
        </w:rPr>
      </w:pPr>
    </w:p>
    <w:p w14:paraId="448E6588" w14:textId="77777777" w:rsidR="00924593" w:rsidRDefault="00924593" w:rsidP="00924593">
      <w:pPr>
        <w:tabs>
          <w:tab w:val="left" w:pos="5812"/>
        </w:tabs>
        <w:spacing w:after="0" w:line="360" w:lineRule="auto"/>
        <w:jc w:val="both"/>
        <w:rPr>
          <w:b/>
          <w:color w:val="000000"/>
        </w:rPr>
      </w:pPr>
    </w:p>
    <w:p w14:paraId="25D9F4CA" w14:textId="77777777" w:rsidR="00924593" w:rsidRDefault="00924593" w:rsidP="00924593">
      <w:pPr>
        <w:tabs>
          <w:tab w:val="left" w:pos="5812"/>
        </w:tabs>
        <w:spacing w:after="0" w:line="360" w:lineRule="auto"/>
        <w:jc w:val="both"/>
        <w:rPr>
          <w:b/>
          <w:color w:val="000000"/>
        </w:rPr>
      </w:pPr>
    </w:p>
    <w:p w14:paraId="384B6F33" w14:textId="069B1CF9" w:rsidR="00924593" w:rsidRDefault="00924593" w:rsidP="00924593">
      <w:pPr>
        <w:tabs>
          <w:tab w:val="left" w:pos="5812"/>
        </w:tabs>
        <w:spacing w:after="0" w:line="360" w:lineRule="auto"/>
        <w:jc w:val="both"/>
        <w:rPr>
          <w:b/>
          <w:color w:val="000000"/>
        </w:rPr>
      </w:pPr>
    </w:p>
    <w:p w14:paraId="2E09BBE1" w14:textId="07B3401F" w:rsidR="00924593" w:rsidRDefault="00924593" w:rsidP="00924593">
      <w:pPr>
        <w:tabs>
          <w:tab w:val="left" w:pos="5812"/>
        </w:tabs>
        <w:spacing w:after="0" w:line="360" w:lineRule="auto"/>
        <w:jc w:val="both"/>
        <w:rPr>
          <w:b/>
          <w:color w:val="000000"/>
        </w:rPr>
      </w:pPr>
      <w:r>
        <w:rPr>
          <w:b/>
          <w:noProof/>
          <w:color w:val="000000"/>
        </w:rPr>
        <w:drawing>
          <wp:anchor distT="0" distB="0" distL="114300" distR="114300" simplePos="0" relativeHeight="251712512" behindDoc="0" locked="0" layoutInCell="1" allowOverlap="1" wp14:anchorId="25016907" wp14:editId="3470A6BA">
            <wp:simplePos x="0" y="0"/>
            <wp:positionH relativeFrom="column">
              <wp:posOffset>2070735</wp:posOffset>
            </wp:positionH>
            <wp:positionV relativeFrom="paragraph">
              <wp:posOffset>118467</wp:posOffset>
            </wp:positionV>
            <wp:extent cx="4070985" cy="2656205"/>
            <wp:effectExtent l="0" t="0" r="5715"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70985" cy="2656205"/>
                    </a:xfrm>
                    <a:prstGeom prst="rect">
                      <a:avLst/>
                    </a:prstGeom>
                    <a:noFill/>
                  </pic:spPr>
                </pic:pic>
              </a:graphicData>
            </a:graphic>
            <wp14:sizeRelH relativeFrom="page">
              <wp14:pctWidth>0</wp14:pctWidth>
            </wp14:sizeRelH>
            <wp14:sizeRelV relativeFrom="page">
              <wp14:pctHeight>0</wp14:pctHeight>
            </wp14:sizeRelV>
          </wp:anchor>
        </w:drawing>
      </w:r>
    </w:p>
    <w:p w14:paraId="46796AB3" w14:textId="77777777" w:rsidR="00924593" w:rsidRDefault="00924593" w:rsidP="00924593">
      <w:pPr>
        <w:tabs>
          <w:tab w:val="left" w:pos="5812"/>
        </w:tabs>
        <w:spacing w:after="0" w:line="360" w:lineRule="auto"/>
        <w:jc w:val="both"/>
        <w:rPr>
          <w:b/>
          <w:color w:val="000000"/>
        </w:rPr>
      </w:pPr>
    </w:p>
    <w:p w14:paraId="3AFF2534" w14:textId="77777777" w:rsidR="00924593" w:rsidRPr="008460F8" w:rsidRDefault="00924593" w:rsidP="00924593">
      <w:pPr>
        <w:tabs>
          <w:tab w:val="left" w:pos="5812"/>
        </w:tabs>
        <w:spacing w:after="0" w:line="240" w:lineRule="auto"/>
        <w:jc w:val="both"/>
        <w:rPr>
          <w:color w:val="7F7F7F" w:themeColor="text1" w:themeTint="80"/>
        </w:rPr>
      </w:pPr>
      <w:r w:rsidRPr="008460F8">
        <w:rPr>
          <w:color w:val="7F7F7F" w:themeColor="text1" w:themeTint="80"/>
        </w:rPr>
        <w:t>Number of people by selected birthplace</w:t>
      </w:r>
      <w:r>
        <w:rPr>
          <w:color w:val="7F7F7F" w:themeColor="text1" w:themeTint="80"/>
        </w:rPr>
        <w:t xml:space="preserve"> </w:t>
      </w:r>
      <w:r w:rsidRPr="008460F8">
        <w:rPr>
          <w:color w:val="7F7F7F" w:themeColor="text1" w:themeTint="80"/>
        </w:rPr>
        <w:t xml:space="preserve">who adhere to </w:t>
      </w:r>
      <w:r>
        <w:rPr>
          <w:color w:val="7F7F7F" w:themeColor="text1" w:themeTint="80"/>
        </w:rPr>
        <w:t>Christianity:</w:t>
      </w:r>
      <w:r w:rsidRPr="008460F8">
        <w:rPr>
          <w:color w:val="7F7F7F" w:themeColor="text1" w:themeTint="80"/>
        </w:rPr>
        <w:t xml:space="preserve"> Greater Dandenong, 2021</w:t>
      </w:r>
    </w:p>
    <w:p w14:paraId="6942FD00" w14:textId="77777777" w:rsidR="00924593" w:rsidRDefault="00924593" w:rsidP="00924593">
      <w:pPr>
        <w:tabs>
          <w:tab w:val="left" w:pos="5812"/>
        </w:tabs>
        <w:spacing w:after="0" w:line="360" w:lineRule="auto"/>
        <w:jc w:val="both"/>
        <w:rPr>
          <w:b/>
          <w:color w:val="000000"/>
        </w:rPr>
      </w:pPr>
    </w:p>
    <w:p w14:paraId="49F0E348" w14:textId="77777777" w:rsidR="00924593" w:rsidRDefault="00924593" w:rsidP="00924593">
      <w:pPr>
        <w:tabs>
          <w:tab w:val="left" w:pos="5812"/>
        </w:tabs>
        <w:spacing w:after="0" w:line="360" w:lineRule="auto"/>
        <w:jc w:val="both"/>
        <w:rPr>
          <w:b/>
          <w:color w:val="000000"/>
        </w:rPr>
      </w:pPr>
    </w:p>
    <w:p w14:paraId="394C2BC8" w14:textId="77777777" w:rsidR="00924593" w:rsidRDefault="00924593" w:rsidP="00924593">
      <w:pPr>
        <w:tabs>
          <w:tab w:val="left" w:pos="5812"/>
        </w:tabs>
        <w:spacing w:after="0" w:line="360" w:lineRule="auto"/>
        <w:jc w:val="both"/>
        <w:rPr>
          <w:b/>
          <w:color w:val="000000"/>
        </w:rPr>
      </w:pPr>
    </w:p>
    <w:p w14:paraId="3A385D57" w14:textId="77777777" w:rsidR="00924593" w:rsidRDefault="00924593" w:rsidP="00924593">
      <w:pPr>
        <w:tabs>
          <w:tab w:val="left" w:pos="5812"/>
        </w:tabs>
        <w:spacing w:after="0" w:line="360" w:lineRule="auto"/>
        <w:jc w:val="both"/>
        <w:rPr>
          <w:b/>
          <w:color w:val="000000"/>
        </w:rPr>
      </w:pPr>
    </w:p>
    <w:p w14:paraId="1F61A999" w14:textId="14CACFD8" w:rsidR="00924593" w:rsidRDefault="00924593" w:rsidP="00924593">
      <w:pPr>
        <w:tabs>
          <w:tab w:val="left" w:pos="5812"/>
        </w:tabs>
        <w:spacing w:after="0" w:line="360" w:lineRule="auto"/>
        <w:jc w:val="both"/>
        <w:rPr>
          <w:b/>
          <w:color w:val="000000"/>
        </w:rPr>
      </w:pPr>
    </w:p>
    <w:p w14:paraId="43944E29" w14:textId="77777777" w:rsidR="00924593" w:rsidRDefault="00924593" w:rsidP="00924593">
      <w:pPr>
        <w:tabs>
          <w:tab w:val="left" w:pos="5812"/>
        </w:tabs>
        <w:spacing w:after="0" w:line="360" w:lineRule="auto"/>
        <w:jc w:val="both"/>
        <w:rPr>
          <w:b/>
          <w:color w:val="000000"/>
        </w:rPr>
      </w:pPr>
    </w:p>
    <w:p w14:paraId="21477C14" w14:textId="77777777" w:rsidR="00924593" w:rsidRDefault="00924593" w:rsidP="00924593">
      <w:pPr>
        <w:tabs>
          <w:tab w:val="left" w:pos="5812"/>
        </w:tabs>
        <w:spacing w:after="0" w:line="360" w:lineRule="auto"/>
        <w:jc w:val="both"/>
        <w:rPr>
          <w:b/>
          <w:color w:val="000000"/>
        </w:rPr>
      </w:pPr>
    </w:p>
    <w:p w14:paraId="3E70C220" w14:textId="77777777" w:rsidR="00924593" w:rsidRDefault="00924593" w:rsidP="00924593">
      <w:pPr>
        <w:tabs>
          <w:tab w:val="left" w:pos="5812"/>
        </w:tabs>
        <w:spacing w:after="0" w:line="360" w:lineRule="auto"/>
        <w:jc w:val="both"/>
        <w:rPr>
          <w:b/>
          <w:color w:val="000000"/>
        </w:rPr>
      </w:pPr>
      <w:r>
        <w:rPr>
          <w:b/>
          <w:noProof/>
          <w:color w:val="000000"/>
        </w:rPr>
        <w:drawing>
          <wp:anchor distT="0" distB="0" distL="114300" distR="114300" simplePos="0" relativeHeight="251713536" behindDoc="0" locked="0" layoutInCell="1" allowOverlap="1" wp14:anchorId="69F31990" wp14:editId="2E289942">
            <wp:simplePos x="0" y="0"/>
            <wp:positionH relativeFrom="column">
              <wp:posOffset>65405</wp:posOffset>
            </wp:positionH>
            <wp:positionV relativeFrom="paragraph">
              <wp:posOffset>223520</wp:posOffset>
            </wp:positionV>
            <wp:extent cx="3971925" cy="2590800"/>
            <wp:effectExtent l="0" t="0" r="9525"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71925" cy="2590800"/>
                    </a:xfrm>
                    <a:prstGeom prst="rect">
                      <a:avLst/>
                    </a:prstGeom>
                    <a:noFill/>
                  </pic:spPr>
                </pic:pic>
              </a:graphicData>
            </a:graphic>
            <wp14:sizeRelH relativeFrom="page">
              <wp14:pctWidth>0</wp14:pctWidth>
            </wp14:sizeRelH>
            <wp14:sizeRelV relativeFrom="page">
              <wp14:pctHeight>0</wp14:pctHeight>
            </wp14:sizeRelV>
          </wp:anchor>
        </w:drawing>
      </w:r>
    </w:p>
    <w:p w14:paraId="06D40940" w14:textId="77777777" w:rsidR="00924593" w:rsidRDefault="00924593" w:rsidP="00924593">
      <w:pPr>
        <w:tabs>
          <w:tab w:val="left" w:pos="5812"/>
        </w:tabs>
        <w:spacing w:after="0" w:line="360" w:lineRule="auto"/>
        <w:jc w:val="both"/>
        <w:rPr>
          <w:b/>
          <w:color w:val="000000"/>
        </w:rPr>
      </w:pPr>
    </w:p>
    <w:p w14:paraId="0F73A04A" w14:textId="77777777" w:rsidR="00924593" w:rsidRDefault="00924593" w:rsidP="00924593">
      <w:pPr>
        <w:tabs>
          <w:tab w:val="left" w:pos="5812"/>
        </w:tabs>
        <w:spacing w:after="0" w:line="360" w:lineRule="auto"/>
        <w:jc w:val="both"/>
        <w:rPr>
          <w:b/>
          <w:color w:val="000000"/>
        </w:rPr>
      </w:pPr>
    </w:p>
    <w:p w14:paraId="61D8E7A9" w14:textId="77777777" w:rsidR="00924593" w:rsidRDefault="00924593" w:rsidP="00924593">
      <w:pPr>
        <w:tabs>
          <w:tab w:val="left" w:pos="5812"/>
        </w:tabs>
        <w:spacing w:after="0" w:line="360" w:lineRule="auto"/>
        <w:jc w:val="both"/>
        <w:rPr>
          <w:b/>
          <w:color w:val="000000"/>
        </w:rPr>
      </w:pPr>
    </w:p>
    <w:p w14:paraId="593C21C0" w14:textId="77777777" w:rsidR="00924593" w:rsidRPr="008460F8" w:rsidRDefault="00924593" w:rsidP="00924593">
      <w:pPr>
        <w:tabs>
          <w:tab w:val="left" w:pos="5812"/>
        </w:tabs>
        <w:spacing w:after="0" w:line="240" w:lineRule="auto"/>
        <w:jc w:val="both"/>
        <w:rPr>
          <w:color w:val="7F7F7F" w:themeColor="text1" w:themeTint="80"/>
        </w:rPr>
      </w:pPr>
      <w:r w:rsidRPr="008460F8">
        <w:rPr>
          <w:color w:val="7F7F7F" w:themeColor="text1" w:themeTint="80"/>
        </w:rPr>
        <w:t>Number of people by selected birthplace</w:t>
      </w:r>
      <w:r>
        <w:rPr>
          <w:color w:val="7F7F7F" w:themeColor="text1" w:themeTint="80"/>
        </w:rPr>
        <w:t xml:space="preserve"> </w:t>
      </w:r>
      <w:r w:rsidRPr="008460F8">
        <w:rPr>
          <w:color w:val="7F7F7F" w:themeColor="text1" w:themeTint="80"/>
        </w:rPr>
        <w:t xml:space="preserve">who adhere to </w:t>
      </w:r>
      <w:r>
        <w:rPr>
          <w:color w:val="7F7F7F" w:themeColor="text1" w:themeTint="80"/>
        </w:rPr>
        <w:t>Hinduism:</w:t>
      </w:r>
      <w:r w:rsidRPr="008460F8">
        <w:rPr>
          <w:color w:val="7F7F7F" w:themeColor="text1" w:themeTint="80"/>
        </w:rPr>
        <w:t xml:space="preserve"> Greater Dandenong, 2021</w:t>
      </w:r>
    </w:p>
    <w:p w14:paraId="72E7970B" w14:textId="77777777" w:rsidR="00924593" w:rsidRDefault="00924593" w:rsidP="00924593">
      <w:pPr>
        <w:tabs>
          <w:tab w:val="left" w:pos="5812"/>
        </w:tabs>
        <w:spacing w:after="0" w:line="360" w:lineRule="auto"/>
        <w:jc w:val="both"/>
        <w:rPr>
          <w:b/>
          <w:color w:val="000000"/>
        </w:rPr>
      </w:pPr>
    </w:p>
    <w:p w14:paraId="399A6819" w14:textId="77777777" w:rsidR="00924593" w:rsidRDefault="00924593" w:rsidP="00924593">
      <w:pPr>
        <w:tabs>
          <w:tab w:val="left" w:pos="5812"/>
        </w:tabs>
        <w:spacing w:after="0" w:line="360" w:lineRule="auto"/>
        <w:jc w:val="both"/>
        <w:rPr>
          <w:b/>
          <w:color w:val="000000"/>
        </w:rPr>
      </w:pPr>
    </w:p>
    <w:p w14:paraId="73985E85" w14:textId="77777777" w:rsidR="00924593" w:rsidRDefault="00924593" w:rsidP="00924593">
      <w:pPr>
        <w:tabs>
          <w:tab w:val="left" w:pos="5812"/>
        </w:tabs>
        <w:spacing w:after="0" w:line="360" w:lineRule="auto"/>
        <w:jc w:val="both"/>
        <w:rPr>
          <w:b/>
          <w:color w:val="000000"/>
        </w:rPr>
      </w:pPr>
    </w:p>
    <w:p w14:paraId="376F138C" w14:textId="77777777" w:rsidR="00924593" w:rsidRDefault="00924593" w:rsidP="00924593">
      <w:pPr>
        <w:tabs>
          <w:tab w:val="left" w:pos="5812"/>
        </w:tabs>
        <w:spacing w:after="0" w:line="360" w:lineRule="auto"/>
        <w:jc w:val="both"/>
        <w:rPr>
          <w:b/>
          <w:color w:val="000000"/>
        </w:rPr>
      </w:pPr>
    </w:p>
    <w:p w14:paraId="1A6259FF" w14:textId="77777777" w:rsidR="00924593" w:rsidRDefault="00924593" w:rsidP="00924593">
      <w:pPr>
        <w:tabs>
          <w:tab w:val="left" w:pos="5812"/>
        </w:tabs>
        <w:spacing w:after="0" w:line="360" w:lineRule="auto"/>
        <w:jc w:val="both"/>
        <w:rPr>
          <w:b/>
          <w:color w:val="000000"/>
        </w:rPr>
      </w:pPr>
    </w:p>
    <w:p w14:paraId="46C5BB5C" w14:textId="77777777" w:rsidR="00924593" w:rsidRDefault="00924593" w:rsidP="00924593">
      <w:pPr>
        <w:tabs>
          <w:tab w:val="left" w:pos="5812"/>
        </w:tabs>
        <w:spacing w:after="0" w:line="360" w:lineRule="auto"/>
        <w:jc w:val="both"/>
        <w:rPr>
          <w:b/>
          <w:color w:val="000000"/>
        </w:rPr>
      </w:pPr>
    </w:p>
    <w:p w14:paraId="7A365B25" w14:textId="77777777" w:rsidR="00924593" w:rsidRDefault="00924593" w:rsidP="00924593">
      <w:pPr>
        <w:tabs>
          <w:tab w:val="left" w:pos="5812"/>
        </w:tabs>
        <w:spacing w:after="0" w:line="360" w:lineRule="auto"/>
        <w:jc w:val="both"/>
        <w:rPr>
          <w:b/>
          <w:color w:val="000000"/>
        </w:rPr>
      </w:pPr>
    </w:p>
    <w:p w14:paraId="0AAC4B59" w14:textId="4DD86F70" w:rsidR="00924593" w:rsidRPr="00B038DB" w:rsidRDefault="00924593" w:rsidP="00924593">
      <w:pPr>
        <w:tabs>
          <w:tab w:val="left" w:pos="5812"/>
        </w:tabs>
        <w:spacing w:after="0" w:line="360" w:lineRule="auto"/>
        <w:jc w:val="both"/>
        <w:rPr>
          <w:bCs/>
          <w:i/>
          <w:iCs/>
          <w:color w:val="000000"/>
        </w:rPr>
      </w:pPr>
      <w:r w:rsidRPr="00B038DB">
        <w:rPr>
          <w:bCs/>
          <w:i/>
          <w:iCs/>
          <w:color w:val="000000"/>
        </w:rPr>
        <w:lastRenderedPageBreak/>
        <w:t>Detailed Faith Groups</w:t>
      </w:r>
    </w:p>
    <w:p w14:paraId="0ED342E4" w14:textId="76BDEC8E" w:rsidR="00924593" w:rsidRDefault="00924593" w:rsidP="00924593">
      <w:pPr>
        <w:spacing w:after="0" w:line="360" w:lineRule="auto"/>
      </w:pPr>
      <w:r>
        <w:rPr>
          <w:b/>
          <w:noProof/>
          <w:color w:val="000000"/>
        </w:rPr>
        <w:drawing>
          <wp:anchor distT="0" distB="0" distL="114300" distR="114300" simplePos="0" relativeHeight="251714560" behindDoc="0" locked="0" layoutInCell="1" allowOverlap="1" wp14:anchorId="668C3AB0" wp14:editId="62361230">
            <wp:simplePos x="0" y="0"/>
            <wp:positionH relativeFrom="column">
              <wp:posOffset>22844</wp:posOffset>
            </wp:positionH>
            <wp:positionV relativeFrom="paragraph">
              <wp:posOffset>4925</wp:posOffset>
            </wp:positionV>
            <wp:extent cx="4611370" cy="8637905"/>
            <wp:effectExtent l="0" t="0" r="0" b="0"/>
            <wp:wrapSquare wrapText="bothSides"/>
            <wp:docPr id="46" name="Picture 4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diagram&#10;&#10;Description automatically generated"/>
                    <pic:cNvPicPr>
                      <a:picLocks noChangeAspect="1" noChangeArrowheads="1"/>
                    </pic:cNvPicPr>
                  </pic:nvPicPr>
                  <pic:blipFill rotWithShape="1">
                    <a:blip r:embed="rId71">
                      <a:extLst>
                        <a:ext uri="{28A0092B-C50C-407E-A947-70E740481C1C}">
                          <a14:useLocalDpi xmlns:a14="http://schemas.microsoft.com/office/drawing/2010/main" val="0"/>
                        </a:ext>
                      </a:extLst>
                    </a:blip>
                    <a:srcRect b="49749"/>
                    <a:stretch/>
                  </pic:blipFill>
                  <pic:spPr bwMode="auto">
                    <a:xfrm>
                      <a:off x="0" y="0"/>
                      <a:ext cx="4611370" cy="8637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 selection of the major faith groups in Greater Dandenong, featuring detailed denominations of Christianity and based on the findings of the 2021 Census, is illustrated at left.</w:t>
      </w:r>
    </w:p>
    <w:p w14:paraId="59B9E916" w14:textId="69B4D680" w:rsidR="00924593" w:rsidRDefault="00924593" w:rsidP="00924593">
      <w:pPr>
        <w:tabs>
          <w:tab w:val="left" w:pos="5812"/>
        </w:tabs>
        <w:spacing w:after="0" w:line="360" w:lineRule="auto"/>
        <w:jc w:val="both"/>
        <w:rPr>
          <w:b/>
          <w:color w:val="000000"/>
        </w:rPr>
      </w:pPr>
    </w:p>
    <w:p w14:paraId="4C2FDD0A" w14:textId="77777777" w:rsidR="00924593" w:rsidRDefault="00924593" w:rsidP="00924593">
      <w:pPr>
        <w:tabs>
          <w:tab w:val="left" w:pos="5812"/>
        </w:tabs>
        <w:spacing w:after="0" w:line="360" w:lineRule="auto"/>
        <w:jc w:val="both"/>
        <w:rPr>
          <w:b/>
          <w:color w:val="000000"/>
        </w:rPr>
      </w:pPr>
    </w:p>
    <w:p w14:paraId="633F9F9F" w14:textId="77777777" w:rsidR="00924593" w:rsidRDefault="00924593" w:rsidP="00924593">
      <w:pPr>
        <w:tabs>
          <w:tab w:val="left" w:pos="5812"/>
        </w:tabs>
        <w:spacing w:after="0" w:line="360" w:lineRule="auto"/>
        <w:jc w:val="both"/>
        <w:rPr>
          <w:b/>
          <w:color w:val="000000"/>
        </w:rPr>
      </w:pPr>
    </w:p>
    <w:p w14:paraId="1ADB928C" w14:textId="77777777" w:rsidR="00924593" w:rsidRDefault="00924593" w:rsidP="00924593">
      <w:pPr>
        <w:tabs>
          <w:tab w:val="left" w:pos="5812"/>
        </w:tabs>
        <w:spacing w:after="0" w:line="360" w:lineRule="auto"/>
        <w:jc w:val="both"/>
        <w:rPr>
          <w:b/>
          <w:color w:val="000000"/>
        </w:rPr>
      </w:pPr>
    </w:p>
    <w:p w14:paraId="7491BB08" w14:textId="77777777" w:rsidR="00924593" w:rsidRDefault="00924593" w:rsidP="00924593">
      <w:pPr>
        <w:tabs>
          <w:tab w:val="left" w:pos="5812"/>
        </w:tabs>
        <w:spacing w:after="0" w:line="360" w:lineRule="auto"/>
        <w:jc w:val="both"/>
        <w:rPr>
          <w:b/>
          <w:color w:val="000000"/>
        </w:rPr>
      </w:pPr>
    </w:p>
    <w:p w14:paraId="15C10843" w14:textId="77777777" w:rsidR="00924593" w:rsidRDefault="00924593" w:rsidP="00924593">
      <w:pPr>
        <w:tabs>
          <w:tab w:val="left" w:pos="5812"/>
        </w:tabs>
        <w:spacing w:after="0" w:line="360" w:lineRule="auto"/>
        <w:jc w:val="both"/>
        <w:rPr>
          <w:b/>
          <w:color w:val="000000"/>
        </w:rPr>
      </w:pPr>
    </w:p>
    <w:p w14:paraId="2966AA9D" w14:textId="77777777" w:rsidR="00924593" w:rsidRDefault="00924593" w:rsidP="00924593">
      <w:pPr>
        <w:tabs>
          <w:tab w:val="left" w:pos="5812"/>
        </w:tabs>
        <w:spacing w:after="0" w:line="360" w:lineRule="auto"/>
        <w:jc w:val="both"/>
        <w:rPr>
          <w:b/>
          <w:color w:val="000000"/>
        </w:rPr>
      </w:pPr>
    </w:p>
    <w:p w14:paraId="62AC0C52" w14:textId="77777777" w:rsidR="00924593" w:rsidRDefault="00924593" w:rsidP="00924593">
      <w:pPr>
        <w:tabs>
          <w:tab w:val="left" w:pos="5812"/>
        </w:tabs>
        <w:spacing w:after="0" w:line="360" w:lineRule="auto"/>
        <w:jc w:val="both"/>
        <w:rPr>
          <w:b/>
          <w:color w:val="000000"/>
        </w:rPr>
      </w:pPr>
    </w:p>
    <w:p w14:paraId="7D6183F8" w14:textId="77777777" w:rsidR="00924593" w:rsidRDefault="00924593" w:rsidP="00924593">
      <w:pPr>
        <w:tabs>
          <w:tab w:val="left" w:pos="5812"/>
        </w:tabs>
        <w:spacing w:after="0" w:line="360" w:lineRule="auto"/>
        <w:jc w:val="both"/>
        <w:rPr>
          <w:b/>
          <w:color w:val="000000"/>
        </w:rPr>
      </w:pPr>
    </w:p>
    <w:p w14:paraId="2110CDA9" w14:textId="77777777" w:rsidR="00924593" w:rsidRDefault="00924593" w:rsidP="00924593">
      <w:pPr>
        <w:tabs>
          <w:tab w:val="left" w:pos="5812"/>
        </w:tabs>
        <w:spacing w:after="0" w:line="360" w:lineRule="auto"/>
        <w:jc w:val="both"/>
        <w:rPr>
          <w:b/>
          <w:color w:val="000000"/>
        </w:rPr>
      </w:pPr>
    </w:p>
    <w:p w14:paraId="1CAE9CF2" w14:textId="77777777" w:rsidR="00924593" w:rsidRDefault="00924593" w:rsidP="00924593">
      <w:pPr>
        <w:tabs>
          <w:tab w:val="left" w:pos="5812"/>
        </w:tabs>
        <w:spacing w:after="0" w:line="360" w:lineRule="auto"/>
        <w:jc w:val="both"/>
        <w:rPr>
          <w:b/>
          <w:color w:val="000000"/>
        </w:rPr>
      </w:pPr>
    </w:p>
    <w:p w14:paraId="71C7AD81" w14:textId="77777777" w:rsidR="00924593" w:rsidRDefault="00924593" w:rsidP="00924593">
      <w:pPr>
        <w:tabs>
          <w:tab w:val="left" w:pos="5812"/>
        </w:tabs>
        <w:spacing w:after="0" w:line="360" w:lineRule="auto"/>
        <w:jc w:val="both"/>
        <w:rPr>
          <w:b/>
          <w:color w:val="000000"/>
        </w:rPr>
      </w:pPr>
    </w:p>
    <w:p w14:paraId="1458138B" w14:textId="77777777" w:rsidR="00924593" w:rsidRPr="000417D4" w:rsidRDefault="00924593" w:rsidP="00924593">
      <w:pPr>
        <w:tabs>
          <w:tab w:val="left" w:pos="5812"/>
        </w:tabs>
        <w:spacing w:after="0" w:line="240" w:lineRule="auto"/>
        <w:jc w:val="both"/>
        <w:rPr>
          <w:bCs/>
          <w:color w:val="7F7F7F" w:themeColor="text1" w:themeTint="80"/>
        </w:rPr>
      </w:pPr>
      <w:r w:rsidRPr="000417D4">
        <w:rPr>
          <w:bCs/>
          <w:color w:val="7F7F7F" w:themeColor="text1" w:themeTint="80"/>
        </w:rPr>
        <w:t>Detailed categories of religious faith: Greater Dand</w:t>
      </w:r>
      <w:r>
        <w:rPr>
          <w:bCs/>
          <w:color w:val="7F7F7F" w:themeColor="text1" w:themeTint="80"/>
        </w:rPr>
        <w:t>e</w:t>
      </w:r>
      <w:r w:rsidRPr="000417D4">
        <w:rPr>
          <w:bCs/>
          <w:color w:val="7F7F7F" w:themeColor="text1" w:themeTint="80"/>
        </w:rPr>
        <w:t>nong, 2021</w:t>
      </w:r>
    </w:p>
    <w:p w14:paraId="11F281B5" w14:textId="77777777" w:rsidR="00924593" w:rsidRDefault="00924593" w:rsidP="00924593">
      <w:pPr>
        <w:tabs>
          <w:tab w:val="left" w:pos="5812"/>
        </w:tabs>
        <w:spacing w:after="0" w:line="360" w:lineRule="auto"/>
        <w:jc w:val="both"/>
        <w:rPr>
          <w:b/>
          <w:color w:val="000000"/>
        </w:rPr>
      </w:pPr>
    </w:p>
    <w:p w14:paraId="1F66B7CD" w14:textId="77777777" w:rsidR="00924593" w:rsidRDefault="00924593" w:rsidP="00924593">
      <w:pPr>
        <w:tabs>
          <w:tab w:val="left" w:pos="5812"/>
        </w:tabs>
        <w:spacing w:after="0" w:line="360" w:lineRule="auto"/>
        <w:jc w:val="both"/>
        <w:rPr>
          <w:b/>
          <w:color w:val="000000"/>
        </w:rPr>
      </w:pPr>
    </w:p>
    <w:p w14:paraId="42A5EC0B" w14:textId="77777777" w:rsidR="00924593" w:rsidRDefault="00924593" w:rsidP="00924593">
      <w:pPr>
        <w:tabs>
          <w:tab w:val="left" w:pos="5812"/>
        </w:tabs>
        <w:spacing w:after="0" w:line="360" w:lineRule="auto"/>
        <w:jc w:val="both"/>
        <w:rPr>
          <w:b/>
          <w:color w:val="000000"/>
        </w:rPr>
      </w:pPr>
    </w:p>
    <w:p w14:paraId="725D4127" w14:textId="77777777" w:rsidR="00924593" w:rsidRDefault="00924593" w:rsidP="00924593">
      <w:pPr>
        <w:tabs>
          <w:tab w:val="left" w:pos="5812"/>
        </w:tabs>
        <w:spacing w:after="0" w:line="360" w:lineRule="auto"/>
        <w:jc w:val="both"/>
        <w:rPr>
          <w:b/>
          <w:color w:val="000000"/>
        </w:rPr>
      </w:pPr>
    </w:p>
    <w:p w14:paraId="7E99693A" w14:textId="77777777" w:rsidR="00924593" w:rsidRDefault="00924593" w:rsidP="00924593">
      <w:pPr>
        <w:tabs>
          <w:tab w:val="left" w:pos="5812"/>
        </w:tabs>
        <w:spacing w:after="0" w:line="360" w:lineRule="auto"/>
        <w:jc w:val="both"/>
        <w:rPr>
          <w:b/>
          <w:color w:val="000000"/>
        </w:rPr>
      </w:pPr>
    </w:p>
    <w:p w14:paraId="5E66E435" w14:textId="77777777" w:rsidR="00924593" w:rsidRDefault="00924593" w:rsidP="00924593">
      <w:pPr>
        <w:tabs>
          <w:tab w:val="left" w:pos="5812"/>
        </w:tabs>
        <w:spacing w:after="0" w:line="360" w:lineRule="auto"/>
        <w:jc w:val="both"/>
        <w:rPr>
          <w:b/>
          <w:color w:val="000000"/>
        </w:rPr>
      </w:pPr>
    </w:p>
    <w:p w14:paraId="2C4DB520" w14:textId="77777777" w:rsidR="00924593" w:rsidRDefault="00924593" w:rsidP="00924593">
      <w:pPr>
        <w:tabs>
          <w:tab w:val="left" w:pos="5812"/>
        </w:tabs>
        <w:spacing w:after="0" w:line="360" w:lineRule="auto"/>
        <w:jc w:val="both"/>
        <w:rPr>
          <w:b/>
          <w:color w:val="000000"/>
        </w:rPr>
      </w:pPr>
    </w:p>
    <w:p w14:paraId="3C2A475F" w14:textId="6F290835" w:rsidR="00924593" w:rsidRDefault="00924593">
      <w:pPr>
        <w:rPr>
          <w:b/>
          <w:color w:val="000000"/>
        </w:rPr>
      </w:pPr>
      <w:r>
        <w:rPr>
          <w:b/>
          <w:color w:val="000000"/>
        </w:rPr>
        <w:br w:type="page"/>
      </w:r>
    </w:p>
    <w:p w14:paraId="631FDC24" w14:textId="77777777" w:rsidR="00FB7C6B" w:rsidRPr="00FB23B1" w:rsidRDefault="00FB7C6B" w:rsidP="00FB7C6B">
      <w:pPr>
        <w:pBdr>
          <w:top w:val="single" w:sz="4" w:space="1" w:color="auto"/>
          <w:bottom w:val="single" w:sz="4" w:space="1" w:color="auto"/>
        </w:pBdr>
        <w:tabs>
          <w:tab w:val="center" w:pos="4678"/>
        </w:tabs>
        <w:jc w:val="center"/>
        <w:rPr>
          <w:rFonts w:ascii="Calibri" w:hAnsi="Calibri"/>
          <w:sz w:val="32"/>
          <w:szCs w:val="32"/>
        </w:rPr>
      </w:pPr>
      <w:r>
        <w:rPr>
          <w:rFonts w:ascii="Calibri" w:hAnsi="Calibri"/>
          <w:noProof/>
          <w:sz w:val="32"/>
          <w:szCs w:val="32"/>
        </w:rPr>
        <w:lastRenderedPageBreak/>
        <w:t>Aboriginal</w:t>
      </w:r>
      <w:r w:rsidRPr="00FB23B1">
        <w:rPr>
          <w:rFonts w:ascii="Calibri" w:hAnsi="Calibri"/>
          <w:noProof/>
          <w:sz w:val="32"/>
          <w:szCs w:val="32"/>
        </w:rPr>
        <w:t xml:space="preserve"> </w:t>
      </w:r>
      <w:r>
        <w:rPr>
          <w:rFonts w:ascii="Calibri" w:hAnsi="Calibri"/>
          <w:noProof/>
          <w:sz w:val="32"/>
          <w:szCs w:val="32"/>
        </w:rPr>
        <w:t xml:space="preserve">and Torres Strait Islander </w:t>
      </w:r>
      <w:r w:rsidRPr="00FB23B1">
        <w:rPr>
          <w:rFonts w:ascii="Calibri" w:hAnsi="Calibri"/>
          <w:noProof/>
          <w:sz w:val="32"/>
          <w:szCs w:val="32"/>
        </w:rPr>
        <w:t>Residents</w:t>
      </w:r>
    </w:p>
    <w:p w14:paraId="584D3A80" w14:textId="77777777" w:rsidR="00FB7C6B" w:rsidRPr="00D03334" w:rsidRDefault="00FB7C6B" w:rsidP="00FB7C6B">
      <w:pPr>
        <w:spacing w:after="0" w:line="360" w:lineRule="auto"/>
        <w:jc w:val="both"/>
        <w:rPr>
          <w:b/>
          <w:sz w:val="10"/>
          <w:szCs w:val="10"/>
        </w:rPr>
      </w:pPr>
      <w:r>
        <w:rPr>
          <w:rFonts w:ascii="Calibri" w:hAnsi="Calibri"/>
          <w:b/>
          <w:noProof/>
          <w:lang w:eastAsia="en-AU"/>
        </w:rPr>
        <w:drawing>
          <wp:anchor distT="0" distB="0" distL="114300" distR="114300" simplePos="0" relativeHeight="251723776" behindDoc="1" locked="0" layoutInCell="1" allowOverlap="1" wp14:anchorId="0A7D11AB" wp14:editId="7B1B7235">
            <wp:simplePos x="0" y="0"/>
            <wp:positionH relativeFrom="column">
              <wp:posOffset>4654550</wp:posOffset>
            </wp:positionH>
            <wp:positionV relativeFrom="paragraph">
              <wp:posOffset>19050</wp:posOffset>
            </wp:positionV>
            <wp:extent cx="1587500" cy="1009650"/>
            <wp:effectExtent l="0" t="0" r="0" b="0"/>
            <wp:wrapTight wrapText="bothSides">
              <wp:wrapPolygon edited="0">
                <wp:start x="1037" y="0"/>
                <wp:lineTo x="0" y="815"/>
                <wp:lineTo x="0" y="19970"/>
                <wp:lineTo x="778" y="21192"/>
                <wp:lineTo x="1037" y="21192"/>
                <wp:lineTo x="20218" y="21192"/>
                <wp:lineTo x="20477" y="21192"/>
                <wp:lineTo x="21254" y="19970"/>
                <wp:lineTo x="21254" y="815"/>
                <wp:lineTo x="20218" y="0"/>
                <wp:lineTo x="1037" y="0"/>
              </wp:wrapPolygon>
            </wp:wrapTight>
            <wp:docPr id="59" name="Picture 16" descr="Ch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Child 1"/>
                    <pic:cNvPicPr>
                      <a:picLocks noChangeAspect="1" noChangeArrowheads="1"/>
                    </pic:cNvPicPr>
                  </pic:nvPicPr>
                  <pic:blipFill>
                    <a:blip r:embed="rId72" cstate="print"/>
                    <a:srcRect/>
                    <a:stretch>
                      <a:fillRect/>
                    </a:stretch>
                  </pic:blipFill>
                  <pic:spPr bwMode="auto">
                    <a:xfrm>
                      <a:off x="0" y="0"/>
                      <a:ext cx="1587500" cy="10096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25CA3025" w14:textId="77777777" w:rsidR="00FB7C6B" w:rsidRPr="000767DC" w:rsidRDefault="00FB7C6B" w:rsidP="00FB7C6B">
      <w:pPr>
        <w:spacing w:after="0" w:line="360" w:lineRule="auto"/>
        <w:jc w:val="both"/>
        <w:rPr>
          <w:rFonts w:ascii="Calibri" w:hAnsi="Calibri"/>
          <w:b/>
        </w:rPr>
      </w:pPr>
      <w:r w:rsidRPr="000767DC">
        <w:rPr>
          <w:rFonts w:ascii="Calibri" w:hAnsi="Calibri"/>
          <w:b/>
        </w:rPr>
        <w:t>Population</w:t>
      </w:r>
    </w:p>
    <w:p w14:paraId="58A5C7A4" w14:textId="77777777" w:rsidR="00FB7C6B" w:rsidRPr="0067755C" w:rsidRDefault="00FB7C6B" w:rsidP="00FB7C6B">
      <w:pPr>
        <w:spacing w:after="0" w:line="360" w:lineRule="auto"/>
        <w:jc w:val="both"/>
        <w:rPr>
          <w:rFonts w:ascii="Calibri" w:hAnsi="Calibri"/>
        </w:rPr>
      </w:pPr>
      <w:r>
        <w:rPr>
          <w:rFonts w:ascii="Calibri" w:hAnsi="Calibri"/>
        </w:rPr>
        <w:t>In the past forty years, the</w:t>
      </w:r>
      <w:r w:rsidRPr="0067755C">
        <w:rPr>
          <w:rFonts w:ascii="Calibri" w:hAnsi="Calibri"/>
        </w:rPr>
        <w:t xml:space="preserve"> number of </w:t>
      </w:r>
      <w:r>
        <w:rPr>
          <w:rFonts w:ascii="Calibri" w:hAnsi="Calibri"/>
        </w:rPr>
        <w:t>Aboriginal and Torres Strait Islanders</w:t>
      </w:r>
      <w:r w:rsidRPr="0067755C">
        <w:rPr>
          <w:rFonts w:ascii="Calibri" w:hAnsi="Calibri"/>
        </w:rPr>
        <w:t xml:space="preserve"> </w:t>
      </w:r>
      <w:r>
        <w:rPr>
          <w:rFonts w:ascii="Calibri" w:hAnsi="Calibri"/>
        </w:rPr>
        <w:t>recorded</w:t>
      </w:r>
      <w:r w:rsidRPr="0067755C">
        <w:rPr>
          <w:rFonts w:ascii="Calibri" w:hAnsi="Calibri"/>
        </w:rPr>
        <w:t xml:space="preserve"> by the Census in Greater Dandenong </w:t>
      </w:r>
      <w:r>
        <w:rPr>
          <w:rFonts w:ascii="Calibri" w:hAnsi="Calibri"/>
        </w:rPr>
        <w:t>increased four-fold,</w:t>
      </w:r>
      <w:r w:rsidRPr="0067755C">
        <w:rPr>
          <w:rFonts w:ascii="Calibri" w:hAnsi="Calibri"/>
        </w:rPr>
        <w:t xml:space="preserve"> from 150 in 1981, to </w:t>
      </w:r>
      <w:r>
        <w:rPr>
          <w:rFonts w:ascii="Calibri" w:hAnsi="Calibri"/>
        </w:rPr>
        <w:t xml:space="preserve">615 </w:t>
      </w:r>
      <w:r w:rsidRPr="0067755C">
        <w:rPr>
          <w:rFonts w:ascii="Calibri" w:hAnsi="Calibri"/>
        </w:rPr>
        <w:t>by 20</w:t>
      </w:r>
      <w:r>
        <w:rPr>
          <w:rFonts w:ascii="Calibri" w:hAnsi="Calibri"/>
        </w:rPr>
        <w:t>21</w:t>
      </w:r>
      <w:r w:rsidRPr="0067755C">
        <w:rPr>
          <w:rFonts w:ascii="Calibri" w:hAnsi="Calibri"/>
        </w:rPr>
        <w:t xml:space="preserve">, </w:t>
      </w:r>
      <w:r>
        <w:rPr>
          <w:rFonts w:ascii="Calibri" w:hAnsi="Calibri"/>
        </w:rPr>
        <w:t>representing</w:t>
      </w:r>
      <w:r w:rsidRPr="0067755C">
        <w:rPr>
          <w:rFonts w:ascii="Calibri" w:hAnsi="Calibri"/>
        </w:rPr>
        <w:t xml:space="preserve"> 0.</w:t>
      </w:r>
      <w:r>
        <w:rPr>
          <w:rFonts w:ascii="Calibri" w:hAnsi="Calibri"/>
        </w:rPr>
        <w:t>4% of the population</w:t>
      </w:r>
      <w:r w:rsidRPr="0067755C">
        <w:rPr>
          <w:rFonts w:ascii="Calibri" w:hAnsi="Calibri"/>
        </w:rPr>
        <w:t>. Within this city and its adjoining municipalities</w:t>
      </w:r>
      <w:r>
        <w:rPr>
          <w:rStyle w:val="FootnoteReference"/>
          <w:rFonts w:ascii="Calibri" w:hAnsi="Calibri"/>
        </w:rPr>
        <w:footnoteReference w:id="4"/>
      </w:r>
      <w:r w:rsidRPr="0067755C">
        <w:rPr>
          <w:rFonts w:ascii="Calibri" w:hAnsi="Calibri"/>
        </w:rPr>
        <w:t>, the 20</w:t>
      </w:r>
      <w:r>
        <w:rPr>
          <w:rFonts w:ascii="Calibri" w:hAnsi="Calibri"/>
        </w:rPr>
        <w:t>21</w:t>
      </w:r>
      <w:r w:rsidRPr="0067755C">
        <w:rPr>
          <w:rFonts w:ascii="Calibri" w:hAnsi="Calibri"/>
        </w:rPr>
        <w:t xml:space="preserve"> Census recorded </w:t>
      </w:r>
      <w:r>
        <w:rPr>
          <w:rFonts w:ascii="Calibri" w:hAnsi="Calibri"/>
        </w:rPr>
        <w:t>7,076 Aboriginal</w:t>
      </w:r>
      <w:r w:rsidRPr="0067755C">
        <w:rPr>
          <w:rFonts w:ascii="Calibri" w:hAnsi="Calibri"/>
        </w:rPr>
        <w:t xml:space="preserve"> residents.</w:t>
      </w:r>
      <w:r>
        <w:rPr>
          <w:rFonts w:ascii="Calibri" w:hAnsi="Calibri"/>
        </w:rPr>
        <w:t xml:space="preserve"> </w:t>
      </w:r>
    </w:p>
    <w:p w14:paraId="6AE8D45D" w14:textId="77777777" w:rsidR="00FB7C6B" w:rsidRPr="0059548B" w:rsidRDefault="00FB7C6B" w:rsidP="00FB7C6B">
      <w:pPr>
        <w:spacing w:after="0" w:line="240" w:lineRule="auto"/>
        <w:jc w:val="both"/>
        <w:rPr>
          <w:rFonts w:ascii="Calibri" w:hAnsi="Calibri"/>
          <w:color w:val="808080"/>
          <w:sz w:val="20"/>
          <w:szCs w:val="20"/>
        </w:rPr>
      </w:pPr>
      <w:r w:rsidRPr="0059548B">
        <w:rPr>
          <w:rFonts w:ascii="Calibri" w:hAnsi="Calibri"/>
          <w:color w:val="808080"/>
          <w:sz w:val="20"/>
          <w:szCs w:val="20"/>
        </w:rPr>
        <w:t xml:space="preserve">Per cent of Population by Age: </w:t>
      </w:r>
      <w:r>
        <w:rPr>
          <w:rFonts w:ascii="Calibri" w:hAnsi="Calibri"/>
          <w:color w:val="808080"/>
          <w:sz w:val="20"/>
          <w:szCs w:val="20"/>
        </w:rPr>
        <w:t>Aboriginal</w:t>
      </w:r>
      <w:r w:rsidRPr="0059548B">
        <w:rPr>
          <w:rFonts w:ascii="Calibri" w:hAnsi="Calibri"/>
          <w:color w:val="808080"/>
          <w:sz w:val="20"/>
          <w:szCs w:val="20"/>
        </w:rPr>
        <w:t xml:space="preserve"> and </w:t>
      </w:r>
    </w:p>
    <w:p w14:paraId="0127E24F" w14:textId="77777777" w:rsidR="00FB7C6B" w:rsidRPr="0059548B" w:rsidRDefault="00FB7C6B" w:rsidP="00FB7C6B">
      <w:pPr>
        <w:spacing w:after="0" w:line="240" w:lineRule="auto"/>
        <w:jc w:val="both"/>
        <w:rPr>
          <w:rFonts w:ascii="Calibri" w:hAnsi="Calibri"/>
          <w:color w:val="808080"/>
          <w:sz w:val="20"/>
          <w:szCs w:val="20"/>
        </w:rPr>
      </w:pPr>
      <w:r w:rsidRPr="0059548B">
        <w:rPr>
          <w:rFonts w:ascii="Calibri" w:hAnsi="Calibri"/>
          <w:color w:val="808080"/>
          <w:sz w:val="20"/>
          <w:szCs w:val="20"/>
        </w:rPr>
        <w:t>Non-</w:t>
      </w:r>
      <w:r>
        <w:rPr>
          <w:rFonts w:ascii="Calibri" w:hAnsi="Calibri"/>
          <w:color w:val="808080"/>
          <w:sz w:val="20"/>
          <w:szCs w:val="20"/>
        </w:rPr>
        <w:t>Aboriginal</w:t>
      </w:r>
      <w:r w:rsidRPr="0059548B">
        <w:rPr>
          <w:rFonts w:ascii="Calibri" w:hAnsi="Calibri"/>
          <w:color w:val="808080"/>
          <w:sz w:val="20"/>
          <w:szCs w:val="20"/>
        </w:rPr>
        <w:t xml:space="preserve"> Residents, Greater Dandenong, 20</w:t>
      </w:r>
      <w:r>
        <w:rPr>
          <w:rFonts w:ascii="Calibri" w:hAnsi="Calibri"/>
          <w:color w:val="808080"/>
          <w:sz w:val="20"/>
          <w:szCs w:val="20"/>
        </w:rPr>
        <w:t>21</w:t>
      </w:r>
    </w:p>
    <w:p w14:paraId="7221A12D" w14:textId="591BCE60" w:rsidR="00FB7C6B" w:rsidRDefault="00853861" w:rsidP="00FB7C6B">
      <w:pPr>
        <w:spacing w:after="0" w:line="360" w:lineRule="auto"/>
        <w:jc w:val="both"/>
        <w:rPr>
          <w:rFonts w:ascii="Calibri" w:hAnsi="Calibri"/>
        </w:rPr>
      </w:pPr>
      <w:r>
        <w:rPr>
          <w:rFonts w:ascii="Calibri" w:hAnsi="Calibri"/>
          <w:bCs/>
          <w:noProof/>
        </w:rPr>
        <w:drawing>
          <wp:anchor distT="0" distB="0" distL="114300" distR="114300" simplePos="0" relativeHeight="252083200" behindDoc="0" locked="0" layoutInCell="1" allowOverlap="1" wp14:anchorId="61F15186" wp14:editId="5EA946FF">
            <wp:simplePos x="0" y="0"/>
            <wp:positionH relativeFrom="column">
              <wp:posOffset>-952</wp:posOffset>
            </wp:positionH>
            <wp:positionV relativeFrom="paragraph">
              <wp:posOffset>953</wp:posOffset>
            </wp:positionV>
            <wp:extent cx="4257675" cy="2734547"/>
            <wp:effectExtent l="0" t="0" r="0" b="8890"/>
            <wp:wrapSquare wrapText="bothSides"/>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57675" cy="2734547"/>
                    </a:xfrm>
                    <a:prstGeom prst="rect">
                      <a:avLst/>
                    </a:prstGeom>
                    <a:noFill/>
                  </pic:spPr>
                </pic:pic>
              </a:graphicData>
            </a:graphic>
            <wp14:sizeRelH relativeFrom="page">
              <wp14:pctWidth>0</wp14:pctWidth>
            </wp14:sizeRelH>
            <wp14:sizeRelV relativeFrom="page">
              <wp14:pctHeight>0</wp14:pctHeight>
            </wp14:sizeRelV>
          </wp:anchor>
        </w:drawing>
      </w:r>
      <w:r w:rsidR="00FB7C6B" w:rsidRPr="00C15C53">
        <w:rPr>
          <w:rFonts w:ascii="Calibri" w:hAnsi="Calibri"/>
          <w:bCs/>
          <w:noProof/>
        </w:rPr>
        <w:t>Indigenous people</w:t>
      </w:r>
      <w:r w:rsidR="00FB7C6B" w:rsidRPr="00C15C53">
        <w:rPr>
          <w:rFonts w:ascii="Calibri" w:hAnsi="Calibri"/>
          <w:bCs/>
        </w:rPr>
        <w:t xml:space="preserve"> living</w:t>
      </w:r>
      <w:r w:rsidR="00FB7C6B" w:rsidRPr="0067755C">
        <w:rPr>
          <w:rFonts w:ascii="Calibri" w:hAnsi="Calibri"/>
        </w:rPr>
        <w:t xml:space="preserve"> in Greater Dandenong are relatively young, with </w:t>
      </w:r>
      <w:r w:rsidR="00FB7C6B">
        <w:rPr>
          <w:rFonts w:ascii="Calibri" w:hAnsi="Calibri"/>
        </w:rPr>
        <w:t xml:space="preserve">nearly half </w:t>
      </w:r>
      <w:r w:rsidR="00FB7C6B" w:rsidRPr="0067755C">
        <w:rPr>
          <w:rFonts w:ascii="Calibri" w:hAnsi="Calibri"/>
        </w:rPr>
        <w:t>(</w:t>
      </w:r>
      <w:r w:rsidR="00FB7C6B">
        <w:rPr>
          <w:rFonts w:ascii="Calibri" w:hAnsi="Calibri"/>
        </w:rPr>
        <w:t>45</w:t>
      </w:r>
      <w:r w:rsidR="00FB7C6B" w:rsidRPr="0067755C">
        <w:rPr>
          <w:rFonts w:ascii="Calibri" w:hAnsi="Calibri"/>
        </w:rPr>
        <w:t xml:space="preserve">%) aged less than </w:t>
      </w:r>
      <w:r w:rsidR="00FB7C6B">
        <w:rPr>
          <w:rFonts w:ascii="Calibri" w:hAnsi="Calibri"/>
        </w:rPr>
        <w:t xml:space="preserve">25 years, compared with 30% </w:t>
      </w:r>
      <w:r w:rsidR="00FB7C6B" w:rsidRPr="0067755C">
        <w:rPr>
          <w:rFonts w:ascii="Calibri" w:hAnsi="Calibri"/>
        </w:rPr>
        <w:t xml:space="preserve">of the general population. Conversely, </w:t>
      </w:r>
      <w:r w:rsidR="00FB7C6B">
        <w:rPr>
          <w:rFonts w:ascii="Calibri" w:hAnsi="Calibri"/>
        </w:rPr>
        <w:t>9</w:t>
      </w:r>
      <w:r w:rsidR="00FB7C6B" w:rsidRPr="0067755C">
        <w:rPr>
          <w:rFonts w:ascii="Calibri" w:hAnsi="Calibri"/>
        </w:rPr>
        <w:t>% are aged 65 years or more, compared with 1</w:t>
      </w:r>
      <w:r w:rsidR="00FB7C6B">
        <w:rPr>
          <w:rFonts w:ascii="Calibri" w:hAnsi="Calibri"/>
        </w:rPr>
        <w:t>6</w:t>
      </w:r>
      <w:r w:rsidR="00FB7C6B" w:rsidRPr="0067755C">
        <w:rPr>
          <w:rFonts w:ascii="Calibri" w:hAnsi="Calibri"/>
        </w:rPr>
        <w:t xml:space="preserve">% of </w:t>
      </w:r>
      <w:r w:rsidR="00FB7C6B">
        <w:rPr>
          <w:rFonts w:ascii="Calibri" w:hAnsi="Calibri"/>
        </w:rPr>
        <w:t xml:space="preserve">non-Aboriginal </w:t>
      </w:r>
      <w:r w:rsidR="00FB7C6B" w:rsidRPr="0067755C">
        <w:rPr>
          <w:rFonts w:ascii="Calibri" w:hAnsi="Calibri"/>
        </w:rPr>
        <w:t>residents.</w:t>
      </w:r>
      <w:r w:rsidR="00FB7C6B">
        <w:rPr>
          <w:rFonts w:ascii="Calibri" w:hAnsi="Calibri"/>
        </w:rPr>
        <w:t xml:space="preserve"> Their median age is 28 years, compared with 37 for the general population, reflecting their lower life expectancy and higher birth rates.</w:t>
      </w:r>
    </w:p>
    <w:p w14:paraId="0F312932" w14:textId="77777777" w:rsidR="00FB7C6B" w:rsidRDefault="00FB7C6B" w:rsidP="00FB7C6B">
      <w:pPr>
        <w:spacing w:after="0" w:line="360" w:lineRule="auto"/>
        <w:jc w:val="both"/>
        <w:rPr>
          <w:rFonts w:ascii="Calibri" w:hAnsi="Calibri"/>
          <w:b/>
        </w:rPr>
      </w:pPr>
    </w:p>
    <w:p w14:paraId="6C062D1E" w14:textId="77777777" w:rsidR="00FB7C6B" w:rsidRPr="00CB29A9" w:rsidRDefault="00FB7C6B" w:rsidP="00FB7C6B">
      <w:pPr>
        <w:tabs>
          <w:tab w:val="left" w:pos="4962"/>
        </w:tabs>
        <w:spacing w:after="0" w:line="240" w:lineRule="auto"/>
        <w:jc w:val="both"/>
        <w:rPr>
          <w:rFonts w:ascii="Calibri" w:hAnsi="Calibri"/>
        </w:rPr>
      </w:pPr>
      <w:r>
        <w:rPr>
          <w:rFonts w:ascii="Calibri" w:hAnsi="Calibri"/>
          <w:color w:val="808080"/>
          <w:sz w:val="20"/>
          <w:szCs w:val="20"/>
        </w:rPr>
        <w:tab/>
        <w:t>Families</w:t>
      </w:r>
      <w:r w:rsidRPr="00DB7E3A">
        <w:rPr>
          <w:rFonts w:ascii="Calibri" w:hAnsi="Calibri"/>
          <w:color w:val="808080"/>
          <w:sz w:val="20"/>
          <w:szCs w:val="20"/>
        </w:rPr>
        <w:t xml:space="preserve"> with Children by Type: </w:t>
      </w:r>
      <w:r>
        <w:rPr>
          <w:rFonts w:ascii="Calibri" w:hAnsi="Calibri"/>
          <w:color w:val="808080"/>
          <w:sz w:val="20"/>
          <w:szCs w:val="20"/>
        </w:rPr>
        <w:t>Aboriginal</w:t>
      </w:r>
      <w:r w:rsidRPr="00DB7E3A">
        <w:rPr>
          <w:rFonts w:ascii="Calibri" w:hAnsi="Calibri"/>
          <w:color w:val="808080"/>
          <w:sz w:val="20"/>
          <w:szCs w:val="20"/>
        </w:rPr>
        <w:t xml:space="preserve"> and</w:t>
      </w:r>
    </w:p>
    <w:p w14:paraId="43FDBC74" w14:textId="77777777" w:rsidR="00FB7C6B" w:rsidRDefault="00FB7C6B" w:rsidP="00FB7C6B">
      <w:pPr>
        <w:tabs>
          <w:tab w:val="left" w:pos="4962"/>
        </w:tabs>
        <w:spacing w:after="0" w:line="240" w:lineRule="auto"/>
        <w:jc w:val="both"/>
        <w:rPr>
          <w:rFonts w:ascii="Calibri" w:hAnsi="Calibri"/>
          <w:color w:val="808080"/>
          <w:sz w:val="20"/>
          <w:szCs w:val="20"/>
        </w:rPr>
      </w:pPr>
      <w:r w:rsidRPr="00441604">
        <w:rPr>
          <w:rFonts w:ascii="Calibri" w:hAnsi="Calibri"/>
          <w:b/>
          <w:color w:val="000000"/>
        </w:rPr>
        <w:t>Families</w:t>
      </w:r>
      <w:r>
        <w:rPr>
          <w:rFonts w:ascii="Calibri" w:hAnsi="Calibri"/>
          <w:color w:val="808080"/>
          <w:sz w:val="20"/>
          <w:szCs w:val="20"/>
        </w:rPr>
        <w:tab/>
        <w:t>n</w:t>
      </w:r>
      <w:r w:rsidRPr="00DB7E3A">
        <w:rPr>
          <w:rFonts w:ascii="Calibri" w:hAnsi="Calibri"/>
          <w:color w:val="808080"/>
          <w:sz w:val="20"/>
          <w:szCs w:val="20"/>
        </w:rPr>
        <w:t>on-</w:t>
      </w:r>
      <w:r>
        <w:rPr>
          <w:rFonts w:ascii="Calibri" w:hAnsi="Calibri"/>
          <w:color w:val="808080"/>
          <w:sz w:val="20"/>
          <w:szCs w:val="20"/>
        </w:rPr>
        <w:t>Aboriginal</w:t>
      </w:r>
      <w:r w:rsidRPr="00DB7E3A">
        <w:rPr>
          <w:rFonts w:ascii="Calibri" w:hAnsi="Calibri"/>
          <w:color w:val="808080"/>
          <w:sz w:val="20"/>
          <w:szCs w:val="20"/>
        </w:rPr>
        <w:t xml:space="preserve"> Residents, Greater Dandenong, 20</w:t>
      </w:r>
      <w:r>
        <w:rPr>
          <w:rFonts w:ascii="Calibri" w:hAnsi="Calibri"/>
          <w:color w:val="808080"/>
          <w:sz w:val="20"/>
          <w:szCs w:val="20"/>
        </w:rPr>
        <w:t>21</w:t>
      </w:r>
    </w:p>
    <w:p w14:paraId="78337EFC" w14:textId="77777777" w:rsidR="00FB7C6B" w:rsidRPr="00225F1D" w:rsidRDefault="00FB7C6B" w:rsidP="00FB7C6B">
      <w:pPr>
        <w:spacing w:after="0" w:line="360" w:lineRule="auto"/>
        <w:jc w:val="both"/>
        <w:rPr>
          <w:rFonts w:ascii="Calibri" w:hAnsi="Calibri"/>
        </w:rPr>
      </w:pPr>
      <w:r>
        <w:rPr>
          <w:rFonts w:ascii="Calibri" w:hAnsi="Calibri"/>
          <w:noProof/>
        </w:rPr>
        <w:drawing>
          <wp:anchor distT="0" distB="0" distL="114300" distR="114300" simplePos="0" relativeHeight="251731968" behindDoc="0" locked="0" layoutInCell="1" allowOverlap="1" wp14:anchorId="6B12DF65" wp14:editId="4E11278B">
            <wp:simplePos x="0" y="0"/>
            <wp:positionH relativeFrom="column">
              <wp:posOffset>2670810</wp:posOffset>
            </wp:positionH>
            <wp:positionV relativeFrom="line">
              <wp:posOffset>67310</wp:posOffset>
            </wp:positionV>
            <wp:extent cx="3413760" cy="1971040"/>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4">
                      <a:extLst>
                        <a:ext uri="{28A0092B-C50C-407E-A947-70E740481C1C}">
                          <a14:useLocalDpi xmlns:a14="http://schemas.microsoft.com/office/drawing/2010/main" val="0"/>
                        </a:ext>
                      </a:extLst>
                    </a:blip>
                    <a:srcRect l="1235" t="15562" r="12291"/>
                    <a:stretch/>
                  </pic:blipFill>
                  <pic:spPr bwMode="auto">
                    <a:xfrm>
                      <a:off x="0" y="0"/>
                      <a:ext cx="3413760" cy="197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noProof/>
        </w:rPr>
        <w:t>In 2021, nearly two-thirds</w:t>
      </w:r>
      <w:r w:rsidRPr="0067755C">
        <w:rPr>
          <w:rFonts w:ascii="Calibri" w:hAnsi="Calibri"/>
        </w:rPr>
        <w:t xml:space="preserve"> (</w:t>
      </w:r>
      <w:r>
        <w:rPr>
          <w:rFonts w:ascii="Calibri" w:hAnsi="Calibri"/>
        </w:rPr>
        <w:t>65.7</w:t>
      </w:r>
      <w:r w:rsidRPr="0067755C">
        <w:rPr>
          <w:rFonts w:ascii="Calibri" w:hAnsi="Calibri"/>
        </w:rPr>
        <w:t xml:space="preserve">%) of </w:t>
      </w:r>
      <w:r>
        <w:rPr>
          <w:rFonts w:ascii="Calibri" w:hAnsi="Calibri"/>
        </w:rPr>
        <w:t>couple and single-parent families</w:t>
      </w:r>
      <w:r w:rsidRPr="0067755C">
        <w:rPr>
          <w:rFonts w:ascii="Calibri" w:hAnsi="Calibri"/>
        </w:rPr>
        <w:t xml:space="preserve"> </w:t>
      </w:r>
      <w:r>
        <w:rPr>
          <w:rFonts w:ascii="Calibri" w:hAnsi="Calibri"/>
        </w:rPr>
        <w:t>in Greater Dandenong with Indigenous members we</w:t>
      </w:r>
      <w:r w:rsidRPr="0067755C">
        <w:rPr>
          <w:rFonts w:ascii="Calibri" w:hAnsi="Calibri"/>
        </w:rPr>
        <w:t>re one-parent families</w:t>
      </w:r>
      <w:r>
        <w:rPr>
          <w:rFonts w:ascii="Calibri" w:hAnsi="Calibri"/>
        </w:rPr>
        <w:t xml:space="preserve"> – more than twice the level of</w:t>
      </w:r>
      <w:r w:rsidRPr="0067755C">
        <w:rPr>
          <w:rFonts w:ascii="Calibri" w:hAnsi="Calibri"/>
        </w:rPr>
        <w:t xml:space="preserve"> 2</w:t>
      </w:r>
      <w:r>
        <w:rPr>
          <w:rFonts w:ascii="Calibri" w:hAnsi="Calibri"/>
        </w:rPr>
        <w:t>8</w:t>
      </w:r>
      <w:r w:rsidRPr="0067755C">
        <w:rPr>
          <w:rFonts w:ascii="Calibri" w:hAnsi="Calibri"/>
        </w:rPr>
        <w:t xml:space="preserve">% among </w:t>
      </w:r>
      <w:r>
        <w:rPr>
          <w:rFonts w:ascii="Calibri" w:hAnsi="Calibri"/>
        </w:rPr>
        <w:t>other families</w:t>
      </w:r>
      <w:r w:rsidRPr="0067755C">
        <w:rPr>
          <w:rFonts w:ascii="Calibri" w:hAnsi="Calibri"/>
        </w:rPr>
        <w:t>.</w:t>
      </w:r>
      <w:r>
        <w:rPr>
          <w:rFonts w:ascii="Calibri" w:hAnsi="Calibri"/>
        </w:rPr>
        <w:t xml:space="preserve"> In the same year, 47% of local Indigenous families with children had no parent in paid employment compared with 32% across all families in Greater Dandenong.</w:t>
      </w:r>
    </w:p>
    <w:p w14:paraId="6A9B895F" w14:textId="77777777" w:rsidR="00FB7C6B" w:rsidRDefault="00FB7C6B" w:rsidP="00FB7C6B">
      <w:pPr>
        <w:spacing w:after="0" w:line="360" w:lineRule="auto"/>
        <w:jc w:val="both"/>
        <w:rPr>
          <w:rFonts w:ascii="Calibri" w:hAnsi="Calibri"/>
        </w:rPr>
      </w:pPr>
      <w:r>
        <w:rPr>
          <w:rFonts w:ascii="Calibri" w:hAnsi="Calibri"/>
        </w:rPr>
        <w:t>Early birth rates were relatively high among young Aboriginal and Torres Strait Islander women, with 6.7% of 15-24 year-old women in Greater Dandenong having borne a child, compared with 4.7% of non-Aboriginal women of that age.</w:t>
      </w:r>
    </w:p>
    <w:p w14:paraId="6BF1FD37" w14:textId="77777777" w:rsidR="00FB7C6B" w:rsidRPr="00DB7E3A" w:rsidRDefault="00FB7C6B" w:rsidP="00FB7C6B">
      <w:pPr>
        <w:spacing w:after="0" w:line="360" w:lineRule="auto"/>
        <w:jc w:val="both"/>
        <w:rPr>
          <w:rFonts w:ascii="Calibri" w:hAnsi="Calibri"/>
          <w:b/>
        </w:rPr>
      </w:pPr>
      <w:r w:rsidRPr="00DB7E3A">
        <w:rPr>
          <w:rFonts w:ascii="Calibri" w:hAnsi="Calibri"/>
          <w:b/>
        </w:rPr>
        <w:lastRenderedPageBreak/>
        <w:t xml:space="preserve">Education </w:t>
      </w:r>
    </w:p>
    <w:p w14:paraId="3D8C22EA" w14:textId="77777777" w:rsidR="00FB7C6B" w:rsidRDefault="00FB7C6B" w:rsidP="00FB7C6B">
      <w:pPr>
        <w:spacing w:after="0" w:line="360" w:lineRule="auto"/>
        <w:jc w:val="both"/>
        <w:rPr>
          <w:rFonts w:ascii="Calibri" w:hAnsi="Calibri"/>
        </w:rPr>
      </w:pPr>
      <w:r w:rsidRPr="00E83D59">
        <w:rPr>
          <w:rFonts w:ascii="Calibri" w:hAnsi="Calibri"/>
        </w:rPr>
        <w:t>In 20</w:t>
      </w:r>
      <w:r>
        <w:rPr>
          <w:rFonts w:ascii="Calibri" w:hAnsi="Calibri"/>
        </w:rPr>
        <w:t>21</w:t>
      </w:r>
      <w:r w:rsidRPr="00E83D59">
        <w:rPr>
          <w:rFonts w:ascii="Calibri" w:hAnsi="Calibri"/>
        </w:rPr>
        <w:t xml:space="preserve">, </w:t>
      </w:r>
      <w:r>
        <w:rPr>
          <w:rFonts w:ascii="Calibri" w:hAnsi="Calibri"/>
        </w:rPr>
        <w:t>30</w:t>
      </w:r>
      <w:r w:rsidRPr="00E83D59">
        <w:rPr>
          <w:rFonts w:ascii="Calibri" w:hAnsi="Calibri"/>
        </w:rPr>
        <w:t xml:space="preserve">% of young </w:t>
      </w:r>
      <w:r>
        <w:rPr>
          <w:rFonts w:ascii="Calibri" w:hAnsi="Calibri"/>
        </w:rPr>
        <w:t xml:space="preserve">Indigenous </w:t>
      </w:r>
      <w:r w:rsidRPr="00E83D59">
        <w:rPr>
          <w:rFonts w:ascii="Calibri" w:hAnsi="Calibri"/>
        </w:rPr>
        <w:t xml:space="preserve">adults aged 20 to 24 years, had left school </w:t>
      </w:r>
      <w:r>
        <w:rPr>
          <w:rFonts w:ascii="Calibri" w:hAnsi="Calibri"/>
        </w:rPr>
        <w:t>before completing year 11</w:t>
      </w:r>
      <w:r w:rsidRPr="00E83D59">
        <w:rPr>
          <w:rFonts w:ascii="Calibri" w:hAnsi="Calibri"/>
        </w:rPr>
        <w:t xml:space="preserve"> – over three times the corresponding level of </w:t>
      </w:r>
      <w:r>
        <w:rPr>
          <w:rFonts w:ascii="Calibri" w:hAnsi="Calibri"/>
        </w:rPr>
        <w:t>8</w:t>
      </w:r>
      <w:r w:rsidRPr="00E83D59">
        <w:rPr>
          <w:rFonts w:ascii="Calibri" w:hAnsi="Calibri"/>
        </w:rPr>
        <w:t>% among non-</w:t>
      </w:r>
      <w:r>
        <w:rPr>
          <w:rFonts w:ascii="Calibri" w:hAnsi="Calibri"/>
        </w:rPr>
        <w:t>Indigenous</w:t>
      </w:r>
      <w:r w:rsidRPr="00E83D59">
        <w:rPr>
          <w:rFonts w:ascii="Calibri" w:hAnsi="Calibri"/>
        </w:rPr>
        <w:t xml:space="preserve"> young adults in Greater Dandenong. </w:t>
      </w:r>
      <w:r>
        <w:rPr>
          <w:rFonts w:ascii="Calibri" w:hAnsi="Calibri"/>
        </w:rPr>
        <w:t>Among</w:t>
      </w:r>
      <w:r w:rsidRPr="00E83D59">
        <w:rPr>
          <w:rFonts w:ascii="Calibri" w:hAnsi="Calibri"/>
        </w:rPr>
        <w:t xml:space="preserve"> </w:t>
      </w:r>
      <w:r>
        <w:rPr>
          <w:rFonts w:ascii="Calibri" w:hAnsi="Calibri"/>
        </w:rPr>
        <w:t>Indigenous</w:t>
      </w:r>
      <w:r w:rsidRPr="00E83D59">
        <w:rPr>
          <w:rFonts w:ascii="Calibri" w:hAnsi="Calibri"/>
        </w:rPr>
        <w:t xml:space="preserve"> residents aged 25 to 44 years, </w:t>
      </w:r>
      <w:r>
        <w:rPr>
          <w:rFonts w:ascii="Calibri" w:hAnsi="Calibri"/>
        </w:rPr>
        <w:t>3.3</w:t>
      </w:r>
      <w:r w:rsidRPr="00E83D59">
        <w:rPr>
          <w:rFonts w:ascii="Calibri" w:hAnsi="Calibri"/>
        </w:rPr>
        <w:t>% held a degree or higher qualification in 20</w:t>
      </w:r>
      <w:r>
        <w:rPr>
          <w:rFonts w:ascii="Calibri" w:hAnsi="Calibri"/>
        </w:rPr>
        <w:t>21</w:t>
      </w:r>
      <w:r w:rsidRPr="00E83D59">
        <w:rPr>
          <w:rFonts w:ascii="Calibri" w:hAnsi="Calibri"/>
        </w:rPr>
        <w:t xml:space="preserve">, compared with </w:t>
      </w:r>
      <w:r>
        <w:rPr>
          <w:rFonts w:ascii="Calibri" w:hAnsi="Calibri"/>
        </w:rPr>
        <w:t>18</w:t>
      </w:r>
      <w:r w:rsidRPr="00E83D59">
        <w:rPr>
          <w:rFonts w:ascii="Calibri" w:hAnsi="Calibri"/>
        </w:rPr>
        <w:t xml:space="preserve">% of </w:t>
      </w:r>
      <w:r>
        <w:rPr>
          <w:rFonts w:ascii="Calibri" w:hAnsi="Calibri"/>
        </w:rPr>
        <w:t xml:space="preserve">non-Indigenous </w:t>
      </w:r>
      <w:r w:rsidRPr="00F61E8F">
        <w:rPr>
          <w:rFonts w:ascii="Calibri" w:hAnsi="Calibri"/>
        </w:rPr>
        <w:t xml:space="preserve">people </w:t>
      </w:r>
      <w:r>
        <w:rPr>
          <w:rFonts w:ascii="Calibri" w:hAnsi="Calibri"/>
        </w:rPr>
        <w:t xml:space="preserve">of </w:t>
      </w:r>
      <w:r w:rsidRPr="00F61E8F">
        <w:rPr>
          <w:rFonts w:ascii="Calibri" w:hAnsi="Calibri"/>
        </w:rPr>
        <w:t>that age across Greater Dandenong</w:t>
      </w:r>
      <w:r w:rsidRPr="00E83D59">
        <w:rPr>
          <w:rFonts w:ascii="Calibri" w:hAnsi="Calibri"/>
        </w:rPr>
        <w:t>.</w:t>
      </w:r>
    </w:p>
    <w:p w14:paraId="44242F44" w14:textId="77777777" w:rsidR="00FB7C6B" w:rsidRDefault="00FB7C6B" w:rsidP="00FB7C6B">
      <w:pPr>
        <w:spacing w:after="0" w:line="360" w:lineRule="auto"/>
        <w:jc w:val="both"/>
        <w:rPr>
          <w:rFonts w:ascii="Calibri" w:hAnsi="Calibri"/>
        </w:rPr>
      </w:pPr>
      <w:r>
        <w:rPr>
          <w:rFonts w:ascii="Calibri" w:hAnsi="Calibri"/>
        </w:rPr>
        <w:t xml:space="preserve">Further information of relevance comes from State-wide sources. </w:t>
      </w:r>
      <w:r w:rsidRPr="00E83D59">
        <w:rPr>
          <w:rFonts w:ascii="Calibri" w:hAnsi="Calibri"/>
        </w:rPr>
        <w:t>The 20</w:t>
      </w:r>
      <w:r>
        <w:rPr>
          <w:rFonts w:ascii="Calibri" w:hAnsi="Calibri"/>
        </w:rPr>
        <w:t>21</w:t>
      </w:r>
      <w:r w:rsidRPr="00E83D59">
        <w:rPr>
          <w:rFonts w:ascii="Calibri" w:hAnsi="Calibri"/>
        </w:rPr>
        <w:t xml:space="preserve"> Australian Early Development Index found that </w:t>
      </w:r>
      <w:r>
        <w:rPr>
          <w:rFonts w:ascii="Calibri" w:hAnsi="Calibri"/>
        </w:rPr>
        <w:t>42</w:t>
      </w:r>
      <w:r w:rsidRPr="00E83D59">
        <w:rPr>
          <w:rFonts w:ascii="Calibri" w:hAnsi="Calibri"/>
        </w:rPr>
        <w:t xml:space="preserve">% of </w:t>
      </w:r>
      <w:r>
        <w:rPr>
          <w:rFonts w:ascii="Calibri" w:hAnsi="Calibri"/>
        </w:rPr>
        <w:t>Australian</w:t>
      </w:r>
      <w:r w:rsidRPr="00E83D59">
        <w:rPr>
          <w:rFonts w:ascii="Calibri" w:hAnsi="Calibri"/>
        </w:rPr>
        <w:t xml:space="preserve"> prep. pupils of Aboriginal or Torres Strait Islander descent were vulnerable in one or more domains of development</w:t>
      </w:r>
      <w:r w:rsidRPr="00E83D59">
        <w:rPr>
          <w:rStyle w:val="FootnoteReference"/>
          <w:rFonts w:ascii="Calibri" w:hAnsi="Calibri"/>
        </w:rPr>
        <w:footnoteReference w:id="5"/>
      </w:r>
      <w:r w:rsidRPr="00E83D59">
        <w:rPr>
          <w:rFonts w:ascii="Calibri" w:hAnsi="Calibri"/>
        </w:rPr>
        <w:t>, compared with 2</w:t>
      </w:r>
      <w:r>
        <w:rPr>
          <w:rFonts w:ascii="Calibri" w:hAnsi="Calibri"/>
        </w:rPr>
        <w:t>2</w:t>
      </w:r>
      <w:r w:rsidRPr="00E83D59">
        <w:rPr>
          <w:rFonts w:ascii="Calibri" w:hAnsi="Calibri"/>
        </w:rPr>
        <w:t xml:space="preserve">% of all prep. pupils across the </w:t>
      </w:r>
      <w:r>
        <w:rPr>
          <w:rFonts w:ascii="Calibri" w:hAnsi="Calibri"/>
        </w:rPr>
        <w:t>nation</w:t>
      </w:r>
      <w:r w:rsidRPr="00E83D59">
        <w:rPr>
          <w:rFonts w:ascii="Calibri" w:hAnsi="Calibri"/>
        </w:rPr>
        <w:t>.</w:t>
      </w:r>
    </w:p>
    <w:p w14:paraId="3B362FC0" w14:textId="77777777" w:rsidR="00FB7C6B" w:rsidRPr="00DB7E3A" w:rsidRDefault="00FB7C6B" w:rsidP="00FB7C6B">
      <w:pPr>
        <w:spacing w:before="60" w:after="0" w:line="360" w:lineRule="auto"/>
        <w:jc w:val="both"/>
        <w:rPr>
          <w:rFonts w:ascii="Calibri" w:hAnsi="Calibri"/>
          <w:b/>
        </w:rPr>
      </w:pPr>
      <w:r w:rsidRPr="00DB7E3A">
        <w:rPr>
          <w:rFonts w:ascii="Calibri" w:hAnsi="Calibri"/>
          <w:b/>
        </w:rPr>
        <w:t>Employment</w:t>
      </w:r>
    </w:p>
    <w:p w14:paraId="28D2AFBE" w14:textId="77777777" w:rsidR="00FB7C6B" w:rsidRDefault="00FB7C6B" w:rsidP="00FB7C6B">
      <w:pPr>
        <w:spacing w:after="0" w:line="360" w:lineRule="auto"/>
        <w:jc w:val="both"/>
        <w:rPr>
          <w:rFonts w:ascii="Calibri" w:hAnsi="Calibri"/>
        </w:rPr>
      </w:pPr>
      <w:r w:rsidRPr="00971D89">
        <w:rPr>
          <w:color w:val="000000"/>
        </w:rPr>
        <w:t>The 20</w:t>
      </w:r>
      <w:r>
        <w:rPr>
          <w:color w:val="000000"/>
        </w:rPr>
        <w:t>21</w:t>
      </w:r>
      <w:r w:rsidRPr="00971D89">
        <w:rPr>
          <w:color w:val="000000"/>
        </w:rPr>
        <w:t xml:space="preserve"> Census </w:t>
      </w:r>
      <w:r>
        <w:rPr>
          <w:color w:val="000000"/>
        </w:rPr>
        <w:t xml:space="preserve">recorded an unemployment rate of 13% among 25 to 64 year-old </w:t>
      </w:r>
      <w:r>
        <w:rPr>
          <w:rFonts w:ascii="Calibri" w:hAnsi="Calibri"/>
        </w:rPr>
        <w:t>Indigenous</w:t>
      </w:r>
      <w:r w:rsidRPr="00E83D59">
        <w:rPr>
          <w:rFonts w:ascii="Calibri" w:hAnsi="Calibri"/>
        </w:rPr>
        <w:t xml:space="preserve"> </w:t>
      </w:r>
      <w:r>
        <w:rPr>
          <w:color w:val="000000"/>
        </w:rPr>
        <w:t>residents of Greater Dandenong, compared with 4% among the general population</w:t>
      </w:r>
      <w:r w:rsidRPr="00971D89">
        <w:rPr>
          <w:color w:val="000000"/>
        </w:rPr>
        <w:t>.</w:t>
      </w:r>
    </w:p>
    <w:p w14:paraId="35ACE171" w14:textId="77777777" w:rsidR="00FB7C6B" w:rsidRPr="0067755C" w:rsidRDefault="00FB7C6B" w:rsidP="00FB7C6B">
      <w:pPr>
        <w:spacing w:before="60" w:after="0" w:line="360" w:lineRule="auto"/>
        <w:jc w:val="both"/>
        <w:rPr>
          <w:rFonts w:ascii="Calibri" w:hAnsi="Calibri"/>
          <w:b/>
          <w:color w:val="808080"/>
        </w:rPr>
      </w:pPr>
      <w:r>
        <w:rPr>
          <w:rFonts w:ascii="Calibri" w:hAnsi="Calibri"/>
          <w:b/>
        </w:rPr>
        <w:t>Housing</w:t>
      </w:r>
    </w:p>
    <w:p w14:paraId="44518896" w14:textId="77777777" w:rsidR="00FB7C6B" w:rsidRDefault="00FB7C6B" w:rsidP="00FB7C6B">
      <w:pPr>
        <w:tabs>
          <w:tab w:val="left" w:pos="4962"/>
        </w:tabs>
        <w:spacing w:after="0" w:line="360" w:lineRule="auto"/>
        <w:jc w:val="both"/>
        <w:rPr>
          <w:rFonts w:ascii="Calibri" w:hAnsi="Calibri"/>
        </w:rPr>
      </w:pPr>
      <w:r>
        <w:rPr>
          <w:rFonts w:ascii="Calibri" w:hAnsi="Calibri"/>
        </w:rPr>
        <w:t>Indigenous</w:t>
      </w:r>
      <w:r w:rsidRPr="00E83D59">
        <w:rPr>
          <w:rFonts w:ascii="Calibri" w:hAnsi="Calibri"/>
        </w:rPr>
        <w:t xml:space="preserve"> </w:t>
      </w:r>
      <w:r>
        <w:rPr>
          <w:rFonts w:ascii="Calibri" w:hAnsi="Calibri"/>
        </w:rPr>
        <w:t xml:space="preserve">residents Greater Dandenong </w:t>
      </w:r>
      <w:r w:rsidRPr="0067755C">
        <w:rPr>
          <w:rFonts w:ascii="Calibri" w:hAnsi="Calibri"/>
        </w:rPr>
        <w:t>are</w:t>
      </w:r>
      <w:r>
        <w:rPr>
          <w:rFonts w:ascii="Calibri" w:hAnsi="Calibri"/>
        </w:rPr>
        <w:t xml:space="preserve"> less than </w:t>
      </w:r>
      <w:r w:rsidRPr="0067755C">
        <w:rPr>
          <w:rFonts w:ascii="Calibri" w:hAnsi="Calibri"/>
        </w:rPr>
        <w:t>half as likely to own or be purchasing their homes (</w:t>
      </w:r>
      <w:r>
        <w:rPr>
          <w:rFonts w:ascii="Calibri" w:hAnsi="Calibri"/>
        </w:rPr>
        <w:t>26</w:t>
      </w:r>
      <w:r w:rsidRPr="0067755C">
        <w:rPr>
          <w:rFonts w:ascii="Calibri" w:hAnsi="Calibri"/>
        </w:rPr>
        <w:t>%) as the general population (6</w:t>
      </w:r>
      <w:r>
        <w:rPr>
          <w:rFonts w:ascii="Calibri" w:hAnsi="Calibri"/>
        </w:rPr>
        <w:t>3</w:t>
      </w:r>
      <w:r w:rsidRPr="0067755C">
        <w:rPr>
          <w:rFonts w:ascii="Calibri" w:hAnsi="Calibri"/>
        </w:rPr>
        <w:t>%), and more often</w:t>
      </w:r>
      <w:r>
        <w:rPr>
          <w:rFonts w:ascii="Calibri" w:hAnsi="Calibri"/>
        </w:rPr>
        <w:t xml:space="preserve"> rent their accommodation</w:t>
      </w:r>
      <w:r w:rsidRPr="0067755C">
        <w:rPr>
          <w:rFonts w:ascii="Calibri" w:hAnsi="Calibri"/>
        </w:rPr>
        <w:t xml:space="preserve">. </w:t>
      </w:r>
      <w:r>
        <w:rPr>
          <w:rFonts w:ascii="Calibri" w:hAnsi="Calibri"/>
        </w:rPr>
        <w:t>Twenty-seven per cent of Indigenous</w:t>
      </w:r>
      <w:r w:rsidRPr="00E83D59">
        <w:rPr>
          <w:rFonts w:ascii="Calibri" w:hAnsi="Calibri"/>
        </w:rPr>
        <w:t xml:space="preserve"> </w:t>
      </w:r>
      <w:r w:rsidRPr="0067755C">
        <w:rPr>
          <w:rFonts w:ascii="Calibri" w:hAnsi="Calibri"/>
        </w:rPr>
        <w:t xml:space="preserve">residents rent from government or </w:t>
      </w:r>
      <w:r>
        <w:rPr>
          <w:rFonts w:ascii="Calibri" w:hAnsi="Calibri"/>
        </w:rPr>
        <w:t>community agencies</w:t>
      </w:r>
      <w:r w:rsidRPr="0067755C">
        <w:rPr>
          <w:rFonts w:ascii="Calibri" w:hAnsi="Calibri"/>
        </w:rPr>
        <w:t xml:space="preserve">, compared </w:t>
      </w:r>
      <w:r>
        <w:rPr>
          <w:rFonts w:ascii="Calibri" w:hAnsi="Calibri"/>
        </w:rPr>
        <w:t>with 2.9% of</w:t>
      </w:r>
      <w:r w:rsidRPr="0067755C">
        <w:rPr>
          <w:rFonts w:ascii="Calibri" w:hAnsi="Calibri"/>
        </w:rPr>
        <w:t xml:space="preserve"> </w:t>
      </w:r>
      <w:r>
        <w:rPr>
          <w:rFonts w:ascii="Calibri" w:hAnsi="Calibri"/>
        </w:rPr>
        <w:t>others</w:t>
      </w:r>
      <w:r w:rsidRPr="0067755C">
        <w:rPr>
          <w:rFonts w:ascii="Calibri" w:hAnsi="Calibri"/>
        </w:rPr>
        <w:t>.</w:t>
      </w:r>
    </w:p>
    <w:p w14:paraId="06F1C8D9" w14:textId="77777777" w:rsidR="00FB7C6B" w:rsidRPr="00225F1D" w:rsidRDefault="00FB7C6B" w:rsidP="00FB7C6B">
      <w:pPr>
        <w:tabs>
          <w:tab w:val="left" w:pos="3119"/>
        </w:tabs>
        <w:spacing w:before="60" w:after="0" w:line="240" w:lineRule="auto"/>
        <w:jc w:val="both"/>
        <w:rPr>
          <w:rFonts w:ascii="Calibri" w:hAnsi="Calibri"/>
          <w:bCs/>
          <w:color w:val="7F7F7F" w:themeColor="text1" w:themeTint="80"/>
          <w:sz w:val="20"/>
          <w:szCs w:val="20"/>
        </w:rPr>
      </w:pPr>
      <w:r w:rsidRPr="001E2820">
        <w:rPr>
          <w:rFonts w:ascii="Calibri" w:hAnsi="Calibri"/>
          <w:b/>
        </w:rPr>
        <w:t>Disability</w:t>
      </w:r>
      <w:r>
        <w:rPr>
          <w:rFonts w:ascii="Calibri" w:hAnsi="Calibri"/>
          <w:b/>
        </w:rPr>
        <w:t xml:space="preserve"> and Health </w:t>
      </w:r>
      <w:r>
        <w:rPr>
          <w:rFonts w:ascii="Calibri" w:hAnsi="Calibri"/>
          <w:b/>
        </w:rPr>
        <w:tab/>
      </w:r>
      <w:r w:rsidRPr="00225F1D">
        <w:rPr>
          <w:rFonts w:ascii="Calibri" w:hAnsi="Calibri"/>
          <w:bCs/>
          <w:color w:val="7F7F7F" w:themeColor="text1" w:themeTint="80"/>
          <w:sz w:val="20"/>
          <w:szCs w:val="20"/>
        </w:rPr>
        <w:t xml:space="preserve">Long-term conditions by Indigenous Status: </w:t>
      </w:r>
    </w:p>
    <w:p w14:paraId="04B2E4F5" w14:textId="77777777" w:rsidR="00FB7C6B" w:rsidRPr="00225F1D" w:rsidRDefault="00FB7C6B" w:rsidP="00FB7C6B">
      <w:pPr>
        <w:tabs>
          <w:tab w:val="left" w:pos="3119"/>
        </w:tabs>
        <w:spacing w:after="0" w:line="240" w:lineRule="auto"/>
        <w:jc w:val="both"/>
        <w:rPr>
          <w:rFonts w:ascii="Calibri" w:hAnsi="Calibri"/>
          <w:bCs/>
          <w:color w:val="7F7F7F" w:themeColor="text1" w:themeTint="80"/>
          <w:sz w:val="20"/>
          <w:szCs w:val="20"/>
        </w:rPr>
      </w:pPr>
      <w:r w:rsidRPr="00225F1D">
        <w:rPr>
          <w:rFonts w:ascii="Calibri" w:hAnsi="Calibri"/>
          <w:bCs/>
          <w:color w:val="7F7F7F" w:themeColor="text1" w:themeTint="80"/>
          <w:sz w:val="20"/>
          <w:szCs w:val="20"/>
        </w:rPr>
        <w:tab/>
        <w:t>Greater Dandenong, 2021</w:t>
      </w:r>
    </w:p>
    <w:p w14:paraId="5E06405A" w14:textId="77777777" w:rsidR="00FB7C6B" w:rsidRDefault="00FB7C6B" w:rsidP="00FB7C6B">
      <w:pPr>
        <w:spacing w:after="0" w:line="360" w:lineRule="auto"/>
        <w:jc w:val="both"/>
        <w:rPr>
          <w:rFonts w:ascii="Calibri" w:hAnsi="Calibri"/>
        </w:rPr>
      </w:pPr>
      <w:r>
        <w:rPr>
          <w:rFonts w:ascii="Calibri" w:hAnsi="Calibri"/>
          <w:b/>
          <w:noProof/>
        </w:rPr>
        <w:drawing>
          <wp:anchor distT="0" distB="0" distL="114300" distR="114300" simplePos="0" relativeHeight="251722752" behindDoc="0" locked="0" layoutInCell="1" allowOverlap="1" wp14:anchorId="0326D119" wp14:editId="03305825">
            <wp:simplePos x="0" y="0"/>
            <wp:positionH relativeFrom="column">
              <wp:posOffset>1800860</wp:posOffset>
            </wp:positionH>
            <wp:positionV relativeFrom="line">
              <wp:posOffset>30480</wp:posOffset>
            </wp:positionV>
            <wp:extent cx="4319270" cy="2880995"/>
            <wp:effectExtent l="0" t="0" r="508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319270" cy="288099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The 2021 Census revealed that the prevalence of severe disability stood at 14.4% among Indigenous</w:t>
      </w:r>
      <w:r w:rsidRPr="00E83D59">
        <w:rPr>
          <w:rFonts w:ascii="Calibri" w:hAnsi="Calibri"/>
        </w:rPr>
        <w:t xml:space="preserve"> </w:t>
      </w:r>
      <w:r>
        <w:rPr>
          <w:rFonts w:ascii="Calibri" w:hAnsi="Calibri"/>
        </w:rPr>
        <w:t>residents – nearly twice</w:t>
      </w:r>
      <w:r w:rsidRPr="0067755C">
        <w:rPr>
          <w:rFonts w:ascii="Calibri" w:hAnsi="Calibri"/>
        </w:rPr>
        <w:t xml:space="preserve"> the </w:t>
      </w:r>
      <w:r>
        <w:rPr>
          <w:rFonts w:ascii="Calibri" w:hAnsi="Calibri"/>
          <w:b/>
          <w:noProof/>
          <w:lang w:eastAsia="en-AU"/>
        </w:rPr>
        <w:drawing>
          <wp:anchor distT="0" distB="0" distL="114300" distR="114300" simplePos="0" relativeHeight="251724800" behindDoc="0" locked="0" layoutInCell="1" allowOverlap="1" wp14:anchorId="70B22F6D" wp14:editId="7ED24AF8">
            <wp:simplePos x="0" y="0"/>
            <wp:positionH relativeFrom="column">
              <wp:posOffset>4805680</wp:posOffset>
            </wp:positionH>
            <wp:positionV relativeFrom="line">
              <wp:posOffset>3175</wp:posOffset>
            </wp:positionV>
            <wp:extent cx="1311910" cy="872490"/>
            <wp:effectExtent l="0" t="0" r="2540" b="381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Indigenous 2.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311910" cy="8724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7755C">
        <w:rPr>
          <w:rFonts w:ascii="Calibri" w:hAnsi="Calibri"/>
        </w:rPr>
        <w:t>corresponding rate</w:t>
      </w:r>
      <w:r>
        <w:rPr>
          <w:rFonts w:ascii="Calibri" w:hAnsi="Calibri"/>
        </w:rPr>
        <w:t xml:space="preserve"> of 7.7% </w:t>
      </w:r>
      <w:r w:rsidRPr="0067755C">
        <w:rPr>
          <w:rFonts w:ascii="Calibri" w:hAnsi="Calibri"/>
        </w:rPr>
        <w:t>among the general population</w:t>
      </w:r>
      <w:r>
        <w:rPr>
          <w:rFonts w:ascii="Calibri" w:hAnsi="Calibri"/>
        </w:rPr>
        <w:t>.</w:t>
      </w:r>
      <w:r w:rsidRPr="0067755C">
        <w:rPr>
          <w:rFonts w:ascii="Calibri" w:hAnsi="Calibri"/>
        </w:rPr>
        <w:t xml:space="preserve"> </w:t>
      </w:r>
    </w:p>
    <w:p w14:paraId="30DFA320" w14:textId="77777777" w:rsidR="00FB7C6B" w:rsidRPr="00A516BB" w:rsidRDefault="00FB7C6B" w:rsidP="00FB7C6B">
      <w:pPr>
        <w:spacing w:after="0" w:line="360" w:lineRule="auto"/>
        <w:jc w:val="both"/>
        <w:rPr>
          <w:rFonts w:ascii="Calibri" w:hAnsi="Calibri"/>
        </w:rPr>
      </w:pPr>
      <w:r>
        <w:rPr>
          <w:rFonts w:ascii="Calibri" w:hAnsi="Calibri"/>
        </w:rPr>
        <w:t>The prevalence of long-term health conditions – particularly those relating to mental health, lung function and asthma, and heart disease – is also markedly higher among Indigenous residents in Greater Dandenong (diagram, above right). For example, the 2021 Census recorded that approximately 21% of Indigenous residents had experienced mental health conditions sometime in the previous 12 months, compared with approximately 6% of non-Indigenous residents. A similar disparity was recorded in the prevalence of asthma, experienced by 17% of Indigenous residents and 6.4% of others.</w:t>
      </w:r>
    </w:p>
    <w:p w14:paraId="456B1954" w14:textId="77777777" w:rsidR="00FB7C6B" w:rsidRDefault="00FB7C6B" w:rsidP="00FB7C6B">
      <w:pPr>
        <w:spacing w:after="0" w:line="360" w:lineRule="auto"/>
        <w:jc w:val="both"/>
        <w:rPr>
          <w:rFonts w:ascii="Calibri" w:hAnsi="Calibri"/>
          <w:b/>
        </w:rPr>
      </w:pPr>
    </w:p>
    <w:p w14:paraId="0E81C1B8" w14:textId="77B71344" w:rsidR="00FB7C6B" w:rsidRPr="00DB7E3A" w:rsidRDefault="00FB7C6B" w:rsidP="00FB7C6B">
      <w:pPr>
        <w:spacing w:after="0" w:line="360" w:lineRule="auto"/>
        <w:jc w:val="both"/>
        <w:rPr>
          <w:rFonts w:ascii="Calibri" w:hAnsi="Calibri"/>
          <w:b/>
        </w:rPr>
      </w:pPr>
      <w:r w:rsidRPr="00DB7E3A">
        <w:rPr>
          <w:rFonts w:ascii="Calibri" w:hAnsi="Calibri"/>
          <w:b/>
        </w:rPr>
        <w:lastRenderedPageBreak/>
        <w:t>Trends in Social Conditions</w:t>
      </w:r>
    </w:p>
    <w:p w14:paraId="22F16113" w14:textId="77777777" w:rsidR="00FB7C6B" w:rsidRDefault="00FB7C6B" w:rsidP="00FB7C6B">
      <w:pPr>
        <w:spacing w:after="0" w:line="360" w:lineRule="auto"/>
        <w:jc w:val="both"/>
        <w:rPr>
          <w:rFonts w:ascii="Calibri" w:hAnsi="Calibri"/>
        </w:rPr>
      </w:pPr>
      <w:bookmarkStart w:id="3" w:name="_Hlk125107811"/>
      <w:r>
        <w:rPr>
          <w:rFonts w:ascii="Calibri" w:hAnsi="Calibri"/>
        </w:rPr>
        <w:t>An examination of the findings of the 2006 and 2021 Censuses provides a glimpse of changes in social conditions among Indigenous</w:t>
      </w:r>
      <w:r w:rsidRPr="00E83D59">
        <w:rPr>
          <w:rFonts w:ascii="Calibri" w:hAnsi="Calibri"/>
        </w:rPr>
        <w:t xml:space="preserve"> </w:t>
      </w:r>
      <w:r>
        <w:rPr>
          <w:rFonts w:ascii="Calibri" w:hAnsi="Calibri"/>
        </w:rPr>
        <w:t>people in Greater Dandenong during that 15-year period.</w:t>
      </w:r>
    </w:p>
    <w:bookmarkEnd w:id="3"/>
    <w:p w14:paraId="2125D658" w14:textId="77777777" w:rsidR="00FB7C6B" w:rsidRPr="00441604" w:rsidRDefault="00FB7C6B" w:rsidP="00FB7C6B">
      <w:pPr>
        <w:spacing w:after="0" w:line="360" w:lineRule="auto"/>
        <w:jc w:val="both"/>
        <w:rPr>
          <w:rFonts w:ascii="Calibri" w:hAnsi="Calibri"/>
          <w:color w:val="7F7F7F"/>
          <w:sz w:val="18"/>
          <w:szCs w:val="18"/>
        </w:rPr>
      </w:pPr>
      <w:r>
        <w:rPr>
          <w:rFonts w:ascii="Calibri" w:hAnsi="Calibri"/>
          <w:noProof/>
          <w:color w:val="7F7F7F"/>
          <w:sz w:val="18"/>
          <w:szCs w:val="18"/>
        </w:rPr>
        <w:drawing>
          <wp:anchor distT="0" distB="0" distL="114300" distR="114300" simplePos="0" relativeHeight="251730944" behindDoc="0" locked="0" layoutInCell="1" allowOverlap="1" wp14:anchorId="649317AF" wp14:editId="7A007DB2">
            <wp:simplePos x="0" y="0"/>
            <wp:positionH relativeFrom="column">
              <wp:posOffset>3175635</wp:posOffset>
            </wp:positionH>
            <wp:positionV relativeFrom="line">
              <wp:posOffset>66675</wp:posOffset>
            </wp:positionV>
            <wp:extent cx="2938145" cy="1833880"/>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938145" cy="1833880"/>
                    </a:xfrm>
                    <a:prstGeom prst="rect">
                      <a:avLst/>
                    </a:prstGeom>
                    <a:noFill/>
                  </pic:spPr>
                </pic:pic>
              </a:graphicData>
            </a:graphic>
            <wp14:sizeRelH relativeFrom="page">
              <wp14:pctWidth>0</wp14:pctWidth>
            </wp14:sizeRelH>
            <wp14:sizeRelV relativeFrom="page">
              <wp14:pctHeight>0</wp14:pctHeight>
            </wp14:sizeRelV>
          </wp:anchor>
        </w:drawing>
      </w:r>
    </w:p>
    <w:p w14:paraId="439CA989" w14:textId="77777777" w:rsidR="00FB7C6B" w:rsidRPr="002F13A3" w:rsidRDefault="00FB7C6B" w:rsidP="00FB7C6B">
      <w:pPr>
        <w:spacing w:after="0" w:line="240" w:lineRule="auto"/>
        <w:jc w:val="both"/>
        <w:rPr>
          <w:rFonts w:ascii="Calibri" w:hAnsi="Calibri"/>
          <w:color w:val="7F7F7F"/>
          <w:sz w:val="20"/>
          <w:szCs w:val="20"/>
        </w:rPr>
      </w:pPr>
      <w:r w:rsidRPr="002F13A3">
        <w:rPr>
          <w:rFonts w:ascii="Calibri" w:hAnsi="Calibri"/>
          <w:color w:val="7F7F7F"/>
          <w:sz w:val="20"/>
          <w:szCs w:val="20"/>
        </w:rPr>
        <w:t>Per cent of 20-24 year-olds who had left school before completing year 11: Greater Dandenong, 2006 and 2021</w:t>
      </w:r>
    </w:p>
    <w:p w14:paraId="6C20D61E" w14:textId="77777777" w:rsidR="00FB7C6B" w:rsidRDefault="00FB7C6B" w:rsidP="00FB7C6B">
      <w:pPr>
        <w:spacing w:after="0" w:line="360" w:lineRule="auto"/>
        <w:jc w:val="both"/>
        <w:rPr>
          <w:rFonts w:ascii="Calibri" w:hAnsi="Calibri"/>
        </w:rPr>
      </w:pPr>
    </w:p>
    <w:p w14:paraId="42C32593" w14:textId="77777777" w:rsidR="00FB7C6B" w:rsidRDefault="00FB7C6B" w:rsidP="00FB7C6B">
      <w:pPr>
        <w:spacing w:after="0" w:line="360" w:lineRule="auto"/>
        <w:jc w:val="both"/>
        <w:rPr>
          <w:rFonts w:ascii="Calibri" w:hAnsi="Calibri"/>
        </w:rPr>
      </w:pPr>
      <w:bookmarkStart w:id="4" w:name="_Hlk23501094"/>
      <w:r>
        <w:rPr>
          <w:rFonts w:ascii="Calibri" w:hAnsi="Calibri"/>
        </w:rPr>
        <w:t>The proportion of young Indigenous residents who had left school before completing year 11 declined from 34% to 30%, in the 15 years to 2021.</w:t>
      </w:r>
    </w:p>
    <w:bookmarkEnd w:id="4"/>
    <w:p w14:paraId="538548CD" w14:textId="77777777" w:rsidR="00FB7C6B" w:rsidRDefault="00FB7C6B" w:rsidP="00FB7C6B">
      <w:pPr>
        <w:spacing w:after="0" w:line="360" w:lineRule="auto"/>
        <w:jc w:val="both"/>
        <w:rPr>
          <w:rFonts w:ascii="Calibri" w:hAnsi="Calibri"/>
        </w:rPr>
      </w:pPr>
    </w:p>
    <w:p w14:paraId="3B46B67E" w14:textId="1B9F8E19" w:rsidR="00FB7C6B" w:rsidRDefault="00FB7C6B" w:rsidP="00FB7C6B">
      <w:pPr>
        <w:spacing w:after="0" w:line="360" w:lineRule="auto"/>
        <w:jc w:val="both"/>
        <w:rPr>
          <w:rFonts w:ascii="Calibri" w:hAnsi="Calibri"/>
          <w:sz w:val="14"/>
          <w:szCs w:val="14"/>
        </w:rPr>
      </w:pPr>
      <w:r>
        <w:rPr>
          <w:rFonts w:ascii="Calibri" w:hAnsi="Calibri"/>
          <w:noProof/>
          <w:lang w:eastAsia="en-AU"/>
        </w:rPr>
        <w:drawing>
          <wp:anchor distT="0" distB="0" distL="114300" distR="114300" simplePos="0" relativeHeight="251729920" behindDoc="0" locked="0" layoutInCell="1" allowOverlap="1" wp14:anchorId="28A5DCDA" wp14:editId="5D31B44B">
            <wp:simplePos x="0" y="0"/>
            <wp:positionH relativeFrom="column">
              <wp:posOffset>1589683</wp:posOffset>
            </wp:positionH>
            <wp:positionV relativeFrom="line">
              <wp:posOffset>31208</wp:posOffset>
            </wp:positionV>
            <wp:extent cx="1138237" cy="750027"/>
            <wp:effectExtent l="0" t="0" r="508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Indigenous 1.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138237" cy="75002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2D3C755" w14:textId="78FBDE64" w:rsidR="00FB7C6B" w:rsidRDefault="00FB7C6B" w:rsidP="00FB7C6B">
      <w:pPr>
        <w:spacing w:after="0" w:line="360" w:lineRule="auto"/>
        <w:jc w:val="both"/>
        <w:rPr>
          <w:rFonts w:ascii="Calibri" w:hAnsi="Calibri"/>
          <w:sz w:val="14"/>
          <w:szCs w:val="14"/>
        </w:rPr>
      </w:pPr>
      <w:r>
        <w:rPr>
          <w:rFonts w:ascii="Calibri" w:hAnsi="Calibri"/>
          <w:noProof/>
          <w:sz w:val="14"/>
          <w:szCs w:val="14"/>
        </w:rPr>
        <w:drawing>
          <wp:anchor distT="0" distB="0" distL="114300" distR="114300" simplePos="0" relativeHeight="251726848" behindDoc="0" locked="0" layoutInCell="1" allowOverlap="1" wp14:anchorId="7FE30FCB" wp14:editId="718F9903">
            <wp:simplePos x="0" y="0"/>
            <wp:positionH relativeFrom="margin">
              <wp:align>left</wp:align>
            </wp:positionH>
            <wp:positionV relativeFrom="paragraph">
              <wp:posOffset>68007</wp:posOffset>
            </wp:positionV>
            <wp:extent cx="2919095" cy="1787525"/>
            <wp:effectExtent l="0" t="0" r="0" b="3175"/>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919095" cy="1787525"/>
                    </a:xfrm>
                    <a:prstGeom prst="rect">
                      <a:avLst/>
                    </a:prstGeom>
                    <a:noFill/>
                  </pic:spPr>
                </pic:pic>
              </a:graphicData>
            </a:graphic>
            <wp14:sizeRelH relativeFrom="page">
              <wp14:pctWidth>0</wp14:pctWidth>
            </wp14:sizeRelH>
            <wp14:sizeRelV relativeFrom="page">
              <wp14:pctHeight>0</wp14:pctHeight>
            </wp14:sizeRelV>
          </wp:anchor>
        </w:drawing>
      </w:r>
    </w:p>
    <w:p w14:paraId="3192CD44" w14:textId="4E890118" w:rsidR="00FB7C6B" w:rsidRDefault="00FB7C6B" w:rsidP="00FB7C6B">
      <w:pPr>
        <w:spacing w:after="0" w:line="360" w:lineRule="auto"/>
        <w:jc w:val="both"/>
        <w:rPr>
          <w:rFonts w:ascii="Calibri" w:hAnsi="Calibri"/>
          <w:sz w:val="14"/>
          <w:szCs w:val="14"/>
        </w:rPr>
      </w:pPr>
    </w:p>
    <w:p w14:paraId="67D964D2" w14:textId="7DB4C968" w:rsidR="00FB7C6B" w:rsidRPr="00CF441D" w:rsidRDefault="00FB7C6B" w:rsidP="00FB7C6B">
      <w:pPr>
        <w:spacing w:after="0" w:line="360" w:lineRule="auto"/>
        <w:jc w:val="both"/>
        <w:rPr>
          <w:rFonts w:ascii="Calibri" w:hAnsi="Calibri"/>
          <w:sz w:val="14"/>
          <w:szCs w:val="14"/>
        </w:rPr>
      </w:pPr>
    </w:p>
    <w:p w14:paraId="19FDB232" w14:textId="77777777" w:rsidR="00FB7C6B" w:rsidRPr="002F13A3" w:rsidRDefault="00FB7C6B" w:rsidP="00FB7C6B">
      <w:pPr>
        <w:spacing w:after="0" w:line="240" w:lineRule="auto"/>
        <w:jc w:val="both"/>
        <w:rPr>
          <w:rFonts w:ascii="Calibri" w:hAnsi="Calibri"/>
          <w:color w:val="7F7F7F"/>
          <w:sz w:val="20"/>
          <w:szCs w:val="20"/>
        </w:rPr>
      </w:pPr>
      <w:r w:rsidRPr="002F13A3">
        <w:rPr>
          <w:rFonts w:ascii="Calibri" w:hAnsi="Calibri"/>
          <w:color w:val="7F7F7F"/>
          <w:sz w:val="20"/>
          <w:szCs w:val="20"/>
        </w:rPr>
        <w:t>Per cent of Aboriginal 15-24 year-old women with children: Greater Dandenong, 2006 and 2021</w:t>
      </w:r>
    </w:p>
    <w:p w14:paraId="34A9DCD7" w14:textId="77777777" w:rsidR="00FB7C6B" w:rsidRDefault="00FB7C6B" w:rsidP="00FB7C6B">
      <w:pPr>
        <w:spacing w:after="0" w:line="360" w:lineRule="auto"/>
        <w:jc w:val="both"/>
        <w:rPr>
          <w:rFonts w:ascii="Calibri" w:hAnsi="Calibri"/>
        </w:rPr>
      </w:pPr>
    </w:p>
    <w:p w14:paraId="7389F22E" w14:textId="7478F7BB" w:rsidR="00FB7C6B" w:rsidRDefault="00FB7C6B" w:rsidP="00FB7C6B">
      <w:pPr>
        <w:spacing w:after="0" w:line="360" w:lineRule="auto"/>
        <w:jc w:val="both"/>
        <w:rPr>
          <w:rFonts w:ascii="Calibri" w:hAnsi="Calibri"/>
        </w:rPr>
      </w:pPr>
      <w:r>
        <w:rPr>
          <w:rFonts w:ascii="Calibri" w:hAnsi="Calibri"/>
        </w:rPr>
        <w:t>During the same period, the proportion of 15 to 24 year-old Indigenous women who had one or more children fell from 32% to 6.7%.</w:t>
      </w:r>
    </w:p>
    <w:p w14:paraId="0E1CB2E5" w14:textId="11D7949D" w:rsidR="00FB7C6B" w:rsidRDefault="00FB7C6B" w:rsidP="00FB7C6B">
      <w:pPr>
        <w:spacing w:after="0" w:line="360" w:lineRule="auto"/>
        <w:jc w:val="both"/>
        <w:rPr>
          <w:rFonts w:ascii="Calibri" w:hAnsi="Calibri"/>
        </w:rPr>
      </w:pPr>
    </w:p>
    <w:p w14:paraId="7E07A91E" w14:textId="166D0AE0" w:rsidR="00FB7C6B" w:rsidRPr="00105E1A" w:rsidRDefault="00FB7C6B" w:rsidP="00FB7C6B">
      <w:pPr>
        <w:spacing w:after="0" w:line="360" w:lineRule="auto"/>
        <w:jc w:val="both"/>
        <w:rPr>
          <w:rFonts w:ascii="Calibri" w:hAnsi="Calibri"/>
          <w:color w:val="7F7F7F"/>
          <w:sz w:val="12"/>
          <w:szCs w:val="12"/>
        </w:rPr>
      </w:pPr>
      <w:r>
        <w:rPr>
          <w:rFonts w:ascii="Calibri" w:hAnsi="Calibri"/>
          <w:noProof/>
        </w:rPr>
        <w:drawing>
          <wp:anchor distT="0" distB="0" distL="114300" distR="114300" simplePos="0" relativeHeight="251727872" behindDoc="0" locked="0" layoutInCell="1" allowOverlap="1" wp14:anchorId="3D406059" wp14:editId="77EBC7F2">
            <wp:simplePos x="0" y="0"/>
            <wp:positionH relativeFrom="column">
              <wp:posOffset>3204845</wp:posOffset>
            </wp:positionH>
            <wp:positionV relativeFrom="paragraph">
              <wp:posOffset>71755</wp:posOffset>
            </wp:positionV>
            <wp:extent cx="2875915" cy="1984375"/>
            <wp:effectExtent l="0" t="0" r="635"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75915" cy="1984375"/>
                    </a:xfrm>
                    <a:prstGeom prst="rect">
                      <a:avLst/>
                    </a:prstGeom>
                    <a:noFill/>
                  </pic:spPr>
                </pic:pic>
              </a:graphicData>
            </a:graphic>
            <wp14:sizeRelH relativeFrom="page">
              <wp14:pctWidth>0</wp14:pctWidth>
            </wp14:sizeRelH>
            <wp14:sizeRelV relativeFrom="page">
              <wp14:pctHeight>0</wp14:pctHeight>
            </wp14:sizeRelV>
          </wp:anchor>
        </w:drawing>
      </w:r>
    </w:p>
    <w:p w14:paraId="06EFF15E" w14:textId="77777777" w:rsidR="00FB7C6B" w:rsidRPr="002F13A3" w:rsidRDefault="00FB7C6B" w:rsidP="00FB7C6B">
      <w:pPr>
        <w:spacing w:after="0" w:line="240" w:lineRule="auto"/>
        <w:jc w:val="both"/>
        <w:rPr>
          <w:rFonts w:ascii="Calibri" w:hAnsi="Calibri"/>
          <w:color w:val="7F7F7F"/>
          <w:sz w:val="20"/>
          <w:szCs w:val="20"/>
        </w:rPr>
      </w:pPr>
      <w:r w:rsidRPr="002F13A3">
        <w:rPr>
          <w:rFonts w:ascii="Calibri" w:hAnsi="Calibri"/>
          <w:color w:val="7F7F7F"/>
          <w:sz w:val="20"/>
          <w:szCs w:val="20"/>
        </w:rPr>
        <w:t>Per cent of Aboriginal families that are one-parent families: Greater Dandenong, 2006 and 2021</w:t>
      </w:r>
    </w:p>
    <w:p w14:paraId="3E0B543A" w14:textId="77777777" w:rsidR="00FB7C6B" w:rsidRPr="00105E1A" w:rsidRDefault="00FB7C6B" w:rsidP="00FB7C6B">
      <w:pPr>
        <w:spacing w:after="0" w:line="360" w:lineRule="auto"/>
        <w:jc w:val="both"/>
        <w:rPr>
          <w:rFonts w:ascii="Calibri" w:hAnsi="Calibri"/>
          <w:sz w:val="12"/>
          <w:szCs w:val="12"/>
        </w:rPr>
      </w:pPr>
    </w:p>
    <w:p w14:paraId="53AB0DEF" w14:textId="77777777" w:rsidR="00FB7C6B" w:rsidRDefault="00FB7C6B" w:rsidP="00FB7C6B">
      <w:pPr>
        <w:spacing w:after="0" w:line="360" w:lineRule="auto"/>
        <w:jc w:val="both"/>
        <w:rPr>
          <w:rFonts w:ascii="Calibri" w:hAnsi="Calibri"/>
        </w:rPr>
      </w:pPr>
      <w:r>
        <w:rPr>
          <w:rFonts w:ascii="Calibri" w:hAnsi="Calibri"/>
        </w:rPr>
        <w:t>The proportion of Indigenous families with children that were headed by one parent rose slightly between 2006 and 2021, from 57.1% to 65.7%.</w:t>
      </w:r>
    </w:p>
    <w:p w14:paraId="644273FF" w14:textId="77777777" w:rsidR="00FB7C6B" w:rsidRDefault="00FB7C6B" w:rsidP="00FB7C6B">
      <w:pPr>
        <w:spacing w:after="0" w:line="360" w:lineRule="auto"/>
        <w:jc w:val="both"/>
        <w:rPr>
          <w:rFonts w:ascii="Calibri" w:hAnsi="Calibri"/>
        </w:rPr>
      </w:pPr>
    </w:p>
    <w:p w14:paraId="6468E63C" w14:textId="24A7E2AC" w:rsidR="00FB7C6B" w:rsidRDefault="00FB7C6B" w:rsidP="00FB7C6B">
      <w:pPr>
        <w:spacing w:after="0" w:line="360" w:lineRule="auto"/>
        <w:jc w:val="both"/>
        <w:rPr>
          <w:rFonts w:ascii="Calibri" w:hAnsi="Calibri"/>
        </w:rPr>
      </w:pPr>
      <w:r>
        <w:rPr>
          <w:rFonts w:ascii="Calibri" w:hAnsi="Calibri"/>
        </w:rPr>
        <w:t>The percentage of homes that were owned or being purchased by their Indigenous occupants</w:t>
      </w:r>
      <w:r w:rsidRPr="00B54BAE">
        <w:rPr>
          <w:rFonts w:ascii="Calibri" w:hAnsi="Calibri"/>
        </w:rPr>
        <w:t xml:space="preserve"> </w:t>
      </w:r>
      <w:r>
        <w:rPr>
          <w:rFonts w:ascii="Calibri" w:hAnsi="Calibri"/>
        </w:rPr>
        <w:t>declined from 35% to 25% during the period 2006 to 2021.</w:t>
      </w:r>
    </w:p>
    <w:p w14:paraId="27557B84" w14:textId="57AF972E" w:rsidR="00FB7C6B" w:rsidRDefault="00FB7C6B" w:rsidP="00FB7C6B">
      <w:pPr>
        <w:spacing w:after="0" w:line="360" w:lineRule="auto"/>
        <w:jc w:val="both"/>
        <w:rPr>
          <w:rFonts w:ascii="Calibri" w:hAnsi="Calibri"/>
          <w:color w:val="7F7F7F"/>
          <w:sz w:val="18"/>
          <w:szCs w:val="18"/>
        </w:rPr>
      </w:pPr>
      <w:r>
        <w:rPr>
          <w:rFonts w:ascii="Calibri" w:hAnsi="Calibri"/>
          <w:noProof/>
          <w:lang w:eastAsia="en-AU"/>
        </w:rPr>
        <w:drawing>
          <wp:anchor distT="0" distB="0" distL="114300" distR="114300" simplePos="0" relativeHeight="251725824" behindDoc="0" locked="0" layoutInCell="1" allowOverlap="1" wp14:anchorId="14F9FB78" wp14:editId="36A25D48">
            <wp:simplePos x="0" y="0"/>
            <wp:positionH relativeFrom="margin">
              <wp:align>left</wp:align>
            </wp:positionH>
            <wp:positionV relativeFrom="paragraph">
              <wp:posOffset>6350</wp:posOffset>
            </wp:positionV>
            <wp:extent cx="2762250" cy="1900555"/>
            <wp:effectExtent l="0" t="0" r="0" b="444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762250" cy="1900555"/>
                    </a:xfrm>
                    <a:prstGeom prst="rect">
                      <a:avLst/>
                    </a:prstGeom>
                    <a:noFill/>
                  </pic:spPr>
                </pic:pic>
              </a:graphicData>
            </a:graphic>
            <wp14:sizeRelH relativeFrom="page">
              <wp14:pctWidth>0</wp14:pctWidth>
            </wp14:sizeRelH>
            <wp14:sizeRelV relativeFrom="page">
              <wp14:pctHeight>0</wp14:pctHeight>
            </wp14:sizeRelV>
          </wp:anchor>
        </w:drawing>
      </w:r>
    </w:p>
    <w:p w14:paraId="15704A20" w14:textId="77777777" w:rsidR="00FB7C6B" w:rsidRPr="002F13A3" w:rsidRDefault="00FB7C6B" w:rsidP="00FB7C6B">
      <w:pPr>
        <w:spacing w:after="0" w:line="240" w:lineRule="auto"/>
        <w:jc w:val="both"/>
        <w:rPr>
          <w:rFonts w:ascii="Calibri" w:hAnsi="Calibri"/>
          <w:color w:val="7F7F7F"/>
          <w:sz w:val="20"/>
          <w:szCs w:val="20"/>
        </w:rPr>
      </w:pPr>
      <w:r w:rsidRPr="002F13A3">
        <w:rPr>
          <w:rFonts w:ascii="Calibri" w:hAnsi="Calibri"/>
          <w:color w:val="7F7F7F"/>
          <w:sz w:val="20"/>
          <w:szCs w:val="20"/>
        </w:rPr>
        <w:t>Per cent of 20-64 year-old Aboriginal residents with a severe or profound disability: Greater Dandenong, 2006 and 2021</w:t>
      </w:r>
    </w:p>
    <w:p w14:paraId="0FD878EE" w14:textId="77777777" w:rsidR="00FB7C6B" w:rsidRDefault="00FB7C6B" w:rsidP="00FB7C6B">
      <w:pPr>
        <w:spacing w:after="0" w:line="360" w:lineRule="auto"/>
        <w:jc w:val="both"/>
        <w:rPr>
          <w:rFonts w:ascii="Calibri" w:hAnsi="Calibri"/>
        </w:rPr>
      </w:pPr>
    </w:p>
    <w:p w14:paraId="7EA40AFD" w14:textId="77777777" w:rsidR="00FB7C6B" w:rsidRDefault="00FB7C6B" w:rsidP="00FB7C6B">
      <w:pPr>
        <w:spacing w:after="0" w:line="360" w:lineRule="auto"/>
        <w:jc w:val="both"/>
        <w:rPr>
          <w:rFonts w:ascii="Calibri" w:hAnsi="Calibri"/>
        </w:rPr>
      </w:pPr>
      <w:r>
        <w:rPr>
          <w:rFonts w:ascii="Calibri" w:hAnsi="Calibri"/>
        </w:rPr>
        <w:t>The prevalence of severe or profound disability among Indigenous residents of Greater Dandenong rose from 7.1% of 20 to 64 year-olds in 2006, to 12.1% by 2021.</w:t>
      </w:r>
    </w:p>
    <w:p w14:paraId="28016180" w14:textId="76468584" w:rsidR="00E81EEF" w:rsidRDefault="00FB7C6B" w:rsidP="00FB7C6B">
      <w:pPr>
        <w:spacing w:after="0" w:line="360" w:lineRule="auto"/>
      </w:pPr>
      <w:r>
        <w:rPr>
          <w:rFonts w:ascii="Calibri" w:hAnsi="Calibri"/>
        </w:rPr>
        <w:br w:type="page"/>
      </w:r>
    </w:p>
    <w:p w14:paraId="78B646A3" w14:textId="77777777" w:rsidR="00250204" w:rsidRPr="0029463F" w:rsidRDefault="00250204" w:rsidP="00250204">
      <w:pPr>
        <w:pBdr>
          <w:top w:val="single" w:sz="4" w:space="1" w:color="auto"/>
          <w:bottom w:val="single" w:sz="4" w:space="1" w:color="auto"/>
        </w:pBdr>
        <w:tabs>
          <w:tab w:val="center" w:pos="4678"/>
        </w:tabs>
        <w:jc w:val="center"/>
        <w:rPr>
          <w:rFonts w:ascii="Calibri" w:hAnsi="Calibri"/>
          <w:sz w:val="32"/>
          <w:szCs w:val="32"/>
        </w:rPr>
      </w:pPr>
      <w:r>
        <w:rPr>
          <w:rFonts w:ascii="Calibri" w:hAnsi="Calibri"/>
          <w:noProof/>
          <w:sz w:val="32"/>
          <w:szCs w:val="32"/>
          <w:lang w:val="en-US"/>
        </w:rPr>
        <w:lastRenderedPageBreak/>
        <w:t>LGBTI Communities</w:t>
      </w:r>
    </w:p>
    <w:p w14:paraId="03C0D13B" w14:textId="77777777" w:rsidR="00250204" w:rsidRPr="00A2790C" w:rsidRDefault="00250204" w:rsidP="00250204">
      <w:pPr>
        <w:spacing w:after="0" w:line="360" w:lineRule="auto"/>
        <w:jc w:val="both"/>
        <w:rPr>
          <w:rFonts w:cstheme="minorHAnsi"/>
          <w:b/>
          <w:bCs/>
        </w:rPr>
      </w:pPr>
      <w:r>
        <w:rPr>
          <w:noProof/>
        </w:rPr>
        <w:drawing>
          <wp:anchor distT="0" distB="0" distL="114300" distR="114300" simplePos="0" relativeHeight="251735040" behindDoc="0" locked="0" layoutInCell="1" allowOverlap="1" wp14:anchorId="0512C80D" wp14:editId="3C913D57">
            <wp:simplePos x="0" y="0"/>
            <wp:positionH relativeFrom="margin">
              <wp:posOffset>4766310</wp:posOffset>
            </wp:positionH>
            <wp:positionV relativeFrom="paragraph">
              <wp:posOffset>3175</wp:posOffset>
            </wp:positionV>
            <wp:extent cx="1343025" cy="807720"/>
            <wp:effectExtent l="0" t="0" r="9525"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2">
                      <a:extLst>
                        <a:ext uri="{28A0092B-C50C-407E-A947-70E740481C1C}">
                          <a14:useLocalDpi xmlns:a14="http://schemas.microsoft.com/office/drawing/2010/main" val="0"/>
                        </a:ext>
                      </a:extLst>
                    </a:blip>
                    <a:stretch>
                      <a:fillRect/>
                    </a:stretch>
                  </pic:blipFill>
                  <pic:spPr>
                    <a:xfrm>
                      <a:off x="0" y="0"/>
                      <a:ext cx="1343025" cy="80772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r w:rsidRPr="00A2790C">
        <w:rPr>
          <w:rFonts w:cstheme="minorHAnsi"/>
          <w:b/>
          <w:bCs/>
        </w:rPr>
        <w:t>Population</w:t>
      </w:r>
    </w:p>
    <w:p w14:paraId="17277B36" w14:textId="77777777" w:rsidR="00250204" w:rsidRPr="00FF4953" w:rsidRDefault="00250204" w:rsidP="00250204">
      <w:pPr>
        <w:tabs>
          <w:tab w:val="left" w:pos="284"/>
        </w:tabs>
        <w:spacing w:after="0" w:line="360" w:lineRule="auto"/>
        <w:jc w:val="both"/>
        <w:rPr>
          <w:rFonts w:cstheme="minorHAnsi"/>
        </w:rPr>
      </w:pPr>
      <w:r w:rsidRPr="00FF4953">
        <w:rPr>
          <w:rFonts w:cstheme="minorHAnsi"/>
        </w:rPr>
        <w:t xml:space="preserve">A widening acceptance of differences in sexual orientation and identity has </w:t>
      </w:r>
      <w:r>
        <w:rPr>
          <w:rFonts w:cstheme="minorHAnsi"/>
        </w:rPr>
        <w:t>encouraged more candid responses to inquiries about</w:t>
      </w:r>
      <w:r w:rsidRPr="00FF4953">
        <w:rPr>
          <w:rFonts w:cstheme="minorHAnsi"/>
        </w:rPr>
        <w:t xml:space="preserve"> </w:t>
      </w:r>
      <w:r>
        <w:rPr>
          <w:rFonts w:cstheme="minorHAnsi"/>
        </w:rPr>
        <w:t>such issues</w:t>
      </w:r>
      <w:r w:rsidRPr="00FF4953">
        <w:rPr>
          <w:rFonts w:cstheme="minorHAnsi"/>
        </w:rPr>
        <w:t xml:space="preserve">, making </w:t>
      </w:r>
      <w:r>
        <w:rPr>
          <w:rFonts w:cstheme="minorHAnsi"/>
        </w:rPr>
        <w:t>estimates of the</w:t>
      </w:r>
      <w:r w:rsidRPr="00FF4953">
        <w:rPr>
          <w:rFonts w:cstheme="minorHAnsi"/>
        </w:rPr>
        <w:t xml:space="preserve"> </w:t>
      </w:r>
      <w:r>
        <w:rPr>
          <w:rFonts w:cstheme="minorHAnsi"/>
        </w:rPr>
        <w:t>population of</w:t>
      </w:r>
      <w:r w:rsidRPr="00FF4953">
        <w:rPr>
          <w:rFonts w:cstheme="minorHAnsi"/>
        </w:rPr>
        <w:t xml:space="preserve"> lesbian, gay, bisexual, transsexual or intersex (LGBTI)</w:t>
      </w:r>
      <w:r>
        <w:rPr>
          <w:rFonts w:cstheme="minorHAnsi"/>
        </w:rPr>
        <w:t xml:space="preserve"> people more reliable than in the past</w:t>
      </w:r>
      <w:r w:rsidRPr="00FF4953">
        <w:rPr>
          <w:rFonts w:cstheme="minorHAnsi"/>
        </w:rPr>
        <w:t>.</w:t>
      </w:r>
    </w:p>
    <w:p w14:paraId="60AE71A0" w14:textId="77777777" w:rsidR="00250204" w:rsidRPr="00FF4953" w:rsidRDefault="00250204" w:rsidP="00250204">
      <w:pPr>
        <w:tabs>
          <w:tab w:val="left" w:pos="284"/>
        </w:tabs>
        <w:spacing w:after="0" w:line="360" w:lineRule="auto"/>
        <w:jc w:val="both"/>
        <w:rPr>
          <w:rFonts w:cstheme="minorHAnsi"/>
        </w:rPr>
      </w:pPr>
      <w:r>
        <w:rPr>
          <w:rFonts w:cstheme="minorHAnsi"/>
        </w:rPr>
        <w:t>One Australian survey found that</w:t>
      </w:r>
      <w:r w:rsidRPr="00FF4953">
        <w:rPr>
          <w:rFonts w:cstheme="minorHAnsi"/>
        </w:rPr>
        <w:t xml:space="preserve"> 6.5% among </w:t>
      </w:r>
      <w:r>
        <w:rPr>
          <w:rFonts w:cstheme="minorHAnsi"/>
        </w:rPr>
        <w:t>participants</w:t>
      </w:r>
      <w:r w:rsidRPr="00FF4953">
        <w:rPr>
          <w:rFonts w:cstheme="minorHAnsi"/>
        </w:rPr>
        <w:t xml:space="preserve"> aged 20-29</w:t>
      </w:r>
      <w:r>
        <w:rPr>
          <w:rFonts w:cstheme="minorHAnsi"/>
        </w:rPr>
        <w:t xml:space="preserve"> identified themselves as homosexual, a figure which tended to decline</w:t>
      </w:r>
      <w:r w:rsidRPr="00FF4953">
        <w:rPr>
          <w:rFonts w:cstheme="minorHAnsi"/>
        </w:rPr>
        <w:t xml:space="preserve"> among older respondents</w:t>
      </w:r>
      <w:r>
        <w:rPr>
          <w:rStyle w:val="FootnoteReference"/>
          <w:rFonts w:cstheme="minorHAnsi"/>
        </w:rPr>
        <w:footnoteReference w:id="6"/>
      </w:r>
      <w:r w:rsidRPr="00FF4953">
        <w:rPr>
          <w:rFonts w:cstheme="minorHAnsi"/>
        </w:rPr>
        <w:t>.</w:t>
      </w:r>
      <w:r>
        <w:rPr>
          <w:rFonts w:cstheme="minorHAnsi"/>
        </w:rPr>
        <w:t xml:space="preserve"> The findings of further studies indicate that the prevalence of bisexuality in Australia may be approximately 5%</w:t>
      </w:r>
      <w:r>
        <w:rPr>
          <w:rStyle w:val="FootnoteReference"/>
          <w:rFonts w:cstheme="minorHAnsi"/>
        </w:rPr>
        <w:footnoteReference w:id="7"/>
      </w:r>
      <w:r>
        <w:rPr>
          <w:rFonts w:cstheme="minorHAnsi"/>
        </w:rPr>
        <w:t>, transsexuality 0.4%</w:t>
      </w:r>
      <w:r>
        <w:rPr>
          <w:rStyle w:val="FootnoteReference"/>
          <w:rFonts w:cstheme="minorHAnsi"/>
        </w:rPr>
        <w:footnoteReference w:id="8"/>
      </w:r>
      <w:r>
        <w:rPr>
          <w:rFonts w:cstheme="minorHAnsi"/>
        </w:rPr>
        <w:t xml:space="preserve"> and </w:t>
      </w:r>
      <w:r w:rsidRPr="00FF4953">
        <w:rPr>
          <w:rFonts w:cstheme="minorHAnsi"/>
        </w:rPr>
        <w:t>intersex</w:t>
      </w:r>
      <w:r>
        <w:rPr>
          <w:rFonts w:cstheme="minorHAnsi"/>
        </w:rPr>
        <w:t>,</w:t>
      </w:r>
      <w:r w:rsidRPr="00FF4953">
        <w:rPr>
          <w:rFonts w:cstheme="minorHAnsi"/>
        </w:rPr>
        <w:t xml:space="preserve"> 0.02%</w:t>
      </w:r>
      <w:r>
        <w:rPr>
          <w:rFonts w:cstheme="minorHAnsi"/>
        </w:rPr>
        <w:t>.</w:t>
      </w:r>
      <w:r>
        <w:rPr>
          <w:rStyle w:val="FootnoteReference"/>
          <w:rFonts w:cstheme="minorHAnsi"/>
        </w:rPr>
        <w:footnoteReference w:id="9"/>
      </w:r>
    </w:p>
    <w:p w14:paraId="1F49EB02" w14:textId="77777777" w:rsidR="00250204" w:rsidRPr="00E75BBB" w:rsidRDefault="00250204" w:rsidP="00250204">
      <w:pPr>
        <w:spacing w:after="0" w:line="360" w:lineRule="auto"/>
        <w:jc w:val="both"/>
        <w:rPr>
          <w:rFonts w:cstheme="minorHAnsi"/>
        </w:rPr>
      </w:pPr>
      <w:r>
        <w:rPr>
          <w:rFonts w:cstheme="minorHAnsi"/>
        </w:rPr>
        <w:t>The s</w:t>
      </w:r>
      <w:r w:rsidRPr="00FF4953">
        <w:rPr>
          <w:rFonts w:cstheme="minorHAnsi"/>
        </w:rPr>
        <w:t>um</w:t>
      </w:r>
      <w:r>
        <w:rPr>
          <w:rFonts w:cstheme="minorHAnsi"/>
        </w:rPr>
        <w:t xml:space="preserve"> of</w:t>
      </w:r>
      <w:r w:rsidRPr="00FF4953">
        <w:rPr>
          <w:rFonts w:cstheme="minorHAnsi"/>
        </w:rPr>
        <w:t xml:space="preserve"> these figures</w:t>
      </w:r>
      <w:r>
        <w:rPr>
          <w:rFonts w:cstheme="minorHAnsi"/>
        </w:rPr>
        <w:t xml:space="preserve">, of about 12.5%, gives an indication of </w:t>
      </w:r>
      <w:r w:rsidRPr="00FF4953">
        <w:rPr>
          <w:rFonts w:cstheme="minorHAnsi"/>
        </w:rPr>
        <w:t xml:space="preserve">the proportion of </w:t>
      </w:r>
      <w:r>
        <w:rPr>
          <w:rFonts w:cstheme="minorHAnsi"/>
        </w:rPr>
        <w:t>Australian adults</w:t>
      </w:r>
      <w:r w:rsidRPr="00FF4953">
        <w:rPr>
          <w:rFonts w:cstheme="minorHAnsi"/>
        </w:rPr>
        <w:t xml:space="preserve"> who are lesbians, gay, bisexual, transsexual or intersex</w:t>
      </w:r>
      <w:r>
        <w:rPr>
          <w:rFonts w:cstheme="minorHAnsi"/>
        </w:rPr>
        <w:t xml:space="preserve"> -</w:t>
      </w:r>
      <w:r w:rsidRPr="00FF4953">
        <w:rPr>
          <w:rFonts w:cstheme="minorHAnsi"/>
        </w:rPr>
        <w:t xml:space="preserve"> </w:t>
      </w:r>
      <w:r>
        <w:rPr>
          <w:rFonts w:cstheme="minorHAnsi"/>
        </w:rPr>
        <w:t>equivalent to</w:t>
      </w:r>
      <w:r w:rsidRPr="00FF4953">
        <w:rPr>
          <w:rFonts w:cstheme="minorHAnsi"/>
        </w:rPr>
        <w:t xml:space="preserve"> </w:t>
      </w:r>
      <w:r>
        <w:rPr>
          <w:rFonts w:cstheme="minorHAnsi"/>
        </w:rPr>
        <w:t>670,000</w:t>
      </w:r>
      <w:r w:rsidRPr="00FF4953">
        <w:rPr>
          <w:rFonts w:cstheme="minorHAnsi"/>
        </w:rPr>
        <w:t xml:space="preserve"> </w:t>
      </w:r>
      <w:r>
        <w:rPr>
          <w:rFonts w:cstheme="minorHAnsi"/>
        </w:rPr>
        <w:t>Victorian adults and 17</w:t>
      </w:r>
      <w:r w:rsidRPr="00FF4953">
        <w:rPr>
          <w:rFonts w:cstheme="minorHAnsi"/>
        </w:rPr>
        <w:t>,000 Greater Dandenong residents</w:t>
      </w:r>
      <w:r>
        <w:rPr>
          <w:rFonts w:cstheme="minorHAnsi"/>
        </w:rPr>
        <w:t xml:space="preserve"> in 2021</w:t>
      </w:r>
      <w:r w:rsidRPr="00FF4953">
        <w:rPr>
          <w:rFonts w:cstheme="minorHAnsi"/>
        </w:rPr>
        <w:t>.</w:t>
      </w:r>
      <w:r>
        <w:rPr>
          <w:rFonts w:cstheme="minorHAnsi"/>
        </w:rPr>
        <w:t xml:space="preserve"> Indeed, similar findings</w:t>
      </w:r>
      <w:r w:rsidRPr="00A2790C">
        <w:rPr>
          <w:rFonts w:cstheme="minorHAnsi"/>
        </w:rPr>
        <w:t xml:space="preserve"> emerged </w:t>
      </w:r>
      <w:r>
        <w:rPr>
          <w:rFonts w:cstheme="minorHAnsi"/>
        </w:rPr>
        <w:t>from</w:t>
      </w:r>
      <w:r w:rsidRPr="00A2790C">
        <w:rPr>
          <w:rFonts w:cstheme="minorHAnsi"/>
        </w:rPr>
        <w:t xml:space="preserve"> </w:t>
      </w:r>
      <w:r>
        <w:rPr>
          <w:rFonts w:cstheme="minorHAnsi"/>
        </w:rPr>
        <w:t>the</w:t>
      </w:r>
      <w:r w:rsidRPr="00A2790C">
        <w:rPr>
          <w:rFonts w:cstheme="minorHAnsi"/>
        </w:rPr>
        <w:t xml:space="preserve"> 2017 </w:t>
      </w:r>
      <w:r>
        <w:rPr>
          <w:rFonts w:cstheme="minorHAnsi"/>
        </w:rPr>
        <w:t xml:space="preserve">Population Health Survey, </w:t>
      </w:r>
      <w:r w:rsidRPr="00A2790C">
        <w:rPr>
          <w:rFonts w:cstheme="minorHAnsi"/>
        </w:rPr>
        <w:t>where 12% of 18-24 year-old survey participants indicated that they were LGBTI</w:t>
      </w:r>
      <w:r>
        <w:rPr>
          <w:rFonts w:cstheme="minorHAnsi"/>
        </w:rPr>
        <w:t>, and</w:t>
      </w:r>
      <w:r w:rsidRPr="00A2790C">
        <w:rPr>
          <w:rFonts w:cstheme="minorHAnsi"/>
        </w:rPr>
        <w:t xml:space="preserve"> a further 3% of these respondents stated that they ‘did not know’ if they were heterosexual</w:t>
      </w:r>
      <w:r>
        <w:rPr>
          <w:rFonts w:cstheme="minorHAnsi"/>
        </w:rPr>
        <w:t xml:space="preserve"> -</w:t>
      </w:r>
      <w:r w:rsidRPr="00A2790C">
        <w:rPr>
          <w:rFonts w:cstheme="minorHAnsi"/>
        </w:rPr>
        <w:t xml:space="preserve"> suggesting a possible prevalence </w:t>
      </w:r>
      <w:r>
        <w:rPr>
          <w:rFonts w:cstheme="minorHAnsi"/>
        </w:rPr>
        <w:t xml:space="preserve">of LGBTI individuals </w:t>
      </w:r>
      <w:r w:rsidRPr="00A2790C">
        <w:rPr>
          <w:rFonts w:cstheme="minorHAnsi"/>
        </w:rPr>
        <w:t xml:space="preserve">of </w:t>
      </w:r>
      <w:r>
        <w:rPr>
          <w:rFonts w:cstheme="minorHAnsi"/>
        </w:rPr>
        <w:t>up to 15%</w:t>
      </w:r>
      <w:r>
        <w:t>.</w:t>
      </w:r>
      <w:r>
        <w:rPr>
          <w:rStyle w:val="FootnoteReference"/>
        </w:rPr>
        <w:footnoteReference w:id="10"/>
      </w:r>
      <w:bookmarkStart w:id="5" w:name="_Hlk51080663"/>
    </w:p>
    <w:p w14:paraId="71C96412" w14:textId="77777777" w:rsidR="00250204" w:rsidRPr="009774CF" w:rsidRDefault="00250204" w:rsidP="00250204">
      <w:pPr>
        <w:spacing w:after="0" w:line="360" w:lineRule="auto"/>
        <w:jc w:val="both"/>
        <w:rPr>
          <w:rFonts w:cstheme="minorHAnsi"/>
          <w:b/>
          <w:bCs/>
          <w:sz w:val="8"/>
          <w:szCs w:val="8"/>
        </w:rPr>
      </w:pPr>
    </w:p>
    <w:p w14:paraId="5610F728" w14:textId="77777777" w:rsidR="00250204" w:rsidRPr="002C1946" w:rsidRDefault="00250204" w:rsidP="00250204">
      <w:pPr>
        <w:spacing w:after="0" w:line="360" w:lineRule="auto"/>
        <w:jc w:val="both"/>
        <w:rPr>
          <w:rFonts w:cstheme="minorHAnsi"/>
          <w:b/>
          <w:bCs/>
          <w:lang w:val="en-US"/>
        </w:rPr>
      </w:pPr>
      <w:r w:rsidRPr="002C1946">
        <w:rPr>
          <w:rFonts w:cstheme="minorHAnsi"/>
          <w:b/>
          <w:bCs/>
        </w:rPr>
        <w:t xml:space="preserve">Discrimination and abuse </w:t>
      </w:r>
    </w:p>
    <w:p w14:paraId="63E693AB" w14:textId="77777777" w:rsidR="00250204" w:rsidRPr="00B3203F" w:rsidRDefault="00250204" w:rsidP="00250204">
      <w:pPr>
        <w:spacing w:after="0" w:line="360" w:lineRule="auto"/>
        <w:jc w:val="both"/>
        <w:rPr>
          <w:rFonts w:cstheme="minorHAnsi"/>
        </w:rPr>
      </w:pPr>
      <w:r w:rsidRPr="00B3203F">
        <w:rPr>
          <w:rFonts w:cstheme="minorHAnsi"/>
        </w:rPr>
        <w:t>Many young people experience antagonism and aggression within their families, stemming from their gender identity or sexuality</w:t>
      </w:r>
      <w:r>
        <w:rPr>
          <w:rStyle w:val="FootnoteReference"/>
          <w:rFonts w:cstheme="minorHAnsi"/>
        </w:rPr>
        <w:footnoteReference w:id="11"/>
      </w:r>
      <w:r w:rsidRPr="00B3203F">
        <w:rPr>
          <w:rFonts w:cstheme="minorHAnsi"/>
        </w:rPr>
        <w:t xml:space="preserve">, an experience </w:t>
      </w:r>
      <w:r>
        <w:rPr>
          <w:rFonts w:cstheme="minorHAnsi"/>
        </w:rPr>
        <w:t>which may be</w:t>
      </w:r>
      <w:r w:rsidRPr="00B3203F">
        <w:rPr>
          <w:rFonts w:cstheme="minorHAnsi"/>
        </w:rPr>
        <w:t xml:space="preserve"> accentuated within particular cultural groups</w:t>
      </w:r>
      <w:r>
        <w:rPr>
          <w:rStyle w:val="FootnoteReference"/>
          <w:rFonts w:cstheme="minorHAnsi"/>
        </w:rPr>
        <w:footnoteReference w:id="12"/>
      </w:r>
      <w:r w:rsidRPr="00B3203F">
        <w:rPr>
          <w:rFonts w:cstheme="minorHAnsi"/>
        </w:rPr>
        <w:t xml:space="preserve">. Victimization of young LGBTI people may </w:t>
      </w:r>
      <w:r>
        <w:rPr>
          <w:rFonts w:cstheme="minorHAnsi"/>
        </w:rPr>
        <w:t>occur</w:t>
      </w:r>
      <w:r w:rsidRPr="00B3203F">
        <w:rPr>
          <w:rFonts w:cstheme="minorHAnsi"/>
        </w:rPr>
        <w:t xml:space="preserve"> at school, sport, social and other settings, </w:t>
      </w:r>
      <w:r>
        <w:rPr>
          <w:rFonts w:cstheme="minorHAnsi"/>
        </w:rPr>
        <w:t>resulting in</w:t>
      </w:r>
      <w:r w:rsidRPr="00B3203F">
        <w:rPr>
          <w:rFonts w:cstheme="minorHAnsi"/>
        </w:rPr>
        <w:t xml:space="preserve"> social exclusion from peers, harassment, threats, violence and accompanying fears for their personal safety. </w:t>
      </w:r>
      <w:r>
        <w:rPr>
          <w:rFonts w:cstheme="minorHAnsi"/>
        </w:rPr>
        <w:t>One inquiry</w:t>
      </w:r>
      <w:r w:rsidRPr="00B3203F">
        <w:rPr>
          <w:rFonts w:cstheme="minorHAnsi"/>
        </w:rPr>
        <w:t xml:space="preserve"> found that just 12% of same-sex attracted young people in an Australian sample felt safe at school and 43% on the street.</w:t>
      </w:r>
      <w:r>
        <w:rPr>
          <w:rStyle w:val="FootnoteReference"/>
          <w:rFonts w:cstheme="minorHAnsi"/>
        </w:rPr>
        <w:footnoteReference w:id="13"/>
      </w:r>
      <w:r w:rsidRPr="00B3203F">
        <w:rPr>
          <w:rFonts w:cstheme="minorHAnsi"/>
        </w:rPr>
        <w:t xml:space="preserve"> </w:t>
      </w:r>
    </w:p>
    <w:p w14:paraId="1FBBF4AB" w14:textId="77777777" w:rsidR="00250204" w:rsidRPr="00B3203F" w:rsidRDefault="00250204" w:rsidP="00250204">
      <w:pPr>
        <w:spacing w:after="0" w:line="360" w:lineRule="auto"/>
        <w:jc w:val="both"/>
        <w:rPr>
          <w:rFonts w:cstheme="minorHAnsi"/>
        </w:rPr>
      </w:pPr>
      <w:r w:rsidRPr="00B3203F">
        <w:rPr>
          <w:rFonts w:cstheme="minorHAnsi"/>
        </w:rPr>
        <w:t>Further research reveals similarly adverse experiences among adult members of LGBTI communities. One inquiry determined that 44% of a sample of 1,7</w:t>
      </w:r>
      <w:r>
        <w:rPr>
          <w:rFonts w:cstheme="minorHAnsi"/>
        </w:rPr>
        <w:t>50</w:t>
      </w:r>
      <w:r w:rsidRPr="00B3203F">
        <w:rPr>
          <w:rFonts w:cstheme="minorHAnsi"/>
        </w:rPr>
        <w:t xml:space="preserve"> LGBTI Australians had experienced “verbal abuse relating to their sexuality or gender” and 16% had been physically abused.</w:t>
      </w:r>
      <w:r>
        <w:rPr>
          <w:rStyle w:val="FootnoteReference"/>
          <w:rFonts w:cstheme="minorHAnsi"/>
        </w:rPr>
        <w:footnoteReference w:id="14"/>
      </w:r>
      <w:r w:rsidRPr="00B3203F">
        <w:rPr>
          <w:rFonts w:cstheme="minorHAnsi"/>
        </w:rPr>
        <w:t xml:space="preserve"> </w:t>
      </w:r>
      <w:r>
        <w:rPr>
          <w:rFonts w:cstheme="minorHAnsi"/>
        </w:rPr>
        <w:t>Similarly, 34%</w:t>
      </w:r>
      <w:r w:rsidRPr="00B3203F">
        <w:rPr>
          <w:rFonts w:cstheme="minorHAnsi"/>
        </w:rPr>
        <w:t xml:space="preserve"> of LGBTI survey participants in the 2017 Victorian Population Health Survey had experienced discrimination in the previous year, compared with 16% of others. </w:t>
      </w:r>
    </w:p>
    <w:p w14:paraId="654E9544" w14:textId="77777777" w:rsidR="00250204" w:rsidRPr="00977BBD" w:rsidRDefault="00250204" w:rsidP="00250204">
      <w:pPr>
        <w:spacing w:after="0" w:line="360" w:lineRule="auto"/>
        <w:jc w:val="both"/>
        <w:rPr>
          <w:rFonts w:cstheme="minorHAnsi"/>
          <w:b/>
          <w:bCs/>
          <w:color w:val="000000" w:themeColor="text1"/>
        </w:rPr>
      </w:pPr>
      <w:r w:rsidRPr="00977BBD">
        <w:rPr>
          <w:rFonts w:cstheme="minorHAnsi"/>
          <w:b/>
          <w:bCs/>
          <w:color w:val="000000" w:themeColor="text1"/>
        </w:rPr>
        <w:lastRenderedPageBreak/>
        <w:t>Mental Health</w:t>
      </w:r>
    </w:p>
    <w:bookmarkEnd w:id="5"/>
    <w:p w14:paraId="12C135BC" w14:textId="77777777" w:rsidR="00250204" w:rsidRPr="00977BBD" w:rsidRDefault="00250204" w:rsidP="00250204">
      <w:pPr>
        <w:spacing w:after="0" w:line="360" w:lineRule="auto"/>
        <w:jc w:val="both"/>
        <w:rPr>
          <w:rFonts w:cstheme="minorHAnsi"/>
        </w:rPr>
      </w:pPr>
      <w:r w:rsidRPr="00977BBD">
        <w:rPr>
          <w:rFonts w:cstheme="minorHAnsi"/>
        </w:rPr>
        <w:t xml:space="preserve">Exclusion, harassment, abuse and violence </w:t>
      </w:r>
      <w:r>
        <w:rPr>
          <w:rFonts w:cstheme="minorHAnsi"/>
        </w:rPr>
        <w:t>jeopardizes</w:t>
      </w:r>
      <w:r w:rsidRPr="00977BBD">
        <w:rPr>
          <w:rFonts w:cstheme="minorHAnsi"/>
        </w:rPr>
        <w:t xml:space="preserve"> the mental health of many young people and adults. </w:t>
      </w:r>
    </w:p>
    <w:p w14:paraId="19373395" w14:textId="266000F7" w:rsidR="00250204" w:rsidRPr="00977BBD" w:rsidRDefault="00250204" w:rsidP="00250204">
      <w:pPr>
        <w:spacing w:after="0" w:line="360" w:lineRule="auto"/>
        <w:jc w:val="both"/>
        <w:rPr>
          <w:rFonts w:cstheme="minorHAnsi"/>
        </w:rPr>
      </w:pPr>
      <w:r w:rsidRPr="00977BBD">
        <w:rPr>
          <w:rFonts w:cstheme="minorHAnsi"/>
          <w:noProof/>
          <w:color w:val="000000" w:themeColor="text1"/>
        </w:rPr>
        <w:t>An</w:t>
      </w:r>
      <w:r w:rsidRPr="00977BBD">
        <w:rPr>
          <w:rFonts w:cstheme="minorHAnsi"/>
          <w:color w:val="000000" w:themeColor="text1"/>
        </w:rPr>
        <w:t xml:space="preserve"> A</w:t>
      </w:r>
      <w:r w:rsidRPr="00977BBD">
        <w:rPr>
          <w:rFonts w:cstheme="minorHAnsi"/>
        </w:rPr>
        <w:t xml:space="preserve">ustralian study of 15,000 22-17 year-old women found that, compared with heterosexual women, those who were </w:t>
      </w:r>
      <w:r>
        <w:rPr>
          <w:rFonts w:cstheme="minorHAnsi"/>
        </w:rPr>
        <w:t>same sex attracted</w:t>
      </w:r>
      <w:r w:rsidRPr="00977BBD">
        <w:rPr>
          <w:rFonts w:cstheme="minorHAnsi"/>
        </w:rPr>
        <w:t xml:space="preserve"> experienced higher rates of doctor-diagnosed depression (26.2% compared with 10.9</w:t>
      </w:r>
      <w:r w:rsidR="002F6534">
        <w:rPr>
          <w:rFonts w:cstheme="minorHAnsi"/>
        </w:rPr>
        <w:t>%</w:t>
      </w:r>
      <w:r w:rsidRPr="00977BBD">
        <w:rPr>
          <w:rFonts w:cstheme="minorHAnsi"/>
        </w:rPr>
        <w:t xml:space="preserve">) or anxiety disorders (9.3% vs. 4.6%) in the previous four years, while a greater proportion had </w:t>
      </w:r>
      <w:r>
        <w:rPr>
          <w:rFonts w:cstheme="minorHAnsi"/>
        </w:rPr>
        <w:t>harmed</w:t>
      </w:r>
      <w:r w:rsidRPr="00977BBD">
        <w:rPr>
          <w:rFonts w:cstheme="minorHAnsi"/>
        </w:rPr>
        <w:t xml:space="preserve"> or tried to kill themselves in the previous six months (17.3% vs. 2.7%) (Diagram, </w:t>
      </w:r>
      <w:r>
        <w:rPr>
          <w:rFonts w:cstheme="minorHAnsi"/>
        </w:rPr>
        <w:t>below</w:t>
      </w:r>
      <w:r w:rsidRPr="00977BBD">
        <w:rPr>
          <w:rFonts w:cstheme="minorHAnsi"/>
        </w:rPr>
        <w:t>).</w:t>
      </w:r>
      <w:r>
        <w:rPr>
          <w:rStyle w:val="FootnoteReference"/>
          <w:rFonts w:cstheme="minorHAnsi"/>
        </w:rPr>
        <w:footnoteReference w:id="15"/>
      </w:r>
      <w:r w:rsidRPr="00977BBD">
        <w:rPr>
          <w:rFonts w:cstheme="minorHAnsi"/>
        </w:rPr>
        <w:t xml:space="preserve"> </w:t>
      </w:r>
    </w:p>
    <w:p w14:paraId="3A1B48AF" w14:textId="77777777" w:rsidR="00B70A36" w:rsidRPr="00372B83" w:rsidRDefault="00B70A36" w:rsidP="00250204">
      <w:pPr>
        <w:spacing w:after="0" w:line="360" w:lineRule="auto"/>
        <w:rPr>
          <w:rFonts w:cstheme="minorHAnsi"/>
          <w:color w:val="7F7F7F" w:themeColor="text1" w:themeTint="80"/>
          <w:sz w:val="6"/>
          <w:szCs w:val="6"/>
        </w:rPr>
      </w:pPr>
    </w:p>
    <w:p w14:paraId="75C29D23" w14:textId="7FB61785" w:rsidR="00250204" w:rsidRPr="00977BBD" w:rsidRDefault="00250204" w:rsidP="00B70A36">
      <w:pPr>
        <w:spacing w:after="0" w:line="240" w:lineRule="auto"/>
        <w:rPr>
          <w:rFonts w:cstheme="minorHAnsi"/>
          <w:color w:val="7F7F7F" w:themeColor="text1" w:themeTint="80"/>
          <w:sz w:val="20"/>
          <w:szCs w:val="20"/>
        </w:rPr>
      </w:pPr>
      <w:r w:rsidRPr="00977BBD">
        <w:rPr>
          <w:rFonts w:cstheme="minorHAnsi"/>
          <w:noProof/>
          <w:color w:val="000000" w:themeColor="text1"/>
        </w:rPr>
        <w:drawing>
          <wp:anchor distT="0" distB="0" distL="114300" distR="114300" simplePos="0" relativeHeight="251734016" behindDoc="0" locked="0" layoutInCell="1" allowOverlap="1" wp14:anchorId="2AEB094D" wp14:editId="15D08885">
            <wp:simplePos x="0" y="0"/>
            <wp:positionH relativeFrom="margin">
              <wp:align>right</wp:align>
            </wp:positionH>
            <wp:positionV relativeFrom="paragraph">
              <wp:posOffset>6985</wp:posOffset>
            </wp:positionV>
            <wp:extent cx="3213735" cy="2178050"/>
            <wp:effectExtent l="0" t="0" r="5715"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213735" cy="2178050"/>
                    </a:xfrm>
                    <a:prstGeom prst="rect">
                      <a:avLst/>
                    </a:prstGeom>
                    <a:noFill/>
                  </pic:spPr>
                </pic:pic>
              </a:graphicData>
            </a:graphic>
            <wp14:sizeRelH relativeFrom="page">
              <wp14:pctWidth>0</wp14:pctWidth>
            </wp14:sizeRelH>
            <wp14:sizeRelV relativeFrom="page">
              <wp14:pctHeight>0</wp14:pctHeight>
            </wp14:sizeRelV>
          </wp:anchor>
        </w:drawing>
      </w:r>
      <w:r w:rsidRPr="00977BBD">
        <w:rPr>
          <w:rFonts w:cstheme="minorHAnsi"/>
          <w:color w:val="7F7F7F" w:themeColor="text1" w:themeTint="80"/>
          <w:sz w:val="20"/>
          <w:szCs w:val="20"/>
        </w:rPr>
        <w:t>Mental health concerns: young, LGBTI women</w:t>
      </w:r>
      <w:r>
        <w:rPr>
          <w:rFonts w:cstheme="minorHAnsi"/>
          <w:color w:val="7F7F7F" w:themeColor="text1" w:themeTint="80"/>
          <w:sz w:val="20"/>
          <w:szCs w:val="20"/>
        </w:rPr>
        <w:t xml:space="preserve"> </w:t>
      </w:r>
      <w:r w:rsidR="00B70A36">
        <w:rPr>
          <w:rFonts w:cstheme="minorHAnsi"/>
          <w:color w:val="7F7F7F" w:themeColor="text1" w:themeTint="80"/>
          <w:sz w:val="16"/>
          <w:szCs w:val="16"/>
        </w:rPr>
        <w:t>(McNair et al, 2004)</w:t>
      </w:r>
    </w:p>
    <w:p w14:paraId="461348E4" w14:textId="77777777" w:rsidR="00250204" w:rsidRPr="00372B83" w:rsidRDefault="00250204" w:rsidP="00250204">
      <w:pPr>
        <w:spacing w:after="0" w:line="360" w:lineRule="auto"/>
        <w:jc w:val="both"/>
        <w:rPr>
          <w:rFonts w:cstheme="minorHAnsi"/>
          <w:color w:val="C00000"/>
          <w:sz w:val="6"/>
          <w:szCs w:val="6"/>
        </w:rPr>
      </w:pPr>
    </w:p>
    <w:p w14:paraId="6CE0325C" w14:textId="77777777" w:rsidR="00250204" w:rsidRPr="0065232A" w:rsidRDefault="00250204" w:rsidP="00250204">
      <w:pPr>
        <w:spacing w:after="0" w:line="360" w:lineRule="auto"/>
        <w:jc w:val="both"/>
        <w:rPr>
          <w:rFonts w:cstheme="minorHAnsi"/>
          <w:color w:val="000000" w:themeColor="text1"/>
        </w:rPr>
      </w:pPr>
      <w:r w:rsidRPr="00554089">
        <w:rPr>
          <w:rFonts w:cstheme="minorHAnsi"/>
          <w:noProof/>
          <w:color w:val="000000" w:themeColor="text1"/>
        </w:rPr>
        <w:drawing>
          <wp:anchor distT="0" distB="0" distL="114300" distR="114300" simplePos="0" relativeHeight="251736064" behindDoc="0" locked="0" layoutInCell="1" allowOverlap="1" wp14:anchorId="7C121CF8" wp14:editId="4E1AF2CD">
            <wp:simplePos x="0" y="0"/>
            <wp:positionH relativeFrom="margin">
              <wp:posOffset>4976495</wp:posOffset>
            </wp:positionH>
            <wp:positionV relativeFrom="paragraph">
              <wp:posOffset>420687</wp:posOffset>
            </wp:positionV>
            <wp:extent cx="1054100" cy="701040"/>
            <wp:effectExtent l="0" t="0" r="0" b="381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054100" cy="70104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977BBD">
        <w:rPr>
          <w:rFonts w:cstheme="minorHAnsi"/>
          <w:color w:val="000000" w:themeColor="text1"/>
        </w:rPr>
        <w:t>LGBTI participants in the 2017 Victorian Population Health Survey registered unfavo</w:t>
      </w:r>
      <w:r>
        <w:rPr>
          <w:rFonts w:cstheme="minorHAnsi"/>
          <w:color w:val="000000" w:themeColor="text1"/>
        </w:rPr>
        <w:t>u</w:t>
      </w:r>
      <w:r w:rsidRPr="00977BBD">
        <w:rPr>
          <w:rFonts w:cstheme="minorHAnsi"/>
          <w:color w:val="000000" w:themeColor="text1"/>
        </w:rPr>
        <w:t xml:space="preserve">rable mental health outcomes, including lower levels of satisfaction with life, with 28% assessing their life satisfaction as ‘fair’ or ‘poor’ compared with 20% of others; higher rates of psychological distress (24% compared with 15% of non-LGBTI individuals); and elevated levels of doctor-diagnosed depression or anxiety (45% compared with 26% of non-LGBTI survey participants). </w:t>
      </w:r>
      <w:r w:rsidRPr="00554089">
        <w:rPr>
          <w:rFonts w:cstheme="minorHAnsi"/>
          <w:color w:val="000000" w:themeColor="text1"/>
        </w:rPr>
        <w:t>Another</w:t>
      </w:r>
      <w:r w:rsidRPr="00977BBD">
        <w:rPr>
          <w:rFonts w:cstheme="minorHAnsi"/>
          <w:color w:val="000000" w:themeColor="text1"/>
        </w:rPr>
        <w:t xml:space="preserve"> Australian study, of over 800 trans young people aged 14-25, found that 75% had been diagnosed during their lifetimes with depression and 72% with anxiety; 80% had self-harmed</w:t>
      </w:r>
      <w:r>
        <w:rPr>
          <w:rFonts w:cstheme="minorHAnsi"/>
          <w:color w:val="000000" w:themeColor="text1"/>
        </w:rPr>
        <w:t xml:space="preserve">; </w:t>
      </w:r>
      <w:r w:rsidRPr="00977BBD">
        <w:rPr>
          <w:rFonts w:cstheme="minorHAnsi"/>
          <w:color w:val="000000" w:themeColor="text1"/>
        </w:rPr>
        <w:t>48% had attempted suicide; and 89% had felt rejected by their peers</w:t>
      </w:r>
      <w:r>
        <w:rPr>
          <w:rStyle w:val="FootnoteReference"/>
          <w:rFonts w:cstheme="minorHAnsi"/>
          <w:color w:val="000000" w:themeColor="text1"/>
        </w:rPr>
        <w:footnoteReference w:id="16"/>
      </w:r>
      <w:r w:rsidRPr="00977BBD">
        <w:rPr>
          <w:rFonts w:cstheme="minorHAnsi"/>
          <w:color w:val="000000" w:themeColor="text1"/>
        </w:rPr>
        <w:t>.</w:t>
      </w:r>
      <w:r>
        <w:rPr>
          <w:rFonts w:cstheme="minorHAnsi"/>
          <w:color w:val="000000" w:themeColor="text1"/>
        </w:rPr>
        <w:t xml:space="preserve"> </w:t>
      </w:r>
      <w:r w:rsidRPr="00977BBD">
        <w:rPr>
          <w:rFonts w:cstheme="minorHAnsi"/>
        </w:rPr>
        <w:t>Among respondents to the 2019 Australian ‘Private Lives’ survey</w:t>
      </w:r>
      <w:r>
        <w:rPr>
          <w:rStyle w:val="FootnoteReference"/>
          <w:rFonts w:cstheme="minorHAnsi"/>
        </w:rPr>
        <w:footnoteReference w:id="17"/>
      </w:r>
      <w:r w:rsidRPr="00977BBD">
        <w:rPr>
          <w:rFonts w:cstheme="minorHAnsi"/>
        </w:rPr>
        <w:t xml:space="preserve">, depression had been diagnosed among 39% </w:t>
      </w:r>
      <w:r>
        <w:rPr>
          <w:rFonts w:cstheme="minorHAnsi"/>
        </w:rPr>
        <w:t xml:space="preserve">of LGBTI participants </w:t>
      </w:r>
      <w:r w:rsidRPr="00977BBD">
        <w:rPr>
          <w:rFonts w:cstheme="minorHAnsi"/>
        </w:rPr>
        <w:t xml:space="preserve">- nearly ten times higher than </w:t>
      </w:r>
      <w:r>
        <w:rPr>
          <w:rFonts w:cstheme="minorHAnsi"/>
        </w:rPr>
        <w:t xml:space="preserve">the corresponding figure </w:t>
      </w:r>
      <w:r w:rsidRPr="00977BBD">
        <w:rPr>
          <w:rFonts w:cstheme="minorHAnsi"/>
        </w:rPr>
        <w:t>of 4.1%</w:t>
      </w:r>
      <w:r>
        <w:rPr>
          <w:rFonts w:cstheme="minorHAnsi"/>
        </w:rPr>
        <w:t xml:space="preserve"> </w:t>
      </w:r>
      <w:r w:rsidRPr="00977BBD">
        <w:rPr>
          <w:rFonts w:cstheme="minorHAnsi"/>
        </w:rPr>
        <w:t>among the general population</w:t>
      </w:r>
      <w:r>
        <w:rPr>
          <w:rFonts w:cstheme="minorHAnsi"/>
        </w:rPr>
        <w:t>.</w:t>
      </w:r>
      <w:r>
        <w:rPr>
          <w:rStyle w:val="FootnoteReference"/>
          <w:rFonts w:cstheme="minorHAnsi"/>
        </w:rPr>
        <w:footnoteReference w:id="18"/>
      </w:r>
    </w:p>
    <w:p w14:paraId="74B06211" w14:textId="77777777" w:rsidR="00372B83" w:rsidRDefault="00372B83" w:rsidP="00372B83">
      <w:pPr>
        <w:spacing w:line="360" w:lineRule="auto"/>
        <w:jc w:val="both"/>
        <w:rPr>
          <w:rFonts w:cstheme="minorHAnsi"/>
          <w:color w:val="000000" w:themeColor="text1"/>
        </w:rPr>
      </w:pPr>
      <w:r>
        <w:rPr>
          <w:rFonts w:cstheme="minorHAnsi"/>
        </w:rPr>
        <w:t>Relevantly, a higher prevalence of mental health concerns among members of LGBTI communities was recorded in the 2021 Census, which found that among Greater Dandenong residents who were members of same-sex couples, 10% were experiencing mental health disorders, compared with 5.1% of members of opposite-sex couples.</w:t>
      </w:r>
    </w:p>
    <w:p w14:paraId="3A4E4DFA" w14:textId="77777777" w:rsidR="00250204" w:rsidRPr="002C1946" w:rsidRDefault="00250204" w:rsidP="00250204">
      <w:pPr>
        <w:spacing w:after="0" w:line="360" w:lineRule="auto"/>
        <w:jc w:val="both"/>
        <w:rPr>
          <w:rFonts w:cstheme="minorHAnsi"/>
          <w:b/>
          <w:bCs/>
        </w:rPr>
      </w:pPr>
      <w:r w:rsidRPr="002C1946">
        <w:rPr>
          <w:rFonts w:cstheme="minorHAnsi"/>
          <w:b/>
          <w:bCs/>
        </w:rPr>
        <w:t>Social Connection</w:t>
      </w:r>
    </w:p>
    <w:p w14:paraId="6912422A" w14:textId="4E5C7662" w:rsidR="00250204" w:rsidRDefault="00250204" w:rsidP="00250204">
      <w:pPr>
        <w:spacing w:after="0" w:line="360" w:lineRule="auto"/>
        <w:jc w:val="both"/>
        <w:rPr>
          <w:rFonts w:cstheme="minorHAnsi"/>
        </w:rPr>
      </w:pPr>
      <w:r>
        <w:rPr>
          <w:rFonts w:cstheme="minorHAnsi"/>
        </w:rPr>
        <w:t>Similarly, t</w:t>
      </w:r>
      <w:r w:rsidRPr="002C1946">
        <w:rPr>
          <w:rFonts w:cstheme="minorHAnsi"/>
        </w:rPr>
        <w:t xml:space="preserve">he proportion of LGBTI individuals </w:t>
      </w:r>
      <w:r>
        <w:rPr>
          <w:rFonts w:cstheme="minorHAnsi"/>
        </w:rPr>
        <w:t>who participated in</w:t>
      </w:r>
      <w:r w:rsidRPr="002C1946">
        <w:rPr>
          <w:rFonts w:cstheme="minorHAnsi"/>
        </w:rPr>
        <w:t xml:space="preserve"> the 2017 Victorian Population Health Survey</w:t>
      </w:r>
      <w:r>
        <w:rPr>
          <w:rFonts w:cstheme="minorHAnsi"/>
        </w:rPr>
        <w:t>,</w:t>
      </w:r>
      <w:r w:rsidRPr="002C1946">
        <w:rPr>
          <w:rFonts w:cstheme="minorHAnsi"/>
        </w:rPr>
        <w:t xml:space="preserve"> who did not feel valued by society</w:t>
      </w:r>
      <w:r>
        <w:rPr>
          <w:rFonts w:cstheme="minorHAnsi"/>
        </w:rPr>
        <w:t>,</w:t>
      </w:r>
      <w:r w:rsidRPr="002C1946">
        <w:rPr>
          <w:rFonts w:cstheme="minorHAnsi"/>
        </w:rPr>
        <w:t xml:space="preserve"> was higher, at 17%, than among others (12%), though other perceptions of connection with the community were similar to the average for all survey </w:t>
      </w:r>
      <w:r>
        <w:rPr>
          <w:rFonts w:cstheme="minorHAnsi"/>
        </w:rPr>
        <w:t>participants</w:t>
      </w:r>
      <w:r w:rsidRPr="002C1946">
        <w:rPr>
          <w:rFonts w:cstheme="minorHAnsi"/>
        </w:rPr>
        <w:t xml:space="preserve">. Fewer LGBTI individuals were members of sports (17% vs 25%) or religious (12% vs. 15%) groups, than others, </w:t>
      </w:r>
      <w:r w:rsidRPr="002C1946">
        <w:rPr>
          <w:rFonts w:cstheme="minorHAnsi"/>
        </w:rPr>
        <w:lastRenderedPageBreak/>
        <w:t xml:space="preserve">though no substantial differences were recorded in </w:t>
      </w:r>
      <w:r>
        <w:rPr>
          <w:rFonts w:cstheme="minorHAnsi"/>
        </w:rPr>
        <w:t>involvement</w:t>
      </w:r>
      <w:r w:rsidRPr="002C1946">
        <w:rPr>
          <w:rFonts w:cstheme="minorHAnsi"/>
        </w:rPr>
        <w:t xml:space="preserve"> in professional organizations, community groups or volunteering. </w:t>
      </w:r>
    </w:p>
    <w:p w14:paraId="0427CA81" w14:textId="77777777" w:rsidR="00250204" w:rsidRPr="002C1946" w:rsidRDefault="00250204" w:rsidP="00250204">
      <w:pPr>
        <w:spacing w:after="0" w:line="360" w:lineRule="auto"/>
        <w:jc w:val="both"/>
        <w:rPr>
          <w:rFonts w:cstheme="minorHAnsi"/>
          <w:b/>
          <w:bCs/>
        </w:rPr>
      </w:pPr>
      <w:r w:rsidRPr="002C1946">
        <w:rPr>
          <w:rFonts w:cstheme="minorHAnsi"/>
          <w:b/>
          <w:bCs/>
        </w:rPr>
        <w:t xml:space="preserve">Health </w:t>
      </w:r>
    </w:p>
    <w:p w14:paraId="05905FB4" w14:textId="77777777" w:rsidR="00250204" w:rsidRDefault="00250204" w:rsidP="00250204">
      <w:pPr>
        <w:spacing w:after="0" w:line="360" w:lineRule="auto"/>
        <w:jc w:val="both"/>
        <w:rPr>
          <w:rFonts w:cstheme="minorHAnsi"/>
        </w:rPr>
      </w:pPr>
      <w:r w:rsidRPr="002C1946">
        <w:rPr>
          <w:rFonts w:cstheme="minorHAnsi"/>
        </w:rPr>
        <w:t>Among respondents to the 2017 Victorian Population Health Survey, LGBTI individuals recorded less favorable health, with 36% assessing their health as ‘excellent’ or ‘very good’ compared with 43% of others. Elevated rates of smoking (18% daily smokers, compared with 12% among others), and of chronic health conditions (36% compared with 25%) were also documented</w:t>
      </w:r>
      <w:r>
        <w:rPr>
          <w:rFonts w:cstheme="minorHAnsi"/>
        </w:rPr>
        <w:t xml:space="preserve"> by the survey</w:t>
      </w:r>
      <w:r w:rsidRPr="002C1946">
        <w:rPr>
          <w:rFonts w:cstheme="minorHAnsi"/>
        </w:rPr>
        <w:t>.</w:t>
      </w:r>
    </w:p>
    <w:p w14:paraId="319489B6" w14:textId="77777777" w:rsidR="00250204" w:rsidRPr="002C1946" w:rsidRDefault="00250204" w:rsidP="00250204">
      <w:pPr>
        <w:spacing w:after="0" w:line="360" w:lineRule="auto"/>
        <w:jc w:val="both"/>
        <w:rPr>
          <w:rFonts w:cstheme="minorHAnsi"/>
          <w:b/>
          <w:bCs/>
          <w:color w:val="000000" w:themeColor="text1"/>
        </w:rPr>
      </w:pPr>
      <w:r>
        <w:rPr>
          <w:rFonts w:cstheme="minorHAnsi"/>
          <w:b/>
          <w:bCs/>
          <w:color w:val="000000" w:themeColor="text1"/>
        </w:rPr>
        <w:t>Distribution of Same-sex Couples among the Community</w:t>
      </w:r>
    </w:p>
    <w:p w14:paraId="2A73CA82" w14:textId="77777777" w:rsidR="00250204" w:rsidRPr="00780787" w:rsidRDefault="00250204" w:rsidP="00250204">
      <w:pPr>
        <w:spacing w:after="0" w:line="360" w:lineRule="auto"/>
        <w:jc w:val="both"/>
        <w:rPr>
          <w:rFonts w:cstheme="minorHAnsi"/>
        </w:rPr>
      </w:pPr>
      <w:r w:rsidRPr="00780787">
        <w:rPr>
          <w:rFonts w:cstheme="minorHAnsi"/>
        </w:rPr>
        <w:t>Evidence presented by the findings of the 20</w:t>
      </w:r>
      <w:r>
        <w:rPr>
          <w:rFonts w:cstheme="minorHAnsi"/>
        </w:rPr>
        <w:t>21</w:t>
      </w:r>
      <w:r w:rsidRPr="00780787">
        <w:rPr>
          <w:rFonts w:cstheme="minorHAnsi"/>
        </w:rPr>
        <w:t xml:space="preserve"> Census provides some suggestion about social environments which may set limits upon opportunities for people to give free and open expression to their sexual preferences. In particular, those who were less educated, employed in menial occupations or residing in some communities, may </w:t>
      </w:r>
      <w:r>
        <w:rPr>
          <w:rFonts w:cstheme="minorHAnsi"/>
        </w:rPr>
        <w:t>have</w:t>
      </w:r>
      <w:r w:rsidRPr="00780787">
        <w:rPr>
          <w:rFonts w:cstheme="minorHAnsi"/>
        </w:rPr>
        <w:t xml:space="preserve"> fewer opportunities to safely </w:t>
      </w:r>
      <w:r>
        <w:rPr>
          <w:rFonts w:cstheme="minorHAnsi"/>
        </w:rPr>
        <w:t xml:space="preserve">enjoy </w:t>
      </w:r>
      <w:r w:rsidRPr="00780787">
        <w:rPr>
          <w:rFonts w:cstheme="minorHAnsi"/>
        </w:rPr>
        <w:t>a cohabiting</w:t>
      </w:r>
      <w:r>
        <w:rPr>
          <w:rFonts w:cstheme="minorHAnsi"/>
        </w:rPr>
        <w:t>,</w:t>
      </w:r>
      <w:r w:rsidRPr="00780787">
        <w:rPr>
          <w:rFonts w:cstheme="minorHAnsi"/>
        </w:rPr>
        <w:t xml:space="preserve"> same-sex relationship than some of their more educated, affluent and professional counterparts in inner-urban localities.</w:t>
      </w:r>
    </w:p>
    <w:p w14:paraId="372CAA54" w14:textId="77777777" w:rsidR="00250204" w:rsidRDefault="00250204" w:rsidP="00250204">
      <w:pPr>
        <w:spacing w:after="0" w:line="360" w:lineRule="auto"/>
        <w:jc w:val="both"/>
        <w:rPr>
          <w:rFonts w:cstheme="minorHAnsi"/>
        </w:rPr>
      </w:pPr>
      <w:r w:rsidRPr="00780787">
        <w:rPr>
          <w:rFonts w:cstheme="minorHAnsi"/>
        </w:rPr>
        <w:t>The 20</w:t>
      </w:r>
      <w:r>
        <w:rPr>
          <w:rFonts w:cstheme="minorHAnsi"/>
        </w:rPr>
        <w:t>21</w:t>
      </w:r>
      <w:r w:rsidRPr="00780787">
        <w:rPr>
          <w:rFonts w:cstheme="minorHAnsi"/>
        </w:rPr>
        <w:t xml:space="preserve"> Census </w:t>
      </w:r>
      <w:r>
        <w:rPr>
          <w:rFonts w:cstheme="minorHAnsi"/>
        </w:rPr>
        <w:t>recorded</w:t>
      </w:r>
      <w:r w:rsidRPr="00780787">
        <w:rPr>
          <w:rFonts w:cstheme="minorHAnsi"/>
        </w:rPr>
        <w:t xml:space="preserve"> 2.</w:t>
      </w:r>
      <w:r>
        <w:rPr>
          <w:rFonts w:cstheme="minorHAnsi"/>
        </w:rPr>
        <w:t>8</w:t>
      </w:r>
      <w:r w:rsidRPr="00780787">
        <w:rPr>
          <w:rFonts w:cstheme="minorHAnsi"/>
        </w:rPr>
        <w:t xml:space="preserve"> million Victorian residents living as couples</w:t>
      </w:r>
      <w:r>
        <w:rPr>
          <w:rFonts w:cstheme="minorHAnsi"/>
        </w:rPr>
        <w:t>. Among them,</w:t>
      </w:r>
      <w:r w:rsidRPr="00780787">
        <w:rPr>
          <w:rFonts w:cstheme="minorHAnsi"/>
        </w:rPr>
        <w:t xml:space="preserve"> </w:t>
      </w:r>
      <w:r>
        <w:rPr>
          <w:rFonts w:cstheme="minorHAnsi"/>
        </w:rPr>
        <w:t>15 per 1,000,</w:t>
      </w:r>
      <w:r w:rsidRPr="00780787">
        <w:rPr>
          <w:rFonts w:cstheme="minorHAnsi"/>
        </w:rPr>
        <w:t xml:space="preserve"> or </w:t>
      </w:r>
      <w:r>
        <w:rPr>
          <w:rFonts w:cstheme="minorHAnsi"/>
        </w:rPr>
        <w:t>42</w:t>
      </w:r>
      <w:r w:rsidRPr="00780787">
        <w:rPr>
          <w:rFonts w:cstheme="minorHAnsi"/>
        </w:rPr>
        <w:t>,000, stated that they were living with a partner of the same sex.</w:t>
      </w:r>
      <w:r>
        <w:rPr>
          <w:rFonts w:cstheme="minorHAnsi"/>
        </w:rPr>
        <w:t xml:space="preserve"> </w:t>
      </w:r>
      <w:r w:rsidRPr="00780787">
        <w:rPr>
          <w:rFonts w:cstheme="minorHAnsi"/>
        </w:rPr>
        <w:t>Similar numbers of females and males were cohabiting in same-sex relationships, with women accounting for 4</w:t>
      </w:r>
      <w:r>
        <w:rPr>
          <w:rFonts w:cstheme="minorHAnsi"/>
        </w:rPr>
        <w:t>7</w:t>
      </w:r>
      <w:r w:rsidRPr="00780787">
        <w:rPr>
          <w:rFonts w:cstheme="minorHAnsi"/>
        </w:rPr>
        <w:t>% and males for 5</w:t>
      </w:r>
      <w:r>
        <w:rPr>
          <w:rFonts w:cstheme="minorHAnsi"/>
        </w:rPr>
        <w:t>3</w:t>
      </w:r>
      <w:r w:rsidRPr="00780787">
        <w:rPr>
          <w:rFonts w:cstheme="minorHAnsi"/>
        </w:rPr>
        <w:t>%.</w:t>
      </w:r>
      <w:r>
        <w:rPr>
          <w:rFonts w:cstheme="minorHAnsi"/>
        </w:rPr>
        <w:t xml:space="preserve">  </w:t>
      </w:r>
    </w:p>
    <w:p w14:paraId="478F2ED5" w14:textId="24EB1B46" w:rsidR="00250204" w:rsidRPr="00554089" w:rsidRDefault="00250204" w:rsidP="00250204">
      <w:pPr>
        <w:spacing w:after="0" w:line="360" w:lineRule="auto"/>
        <w:jc w:val="both"/>
        <w:rPr>
          <w:rFonts w:cstheme="minorHAnsi"/>
          <w:i/>
          <w:iCs/>
        </w:rPr>
      </w:pPr>
      <w:r>
        <w:rPr>
          <w:rFonts w:cstheme="minorHAnsi"/>
          <w:noProof/>
        </w:rPr>
        <w:drawing>
          <wp:anchor distT="0" distB="0" distL="114300" distR="114300" simplePos="0" relativeHeight="251742208" behindDoc="0" locked="0" layoutInCell="1" allowOverlap="1" wp14:anchorId="51432CAC" wp14:editId="6D7BFBCA">
            <wp:simplePos x="0" y="0"/>
            <wp:positionH relativeFrom="column">
              <wp:posOffset>4641633</wp:posOffset>
            </wp:positionH>
            <wp:positionV relativeFrom="paragraph">
              <wp:posOffset>108709</wp:posOffset>
            </wp:positionV>
            <wp:extent cx="1369060" cy="911225"/>
            <wp:effectExtent l="0" t="0" r="2540" b="3175"/>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369060" cy="911225"/>
                    </a:xfrm>
                    <a:prstGeom prst="rect">
                      <a:avLst/>
                    </a:prstGeom>
                    <a:noFill/>
                    <a:effectLst>
                      <a:softEdge rad="127000"/>
                    </a:effectLst>
                  </pic:spPr>
                </pic:pic>
              </a:graphicData>
            </a:graphic>
            <wp14:sizeRelH relativeFrom="page">
              <wp14:pctWidth>0</wp14:pctWidth>
            </wp14:sizeRelH>
            <wp14:sizeRelV relativeFrom="page">
              <wp14:pctHeight>0</wp14:pctHeight>
            </wp14:sizeRelV>
          </wp:anchor>
        </w:drawing>
      </w:r>
      <w:r>
        <w:rPr>
          <w:rFonts w:cstheme="minorHAnsi"/>
          <w:noProof/>
        </w:rPr>
        <w:drawing>
          <wp:anchor distT="0" distB="0" distL="114300" distR="114300" simplePos="0" relativeHeight="251738112" behindDoc="0" locked="0" layoutInCell="1" allowOverlap="1" wp14:anchorId="1D18006C" wp14:editId="71F1E2E9">
            <wp:simplePos x="0" y="0"/>
            <wp:positionH relativeFrom="column">
              <wp:posOffset>2565663</wp:posOffset>
            </wp:positionH>
            <wp:positionV relativeFrom="paragraph">
              <wp:posOffset>4538</wp:posOffset>
            </wp:positionV>
            <wp:extent cx="3474720" cy="2460625"/>
            <wp:effectExtent l="0" t="0" r="0" b="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474720" cy="2460625"/>
                    </a:xfrm>
                    <a:prstGeom prst="rect">
                      <a:avLst/>
                    </a:prstGeom>
                    <a:noFill/>
                  </pic:spPr>
                </pic:pic>
              </a:graphicData>
            </a:graphic>
            <wp14:sizeRelH relativeFrom="page">
              <wp14:pctWidth>0</wp14:pctWidth>
            </wp14:sizeRelH>
            <wp14:sizeRelV relativeFrom="page">
              <wp14:pctHeight>0</wp14:pctHeight>
            </wp14:sizeRelV>
          </wp:anchor>
        </w:drawing>
      </w:r>
      <w:r w:rsidRPr="00554089">
        <w:rPr>
          <w:rFonts w:cstheme="minorHAnsi"/>
          <w:i/>
          <w:iCs/>
        </w:rPr>
        <w:t>Age</w:t>
      </w:r>
    </w:p>
    <w:p w14:paraId="5B0484CF" w14:textId="4CEC857C" w:rsidR="00250204" w:rsidRDefault="00250204" w:rsidP="00250204">
      <w:pPr>
        <w:spacing w:after="0" w:line="360" w:lineRule="auto"/>
        <w:jc w:val="both"/>
        <w:rPr>
          <w:rFonts w:cstheme="minorHAnsi"/>
        </w:rPr>
      </w:pPr>
      <w:r>
        <w:rPr>
          <w:rFonts w:cstheme="minorHAnsi"/>
        </w:rPr>
        <w:t>The number of people identifying themselves as living in same-sex, cohabiting couple relationships, varied with age, reaching</w:t>
      </w:r>
      <w:r w:rsidRPr="00780787">
        <w:rPr>
          <w:rFonts w:cstheme="minorHAnsi"/>
        </w:rPr>
        <w:t xml:space="preserve"> a peak of </w:t>
      </w:r>
      <w:r>
        <w:rPr>
          <w:rFonts w:cstheme="minorHAnsi"/>
        </w:rPr>
        <w:t>nearly 7,400 among people aged 30 to 34</w:t>
      </w:r>
      <w:r w:rsidRPr="00780787">
        <w:rPr>
          <w:rFonts w:cstheme="minorHAnsi"/>
        </w:rPr>
        <w:t xml:space="preserve">, </w:t>
      </w:r>
      <w:r>
        <w:rPr>
          <w:rFonts w:cstheme="minorHAnsi"/>
        </w:rPr>
        <w:t xml:space="preserve">before </w:t>
      </w:r>
      <w:r w:rsidRPr="00780787">
        <w:rPr>
          <w:rFonts w:cstheme="minorHAnsi"/>
        </w:rPr>
        <w:t xml:space="preserve">declining </w:t>
      </w:r>
      <w:r>
        <w:rPr>
          <w:rFonts w:cstheme="minorHAnsi"/>
        </w:rPr>
        <w:t>with increasing age</w:t>
      </w:r>
      <w:r w:rsidRPr="00780787">
        <w:rPr>
          <w:rFonts w:cstheme="minorHAnsi"/>
        </w:rPr>
        <w:t>.</w:t>
      </w:r>
    </w:p>
    <w:p w14:paraId="454E95D9" w14:textId="28858279" w:rsidR="00250204" w:rsidRPr="00CE5E8F" w:rsidRDefault="00250204" w:rsidP="00250204">
      <w:pPr>
        <w:spacing w:after="0" w:line="360" w:lineRule="auto"/>
        <w:jc w:val="both"/>
        <w:rPr>
          <w:rFonts w:cstheme="minorHAnsi"/>
        </w:rPr>
      </w:pPr>
    </w:p>
    <w:p w14:paraId="72D77DA5" w14:textId="77777777" w:rsidR="00250204" w:rsidRPr="00780787" w:rsidRDefault="00250204" w:rsidP="00250204">
      <w:pPr>
        <w:spacing w:after="0" w:line="360" w:lineRule="auto"/>
        <w:ind w:right="4"/>
        <w:jc w:val="both"/>
        <w:rPr>
          <w:rFonts w:cstheme="minorHAnsi"/>
          <w:sz w:val="10"/>
          <w:szCs w:val="10"/>
        </w:rPr>
      </w:pPr>
    </w:p>
    <w:p w14:paraId="4FFC1EA6" w14:textId="77777777" w:rsidR="00250204" w:rsidRDefault="00250204" w:rsidP="00250204">
      <w:pPr>
        <w:spacing w:after="0" w:line="240" w:lineRule="auto"/>
        <w:ind w:right="6"/>
        <w:jc w:val="both"/>
        <w:rPr>
          <w:rFonts w:cstheme="minorHAnsi"/>
          <w:color w:val="7F7F7F" w:themeColor="text1" w:themeTint="80"/>
          <w:sz w:val="20"/>
          <w:szCs w:val="20"/>
        </w:rPr>
      </w:pPr>
      <w:r>
        <w:rPr>
          <w:rFonts w:cstheme="minorHAnsi"/>
          <w:color w:val="7F7F7F" w:themeColor="text1" w:themeTint="80"/>
          <w:sz w:val="20"/>
          <w:szCs w:val="20"/>
        </w:rPr>
        <w:t>Number of</w:t>
      </w:r>
      <w:r w:rsidRPr="002511FB">
        <w:rPr>
          <w:rFonts w:cstheme="minorHAnsi"/>
          <w:color w:val="7F7F7F" w:themeColor="text1" w:themeTint="80"/>
          <w:sz w:val="20"/>
          <w:szCs w:val="20"/>
        </w:rPr>
        <w:t xml:space="preserve"> persons cohabiting </w:t>
      </w:r>
      <w:r>
        <w:rPr>
          <w:rFonts w:cstheme="minorHAnsi"/>
          <w:color w:val="7F7F7F" w:themeColor="text1" w:themeTint="80"/>
          <w:sz w:val="20"/>
          <w:szCs w:val="20"/>
        </w:rPr>
        <w:t>as memb</w:t>
      </w:r>
      <w:r w:rsidRPr="002511FB">
        <w:rPr>
          <w:rFonts w:cstheme="minorHAnsi"/>
          <w:color w:val="7F7F7F" w:themeColor="text1" w:themeTint="80"/>
          <w:sz w:val="20"/>
          <w:szCs w:val="20"/>
        </w:rPr>
        <w:t>ers of same-sex couples: Victoria, 20</w:t>
      </w:r>
      <w:r>
        <w:rPr>
          <w:rFonts w:cstheme="minorHAnsi"/>
          <w:color w:val="7F7F7F" w:themeColor="text1" w:themeTint="80"/>
          <w:sz w:val="20"/>
          <w:szCs w:val="20"/>
        </w:rPr>
        <w:t>22</w:t>
      </w:r>
    </w:p>
    <w:p w14:paraId="16309BF3" w14:textId="7B08847D" w:rsidR="00250204" w:rsidRPr="002511FB" w:rsidRDefault="00250204" w:rsidP="00250204">
      <w:pPr>
        <w:spacing w:after="0" w:line="360" w:lineRule="auto"/>
        <w:ind w:right="6"/>
        <w:jc w:val="both"/>
        <w:rPr>
          <w:rFonts w:cstheme="minorHAnsi"/>
          <w:color w:val="7F7F7F" w:themeColor="text1" w:themeTint="80"/>
          <w:sz w:val="20"/>
          <w:szCs w:val="20"/>
        </w:rPr>
      </w:pPr>
    </w:p>
    <w:p w14:paraId="4534C41F" w14:textId="77777777" w:rsidR="00250204" w:rsidRPr="00554089" w:rsidRDefault="00250204" w:rsidP="00250204">
      <w:pPr>
        <w:spacing w:after="0" w:line="360" w:lineRule="auto"/>
        <w:ind w:right="4"/>
        <w:jc w:val="both"/>
        <w:rPr>
          <w:rFonts w:cstheme="minorHAnsi"/>
          <w:i/>
          <w:iCs/>
        </w:rPr>
      </w:pPr>
      <w:r w:rsidRPr="00554089">
        <w:rPr>
          <w:rFonts w:cstheme="minorHAnsi"/>
          <w:i/>
          <w:iCs/>
        </w:rPr>
        <w:t>Education</w:t>
      </w:r>
    </w:p>
    <w:p w14:paraId="1454A0AC" w14:textId="77777777" w:rsidR="00250204" w:rsidRPr="00CF0F7E" w:rsidRDefault="00250204" w:rsidP="00250204">
      <w:pPr>
        <w:spacing w:after="0" w:line="240" w:lineRule="auto"/>
        <w:ind w:right="6"/>
        <w:jc w:val="both"/>
        <w:rPr>
          <w:rFonts w:cstheme="minorHAnsi"/>
        </w:rPr>
      </w:pPr>
      <w:r>
        <w:rPr>
          <w:rFonts w:cstheme="minorHAnsi"/>
          <w:noProof/>
        </w:rPr>
        <w:drawing>
          <wp:anchor distT="0" distB="0" distL="114300" distR="114300" simplePos="0" relativeHeight="251739136" behindDoc="0" locked="0" layoutInCell="1" allowOverlap="1" wp14:anchorId="6E03C359" wp14:editId="216A1230">
            <wp:simplePos x="0" y="0"/>
            <wp:positionH relativeFrom="margin">
              <wp:align>left</wp:align>
            </wp:positionH>
            <wp:positionV relativeFrom="paragraph">
              <wp:posOffset>6667</wp:posOffset>
            </wp:positionV>
            <wp:extent cx="3961765" cy="2166620"/>
            <wp:effectExtent l="0" t="0" r="635" b="508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7">
                      <a:extLst>
                        <a:ext uri="{28A0092B-C50C-407E-A947-70E740481C1C}">
                          <a14:useLocalDpi xmlns:a14="http://schemas.microsoft.com/office/drawing/2010/main" val="0"/>
                        </a:ext>
                      </a:extLst>
                    </a:blip>
                    <a:srcRect t="20178" r="2102" b="10307"/>
                    <a:stretch/>
                  </pic:blipFill>
                  <pic:spPr bwMode="auto">
                    <a:xfrm>
                      <a:off x="0" y="0"/>
                      <a:ext cx="3969695" cy="21711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F0F7E">
        <w:rPr>
          <w:rFonts w:cstheme="minorHAnsi"/>
          <w:color w:val="7F7F7F" w:themeColor="text1" w:themeTint="80"/>
          <w:sz w:val="20"/>
          <w:szCs w:val="20"/>
        </w:rPr>
        <w:t>Persons living as same sex couples per 1,000 people living as couples, by educational attainment: Victoria, 2021</w:t>
      </w:r>
    </w:p>
    <w:p w14:paraId="0DA49DEF" w14:textId="77777777" w:rsidR="00250204" w:rsidRPr="00CF0F7E" w:rsidRDefault="00250204" w:rsidP="00250204">
      <w:pPr>
        <w:spacing w:after="0" w:line="360" w:lineRule="auto"/>
        <w:ind w:right="4"/>
        <w:jc w:val="both"/>
        <w:rPr>
          <w:rFonts w:cstheme="minorHAnsi"/>
          <w:sz w:val="12"/>
          <w:szCs w:val="12"/>
        </w:rPr>
      </w:pPr>
    </w:p>
    <w:p w14:paraId="7F4B9D2E" w14:textId="77777777" w:rsidR="00250204" w:rsidRDefault="00250204" w:rsidP="00250204">
      <w:pPr>
        <w:spacing w:after="0" w:line="360" w:lineRule="auto"/>
        <w:ind w:right="4"/>
        <w:jc w:val="both"/>
        <w:rPr>
          <w:rFonts w:cstheme="minorHAnsi"/>
        </w:rPr>
      </w:pPr>
      <w:r>
        <w:rPr>
          <w:rFonts w:cstheme="minorHAnsi"/>
        </w:rPr>
        <w:t xml:space="preserve">People who recorded in the Census that they were living as same-sex couples were more likely to have completed secondary school. Among people who had completed year 11 or 12, 17 per 1,000 of those </w:t>
      </w:r>
      <w:r>
        <w:rPr>
          <w:rFonts w:cstheme="minorHAnsi"/>
        </w:rPr>
        <w:lastRenderedPageBreak/>
        <w:t>living as couples declared that they were same sex couples, compared with 7.4 per 1,000 of those with less than year 11 education.</w:t>
      </w:r>
    </w:p>
    <w:p w14:paraId="12D9F93B" w14:textId="77777777" w:rsidR="00250204" w:rsidRPr="00554089" w:rsidRDefault="00250204" w:rsidP="00250204">
      <w:pPr>
        <w:spacing w:after="0" w:line="360" w:lineRule="auto"/>
        <w:ind w:right="4"/>
        <w:jc w:val="both"/>
        <w:rPr>
          <w:rFonts w:cstheme="minorHAnsi"/>
          <w:i/>
          <w:iCs/>
        </w:rPr>
      </w:pPr>
      <w:r w:rsidRPr="00554089">
        <w:rPr>
          <w:rFonts w:cstheme="minorHAnsi"/>
          <w:i/>
          <w:iCs/>
          <w:noProof/>
        </w:rPr>
        <w:drawing>
          <wp:anchor distT="0" distB="0" distL="114300" distR="114300" simplePos="0" relativeHeight="251740160" behindDoc="0" locked="0" layoutInCell="1" allowOverlap="1" wp14:anchorId="7D4881CB" wp14:editId="61A83816">
            <wp:simplePos x="0" y="0"/>
            <wp:positionH relativeFrom="margin">
              <wp:align>right</wp:align>
            </wp:positionH>
            <wp:positionV relativeFrom="paragraph">
              <wp:posOffset>122555</wp:posOffset>
            </wp:positionV>
            <wp:extent cx="4008120" cy="2404745"/>
            <wp:effectExtent l="0" t="0" r="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008120" cy="2404745"/>
                    </a:xfrm>
                    <a:prstGeom prst="rect">
                      <a:avLst/>
                    </a:prstGeom>
                    <a:noFill/>
                  </pic:spPr>
                </pic:pic>
              </a:graphicData>
            </a:graphic>
            <wp14:sizeRelH relativeFrom="page">
              <wp14:pctWidth>0</wp14:pctWidth>
            </wp14:sizeRelH>
            <wp14:sizeRelV relativeFrom="page">
              <wp14:pctHeight>0</wp14:pctHeight>
            </wp14:sizeRelV>
          </wp:anchor>
        </w:drawing>
      </w:r>
      <w:r w:rsidRPr="00554089">
        <w:rPr>
          <w:rFonts w:cstheme="minorHAnsi"/>
          <w:i/>
          <w:iCs/>
        </w:rPr>
        <w:t>Religion</w:t>
      </w:r>
    </w:p>
    <w:p w14:paraId="4F3B084D" w14:textId="77777777" w:rsidR="00250204" w:rsidRDefault="00250204" w:rsidP="00250204">
      <w:pPr>
        <w:spacing w:after="0" w:line="360" w:lineRule="auto"/>
        <w:ind w:right="4"/>
        <w:jc w:val="both"/>
        <w:rPr>
          <w:rFonts w:cstheme="minorHAnsi"/>
        </w:rPr>
      </w:pPr>
      <w:r>
        <w:rPr>
          <w:rFonts w:cstheme="minorHAnsi"/>
        </w:rPr>
        <w:t>The proportion of people identifying themselves as members of same-sex cohabiting couples, also varied with religion.</w:t>
      </w:r>
    </w:p>
    <w:p w14:paraId="26BA50D5" w14:textId="77777777" w:rsidR="00250204" w:rsidRPr="00170FD8" w:rsidRDefault="00250204" w:rsidP="00250204">
      <w:pPr>
        <w:spacing w:after="0" w:line="360" w:lineRule="auto"/>
        <w:ind w:right="4"/>
        <w:jc w:val="both"/>
        <w:rPr>
          <w:rFonts w:cstheme="minorHAnsi"/>
          <w:sz w:val="12"/>
          <w:szCs w:val="12"/>
        </w:rPr>
      </w:pPr>
    </w:p>
    <w:p w14:paraId="54BBD392" w14:textId="77777777" w:rsidR="00250204" w:rsidRPr="00CF0F7E" w:rsidRDefault="00250204" w:rsidP="00250204">
      <w:pPr>
        <w:spacing w:after="0" w:line="240" w:lineRule="auto"/>
        <w:ind w:right="6"/>
        <w:jc w:val="both"/>
        <w:rPr>
          <w:rFonts w:cstheme="minorHAnsi"/>
          <w:color w:val="7F7F7F" w:themeColor="text1" w:themeTint="80"/>
          <w:sz w:val="20"/>
          <w:szCs w:val="20"/>
        </w:rPr>
      </w:pPr>
      <w:r w:rsidRPr="00CF0F7E">
        <w:rPr>
          <w:rFonts w:cstheme="minorHAnsi"/>
          <w:color w:val="7F7F7F" w:themeColor="text1" w:themeTint="80"/>
          <w:sz w:val="20"/>
          <w:szCs w:val="20"/>
        </w:rPr>
        <w:t>Proportion of cohabiting couples which were same-sex couples, by major religion: Victoria, 2021</w:t>
      </w:r>
    </w:p>
    <w:p w14:paraId="44B059DC" w14:textId="77777777" w:rsidR="00250204" w:rsidRPr="00170FD8" w:rsidRDefault="00250204" w:rsidP="00250204">
      <w:pPr>
        <w:spacing w:after="0" w:line="360" w:lineRule="auto"/>
        <w:ind w:right="4"/>
        <w:jc w:val="both"/>
        <w:rPr>
          <w:rFonts w:cstheme="minorHAnsi"/>
          <w:sz w:val="12"/>
          <w:szCs w:val="12"/>
        </w:rPr>
      </w:pPr>
    </w:p>
    <w:p w14:paraId="3C743440" w14:textId="77777777" w:rsidR="00250204" w:rsidRDefault="00250204" w:rsidP="00250204">
      <w:pPr>
        <w:spacing w:after="0" w:line="360" w:lineRule="auto"/>
        <w:ind w:right="4"/>
        <w:jc w:val="both"/>
        <w:rPr>
          <w:rFonts w:cstheme="minorHAnsi"/>
        </w:rPr>
      </w:pPr>
      <w:r>
        <w:rPr>
          <w:rFonts w:cstheme="minorHAnsi"/>
        </w:rPr>
        <w:t>The prevalence of same-sex couples among cohabiting couples ranged from 3.3 per 1,000 among those who adhered to Hinduism, to 26 per 1,000 among those with no religion.</w:t>
      </w:r>
    </w:p>
    <w:p w14:paraId="2B1BB9E9" w14:textId="77777777" w:rsidR="00250204" w:rsidRDefault="00250204" w:rsidP="00250204">
      <w:pPr>
        <w:spacing w:after="0" w:line="360" w:lineRule="auto"/>
        <w:ind w:right="4"/>
        <w:jc w:val="both"/>
        <w:rPr>
          <w:rFonts w:cstheme="minorHAnsi"/>
        </w:rPr>
      </w:pPr>
    </w:p>
    <w:p w14:paraId="61B7D751" w14:textId="77777777" w:rsidR="00250204" w:rsidRDefault="00250204" w:rsidP="00250204">
      <w:pPr>
        <w:spacing w:after="0" w:line="360" w:lineRule="auto"/>
        <w:ind w:right="4"/>
        <w:jc w:val="both"/>
        <w:rPr>
          <w:rFonts w:cstheme="minorHAnsi"/>
        </w:rPr>
      </w:pPr>
    </w:p>
    <w:p w14:paraId="64CC16B0" w14:textId="77777777" w:rsidR="00250204" w:rsidRDefault="00250204" w:rsidP="00250204">
      <w:pPr>
        <w:spacing w:after="0" w:line="360" w:lineRule="auto"/>
        <w:ind w:right="4"/>
        <w:jc w:val="both"/>
        <w:rPr>
          <w:rFonts w:cstheme="minorHAnsi"/>
        </w:rPr>
      </w:pPr>
      <w:r>
        <w:rPr>
          <w:rFonts w:cstheme="minorHAnsi"/>
          <w:noProof/>
        </w:rPr>
        <w:drawing>
          <wp:anchor distT="0" distB="0" distL="114300" distR="114300" simplePos="0" relativeHeight="251741184" behindDoc="0" locked="0" layoutInCell="1" allowOverlap="1" wp14:anchorId="0D7CA133" wp14:editId="0140E903">
            <wp:simplePos x="0" y="0"/>
            <wp:positionH relativeFrom="column">
              <wp:posOffset>-952</wp:posOffset>
            </wp:positionH>
            <wp:positionV relativeFrom="paragraph">
              <wp:posOffset>0</wp:posOffset>
            </wp:positionV>
            <wp:extent cx="3804285" cy="2290763"/>
            <wp:effectExtent l="0" t="0" r="5715"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9">
                      <a:extLst>
                        <a:ext uri="{28A0092B-C50C-407E-A947-70E740481C1C}">
                          <a14:useLocalDpi xmlns:a14="http://schemas.microsoft.com/office/drawing/2010/main" val="0"/>
                        </a:ext>
                      </a:extLst>
                    </a:blip>
                    <a:srcRect l="3032" t="10434" r="3816" b="3004"/>
                    <a:stretch/>
                  </pic:blipFill>
                  <pic:spPr bwMode="auto">
                    <a:xfrm>
                      <a:off x="0" y="0"/>
                      <a:ext cx="3804285" cy="22907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8F5D18" w14:textId="77777777" w:rsidR="00250204" w:rsidRPr="00CF0F7E" w:rsidRDefault="00250204" w:rsidP="00B70A36">
      <w:pPr>
        <w:spacing w:after="0" w:line="240" w:lineRule="auto"/>
        <w:ind w:right="6"/>
        <w:jc w:val="both"/>
        <w:rPr>
          <w:rFonts w:cstheme="minorHAnsi"/>
          <w:color w:val="7F7F7F" w:themeColor="text1" w:themeTint="80"/>
          <w:sz w:val="20"/>
          <w:szCs w:val="20"/>
        </w:rPr>
      </w:pPr>
      <w:r w:rsidRPr="00CF0F7E">
        <w:rPr>
          <w:rFonts w:cstheme="minorHAnsi"/>
          <w:color w:val="7F7F7F" w:themeColor="text1" w:themeTint="80"/>
          <w:sz w:val="20"/>
          <w:szCs w:val="20"/>
        </w:rPr>
        <w:t>Proportion of cohabiting couples which were same-sex couples, by major religion</w:t>
      </w:r>
      <w:r>
        <w:rPr>
          <w:rFonts w:cstheme="minorHAnsi"/>
          <w:color w:val="7F7F7F" w:themeColor="text1" w:themeTint="80"/>
          <w:sz w:val="20"/>
          <w:szCs w:val="20"/>
        </w:rPr>
        <w:t xml:space="preserve"> and educational attainment</w:t>
      </w:r>
      <w:r w:rsidRPr="00CF0F7E">
        <w:rPr>
          <w:rFonts w:cstheme="minorHAnsi"/>
          <w:color w:val="7F7F7F" w:themeColor="text1" w:themeTint="80"/>
          <w:sz w:val="20"/>
          <w:szCs w:val="20"/>
        </w:rPr>
        <w:t>: Victoria, 2021</w:t>
      </w:r>
    </w:p>
    <w:p w14:paraId="0AF31E90" w14:textId="77777777" w:rsidR="00250204" w:rsidRDefault="00250204" w:rsidP="00250204">
      <w:pPr>
        <w:spacing w:after="0" w:line="360" w:lineRule="auto"/>
        <w:ind w:right="4"/>
        <w:jc w:val="both"/>
        <w:rPr>
          <w:rFonts w:cstheme="minorHAnsi"/>
        </w:rPr>
      </w:pPr>
    </w:p>
    <w:p w14:paraId="2BE840AC" w14:textId="77777777" w:rsidR="00250204" w:rsidRDefault="00250204" w:rsidP="00250204">
      <w:pPr>
        <w:spacing w:after="0" w:line="360" w:lineRule="auto"/>
        <w:ind w:right="4"/>
        <w:jc w:val="both"/>
        <w:rPr>
          <w:rFonts w:cstheme="minorHAnsi"/>
        </w:rPr>
      </w:pPr>
      <w:r>
        <w:rPr>
          <w:rFonts w:cstheme="minorHAnsi"/>
        </w:rPr>
        <w:t>Among people of most religious faiths, the proportion of cohabiting couples that were constituted of people of the same sex was highest among people with completed secondary education.</w:t>
      </w:r>
    </w:p>
    <w:p w14:paraId="0805CF78" w14:textId="77777777" w:rsidR="00250204" w:rsidRDefault="00250204" w:rsidP="00250204">
      <w:pPr>
        <w:spacing w:after="0" w:line="360" w:lineRule="auto"/>
        <w:ind w:right="4"/>
        <w:jc w:val="both"/>
        <w:rPr>
          <w:rFonts w:cstheme="minorHAnsi"/>
        </w:rPr>
      </w:pPr>
    </w:p>
    <w:p w14:paraId="61F4DEEC" w14:textId="77777777" w:rsidR="00250204" w:rsidRDefault="00250204" w:rsidP="00250204">
      <w:pPr>
        <w:spacing w:after="0" w:line="360" w:lineRule="auto"/>
        <w:jc w:val="both"/>
        <w:rPr>
          <w:rFonts w:cstheme="minorHAnsi"/>
          <w:i/>
          <w:iCs/>
        </w:rPr>
      </w:pPr>
    </w:p>
    <w:p w14:paraId="0A18E3A5" w14:textId="77777777" w:rsidR="00250204" w:rsidRPr="00554089" w:rsidRDefault="00250204" w:rsidP="00250204">
      <w:pPr>
        <w:spacing w:after="0" w:line="360" w:lineRule="auto"/>
        <w:jc w:val="both"/>
        <w:rPr>
          <w:rFonts w:cstheme="minorHAnsi"/>
          <w:i/>
          <w:iCs/>
        </w:rPr>
      </w:pPr>
      <w:r w:rsidRPr="00554089">
        <w:rPr>
          <w:rFonts w:cstheme="minorHAnsi"/>
          <w:i/>
          <w:iCs/>
        </w:rPr>
        <w:t>Locality</w:t>
      </w:r>
    </w:p>
    <w:p w14:paraId="77E1F798" w14:textId="77777777" w:rsidR="00250204" w:rsidRPr="002511FB" w:rsidRDefault="00250204" w:rsidP="00250204">
      <w:pPr>
        <w:spacing w:after="0" w:line="360" w:lineRule="auto"/>
        <w:jc w:val="both"/>
        <w:rPr>
          <w:rFonts w:cstheme="minorHAnsi"/>
        </w:rPr>
      </w:pPr>
      <w:r w:rsidRPr="002511FB">
        <w:rPr>
          <w:rFonts w:cstheme="minorHAnsi"/>
        </w:rPr>
        <w:t>Among people living in couple relationships with same-sex partners, substantial proportions reside in inner-urban localities</w:t>
      </w:r>
      <w:r>
        <w:rPr>
          <w:rFonts w:cstheme="minorHAnsi"/>
        </w:rPr>
        <w:t xml:space="preserve">. </w:t>
      </w:r>
      <w:r w:rsidRPr="002511FB">
        <w:rPr>
          <w:rFonts w:cstheme="minorHAnsi"/>
        </w:rPr>
        <w:t xml:space="preserve">More than </w:t>
      </w:r>
      <w:r>
        <w:rPr>
          <w:rFonts w:cstheme="minorHAnsi"/>
        </w:rPr>
        <w:t>50 per 1,000</w:t>
      </w:r>
      <w:r w:rsidRPr="002511FB">
        <w:rPr>
          <w:rFonts w:cstheme="minorHAnsi"/>
        </w:rPr>
        <w:t xml:space="preserve"> of </w:t>
      </w:r>
      <w:r>
        <w:rPr>
          <w:rFonts w:cstheme="minorHAnsi"/>
        </w:rPr>
        <w:t>members of cohabiting couples</w:t>
      </w:r>
      <w:r w:rsidRPr="002511FB">
        <w:rPr>
          <w:rFonts w:cstheme="minorHAnsi"/>
        </w:rPr>
        <w:t xml:space="preserve"> in Yarra,</w:t>
      </w:r>
      <w:r>
        <w:rPr>
          <w:rFonts w:cstheme="minorHAnsi"/>
        </w:rPr>
        <w:t xml:space="preserve"> Hepburn,</w:t>
      </w:r>
      <w:r w:rsidRPr="002511FB">
        <w:rPr>
          <w:rFonts w:cstheme="minorHAnsi"/>
        </w:rPr>
        <w:t xml:space="preserve"> Port Phillip and Melbourne, reported in the 20</w:t>
      </w:r>
      <w:r>
        <w:rPr>
          <w:rFonts w:cstheme="minorHAnsi"/>
        </w:rPr>
        <w:t>21</w:t>
      </w:r>
      <w:r w:rsidRPr="002511FB">
        <w:rPr>
          <w:rFonts w:cstheme="minorHAnsi"/>
        </w:rPr>
        <w:t xml:space="preserve"> Census that they were </w:t>
      </w:r>
      <w:r>
        <w:rPr>
          <w:rFonts w:cstheme="minorHAnsi"/>
        </w:rPr>
        <w:t xml:space="preserve">living </w:t>
      </w:r>
      <w:r w:rsidRPr="002511FB">
        <w:rPr>
          <w:rFonts w:cstheme="minorHAnsi"/>
        </w:rPr>
        <w:t xml:space="preserve">with a same sex-partner. By contrast, fewer than </w:t>
      </w:r>
      <w:r>
        <w:rPr>
          <w:rFonts w:cstheme="minorHAnsi"/>
        </w:rPr>
        <w:t>6 per 1,000</w:t>
      </w:r>
      <w:r w:rsidRPr="002511FB">
        <w:rPr>
          <w:rFonts w:cstheme="minorHAnsi"/>
        </w:rPr>
        <w:t xml:space="preserve"> people living as couples in </w:t>
      </w:r>
      <w:r>
        <w:rPr>
          <w:rFonts w:cstheme="minorHAnsi"/>
        </w:rPr>
        <w:t>Moira, Swan Hill, Horsham and the Northern Grampians identified themselves as members of same-sex couples</w:t>
      </w:r>
    </w:p>
    <w:p w14:paraId="32E48D70" w14:textId="77777777" w:rsidR="00250204" w:rsidRPr="000C5206" w:rsidRDefault="00250204" w:rsidP="00250204">
      <w:pPr>
        <w:spacing w:after="0" w:line="360" w:lineRule="auto"/>
        <w:jc w:val="both"/>
        <w:rPr>
          <w:rFonts w:cstheme="minorHAnsi"/>
        </w:rPr>
      </w:pPr>
      <w:r>
        <w:rPr>
          <w:rFonts w:cstheme="minorHAnsi"/>
        </w:rPr>
        <w:t>Such</w:t>
      </w:r>
      <w:r w:rsidRPr="002511FB">
        <w:rPr>
          <w:rFonts w:cstheme="minorHAnsi"/>
        </w:rPr>
        <w:t xml:space="preserve"> </w:t>
      </w:r>
      <w:r>
        <w:rPr>
          <w:rFonts w:cstheme="minorHAnsi"/>
        </w:rPr>
        <w:t>trends</w:t>
      </w:r>
      <w:r w:rsidRPr="002511FB">
        <w:rPr>
          <w:rFonts w:cstheme="minorHAnsi"/>
        </w:rPr>
        <w:t xml:space="preserve"> provide some suggestion about differences in levels of acceptance of</w:t>
      </w:r>
      <w:r>
        <w:rPr>
          <w:rFonts w:cstheme="minorHAnsi"/>
        </w:rPr>
        <w:t>, and opportunity to live in</w:t>
      </w:r>
      <w:r w:rsidRPr="002511FB">
        <w:rPr>
          <w:rFonts w:cstheme="minorHAnsi"/>
        </w:rPr>
        <w:t xml:space="preserve"> social diversity</w:t>
      </w:r>
      <w:r>
        <w:rPr>
          <w:rFonts w:cstheme="minorHAnsi"/>
        </w:rPr>
        <w:t>,</w:t>
      </w:r>
      <w:r w:rsidRPr="002511FB">
        <w:rPr>
          <w:rFonts w:cstheme="minorHAnsi"/>
        </w:rPr>
        <w:t xml:space="preserve"> among some segments of society, peer groups and communities. </w:t>
      </w:r>
    </w:p>
    <w:p w14:paraId="6844CA65" w14:textId="6A82128F" w:rsidR="00250204" w:rsidRDefault="00250204">
      <w:r>
        <w:br w:type="page"/>
      </w:r>
    </w:p>
    <w:p w14:paraId="74AE7E08" w14:textId="77777777" w:rsidR="00CA3D27" w:rsidRPr="003740B8" w:rsidRDefault="00CA3D27" w:rsidP="00CA3D27">
      <w:pPr>
        <w:pBdr>
          <w:top w:val="single" w:sz="4" w:space="1" w:color="auto"/>
          <w:bottom w:val="single" w:sz="4" w:space="1" w:color="auto"/>
        </w:pBdr>
        <w:tabs>
          <w:tab w:val="center" w:pos="4678"/>
        </w:tabs>
        <w:jc w:val="center"/>
        <w:rPr>
          <w:rFonts w:ascii="Calibri" w:hAnsi="Calibri"/>
          <w:sz w:val="32"/>
          <w:szCs w:val="32"/>
        </w:rPr>
      </w:pPr>
      <w:r w:rsidRPr="003740B8">
        <w:rPr>
          <w:rFonts w:ascii="Calibri" w:hAnsi="Calibri"/>
          <w:noProof/>
          <w:sz w:val="32"/>
          <w:szCs w:val="32"/>
        </w:rPr>
        <w:lastRenderedPageBreak/>
        <w:t>Education</w:t>
      </w:r>
      <w:r>
        <w:rPr>
          <w:rFonts w:ascii="Calibri" w:hAnsi="Calibri"/>
          <w:noProof/>
          <w:sz w:val="32"/>
          <w:szCs w:val="32"/>
        </w:rPr>
        <w:t>al Outcomes</w:t>
      </w:r>
    </w:p>
    <w:p w14:paraId="6525FBCE" w14:textId="606D4542" w:rsidR="00CA3D27" w:rsidRDefault="00CA3D27" w:rsidP="00CA3D27">
      <w:pPr>
        <w:tabs>
          <w:tab w:val="left" w:pos="284"/>
        </w:tabs>
        <w:spacing w:after="0" w:line="360" w:lineRule="auto"/>
        <w:jc w:val="both"/>
        <w:rPr>
          <w:sz w:val="10"/>
          <w:szCs w:val="10"/>
        </w:rPr>
      </w:pPr>
    </w:p>
    <w:p w14:paraId="7D39F442" w14:textId="5B06E5AB" w:rsidR="00CA3D27" w:rsidRDefault="00CA3D27" w:rsidP="00CA3D27">
      <w:pPr>
        <w:tabs>
          <w:tab w:val="left" w:pos="284"/>
        </w:tabs>
        <w:spacing w:after="0" w:line="360" w:lineRule="auto"/>
        <w:jc w:val="both"/>
        <w:rPr>
          <w:sz w:val="10"/>
          <w:szCs w:val="10"/>
        </w:rPr>
      </w:pPr>
      <w:r>
        <w:rPr>
          <w:noProof/>
          <w:lang w:eastAsia="en-AU"/>
        </w:rPr>
        <w:drawing>
          <wp:anchor distT="140208" distB="336296" distL="242316" distR="464566" simplePos="0" relativeHeight="251744256" behindDoc="1" locked="0" layoutInCell="1" allowOverlap="1" wp14:anchorId="0AE10A13" wp14:editId="1262391E">
            <wp:simplePos x="0" y="0"/>
            <wp:positionH relativeFrom="column">
              <wp:posOffset>4691937</wp:posOffset>
            </wp:positionH>
            <wp:positionV relativeFrom="paragraph">
              <wp:posOffset>4832</wp:posOffset>
            </wp:positionV>
            <wp:extent cx="1448435" cy="1033145"/>
            <wp:effectExtent l="0" t="0" r="0" b="0"/>
            <wp:wrapTight wrapText="bothSides">
              <wp:wrapPolygon edited="0">
                <wp:start x="1136" y="0"/>
                <wp:lineTo x="0" y="797"/>
                <wp:lineTo x="0" y="19914"/>
                <wp:lineTo x="568" y="21109"/>
                <wp:lineTo x="1136" y="21109"/>
                <wp:lineTo x="20170" y="21109"/>
                <wp:lineTo x="20738" y="21109"/>
                <wp:lineTo x="21306" y="19914"/>
                <wp:lineTo x="21306" y="797"/>
                <wp:lineTo x="20170" y="0"/>
                <wp:lineTo x="1136" y="0"/>
              </wp:wrapPolygon>
            </wp:wrapTight>
            <wp:docPr id="70" name="Picture 21" descr="Picture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Picture 21" descr="Picture22"/>
                    <pic:cNvPicPr>
                      <a:picLocks noChangeAspect="1" noChangeArrowheads="1"/>
                    </pic:cNvPicPr>
                  </pic:nvPicPr>
                  <pic:blipFill>
                    <a:blip r:embed="rId90" cstate="print"/>
                    <a:srcRect/>
                    <a:stretch>
                      <a:fillRect/>
                    </a:stretch>
                  </pic:blipFill>
                  <pic:spPr bwMode="auto">
                    <a:xfrm>
                      <a:off x="0" y="0"/>
                      <a:ext cx="1448435" cy="103314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35C93CB" w14:textId="77777777" w:rsidR="00CA3D27" w:rsidRDefault="00CA3D27" w:rsidP="00CA3D27">
      <w:pPr>
        <w:tabs>
          <w:tab w:val="left" w:pos="284"/>
        </w:tabs>
        <w:spacing w:after="0" w:line="360" w:lineRule="auto"/>
        <w:jc w:val="both"/>
        <w:rPr>
          <w:rFonts w:ascii="Calibri" w:hAnsi="Calibri"/>
          <w:b/>
          <w:color w:val="000000"/>
        </w:rPr>
      </w:pPr>
      <w:r w:rsidRPr="00E2314F">
        <w:rPr>
          <w:rFonts w:ascii="Calibri" w:hAnsi="Calibri"/>
          <w:color w:val="000000"/>
        </w:rPr>
        <w:t xml:space="preserve">Young people in Greater Dandenong experience less favorable early school development, leave school earlier, less often attend university, are more often disengaged from employment and education, and are more likely to be unemployed later </w:t>
      </w:r>
      <w:r>
        <w:rPr>
          <w:rFonts w:ascii="Calibri" w:hAnsi="Calibri"/>
          <w:color w:val="000000"/>
        </w:rPr>
        <w:t xml:space="preserve">on </w:t>
      </w:r>
      <w:r w:rsidRPr="00E2314F">
        <w:rPr>
          <w:rFonts w:ascii="Calibri" w:hAnsi="Calibri"/>
          <w:color w:val="000000"/>
        </w:rPr>
        <w:t>in life, than those throughout Melbourne.</w:t>
      </w:r>
      <w:r w:rsidRPr="00E2314F">
        <w:rPr>
          <w:rFonts w:ascii="Calibri" w:hAnsi="Calibri"/>
          <w:b/>
          <w:color w:val="000000"/>
        </w:rPr>
        <w:t xml:space="preserve"> </w:t>
      </w:r>
    </w:p>
    <w:p w14:paraId="019EAA7E" w14:textId="77777777" w:rsidR="00CA3D27" w:rsidRDefault="00CA3D27" w:rsidP="00CA3D27">
      <w:pPr>
        <w:tabs>
          <w:tab w:val="left" w:pos="284"/>
        </w:tabs>
        <w:spacing w:after="0" w:line="360" w:lineRule="auto"/>
        <w:jc w:val="both"/>
        <w:rPr>
          <w:rFonts w:ascii="Calibri" w:hAnsi="Calibri"/>
          <w:b/>
          <w:color w:val="000000"/>
        </w:rPr>
      </w:pPr>
    </w:p>
    <w:p w14:paraId="3EFF4BC9" w14:textId="77777777" w:rsidR="00CA3D27" w:rsidRPr="00E2314F" w:rsidRDefault="00CA3D27" w:rsidP="00CA3D27">
      <w:pPr>
        <w:tabs>
          <w:tab w:val="left" w:pos="284"/>
        </w:tabs>
        <w:spacing w:after="0" w:line="360" w:lineRule="auto"/>
        <w:jc w:val="both"/>
        <w:rPr>
          <w:rFonts w:ascii="Calibri" w:hAnsi="Calibri"/>
          <w:b/>
          <w:color w:val="000000"/>
        </w:rPr>
      </w:pPr>
      <w:r w:rsidRPr="00E2314F">
        <w:rPr>
          <w:rFonts w:ascii="Calibri" w:hAnsi="Calibri"/>
          <w:b/>
          <w:color w:val="000000"/>
        </w:rPr>
        <w:t>Early Childhood Progress</w:t>
      </w:r>
    </w:p>
    <w:p w14:paraId="630B37B5" w14:textId="77777777" w:rsidR="00CA3D27" w:rsidRPr="00E2314F" w:rsidRDefault="00CA3D27" w:rsidP="00CA3D27">
      <w:pPr>
        <w:spacing w:after="0" w:line="360" w:lineRule="auto"/>
        <w:jc w:val="both"/>
        <w:rPr>
          <w:rFonts w:ascii="Calibri" w:hAnsi="Calibri"/>
        </w:rPr>
      </w:pPr>
      <w:r w:rsidRPr="00E2314F">
        <w:rPr>
          <w:rFonts w:ascii="Calibri" w:hAnsi="Calibri"/>
        </w:rPr>
        <w:t xml:space="preserve">The Australian Early Development </w:t>
      </w:r>
      <w:r>
        <w:rPr>
          <w:rFonts w:ascii="Calibri" w:hAnsi="Calibri"/>
        </w:rPr>
        <w:t>Census</w:t>
      </w:r>
      <w:r w:rsidRPr="00E2314F">
        <w:rPr>
          <w:rFonts w:ascii="Calibri" w:hAnsi="Calibri"/>
        </w:rPr>
        <w:t xml:space="preserve"> (AED</w:t>
      </w:r>
      <w:r>
        <w:rPr>
          <w:rFonts w:ascii="Calibri" w:hAnsi="Calibri"/>
        </w:rPr>
        <w:t>C)</w:t>
      </w:r>
      <w:r w:rsidRPr="00E2314F">
        <w:rPr>
          <w:rFonts w:ascii="Calibri" w:hAnsi="Calibri"/>
        </w:rPr>
        <w:t xml:space="preserve"> </w:t>
      </w:r>
      <w:r>
        <w:rPr>
          <w:rFonts w:ascii="Calibri" w:hAnsi="Calibri"/>
        </w:rPr>
        <w:t>measures</w:t>
      </w:r>
      <w:r w:rsidRPr="00E2314F">
        <w:rPr>
          <w:rFonts w:ascii="Calibri" w:hAnsi="Calibri"/>
        </w:rPr>
        <w:t xml:space="preserve"> </w:t>
      </w:r>
      <w:r>
        <w:rPr>
          <w:rFonts w:ascii="Calibri" w:hAnsi="Calibri"/>
        </w:rPr>
        <w:t xml:space="preserve">the </w:t>
      </w:r>
      <w:r w:rsidRPr="00E2314F">
        <w:rPr>
          <w:rFonts w:ascii="Calibri" w:hAnsi="Calibri"/>
        </w:rPr>
        <w:t xml:space="preserve">progress of all </w:t>
      </w:r>
      <w:r>
        <w:rPr>
          <w:rFonts w:ascii="Calibri" w:hAnsi="Calibri"/>
        </w:rPr>
        <w:t>pupils in their first year of school</w:t>
      </w:r>
      <w:r w:rsidRPr="00E2314F">
        <w:rPr>
          <w:rFonts w:ascii="Calibri" w:hAnsi="Calibri"/>
        </w:rPr>
        <w:t xml:space="preserve"> </w:t>
      </w:r>
      <w:r>
        <w:rPr>
          <w:rFonts w:ascii="Calibri" w:hAnsi="Calibri"/>
        </w:rPr>
        <w:t>across</w:t>
      </w:r>
      <w:r w:rsidRPr="00E2314F">
        <w:rPr>
          <w:rFonts w:ascii="Calibri" w:hAnsi="Calibri"/>
        </w:rPr>
        <w:t xml:space="preserve"> Australia, in five </w:t>
      </w:r>
      <w:r>
        <w:rPr>
          <w:rFonts w:ascii="Calibri" w:hAnsi="Calibri"/>
        </w:rPr>
        <w:t>domains</w:t>
      </w:r>
      <w:r w:rsidRPr="00E2314F">
        <w:rPr>
          <w:rFonts w:ascii="Calibri" w:hAnsi="Calibri"/>
        </w:rPr>
        <w:t xml:space="preserve"> of development: physical, social, emotional, </w:t>
      </w:r>
      <w:r>
        <w:rPr>
          <w:rFonts w:ascii="Calibri" w:hAnsi="Calibri"/>
        </w:rPr>
        <w:t>l</w:t>
      </w:r>
      <w:r w:rsidRPr="00E2314F">
        <w:rPr>
          <w:rFonts w:ascii="Calibri" w:hAnsi="Calibri"/>
        </w:rPr>
        <w:t>anguage and cognitive</w:t>
      </w:r>
      <w:r>
        <w:rPr>
          <w:rFonts w:ascii="Calibri" w:hAnsi="Calibri"/>
        </w:rPr>
        <w:t>,</w:t>
      </w:r>
      <w:r w:rsidRPr="00E2314F">
        <w:rPr>
          <w:rFonts w:ascii="Calibri" w:hAnsi="Calibri"/>
        </w:rPr>
        <w:t xml:space="preserve"> and communication and general knowledge. </w:t>
      </w:r>
    </w:p>
    <w:p w14:paraId="40651051" w14:textId="229DC724" w:rsidR="00CA3D27" w:rsidRDefault="00CA3D27" w:rsidP="00CA3D27">
      <w:pPr>
        <w:spacing w:after="0" w:line="360" w:lineRule="auto"/>
        <w:jc w:val="both"/>
        <w:rPr>
          <w:rFonts w:ascii="Calibri" w:hAnsi="Calibri"/>
        </w:rPr>
      </w:pPr>
      <w:r w:rsidRPr="00E2314F">
        <w:rPr>
          <w:rFonts w:ascii="Calibri" w:hAnsi="Calibri"/>
        </w:rPr>
        <w:t>The</w:t>
      </w:r>
      <w:r>
        <w:rPr>
          <w:rFonts w:ascii="Calibri" w:hAnsi="Calibri"/>
        </w:rPr>
        <w:t xml:space="preserve"> 2021</w:t>
      </w:r>
      <w:r w:rsidRPr="00E2314F">
        <w:rPr>
          <w:rFonts w:ascii="Calibri" w:hAnsi="Calibri"/>
        </w:rPr>
        <w:t xml:space="preserve"> </w:t>
      </w:r>
      <w:r>
        <w:rPr>
          <w:rFonts w:ascii="Calibri" w:hAnsi="Calibri"/>
        </w:rPr>
        <w:t xml:space="preserve">AEDC </w:t>
      </w:r>
      <w:r w:rsidRPr="00E2314F">
        <w:rPr>
          <w:rFonts w:ascii="Calibri" w:hAnsi="Calibri"/>
        </w:rPr>
        <w:t xml:space="preserve">findings </w:t>
      </w:r>
      <w:r>
        <w:rPr>
          <w:rFonts w:ascii="Calibri" w:hAnsi="Calibri"/>
        </w:rPr>
        <w:t>revealed</w:t>
      </w:r>
      <w:r w:rsidRPr="00E2314F">
        <w:rPr>
          <w:rFonts w:ascii="Calibri" w:hAnsi="Calibri"/>
        </w:rPr>
        <w:t xml:space="preserve"> that </w:t>
      </w:r>
      <w:r>
        <w:rPr>
          <w:rFonts w:ascii="Calibri" w:hAnsi="Calibri"/>
        </w:rPr>
        <w:t>28% of prep</w:t>
      </w:r>
      <w:r w:rsidRPr="00E2314F">
        <w:rPr>
          <w:rFonts w:ascii="Calibri" w:hAnsi="Calibri"/>
        </w:rPr>
        <w:t xml:space="preserve"> pupils in Greater Dandenong </w:t>
      </w:r>
      <w:r>
        <w:rPr>
          <w:rFonts w:ascii="Calibri" w:hAnsi="Calibri"/>
        </w:rPr>
        <w:t>were</w:t>
      </w:r>
      <w:r w:rsidRPr="00E2314F">
        <w:rPr>
          <w:rFonts w:ascii="Calibri" w:hAnsi="Calibri"/>
        </w:rPr>
        <w:t xml:space="preserve"> </w:t>
      </w:r>
      <w:r>
        <w:rPr>
          <w:rFonts w:ascii="Calibri" w:hAnsi="Calibri"/>
        </w:rPr>
        <w:t>‘</w:t>
      </w:r>
      <w:r w:rsidRPr="00E2314F">
        <w:rPr>
          <w:rFonts w:ascii="Calibri" w:hAnsi="Calibri"/>
        </w:rPr>
        <w:t>developmentally vulnerable</w:t>
      </w:r>
      <w:r>
        <w:rPr>
          <w:rFonts w:ascii="Calibri" w:hAnsi="Calibri"/>
        </w:rPr>
        <w:t xml:space="preserve">’ </w:t>
      </w:r>
      <w:r w:rsidRPr="00E2314F">
        <w:rPr>
          <w:rFonts w:ascii="Calibri" w:hAnsi="Calibri"/>
        </w:rPr>
        <w:t xml:space="preserve">in </w:t>
      </w:r>
      <w:r w:rsidRPr="006B5E0B">
        <w:rPr>
          <w:rFonts w:ascii="Calibri" w:hAnsi="Calibri"/>
          <w:i/>
        </w:rPr>
        <w:t>one or more</w:t>
      </w:r>
      <w:r w:rsidRPr="00E2314F">
        <w:rPr>
          <w:rFonts w:ascii="Calibri" w:hAnsi="Calibri"/>
        </w:rPr>
        <w:t xml:space="preserve"> of these fields of development –</w:t>
      </w:r>
      <w:r>
        <w:rPr>
          <w:rFonts w:ascii="Calibri" w:hAnsi="Calibri"/>
        </w:rPr>
        <w:t xml:space="preserve"> </w:t>
      </w:r>
      <w:r w:rsidRPr="00E2314F">
        <w:rPr>
          <w:rFonts w:ascii="Calibri" w:hAnsi="Calibri"/>
        </w:rPr>
        <w:t>substantially more tha</w:t>
      </w:r>
      <w:r>
        <w:rPr>
          <w:rFonts w:ascii="Calibri" w:hAnsi="Calibri"/>
        </w:rPr>
        <w:t>n</w:t>
      </w:r>
      <w:r w:rsidRPr="00E2314F">
        <w:rPr>
          <w:rFonts w:ascii="Calibri" w:hAnsi="Calibri"/>
        </w:rPr>
        <w:t xml:space="preserve"> the Victorian level of </w:t>
      </w:r>
      <w:r>
        <w:rPr>
          <w:rFonts w:ascii="Calibri" w:hAnsi="Calibri"/>
        </w:rPr>
        <w:t>20%,</w:t>
      </w:r>
      <w:r w:rsidRPr="00E2314F">
        <w:rPr>
          <w:rFonts w:ascii="Calibri" w:hAnsi="Calibri"/>
        </w:rPr>
        <w:t xml:space="preserve"> and the </w:t>
      </w:r>
      <w:r>
        <w:rPr>
          <w:rFonts w:ascii="Calibri" w:hAnsi="Calibri"/>
        </w:rPr>
        <w:t xml:space="preserve">second </w:t>
      </w:r>
      <w:r w:rsidRPr="00E2314F">
        <w:rPr>
          <w:rFonts w:ascii="Calibri" w:hAnsi="Calibri"/>
        </w:rPr>
        <w:t xml:space="preserve">highest rate in </w:t>
      </w:r>
      <w:r>
        <w:rPr>
          <w:rFonts w:ascii="Calibri" w:hAnsi="Calibri"/>
        </w:rPr>
        <w:t>Melbourne</w:t>
      </w:r>
      <w:r w:rsidRPr="00E2314F">
        <w:rPr>
          <w:rFonts w:ascii="Calibri" w:hAnsi="Calibri"/>
        </w:rPr>
        <w:t xml:space="preserve">. </w:t>
      </w:r>
    </w:p>
    <w:p w14:paraId="002FCD0B" w14:textId="77777777" w:rsidR="00CA3D27" w:rsidRDefault="00CA3D27" w:rsidP="00CA3D27">
      <w:pPr>
        <w:spacing w:after="0" w:line="360" w:lineRule="auto"/>
        <w:jc w:val="both"/>
        <w:rPr>
          <w:rFonts w:ascii="Calibri" w:hAnsi="Calibri"/>
        </w:rPr>
      </w:pPr>
      <w:r>
        <w:rPr>
          <w:rFonts w:ascii="Calibri" w:hAnsi="Calibri"/>
        </w:rPr>
        <w:t>For each metropolitan municipality, the percentage of prep pupils who are considered ‘developmentally vulnerable’ in one or more domains, is illustrated in the diagram below.</w:t>
      </w:r>
    </w:p>
    <w:p w14:paraId="44D9DBC3" w14:textId="77777777" w:rsidR="00CA3D27" w:rsidRDefault="00CA3D27" w:rsidP="00CA3D27">
      <w:pPr>
        <w:spacing w:after="0" w:line="360" w:lineRule="auto"/>
        <w:jc w:val="both"/>
        <w:rPr>
          <w:rFonts w:ascii="Calibri" w:hAnsi="Calibri"/>
        </w:rPr>
      </w:pPr>
    </w:p>
    <w:p w14:paraId="74D0AD97" w14:textId="77777777" w:rsidR="00CA3D27" w:rsidRPr="007C436C" w:rsidRDefault="00CA3D27" w:rsidP="00CA3D27">
      <w:pPr>
        <w:spacing w:after="0" w:line="240" w:lineRule="auto"/>
        <w:ind w:left="142"/>
        <w:rPr>
          <w:rFonts w:ascii="Calibri" w:hAnsi="Calibri"/>
          <w:color w:val="7F7F7F"/>
          <w:sz w:val="20"/>
          <w:szCs w:val="20"/>
        </w:rPr>
      </w:pPr>
      <w:r w:rsidRPr="007C436C">
        <w:rPr>
          <w:rFonts w:ascii="Calibri" w:hAnsi="Calibri"/>
          <w:noProof/>
          <w:color w:val="7F7F7F"/>
          <w:sz w:val="20"/>
          <w:szCs w:val="20"/>
        </w:rPr>
        <w:t>Percent Prep. Pupils Developmentally Vulnerable in one or more Domains</w:t>
      </w:r>
      <w:r w:rsidRPr="007C436C">
        <w:rPr>
          <w:rFonts w:ascii="Calibri" w:hAnsi="Calibri"/>
          <w:color w:val="7F7F7F"/>
          <w:sz w:val="20"/>
          <w:szCs w:val="20"/>
        </w:rPr>
        <w:t xml:space="preserve"> by metropolitan Municipality, 2021</w:t>
      </w:r>
    </w:p>
    <w:p w14:paraId="04A07BB6" w14:textId="77777777" w:rsidR="00CA3D27" w:rsidRDefault="00CA3D27" w:rsidP="00CA3D27">
      <w:pPr>
        <w:spacing w:after="0" w:line="360" w:lineRule="auto"/>
        <w:jc w:val="center"/>
        <w:rPr>
          <w:rFonts w:ascii="Calibri" w:hAnsi="Calibri"/>
        </w:rPr>
      </w:pPr>
      <w:r>
        <w:rPr>
          <w:rFonts w:ascii="Calibri" w:hAnsi="Calibri"/>
          <w:b/>
          <w:noProof/>
          <w:lang w:eastAsia="en-AU"/>
        </w:rPr>
        <w:drawing>
          <wp:anchor distT="0" distB="0" distL="114300" distR="114300" simplePos="0" relativeHeight="251747328" behindDoc="0" locked="0" layoutInCell="1" allowOverlap="1" wp14:anchorId="6240408F" wp14:editId="55F98756">
            <wp:simplePos x="0" y="0"/>
            <wp:positionH relativeFrom="column">
              <wp:posOffset>4034790</wp:posOffset>
            </wp:positionH>
            <wp:positionV relativeFrom="paragraph">
              <wp:posOffset>49530</wp:posOffset>
            </wp:positionV>
            <wp:extent cx="1661795" cy="751205"/>
            <wp:effectExtent l="0" t="0" r="0" b="0"/>
            <wp:wrapNone/>
            <wp:docPr id="178" name="Picture 177" descr="kindergar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dergarten.jpg"/>
                    <pic:cNvPicPr/>
                  </pic:nvPicPr>
                  <pic:blipFill>
                    <a:blip r:embed="rId91" cstate="print"/>
                    <a:stretch>
                      <a:fillRect/>
                    </a:stretch>
                  </pic:blipFill>
                  <pic:spPr>
                    <a:xfrm>
                      <a:off x="0" y="0"/>
                      <a:ext cx="1661795" cy="7512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Calibri" w:hAnsi="Calibri"/>
          <w:noProof/>
        </w:rPr>
        <w:drawing>
          <wp:inline distT="0" distB="0" distL="0" distR="0" wp14:anchorId="60C9E2D4" wp14:editId="3C0FD122">
            <wp:extent cx="4787900" cy="2940051"/>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2">
                      <a:extLst>
                        <a:ext uri="{28A0092B-C50C-407E-A947-70E740481C1C}">
                          <a14:useLocalDpi xmlns:a14="http://schemas.microsoft.com/office/drawing/2010/main" val="0"/>
                        </a:ext>
                      </a:extLst>
                    </a:blip>
                    <a:srcRect t="9840"/>
                    <a:stretch/>
                  </pic:blipFill>
                  <pic:spPr bwMode="auto">
                    <a:xfrm>
                      <a:off x="0" y="0"/>
                      <a:ext cx="4813443" cy="2955736"/>
                    </a:xfrm>
                    <a:prstGeom prst="rect">
                      <a:avLst/>
                    </a:prstGeom>
                    <a:noFill/>
                    <a:ln>
                      <a:noFill/>
                    </a:ln>
                    <a:extLst>
                      <a:ext uri="{53640926-AAD7-44D8-BBD7-CCE9431645EC}">
                        <a14:shadowObscured xmlns:a14="http://schemas.microsoft.com/office/drawing/2010/main"/>
                      </a:ext>
                    </a:extLst>
                  </pic:spPr>
                </pic:pic>
              </a:graphicData>
            </a:graphic>
          </wp:inline>
        </w:drawing>
      </w:r>
    </w:p>
    <w:p w14:paraId="1BB6A05A" w14:textId="77777777" w:rsidR="00CA3D27" w:rsidRDefault="00CA3D27" w:rsidP="00CA3D27">
      <w:pPr>
        <w:spacing w:after="0" w:line="360" w:lineRule="auto"/>
        <w:jc w:val="center"/>
        <w:rPr>
          <w:rFonts w:ascii="Calibri" w:hAnsi="Calibri"/>
        </w:rPr>
      </w:pPr>
    </w:p>
    <w:p w14:paraId="51DDA43E" w14:textId="39D4F9D7" w:rsidR="00CA3D27" w:rsidRPr="00CA3D27" w:rsidRDefault="00CA3D27" w:rsidP="00CA3D27">
      <w:pPr>
        <w:spacing w:after="0" w:line="360" w:lineRule="auto"/>
        <w:jc w:val="both"/>
        <w:rPr>
          <w:rFonts w:ascii="Calibri" w:hAnsi="Calibri"/>
        </w:rPr>
      </w:pPr>
      <w:r>
        <w:rPr>
          <w:rFonts w:ascii="Calibri" w:hAnsi="Calibri"/>
        </w:rPr>
        <w:t>Locally, the proportion of prep.</w:t>
      </w:r>
      <w:r w:rsidRPr="00E2314F">
        <w:rPr>
          <w:rFonts w:ascii="Calibri" w:hAnsi="Calibri"/>
        </w:rPr>
        <w:t xml:space="preserve"> pupils </w:t>
      </w:r>
      <w:r>
        <w:rPr>
          <w:rFonts w:ascii="Calibri" w:hAnsi="Calibri"/>
        </w:rPr>
        <w:t>who are</w:t>
      </w:r>
      <w:r w:rsidRPr="00E2314F">
        <w:rPr>
          <w:rFonts w:ascii="Calibri" w:hAnsi="Calibri"/>
        </w:rPr>
        <w:t xml:space="preserve"> </w:t>
      </w:r>
      <w:r>
        <w:rPr>
          <w:rFonts w:ascii="Calibri" w:hAnsi="Calibri"/>
        </w:rPr>
        <w:t>‘</w:t>
      </w:r>
      <w:r w:rsidRPr="00E2314F">
        <w:rPr>
          <w:rFonts w:ascii="Calibri" w:hAnsi="Calibri"/>
        </w:rPr>
        <w:t>developmentally vulnerable</w:t>
      </w:r>
      <w:r>
        <w:rPr>
          <w:rFonts w:ascii="Calibri" w:hAnsi="Calibri"/>
        </w:rPr>
        <w:t>’</w:t>
      </w:r>
      <w:r w:rsidRPr="00E2314F">
        <w:rPr>
          <w:rFonts w:ascii="Calibri" w:hAnsi="Calibri"/>
        </w:rPr>
        <w:t xml:space="preserve"> </w:t>
      </w:r>
      <w:r>
        <w:rPr>
          <w:rFonts w:ascii="Calibri" w:hAnsi="Calibri"/>
        </w:rPr>
        <w:t>ranged</w:t>
      </w:r>
      <w:r w:rsidRPr="00E2314F">
        <w:rPr>
          <w:rFonts w:ascii="Calibri" w:hAnsi="Calibri"/>
        </w:rPr>
        <w:t xml:space="preserve"> from </w:t>
      </w:r>
      <w:r>
        <w:rPr>
          <w:rFonts w:ascii="Calibri" w:hAnsi="Calibri"/>
        </w:rPr>
        <w:t>34% in Dandenong and Springvale South, 31% in Noble Park, 28% in Springvale, 25% in Noble Park and 19% in Keysborough.</w:t>
      </w:r>
    </w:p>
    <w:p w14:paraId="3CA4EA04" w14:textId="77777777" w:rsidR="00CA3D27" w:rsidRDefault="00CA3D27" w:rsidP="00CA3D27">
      <w:pPr>
        <w:spacing w:after="0" w:line="360" w:lineRule="auto"/>
        <w:jc w:val="both"/>
        <w:rPr>
          <w:rFonts w:ascii="Calibri" w:hAnsi="Calibri"/>
        </w:rPr>
      </w:pPr>
      <w:r>
        <w:rPr>
          <w:rFonts w:ascii="Calibri" w:hAnsi="Calibri"/>
        </w:rPr>
        <w:t xml:space="preserve">Notably however, the proportion of children in Greater Dandenong who were recorded as developmentally vulnerable had declined from 37% in 2012 to 28% by 2021. </w:t>
      </w:r>
    </w:p>
    <w:p w14:paraId="61369C55" w14:textId="77777777" w:rsidR="00CA3D27" w:rsidRDefault="00CA3D27" w:rsidP="00CA3D27">
      <w:pPr>
        <w:spacing w:after="0" w:line="360" w:lineRule="auto"/>
        <w:jc w:val="both"/>
        <w:rPr>
          <w:rFonts w:ascii="Calibri" w:hAnsi="Calibri"/>
        </w:rPr>
      </w:pPr>
      <w:r>
        <w:rPr>
          <w:rFonts w:ascii="Calibri" w:hAnsi="Calibri"/>
          <w:noProof/>
          <w:color w:val="7F7F7F"/>
        </w:rPr>
        <w:lastRenderedPageBreak/>
        <w:drawing>
          <wp:anchor distT="0" distB="0" distL="114300" distR="114300" simplePos="0" relativeHeight="251749376" behindDoc="0" locked="0" layoutInCell="1" allowOverlap="1" wp14:anchorId="45D6D154" wp14:editId="5D296465">
            <wp:simplePos x="0" y="0"/>
            <wp:positionH relativeFrom="column">
              <wp:posOffset>1426845</wp:posOffset>
            </wp:positionH>
            <wp:positionV relativeFrom="paragraph">
              <wp:posOffset>18415</wp:posOffset>
            </wp:positionV>
            <wp:extent cx="4662805" cy="3286125"/>
            <wp:effectExtent l="0" t="0" r="4445" b="9525"/>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662805" cy="3286125"/>
                    </a:xfrm>
                    <a:prstGeom prst="rect">
                      <a:avLst/>
                    </a:prstGeom>
                    <a:noFill/>
                  </pic:spPr>
                </pic:pic>
              </a:graphicData>
            </a:graphic>
            <wp14:sizeRelH relativeFrom="page">
              <wp14:pctWidth>0</wp14:pctWidth>
            </wp14:sizeRelH>
            <wp14:sizeRelV relativeFrom="page">
              <wp14:pctHeight>0</wp14:pctHeight>
            </wp14:sizeRelV>
          </wp:anchor>
        </w:drawing>
      </w:r>
      <w:r w:rsidRPr="00E2314F">
        <w:rPr>
          <w:rFonts w:ascii="Calibri" w:hAnsi="Calibri"/>
        </w:rPr>
        <w:t>Results from Greater Dandenong</w:t>
      </w:r>
      <w:r>
        <w:rPr>
          <w:rFonts w:ascii="Calibri" w:hAnsi="Calibri"/>
        </w:rPr>
        <w:t xml:space="preserve"> for each of the domains of personal development among prep. pupils is illustrated at right</w:t>
      </w:r>
      <w:r w:rsidRPr="00E2314F">
        <w:rPr>
          <w:rFonts w:ascii="Calibri" w:hAnsi="Calibri"/>
        </w:rPr>
        <w:t>.</w:t>
      </w:r>
    </w:p>
    <w:p w14:paraId="07184E43" w14:textId="77777777" w:rsidR="00CA3D27" w:rsidRDefault="00CA3D27" w:rsidP="00CA3D27">
      <w:pPr>
        <w:spacing w:after="0" w:line="360" w:lineRule="auto"/>
        <w:rPr>
          <w:rFonts w:ascii="Calibri" w:hAnsi="Calibri"/>
          <w:noProof/>
          <w:color w:val="7F7F7F"/>
        </w:rPr>
      </w:pPr>
    </w:p>
    <w:p w14:paraId="4A7F0A99" w14:textId="77777777" w:rsidR="00CA3D27" w:rsidRDefault="00CA3D27" w:rsidP="00CA3D27">
      <w:pPr>
        <w:spacing w:after="0" w:line="360" w:lineRule="auto"/>
        <w:rPr>
          <w:rFonts w:ascii="Calibri" w:hAnsi="Calibri"/>
          <w:noProof/>
          <w:color w:val="7F7F7F"/>
        </w:rPr>
      </w:pPr>
    </w:p>
    <w:p w14:paraId="06C67A82" w14:textId="77777777" w:rsidR="00CA3D27" w:rsidRDefault="00CA3D27" w:rsidP="00CA3D27">
      <w:pPr>
        <w:spacing w:after="0" w:line="360" w:lineRule="auto"/>
        <w:rPr>
          <w:rFonts w:ascii="Calibri" w:hAnsi="Calibri"/>
          <w:noProof/>
          <w:color w:val="7F7F7F"/>
        </w:rPr>
      </w:pPr>
    </w:p>
    <w:p w14:paraId="0756886C" w14:textId="77777777" w:rsidR="00CA3D27" w:rsidRPr="007C436C" w:rsidRDefault="00CA3D27" w:rsidP="007C436C">
      <w:pPr>
        <w:spacing w:after="0" w:line="240" w:lineRule="auto"/>
        <w:ind w:left="142"/>
        <w:rPr>
          <w:rFonts w:ascii="Calibri" w:hAnsi="Calibri"/>
          <w:noProof/>
          <w:color w:val="7F7F7F"/>
          <w:sz w:val="20"/>
          <w:szCs w:val="20"/>
        </w:rPr>
      </w:pPr>
      <w:r w:rsidRPr="007C436C">
        <w:rPr>
          <w:rFonts w:ascii="Calibri" w:hAnsi="Calibri"/>
          <w:noProof/>
          <w:color w:val="7F7F7F"/>
          <w:sz w:val="20"/>
          <w:szCs w:val="20"/>
        </w:rPr>
        <w:t>Percent Prep. Pupils Developmentally Vulnerable, by Domain: Greater Dandenong and Victoria, 2021</w:t>
      </w:r>
    </w:p>
    <w:p w14:paraId="1DBC5DBF" w14:textId="77777777" w:rsidR="00CA3D27" w:rsidRDefault="00CA3D27" w:rsidP="00CA3D27">
      <w:pPr>
        <w:spacing w:after="0" w:line="360" w:lineRule="auto"/>
        <w:jc w:val="both"/>
        <w:rPr>
          <w:rFonts w:ascii="Calibri" w:hAnsi="Calibri"/>
        </w:rPr>
      </w:pPr>
    </w:p>
    <w:p w14:paraId="5E6518F0" w14:textId="77777777" w:rsidR="00CA3D27" w:rsidRDefault="00CA3D27" w:rsidP="00CA3D27">
      <w:pPr>
        <w:spacing w:after="0" w:line="360" w:lineRule="auto"/>
        <w:jc w:val="both"/>
        <w:rPr>
          <w:rFonts w:ascii="Calibri" w:hAnsi="Calibri"/>
        </w:rPr>
      </w:pPr>
    </w:p>
    <w:p w14:paraId="677AA400" w14:textId="77777777" w:rsidR="00CA3D27" w:rsidRPr="00413396" w:rsidRDefault="00CA3D27" w:rsidP="00CA3D27">
      <w:pPr>
        <w:spacing w:after="0" w:line="360" w:lineRule="auto"/>
        <w:ind w:left="142"/>
        <w:jc w:val="center"/>
        <w:rPr>
          <w:rFonts w:ascii="Calibri" w:hAnsi="Calibri"/>
          <w:color w:val="7F7F7F"/>
        </w:rPr>
      </w:pPr>
    </w:p>
    <w:p w14:paraId="66F274A8" w14:textId="77777777" w:rsidR="00CA3D27" w:rsidRPr="005E1ED7" w:rsidRDefault="00CA3D27" w:rsidP="00CA3D27">
      <w:pPr>
        <w:spacing w:after="0" w:line="360" w:lineRule="auto"/>
        <w:jc w:val="both"/>
        <w:rPr>
          <w:rFonts w:ascii="Calibri" w:hAnsi="Calibri"/>
          <w:b/>
        </w:rPr>
      </w:pPr>
      <w:r w:rsidRPr="005E1ED7">
        <w:rPr>
          <w:rFonts w:ascii="Calibri" w:hAnsi="Calibri"/>
          <w:b/>
        </w:rPr>
        <w:t>Pre-School</w:t>
      </w:r>
      <w:r>
        <w:rPr>
          <w:rFonts w:ascii="Calibri" w:hAnsi="Calibri"/>
          <w:b/>
        </w:rPr>
        <w:t xml:space="preserve"> and Kindergarten</w:t>
      </w:r>
      <w:r w:rsidRPr="005E1ED7">
        <w:rPr>
          <w:rFonts w:ascii="Calibri" w:hAnsi="Calibri"/>
          <w:b/>
        </w:rPr>
        <w:t xml:space="preserve"> Participation</w:t>
      </w:r>
    </w:p>
    <w:p w14:paraId="7E723701" w14:textId="77777777" w:rsidR="00CA3D27" w:rsidRPr="00FA3A8B" w:rsidRDefault="00CA3D27" w:rsidP="00CA3D27">
      <w:pPr>
        <w:spacing w:after="0" w:line="360" w:lineRule="auto"/>
        <w:jc w:val="both"/>
        <w:rPr>
          <w:rFonts w:ascii="Calibri" w:hAnsi="Calibri"/>
        </w:rPr>
      </w:pPr>
      <w:r w:rsidRPr="00FA3A8B">
        <w:rPr>
          <w:rFonts w:ascii="Calibri" w:hAnsi="Calibri"/>
        </w:rPr>
        <w:t>The 20</w:t>
      </w:r>
      <w:r>
        <w:rPr>
          <w:rFonts w:ascii="Calibri" w:hAnsi="Calibri"/>
        </w:rPr>
        <w:t>21</w:t>
      </w:r>
      <w:r w:rsidRPr="00FA3A8B">
        <w:rPr>
          <w:rFonts w:ascii="Calibri" w:hAnsi="Calibri"/>
        </w:rPr>
        <w:t xml:space="preserve"> Australian Early Development Indicators recorded</w:t>
      </w:r>
      <w:r>
        <w:rPr>
          <w:rFonts w:ascii="Calibri" w:hAnsi="Calibri"/>
        </w:rPr>
        <w:t xml:space="preserve"> that</w:t>
      </w:r>
      <w:r w:rsidRPr="00FA3A8B">
        <w:rPr>
          <w:rFonts w:ascii="Calibri" w:hAnsi="Calibri"/>
        </w:rPr>
        <w:t xml:space="preserve"> </w:t>
      </w:r>
      <w:r>
        <w:rPr>
          <w:rFonts w:ascii="Calibri" w:hAnsi="Calibri"/>
        </w:rPr>
        <w:t>6.7</w:t>
      </w:r>
      <w:r w:rsidRPr="00FA3A8B">
        <w:rPr>
          <w:rFonts w:ascii="Calibri" w:hAnsi="Calibri"/>
        </w:rPr>
        <w:t>% of prep. pupils in Greater Dandenong schools had not participated in a pre-school program in the preceding year –</w:t>
      </w:r>
      <w:r>
        <w:rPr>
          <w:rFonts w:ascii="Calibri" w:hAnsi="Calibri"/>
        </w:rPr>
        <w:t xml:space="preserve"> nearly double the corresponding proportion of</w:t>
      </w:r>
      <w:r w:rsidRPr="00FA3A8B">
        <w:rPr>
          <w:rFonts w:ascii="Calibri" w:hAnsi="Calibri"/>
        </w:rPr>
        <w:t xml:space="preserve"> </w:t>
      </w:r>
      <w:r>
        <w:rPr>
          <w:rFonts w:ascii="Calibri" w:hAnsi="Calibri"/>
        </w:rPr>
        <w:t>3.8</w:t>
      </w:r>
      <w:r w:rsidRPr="00FA3A8B">
        <w:rPr>
          <w:rFonts w:ascii="Calibri" w:hAnsi="Calibri"/>
        </w:rPr>
        <w:t xml:space="preserve">% across Victoria and the </w:t>
      </w:r>
      <w:r>
        <w:rPr>
          <w:rFonts w:ascii="Calibri" w:hAnsi="Calibri"/>
        </w:rPr>
        <w:t>second</w:t>
      </w:r>
      <w:r w:rsidRPr="00FA3A8B">
        <w:rPr>
          <w:rFonts w:ascii="Calibri" w:hAnsi="Calibri"/>
        </w:rPr>
        <w:t xml:space="preserve"> highest level in Melbourne.</w:t>
      </w:r>
    </w:p>
    <w:p w14:paraId="7EB529BB" w14:textId="77777777" w:rsidR="00CA3D27" w:rsidRDefault="00CA3D27" w:rsidP="00CA3D27">
      <w:pPr>
        <w:spacing w:after="0" w:line="360" w:lineRule="auto"/>
        <w:jc w:val="both"/>
        <w:rPr>
          <w:rFonts w:ascii="Calibri" w:hAnsi="Calibri"/>
        </w:rPr>
      </w:pPr>
    </w:p>
    <w:p w14:paraId="070EDB41" w14:textId="77777777" w:rsidR="00CA3D27" w:rsidRPr="007C436C" w:rsidRDefault="00CA3D27" w:rsidP="007C436C">
      <w:pPr>
        <w:spacing w:after="0" w:line="240" w:lineRule="auto"/>
        <w:ind w:left="142"/>
        <w:rPr>
          <w:rFonts w:ascii="Calibri" w:hAnsi="Calibri"/>
          <w:noProof/>
          <w:color w:val="7F7F7F"/>
          <w:sz w:val="20"/>
          <w:szCs w:val="20"/>
        </w:rPr>
      </w:pPr>
      <w:r w:rsidRPr="007C436C">
        <w:rPr>
          <w:rFonts w:ascii="Calibri" w:hAnsi="Calibri"/>
          <w:noProof/>
          <w:color w:val="7F7F7F"/>
          <w:sz w:val="20"/>
          <w:szCs w:val="20"/>
        </w:rPr>
        <w:t>Percentage of Prep. Grade Pupils who did not attend a Pre-school Program: metropolitan Municipalities, 2021</w:t>
      </w:r>
    </w:p>
    <w:p w14:paraId="5FFE0AE1" w14:textId="47DFE42A" w:rsidR="00CA3D27" w:rsidRDefault="00CA3D27" w:rsidP="00CA3D27">
      <w:pPr>
        <w:spacing w:after="0" w:line="360" w:lineRule="auto"/>
        <w:jc w:val="center"/>
        <w:rPr>
          <w:rFonts w:ascii="Calibri" w:hAnsi="Calibri"/>
          <w:noProof/>
          <w:lang w:eastAsia="en-AU"/>
        </w:rPr>
      </w:pPr>
      <w:r>
        <w:rPr>
          <w:rFonts w:ascii="Calibri" w:hAnsi="Calibri"/>
          <w:noProof/>
          <w:lang w:eastAsia="en-AU"/>
        </w:rPr>
        <w:drawing>
          <wp:inline distT="0" distB="0" distL="0" distR="0" wp14:anchorId="17FD7194" wp14:editId="70FAEA0B">
            <wp:extent cx="5274869" cy="3433762"/>
            <wp:effectExtent l="0" t="0" r="254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87760" cy="3442154"/>
                    </a:xfrm>
                    <a:prstGeom prst="rect">
                      <a:avLst/>
                    </a:prstGeom>
                    <a:noFill/>
                  </pic:spPr>
                </pic:pic>
              </a:graphicData>
            </a:graphic>
          </wp:inline>
        </w:drawing>
      </w:r>
    </w:p>
    <w:p w14:paraId="7340ECF5" w14:textId="1CCF5AB5" w:rsidR="007C436C" w:rsidRDefault="007C436C" w:rsidP="00CA3D27">
      <w:pPr>
        <w:spacing w:after="0" w:line="360" w:lineRule="auto"/>
        <w:jc w:val="center"/>
        <w:rPr>
          <w:rFonts w:ascii="Calibri" w:hAnsi="Calibri"/>
          <w:noProof/>
          <w:lang w:eastAsia="en-AU"/>
        </w:rPr>
      </w:pPr>
    </w:p>
    <w:p w14:paraId="59D79437" w14:textId="77777777" w:rsidR="007C436C" w:rsidRDefault="007C436C" w:rsidP="00CA3D27">
      <w:pPr>
        <w:spacing w:after="0" w:line="360" w:lineRule="auto"/>
        <w:jc w:val="center"/>
        <w:rPr>
          <w:rFonts w:ascii="Calibri" w:hAnsi="Calibri"/>
          <w:noProof/>
          <w:lang w:eastAsia="en-AU"/>
        </w:rPr>
      </w:pPr>
    </w:p>
    <w:p w14:paraId="2FF43168" w14:textId="77777777" w:rsidR="00CA3D27" w:rsidRDefault="00CA3D27" w:rsidP="00CA3D27">
      <w:pPr>
        <w:tabs>
          <w:tab w:val="left" w:pos="284"/>
        </w:tabs>
        <w:spacing w:after="0" w:line="360" w:lineRule="auto"/>
        <w:jc w:val="both"/>
        <w:rPr>
          <w:rFonts w:ascii="Calibri" w:hAnsi="Calibri"/>
          <w:b/>
          <w:color w:val="000000"/>
        </w:rPr>
      </w:pPr>
      <w:r>
        <w:rPr>
          <w:rFonts w:ascii="Calibri" w:hAnsi="Calibri"/>
          <w:b/>
          <w:color w:val="000000"/>
        </w:rPr>
        <w:lastRenderedPageBreak/>
        <w:t>Literacy and Numeracy in Primary and Secondary School</w:t>
      </w:r>
    </w:p>
    <w:p w14:paraId="46182A30" w14:textId="77777777" w:rsidR="00CA3D27" w:rsidRDefault="00CA3D27" w:rsidP="00CA3D27">
      <w:pPr>
        <w:tabs>
          <w:tab w:val="left" w:pos="284"/>
        </w:tabs>
        <w:spacing w:after="0" w:line="360" w:lineRule="auto"/>
        <w:jc w:val="both"/>
        <w:rPr>
          <w:rFonts w:ascii="Calibri" w:hAnsi="Calibri"/>
          <w:color w:val="000000"/>
        </w:rPr>
      </w:pPr>
      <w:r>
        <w:rPr>
          <w:rFonts w:ascii="Calibri" w:hAnsi="Calibri"/>
          <w:color w:val="000000"/>
        </w:rPr>
        <w:t>Each year, primary and secondary students throughout Victoria in years 3, 5, 7 and 9, are tested for literacy and numeracy by the State Government. Results for 2019 show differences between results for pupils in Greater Dandenong and the Victorian average.</w:t>
      </w:r>
    </w:p>
    <w:p w14:paraId="28175140" w14:textId="77777777" w:rsidR="00CA3D27" w:rsidRDefault="00CA3D27" w:rsidP="00CA3D27">
      <w:pPr>
        <w:tabs>
          <w:tab w:val="left" w:pos="284"/>
        </w:tabs>
        <w:spacing w:after="0" w:line="360" w:lineRule="auto"/>
        <w:jc w:val="both"/>
        <w:rPr>
          <w:rFonts w:ascii="Calibri" w:hAnsi="Calibri"/>
          <w:color w:val="000000"/>
        </w:rPr>
      </w:pPr>
    </w:p>
    <w:p w14:paraId="2194C79D" w14:textId="77777777" w:rsidR="00CA3D27" w:rsidRPr="0061615D" w:rsidRDefault="00CA3D27" w:rsidP="00CA3D27">
      <w:pPr>
        <w:tabs>
          <w:tab w:val="left" w:pos="284"/>
        </w:tabs>
        <w:spacing w:after="0" w:line="360" w:lineRule="auto"/>
        <w:jc w:val="both"/>
        <w:rPr>
          <w:rFonts w:ascii="Calibri" w:hAnsi="Calibri"/>
          <w:i/>
          <w:color w:val="000000"/>
        </w:rPr>
      </w:pPr>
      <w:r w:rsidRPr="0061615D">
        <w:rPr>
          <w:rFonts w:ascii="Calibri" w:hAnsi="Calibri"/>
          <w:i/>
          <w:color w:val="000000"/>
        </w:rPr>
        <w:t>Literacy</w:t>
      </w:r>
    </w:p>
    <w:p w14:paraId="63BA90D3" w14:textId="77777777" w:rsidR="00CA3D27" w:rsidRPr="004A0926" w:rsidRDefault="00CA3D27" w:rsidP="00CA3D27">
      <w:pPr>
        <w:tabs>
          <w:tab w:val="left" w:pos="284"/>
        </w:tabs>
        <w:spacing w:after="0" w:line="360" w:lineRule="auto"/>
        <w:jc w:val="both"/>
        <w:rPr>
          <w:rFonts w:ascii="Calibri" w:hAnsi="Calibri"/>
          <w:color w:val="000000"/>
        </w:rPr>
      </w:pPr>
      <w:r>
        <w:rPr>
          <w:rFonts w:ascii="Calibri" w:hAnsi="Calibri"/>
          <w:color w:val="000000"/>
        </w:rPr>
        <w:t xml:space="preserve">The proportion of Greater Dandenong pupils in years 3, 5, 7 and 9 who </w:t>
      </w:r>
      <w:r w:rsidRPr="00020024">
        <w:rPr>
          <w:rFonts w:ascii="Calibri" w:hAnsi="Calibri"/>
          <w:i/>
          <w:color w:val="000000"/>
        </w:rPr>
        <w:t xml:space="preserve">did not </w:t>
      </w:r>
      <w:r>
        <w:rPr>
          <w:rFonts w:ascii="Calibri" w:hAnsi="Calibri"/>
          <w:color w:val="000000"/>
        </w:rPr>
        <w:t>meet the national literacy benchmarks in 2019, were approximately twice the Victorian average in these year levels. Among local pupils in year 9, the proportion whose test results were below the national benchmark was the third highest in the state.</w:t>
      </w:r>
    </w:p>
    <w:p w14:paraId="0752D0BD" w14:textId="77777777" w:rsidR="00CA3D27" w:rsidRDefault="00CA3D27" w:rsidP="00CA3D27">
      <w:pPr>
        <w:tabs>
          <w:tab w:val="left" w:pos="284"/>
        </w:tabs>
        <w:spacing w:after="0" w:line="360" w:lineRule="auto"/>
        <w:jc w:val="both"/>
        <w:rPr>
          <w:rFonts w:ascii="Calibri" w:hAnsi="Calibri"/>
          <w:color w:val="000000"/>
        </w:rPr>
      </w:pPr>
      <w:r>
        <w:rPr>
          <w:rFonts w:ascii="Calibri" w:hAnsi="Calibri"/>
          <w:noProof/>
          <w:color w:val="000000"/>
        </w:rPr>
        <w:drawing>
          <wp:anchor distT="0" distB="0" distL="114300" distR="114300" simplePos="0" relativeHeight="251748352" behindDoc="0" locked="0" layoutInCell="1" allowOverlap="1" wp14:anchorId="64F19970" wp14:editId="239837D4">
            <wp:simplePos x="0" y="0"/>
            <wp:positionH relativeFrom="column">
              <wp:posOffset>-1270</wp:posOffset>
            </wp:positionH>
            <wp:positionV relativeFrom="paragraph">
              <wp:posOffset>3175</wp:posOffset>
            </wp:positionV>
            <wp:extent cx="4033520" cy="2438400"/>
            <wp:effectExtent l="0" t="0" r="508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033520" cy="2438400"/>
                    </a:xfrm>
                    <a:prstGeom prst="rect">
                      <a:avLst/>
                    </a:prstGeom>
                    <a:noFill/>
                  </pic:spPr>
                </pic:pic>
              </a:graphicData>
            </a:graphic>
            <wp14:sizeRelH relativeFrom="page">
              <wp14:pctWidth>0</wp14:pctWidth>
            </wp14:sizeRelH>
            <wp14:sizeRelV relativeFrom="page">
              <wp14:pctHeight>0</wp14:pctHeight>
            </wp14:sizeRelV>
          </wp:anchor>
        </w:drawing>
      </w:r>
    </w:p>
    <w:p w14:paraId="0F1E8D39" w14:textId="77777777" w:rsidR="00CA3D27" w:rsidRPr="007C436C" w:rsidRDefault="00CA3D27" w:rsidP="00CA3D27">
      <w:pPr>
        <w:spacing w:after="0" w:line="240" w:lineRule="auto"/>
        <w:ind w:left="142"/>
        <w:rPr>
          <w:rFonts w:ascii="Calibri" w:hAnsi="Calibri"/>
          <w:noProof/>
          <w:color w:val="7F7F7F"/>
          <w:sz w:val="20"/>
          <w:szCs w:val="20"/>
        </w:rPr>
      </w:pPr>
      <w:r w:rsidRPr="007C436C">
        <w:rPr>
          <w:rFonts w:ascii="Calibri" w:hAnsi="Calibri"/>
          <w:noProof/>
          <w:color w:val="7F7F7F"/>
          <w:sz w:val="20"/>
          <w:szCs w:val="20"/>
        </w:rPr>
        <w:t>Per cent of pupils below the national literacy benchmark by year level: Greater Dandenong and Victoria, 2019</w:t>
      </w:r>
    </w:p>
    <w:p w14:paraId="221C7DC7" w14:textId="77777777" w:rsidR="00CA3D27" w:rsidRPr="004A0926" w:rsidRDefault="00CA3D27" w:rsidP="00CA3D27">
      <w:pPr>
        <w:tabs>
          <w:tab w:val="left" w:pos="284"/>
        </w:tabs>
        <w:spacing w:after="0" w:line="360" w:lineRule="auto"/>
        <w:jc w:val="both"/>
        <w:rPr>
          <w:rFonts w:ascii="Calibri" w:hAnsi="Calibri"/>
          <w:color w:val="000000"/>
        </w:rPr>
      </w:pPr>
      <w:r>
        <w:rPr>
          <w:rFonts w:ascii="Calibri" w:hAnsi="Calibri"/>
          <w:i/>
          <w:noProof/>
          <w:color w:val="000000"/>
          <w:lang w:eastAsia="en-AU"/>
        </w:rPr>
        <w:drawing>
          <wp:anchor distT="0" distB="0" distL="114300" distR="114300" simplePos="0" relativeHeight="251745280" behindDoc="0" locked="0" layoutInCell="1" allowOverlap="1" wp14:anchorId="21A28733" wp14:editId="7329786E">
            <wp:simplePos x="0" y="0"/>
            <wp:positionH relativeFrom="column">
              <wp:posOffset>1094188</wp:posOffset>
            </wp:positionH>
            <wp:positionV relativeFrom="paragraph">
              <wp:posOffset>114300</wp:posOffset>
            </wp:positionV>
            <wp:extent cx="1168842" cy="1095483"/>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9.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168842" cy="109548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A120C5E" w14:textId="77777777" w:rsidR="00CA3D27" w:rsidRPr="004A0926" w:rsidRDefault="00CA3D27" w:rsidP="00CA3D27">
      <w:pPr>
        <w:tabs>
          <w:tab w:val="left" w:pos="284"/>
        </w:tabs>
        <w:spacing w:after="0" w:line="360" w:lineRule="auto"/>
        <w:jc w:val="both"/>
        <w:rPr>
          <w:rFonts w:ascii="Calibri" w:hAnsi="Calibri"/>
          <w:color w:val="000000"/>
        </w:rPr>
      </w:pPr>
    </w:p>
    <w:p w14:paraId="61713A27" w14:textId="77777777" w:rsidR="00CA3D27" w:rsidRDefault="00CA3D27" w:rsidP="00CA3D27">
      <w:pPr>
        <w:tabs>
          <w:tab w:val="left" w:pos="284"/>
        </w:tabs>
        <w:spacing w:after="0" w:line="360" w:lineRule="auto"/>
        <w:jc w:val="both"/>
        <w:rPr>
          <w:rFonts w:ascii="Calibri" w:hAnsi="Calibri"/>
          <w:color w:val="000000"/>
        </w:rPr>
      </w:pPr>
    </w:p>
    <w:p w14:paraId="4FD0D95C" w14:textId="77777777" w:rsidR="00CA3D27" w:rsidRDefault="00CA3D27" w:rsidP="00CA3D27">
      <w:pPr>
        <w:tabs>
          <w:tab w:val="left" w:pos="284"/>
        </w:tabs>
        <w:spacing w:after="0" w:line="360" w:lineRule="auto"/>
        <w:jc w:val="both"/>
        <w:rPr>
          <w:rFonts w:ascii="Calibri" w:hAnsi="Calibri"/>
          <w:color w:val="000000"/>
        </w:rPr>
      </w:pPr>
    </w:p>
    <w:p w14:paraId="1A2F8D8B" w14:textId="77777777" w:rsidR="00CA3D27" w:rsidRDefault="00CA3D27" w:rsidP="00CA3D27">
      <w:pPr>
        <w:tabs>
          <w:tab w:val="left" w:pos="284"/>
        </w:tabs>
        <w:spacing w:after="0" w:line="360" w:lineRule="auto"/>
        <w:jc w:val="both"/>
        <w:rPr>
          <w:rFonts w:ascii="Calibri" w:hAnsi="Calibri"/>
          <w:color w:val="000000"/>
        </w:rPr>
      </w:pPr>
    </w:p>
    <w:p w14:paraId="2D55CF49" w14:textId="77777777" w:rsidR="00CA3D27" w:rsidRDefault="00CA3D27" w:rsidP="00CA3D27">
      <w:pPr>
        <w:tabs>
          <w:tab w:val="left" w:pos="284"/>
        </w:tabs>
        <w:spacing w:after="0" w:line="360" w:lineRule="auto"/>
        <w:jc w:val="both"/>
        <w:rPr>
          <w:rFonts w:ascii="Calibri" w:hAnsi="Calibri"/>
          <w:color w:val="000000"/>
        </w:rPr>
      </w:pPr>
    </w:p>
    <w:p w14:paraId="4FFDE96D" w14:textId="77777777" w:rsidR="00CA3D27" w:rsidRDefault="00CA3D27" w:rsidP="00CA3D27">
      <w:pPr>
        <w:tabs>
          <w:tab w:val="left" w:pos="284"/>
        </w:tabs>
        <w:spacing w:after="0" w:line="360" w:lineRule="auto"/>
        <w:jc w:val="both"/>
        <w:rPr>
          <w:rFonts w:ascii="Calibri" w:hAnsi="Calibri"/>
          <w:i/>
          <w:color w:val="000000"/>
        </w:rPr>
      </w:pPr>
    </w:p>
    <w:p w14:paraId="5AF0E67E" w14:textId="77777777" w:rsidR="00CA3D27" w:rsidRDefault="00CA3D27" w:rsidP="00CA3D27">
      <w:pPr>
        <w:tabs>
          <w:tab w:val="left" w:pos="284"/>
        </w:tabs>
        <w:spacing w:after="0" w:line="360" w:lineRule="auto"/>
        <w:jc w:val="both"/>
        <w:rPr>
          <w:rFonts w:ascii="Calibri" w:hAnsi="Calibri"/>
          <w:i/>
          <w:color w:val="000000"/>
        </w:rPr>
      </w:pPr>
    </w:p>
    <w:p w14:paraId="66C75F31" w14:textId="77777777" w:rsidR="00CA3D27" w:rsidRPr="0061615D" w:rsidRDefault="00CA3D27" w:rsidP="00CA3D27">
      <w:pPr>
        <w:tabs>
          <w:tab w:val="left" w:pos="284"/>
        </w:tabs>
        <w:spacing w:after="0" w:line="360" w:lineRule="auto"/>
        <w:jc w:val="both"/>
        <w:rPr>
          <w:rFonts w:ascii="Calibri" w:hAnsi="Calibri"/>
          <w:i/>
          <w:color w:val="000000"/>
        </w:rPr>
      </w:pPr>
      <w:r w:rsidRPr="0061615D">
        <w:rPr>
          <w:rFonts w:ascii="Calibri" w:hAnsi="Calibri"/>
          <w:i/>
          <w:color w:val="000000"/>
        </w:rPr>
        <w:t>Numeracy</w:t>
      </w:r>
    </w:p>
    <w:p w14:paraId="099BB877" w14:textId="77777777" w:rsidR="00CA3D27" w:rsidRDefault="00CA3D27" w:rsidP="00CA3D27">
      <w:pPr>
        <w:tabs>
          <w:tab w:val="left" w:pos="284"/>
        </w:tabs>
        <w:spacing w:after="0" w:line="360" w:lineRule="auto"/>
        <w:jc w:val="both"/>
        <w:rPr>
          <w:rFonts w:ascii="Calibri" w:hAnsi="Calibri"/>
          <w:color w:val="000000"/>
        </w:rPr>
      </w:pPr>
      <w:r>
        <w:rPr>
          <w:rFonts w:ascii="Calibri" w:hAnsi="Calibri"/>
          <w:color w:val="000000"/>
        </w:rPr>
        <w:t xml:space="preserve">The proportion of Greater Dandenong pupils who </w:t>
      </w:r>
      <w:r w:rsidRPr="00B17A6F">
        <w:rPr>
          <w:rFonts w:ascii="Calibri" w:hAnsi="Calibri"/>
          <w:i/>
          <w:color w:val="000000"/>
        </w:rPr>
        <w:t>did not</w:t>
      </w:r>
      <w:r>
        <w:rPr>
          <w:rFonts w:ascii="Calibri" w:hAnsi="Calibri"/>
          <w:color w:val="000000"/>
        </w:rPr>
        <w:t xml:space="preserve"> meet numeracy benchmarks was also approximately twice the Victorian level. Among year 9 pupils, the proportion from Greater Dandenong who </w:t>
      </w:r>
      <w:r w:rsidRPr="000D0A17">
        <w:rPr>
          <w:rFonts w:ascii="Calibri" w:hAnsi="Calibri"/>
          <w:iCs/>
          <w:color w:val="000000"/>
        </w:rPr>
        <w:t>did not meet</w:t>
      </w:r>
      <w:r>
        <w:rPr>
          <w:rFonts w:ascii="Calibri" w:hAnsi="Calibri"/>
          <w:color w:val="000000"/>
        </w:rPr>
        <w:t xml:space="preserve"> the benchmark was the highest in the state. </w:t>
      </w:r>
    </w:p>
    <w:p w14:paraId="360062A8" w14:textId="77777777" w:rsidR="00CA3D27" w:rsidRDefault="00CA3D27" w:rsidP="00CA3D27">
      <w:pPr>
        <w:tabs>
          <w:tab w:val="left" w:pos="284"/>
        </w:tabs>
        <w:spacing w:after="0" w:line="360" w:lineRule="auto"/>
        <w:jc w:val="both"/>
        <w:rPr>
          <w:rFonts w:ascii="Calibri" w:hAnsi="Calibri"/>
          <w:color w:val="000000"/>
        </w:rPr>
      </w:pPr>
      <w:r>
        <w:rPr>
          <w:rFonts w:ascii="Calibri" w:hAnsi="Calibri"/>
          <w:noProof/>
          <w:color w:val="000000"/>
        </w:rPr>
        <w:drawing>
          <wp:anchor distT="0" distB="0" distL="114300" distR="114300" simplePos="0" relativeHeight="251750400" behindDoc="0" locked="0" layoutInCell="1" allowOverlap="1" wp14:anchorId="18FE0A0D" wp14:editId="64D45263">
            <wp:simplePos x="0" y="0"/>
            <wp:positionH relativeFrom="column">
              <wp:posOffset>-1270</wp:posOffset>
            </wp:positionH>
            <wp:positionV relativeFrom="paragraph">
              <wp:posOffset>205740</wp:posOffset>
            </wp:positionV>
            <wp:extent cx="3976370" cy="2309495"/>
            <wp:effectExtent l="0" t="0" r="508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976370" cy="2309495"/>
                    </a:xfrm>
                    <a:prstGeom prst="rect">
                      <a:avLst/>
                    </a:prstGeom>
                    <a:noFill/>
                  </pic:spPr>
                </pic:pic>
              </a:graphicData>
            </a:graphic>
            <wp14:sizeRelH relativeFrom="page">
              <wp14:pctWidth>0</wp14:pctWidth>
            </wp14:sizeRelH>
            <wp14:sizeRelV relativeFrom="page">
              <wp14:pctHeight>0</wp14:pctHeight>
            </wp14:sizeRelV>
          </wp:anchor>
        </w:drawing>
      </w:r>
    </w:p>
    <w:p w14:paraId="47D58E10" w14:textId="77777777" w:rsidR="00CA3D27" w:rsidRPr="004A0926" w:rsidRDefault="00CA3D27" w:rsidP="00CA3D27">
      <w:pPr>
        <w:tabs>
          <w:tab w:val="left" w:pos="284"/>
        </w:tabs>
        <w:spacing w:after="0" w:line="360" w:lineRule="auto"/>
        <w:jc w:val="both"/>
        <w:rPr>
          <w:rFonts w:ascii="Calibri" w:hAnsi="Calibri"/>
          <w:color w:val="000000"/>
        </w:rPr>
      </w:pPr>
    </w:p>
    <w:p w14:paraId="66B7DD24" w14:textId="77777777" w:rsidR="00CA3D27" w:rsidRPr="007C436C" w:rsidRDefault="00CA3D27" w:rsidP="00CA3D27">
      <w:pPr>
        <w:spacing w:after="0" w:line="240" w:lineRule="auto"/>
        <w:ind w:left="142"/>
        <w:jc w:val="both"/>
        <w:rPr>
          <w:rFonts w:ascii="Calibri" w:hAnsi="Calibri"/>
          <w:noProof/>
          <w:color w:val="7F7F7F"/>
          <w:sz w:val="20"/>
          <w:szCs w:val="20"/>
        </w:rPr>
      </w:pPr>
      <w:r w:rsidRPr="007C436C">
        <w:rPr>
          <w:rFonts w:ascii="Calibri" w:hAnsi="Calibri"/>
          <w:noProof/>
          <w:color w:val="7F7F7F"/>
          <w:sz w:val="20"/>
          <w:szCs w:val="20"/>
        </w:rPr>
        <w:t>Per cent of pupils below the national numeracy benchmark by year level: Greater Dandenong and Victoria, 2019</w:t>
      </w:r>
    </w:p>
    <w:p w14:paraId="36ABAC68" w14:textId="77777777" w:rsidR="00CA3D27" w:rsidRPr="004A0926" w:rsidRDefault="00CA3D27" w:rsidP="00CA3D27">
      <w:pPr>
        <w:tabs>
          <w:tab w:val="left" w:pos="284"/>
        </w:tabs>
        <w:spacing w:after="0" w:line="360" w:lineRule="auto"/>
        <w:jc w:val="both"/>
        <w:rPr>
          <w:rFonts w:ascii="Calibri" w:hAnsi="Calibri"/>
          <w:color w:val="000000"/>
        </w:rPr>
      </w:pPr>
      <w:r>
        <w:rPr>
          <w:rFonts w:ascii="Calibri" w:hAnsi="Calibri"/>
          <w:i/>
          <w:noProof/>
          <w:color w:val="000000"/>
          <w:lang w:eastAsia="en-AU"/>
        </w:rPr>
        <w:drawing>
          <wp:anchor distT="0" distB="0" distL="114300" distR="114300" simplePos="0" relativeHeight="251746304" behindDoc="0" locked="0" layoutInCell="1" allowOverlap="1" wp14:anchorId="40698C9C" wp14:editId="2C44250C">
            <wp:simplePos x="0" y="0"/>
            <wp:positionH relativeFrom="column">
              <wp:posOffset>122748</wp:posOffset>
            </wp:positionH>
            <wp:positionV relativeFrom="paragraph">
              <wp:posOffset>111760</wp:posOffset>
            </wp:positionV>
            <wp:extent cx="1288112" cy="1248417"/>
            <wp:effectExtent l="0" t="0" r="7620" b="889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Numeracy.jpg"/>
                    <pic:cNvPicPr/>
                  </pic:nvPicPr>
                  <pic:blipFill>
                    <a:blip r:embed="rId98">
                      <a:extLst>
                        <a:ext uri="{28A0092B-C50C-407E-A947-70E740481C1C}">
                          <a14:useLocalDpi xmlns:a14="http://schemas.microsoft.com/office/drawing/2010/main" val="0"/>
                        </a:ext>
                      </a:extLst>
                    </a:blip>
                    <a:stretch>
                      <a:fillRect/>
                    </a:stretch>
                  </pic:blipFill>
                  <pic:spPr>
                    <a:xfrm>
                      <a:off x="0" y="0"/>
                      <a:ext cx="1290499" cy="125073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7301F50F" w14:textId="77777777" w:rsidR="00CA3D27" w:rsidRDefault="00CA3D27" w:rsidP="00CA3D27">
      <w:pPr>
        <w:tabs>
          <w:tab w:val="left" w:pos="284"/>
        </w:tabs>
        <w:spacing w:after="0" w:line="360" w:lineRule="auto"/>
        <w:jc w:val="both"/>
        <w:rPr>
          <w:rFonts w:ascii="Calibri" w:hAnsi="Calibri"/>
          <w:color w:val="000000"/>
        </w:rPr>
      </w:pPr>
    </w:p>
    <w:p w14:paraId="2D233424" w14:textId="77777777" w:rsidR="00CA3D27" w:rsidRDefault="00CA3D27" w:rsidP="00CA3D27">
      <w:pPr>
        <w:tabs>
          <w:tab w:val="left" w:pos="284"/>
        </w:tabs>
        <w:spacing w:after="0" w:line="360" w:lineRule="auto"/>
        <w:jc w:val="both"/>
        <w:rPr>
          <w:rFonts w:ascii="Calibri" w:hAnsi="Calibri"/>
          <w:color w:val="000000"/>
        </w:rPr>
      </w:pPr>
    </w:p>
    <w:p w14:paraId="3A940DF0" w14:textId="77777777" w:rsidR="00CA3D27" w:rsidRDefault="00CA3D27" w:rsidP="00CA3D27">
      <w:pPr>
        <w:tabs>
          <w:tab w:val="left" w:pos="284"/>
        </w:tabs>
        <w:spacing w:after="0" w:line="360" w:lineRule="auto"/>
        <w:jc w:val="both"/>
        <w:rPr>
          <w:rFonts w:ascii="Calibri" w:hAnsi="Calibri"/>
          <w:color w:val="000000"/>
        </w:rPr>
      </w:pPr>
    </w:p>
    <w:p w14:paraId="5CE78741" w14:textId="77777777" w:rsidR="00CA3D27" w:rsidRDefault="00CA3D27" w:rsidP="00CA3D27">
      <w:pPr>
        <w:tabs>
          <w:tab w:val="left" w:pos="284"/>
        </w:tabs>
        <w:spacing w:after="0" w:line="360" w:lineRule="auto"/>
        <w:jc w:val="both"/>
        <w:rPr>
          <w:rFonts w:ascii="Calibri" w:hAnsi="Calibri"/>
          <w:color w:val="000000"/>
        </w:rPr>
      </w:pPr>
    </w:p>
    <w:p w14:paraId="393CA500" w14:textId="0A287F91" w:rsidR="00CA3D27" w:rsidRDefault="00CA3D27" w:rsidP="00CA3D27">
      <w:pPr>
        <w:tabs>
          <w:tab w:val="left" w:pos="284"/>
        </w:tabs>
        <w:spacing w:after="0" w:line="360" w:lineRule="auto"/>
        <w:jc w:val="both"/>
        <w:rPr>
          <w:rFonts w:ascii="Calibri" w:hAnsi="Calibri"/>
          <w:color w:val="000000"/>
        </w:rPr>
      </w:pPr>
    </w:p>
    <w:p w14:paraId="4EB29319" w14:textId="77777777" w:rsidR="00BE29A1" w:rsidRDefault="00BE29A1" w:rsidP="00CA3D27">
      <w:pPr>
        <w:tabs>
          <w:tab w:val="left" w:pos="284"/>
        </w:tabs>
        <w:spacing w:after="0" w:line="360" w:lineRule="auto"/>
        <w:jc w:val="both"/>
        <w:rPr>
          <w:rFonts w:ascii="Calibri" w:hAnsi="Calibri"/>
          <w:color w:val="000000"/>
        </w:rPr>
      </w:pPr>
    </w:p>
    <w:p w14:paraId="6692C96A" w14:textId="77777777" w:rsidR="00CA3D27" w:rsidRPr="00E2314F" w:rsidRDefault="00CA3D27" w:rsidP="00CA3D27">
      <w:pPr>
        <w:tabs>
          <w:tab w:val="left" w:pos="284"/>
        </w:tabs>
        <w:spacing w:after="0" w:line="360" w:lineRule="auto"/>
        <w:jc w:val="both"/>
        <w:rPr>
          <w:rFonts w:ascii="Calibri" w:hAnsi="Calibri"/>
          <w:b/>
          <w:color w:val="000000"/>
        </w:rPr>
      </w:pPr>
      <w:r w:rsidRPr="00E2314F">
        <w:rPr>
          <w:rFonts w:ascii="Calibri" w:hAnsi="Calibri"/>
          <w:b/>
          <w:color w:val="000000"/>
        </w:rPr>
        <w:lastRenderedPageBreak/>
        <w:t>Early School Leaving</w:t>
      </w:r>
    </w:p>
    <w:p w14:paraId="2845CE3C" w14:textId="77777777" w:rsidR="00CA3D27" w:rsidRPr="000638A1" w:rsidRDefault="00CA3D27" w:rsidP="00CA3D27">
      <w:pPr>
        <w:tabs>
          <w:tab w:val="left" w:pos="284"/>
        </w:tabs>
        <w:spacing w:after="0" w:line="360" w:lineRule="auto"/>
        <w:jc w:val="both"/>
        <w:rPr>
          <w:rFonts w:ascii="Calibri" w:hAnsi="Calibri"/>
          <w:i/>
          <w:color w:val="000000"/>
        </w:rPr>
      </w:pPr>
      <w:r w:rsidRPr="000638A1">
        <w:rPr>
          <w:rFonts w:ascii="Calibri" w:hAnsi="Calibri"/>
          <w:i/>
          <w:color w:val="000000"/>
        </w:rPr>
        <w:t>Current Conditions</w:t>
      </w:r>
    </w:p>
    <w:p w14:paraId="1905AEC3" w14:textId="77777777" w:rsidR="00CA3D27" w:rsidRDefault="00CA3D27" w:rsidP="00CA3D27">
      <w:pPr>
        <w:tabs>
          <w:tab w:val="left" w:pos="284"/>
        </w:tabs>
        <w:spacing w:after="0" w:line="360" w:lineRule="auto"/>
        <w:jc w:val="both"/>
        <w:rPr>
          <w:rFonts w:ascii="Calibri" w:hAnsi="Calibri"/>
          <w:color w:val="000000"/>
        </w:rPr>
      </w:pPr>
      <w:r w:rsidRPr="00E2314F">
        <w:rPr>
          <w:rFonts w:ascii="Calibri" w:hAnsi="Calibri"/>
          <w:color w:val="000000"/>
        </w:rPr>
        <w:t>The 20</w:t>
      </w:r>
      <w:r>
        <w:rPr>
          <w:rFonts w:ascii="Calibri" w:hAnsi="Calibri"/>
          <w:color w:val="000000"/>
        </w:rPr>
        <w:t>21</w:t>
      </w:r>
      <w:r w:rsidRPr="00E2314F">
        <w:rPr>
          <w:rFonts w:ascii="Calibri" w:hAnsi="Calibri"/>
          <w:color w:val="000000"/>
        </w:rPr>
        <w:t xml:space="preserve"> Census found that </w:t>
      </w:r>
      <w:r>
        <w:rPr>
          <w:rFonts w:ascii="Calibri" w:hAnsi="Calibri"/>
          <w:color w:val="000000"/>
        </w:rPr>
        <w:t>8.1</w:t>
      </w:r>
      <w:r w:rsidRPr="00E2314F">
        <w:rPr>
          <w:rFonts w:ascii="Calibri" w:hAnsi="Calibri"/>
          <w:color w:val="000000"/>
        </w:rPr>
        <w:t>% of young adults aged 20-24 in Greater Dandenong had left school before completing year eleven</w:t>
      </w:r>
      <w:r>
        <w:rPr>
          <w:rFonts w:ascii="Calibri" w:hAnsi="Calibri"/>
          <w:color w:val="000000"/>
        </w:rPr>
        <w:t xml:space="preserve"> – including 9% of males and 7.2% of females -</w:t>
      </w:r>
      <w:r w:rsidRPr="00E2314F">
        <w:rPr>
          <w:rFonts w:ascii="Calibri" w:hAnsi="Calibri"/>
          <w:color w:val="000000"/>
        </w:rPr>
        <w:t xml:space="preserve"> compared with </w:t>
      </w:r>
      <w:r>
        <w:rPr>
          <w:rFonts w:ascii="Calibri" w:hAnsi="Calibri"/>
          <w:color w:val="000000"/>
        </w:rPr>
        <w:t>6.3</w:t>
      </w:r>
      <w:r w:rsidRPr="00E2314F">
        <w:rPr>
          <w:rFonts w:ascii="Calibri" w:hAnsi="Calibri"/>
          <w:color w:val="000000"/>
        </w:rPr>
        <w:t xml:space="preserve">% across </w:t>
      </w:r>
      <w:r>
        <w:rPr>
          <w:rFonts w:ascii="Calibri" w:hAnsi="Calibri"/>
          <w:color w:val="000000"/>
        </w:rPr>
        <w:t>Melbourne</w:t>
      </w:r>
      <w:r w:rsidRPr="00E2314F">
        <w:rPr>
          <w:rFonts w:ascii="Calibri" w:hAnsi="Calibri"/>
          <w:color w:val="000000"/>
        </w:rPr>
        <w:t xml:space="preserve">. </w:t>
      </w:r>
      <w:r>
        <w:rPr>
          <w:rFonts w:ascii="Calibri" w:hAnsi="Calibri"/>
          <w:color w:val="000000"/>
        </w:rPr>
        <w:t>The rate of early departure from secondary school in Greater Dandenong though, represents a pronounced decline from the corresponding rate of 13% recorded in the 2016 Census.</w:t>
      </w:r>
    </w:p>
    <w:p w14:paraId="0A0E35F3" w14:textId="77777777" w:rsidR="00CA3D27" w:rsidRDefault="00CA3D27" w:rsidP="00CA3D27">
      <w:pPr>
        <w:tabs>
          <w:tab w:val="left" w:pos="284"/>
        </w:tabs>
        <w:spacing w:after="0" w:line="360" w:lineRule="auto"/>
        <w:jc w:val="both"/>
        <w:rPr>
          <w:rFonts w:ascii="Calibri" w:hAnsi="Calibri"/>
          <w:color w:val="000000"/>
        </w:rPr>
      </w:pPr>
      <w:r>
        <w:rPr>
          <w:rFonts w:ascii="Calibri" w:hAnsi="Calibri"/>
          <w:color w:val="000000"/>
        </w:rPr>
        <w:t>Rates of early school leaving among young people within Greater Dandenong, ranged from 25% in Dandenong, 14% in Dandenong North, approximately 10% in Noble Park and Springvale, and lower in Noble Park North (8.6%), Springvale South (7.4%) and Keysborough (5.8%).</w:t>
      </w:r>
    </w:p>
    <w:p w14:paraId="5E386D36" w14:textId="77777777" w:rsidR="00CA3D27" w:rsidRDefault="00CA3D27" w:rsidP="00CA3D27">
      <w:pPr>
        <w:tabs>
          <w:tab w:val="left" w:pos="284"/>
        </w:tabs>
        <w:spacing w:after="0" w:line="360" w:lineRule="auto"/>
        <w:jc w:val="both"/>
        <w:rPr>
          <w:rFonts w:ascii="Calibri" w:hAnsi="Calibri"/>
          <w:i/>
          <w:color w:val="000000"/>
        </w:rPr>
      </w:pPr>
    </w:p>
    <w:p w14:paraId="35C2AAD4" w14:textId="77777777" w:rsidR="00CA3D27" w:rsidRDefault="00CA3D27" w:rsidP="00CA3D27">
      <w:pPr>
        <w:tabs>
          <w:tab w:val="left" w:pos="284"/>
        </w:tabs>
        <w:spacing w:after="0" w:line="360" w:lineRule="auto"/>
        <w:jc w:val="both"/>
        <w:rPr>
          <w:rFonts w:ascii="Calibri" w:hAnsi="Calibri"/>
          <w:i/>
          <w:color w:val="000000"/>
        </w:rPr>
      </w:pPr>
    </w:p>
    <w:p w14:paraId="08204450" w14:textId="77777777" w:rsidR="00CA3D27" w:rsidRPr="000638A1" w:rsidRDefault="00CA3D27" w:rsidP="00CA3D27">
      <w:pPr>
        <w:tabs>
          <w:tab w:val="left" w:pos="284"/>
        </w:tabs>
        <w:spacing w:after="0" w:line="360" w:lineRule="auto"/>
        <w:jc w:val="both"/>
        <w:rPr>
          <w:rFonts w:ascii="Calibri" w:hAnsi="Calibri"/>
          <w:i/>
          <w:color w:val="000000"/>
        </w:rPr>
      </w:pPr>
      <w:r>
        <w:rPr>
          <w:rFonts w:ascii="Calibri" w:hAnsi="Calibri"/>
          <w:i/>
          <w:color w:val="000000"/>
        </w:rPr>
        <w:t xml:space="preserve">Historic Trends                                                         </w:t>
      </w:r>
    </w:p>
    <w:p w14:paraId="58E95481" w14:textId="77777777" w:rsidR="00CA3D27" w:rsidRDefault="00CA3D27" w:rsidP="00CA3D27">
      <w:pPr>
        <w:tabs>
          <w:tab w:val="left" w:pos="284"/>
        </w:tabs>
        <w:spacing w:after="0" w:line="360" w:lineRule="auto"/>
        <w:jc w:val="both"/>
        <w:rPr>
          <w:rFonts w:ascii="Calibri" w:hAnsi="Calibri"/>
          <w:color w:val="000000"/>
        </w:rPr>
      </w:pPr>
      <w:r>
        <w:rPr>
          <w:rFonts w:ascii="Calibri" w:hAnsi="Calibri"/>
          <w:color w:val="000000"/>
        </w:rPr>
        <w:t>T</w:t>
      </w:r>
      <w:r w:rsidRPr="00E2314F">
        <w:rPr>
          <w:rFonts w:ascii="Calibri" w:hAnsi="Calibri"/>
          <w:color w:val="000000"/>
        </w:rPr>
        <w:t xml:space="preserve">he rate of early school leaving among residents </w:t>
      </w:r>
      <w:r>
        <w:rPr>
          <w:rFonts w:ascii="Calibri" w:hAnsi="Calibri"/>
          <w:color w:val="000000"/>
        </w:rPr>
        <w:t xml:space="preserve">rises </w:t>
      </w:r>
      <w:r w:rsidRPr="00E2314F">
        <w:rPr>
          <w:rFonts w:ascii="Calibri" w:hAnsi="Calibri"/>
          <w:color w:val="000000"/>
        </w:rPr>
        <w:t xml:space="preserve">from </w:t>
      </w:r>
      <w:r>
        <w:rPr>
          <w:rFonts w:ascii="Calibri" w:hAnsi="Calibri"/>
          <w:color w:val="000000"/>
        </w:rPr>
        <w:t>8.1</w:t>
      </w:r>
      <w:r w:rsidRPr="00E2314F">
        <w:rPr>
          <w:rFonts w:ascii="Calibri" w:hAnsi="Calibri"/>
          <w:color w:val="000000"/>
        </w:rPr>
        <w:t xml:space="preserve">% among those aged 20-24, to </w:t>
      </w:r>
      <w:r>
        <w:rPr>
          <w:rFonts w:ascii="Calibri" w:hAnsi="Calibri"/>
          <w:color w:val="000000"/>
        </w:rPr>
        <w:t xml:space="preserve">over two-fifths </w:t>
      </w:r>
      <w:r w:rsidRPr="00E2314F">
        <w:rPr>
          <w:rFonts w:ascii="Calibri" w:hAnsi="Calibri"/>
          <w:color w:val="000000"/>
        </w:rPr>
        <w:t xml:space="preserve">of residents aged 60-64 and </w:t>
      </w:r>
      <w:r>
        <w:rPr>
          <w:rFonts w:ascii="Calibri" w:hAnsi="Calibri"/>
          <w:color w:val="000000"/>
        </w:rPr>
        <w:t>about</w:t>
      </w:r>
      <w:r w:rsidRPr="00E2314F">
        <w:rPr>
          <w:rFonts w:ascii="Calibri" w:hAnsi="Calibri"/>
          <w:color w:val="000000"/>
        </w:rPr>
        <w:t xml:space="preserve"> three-quarters of those over 85.</w:t>
      </w:r>
      <w:r>
        <w:rPr>
          <w:rFonts w:ascii="Calibri" w:hAnsi="Calibri"/>
          <w:color w:val="000000"/>
        </w:rPr>
        <w:t xml:space="preserve"> Among residents aged 45 years or less – or born after 1976 – early leaving rates among men have surpassed those among women by a widening margin. </w:t>
      </w:r>
    </w:p>
    <w:p w14:paraId="0A5BAF7C" w14:textId="77777777" w:rsidR="00CA3D27" w:rsidRDefault="00CA3D27" w:rsidP="00CA3D27">
      <w:pPr>
        <w:tabs>
          <w:tab w:val="left" w:pos="284"/>
        </w:tabs>
        <w:spacing w:after="0" w:line="360" w:lineRule="auto"/>
        <w:jc w:val="both"/>
        <w:rPr>
          <w:rFonts w:ascii="Calibri" w:hAnsi="Calibri"/>
          <w:color w:val="7F7F7F"/>
        </w:rPr>
      </w:pPr>
    </w:p>
    <w:p w14:paraId="7A67DA9F" w14:textId="77777777" w:rsidR="00CA3D27" w:rsidRDefault="00CA3D27" w:rsidP="00CA3D27">
      <w:pPr>
        <w:tabs>
          <w:tab w:val="left" w:pos="284"/>
        </w:tabs>
        <w:spacing w:after="0" w:line="240" w:lineRule="auto"/>
        <w:jc w:val="both"/>
        <w:rPr>
          <w:rFonts w:ascii="Calibri" w:hAnsi="Calibri"/>
          <w:color w:val="7F7F7F"/>
        </w:rPr>
      </w:pPr>
    </w:p>
    <w:p w14:paraId="7D3AF6E6" w14:textId="77777777" w:rsidR="00CA3D27" w:rsidRPr="007C436C" w:rsidRDefault="00CA3D27" w:rsidP="00CA3D27">
      <w:pPr>
        <w:tabs>
          <w:tab w:val="left" w:pos="284"/>
        </w:tabs>
        <w:spacing w:after="0" w:line="240" w:lineRule="auto"/>
        <w:jc w:val="both"/>
        <w:rPr>
          <w:rFonts w:ascii="Calibri" w:hAnsi="Calibri"/>
          <w:color w:val="000000"/>
          <w:sz w:val="20"/>
          <w:szCs w:val="20"/>
        </w:rPr>
      </w:pPr>
      <w:r w:rsidRPr="007C436C">
        <w:rPr>
          <w:rFonts w:ascii="Calibri" w:hAnsi="Calibri"/>
          <w:color w:val="7F7F7F"/>
          <w:sz w:val="20"/>
          <w:szCs w:val="20"/>
        </w:rPr>
        <w:t>Early School Leaving by Age: Greater Dandenong, 2021</w:t>
      </w:r>
    </w:p>
    <w:p w14:paraId="5A1EE08C" w14:textId="77777777" w:rsidR="00CA3D27" w:rsidRDefault="00CA3D27" w:rsidP="00CA3D27">
      <w:pPr>
        <w:tabs>
          <w:tab w:val="left" w:pos="284"/>
        </w:tabs>
        <w:spacing w:after="0" w:line="360" w:lineRule="auto"/>
        <w:jc w:val="both"/>
        <w:rPr>
          <w:rFonts w:ascii="Calibri" w:hAnsi="Calibri"/>
          <w:i/>
          <w:color w:val="000000"/>
        </w:rPr>
      </w:pPr>
      <w:r>
        <w:rPr>
          <w:rFonts w:ascii="Calibri" w:hAnsi="Calibri"/>
          <w:noProof/>
          <w:color w:val="000000"/>
          <w:lang w:eastAsia="en-AU"/>
        </w:rPr>
        <w:drawing>
          <wp:anchor distT="0" distB="0" distL="114300" distR="114300" simplePos="0" relativeHeight="251754496" behindDoc="0" locked="0" layoutInCell="1" allowOverlap="1" wp14:anchorId="4D4E182C" wp14:editId="48022F85">
            <wp:simplePos x="0" y="0"/>
            <wp:positionH relativeFrom="column">
              <wp:posOffset>622935</wp:posOffset>
            </wp:positionH>
            <wp:positionV relativeFrom="paragraph">
              <wp:posOffset>551921</wp:posOffset>
            </wp:positionV>
            <wp:extent cx="990600" cy="821267"/>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32.jpg"/>
                    <pic:cNvPicPr/>
                  </pic:nvPicPr>
                  <pic:blipFill rotWithShape="1">
                    <a:blip r:embed="rId99" cstate="print">
                      <a:extLst>
                        <a:ext uri="{28A0092B-C50C-407E-A947-70E740481C1C}">
                          <a14:useLocalDpi xmlns:a14="http://schemas.microsoft.com/office/drawing/2010/main" val="0"/>
                        </a:ext>
                      </a:extLst>
                    </a:blip>
                    <a:srcRect t="21138"/>
                    <a:stretch/>
                  </pic:blipFill>
                  <pic:spPr bwMode="auto">
                    <a:xfrm>
                      <a:off x="0" y="0"/>
                      <a:ext cx="993295" cy="823502"/>
                    </a:xfrm>
                    <a:prstGeom prst="rect">
                      <a:avLst/>
                    </a:prstGeom>
                    <a:ln>
                      <a:noFill/>
                    </a:ln>
                    <a:effectLst>
                      <a:softEdge rad="63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noProof/>
          <w:color w:val="000000"/>
          <w:lang w:eastAsia="en-AU"/>
        </w:rPr>
        <w:drawing>
          <wp:inline distT="0" distB="0" distL="0" distR="0" wp14:anchorId="16E5CB80" wp14:editId="08BC9A3C">
            <wp:extent cx="5370942" cy="2792095"/>
            <wp:effectExtent l="0" t="0" r="1270" b="825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0">
                      <a:extLst>
                        <a:ext uri="{28A0092B-C50C-407E-A947-70E740481C1C}">
                          <a14:useLocalDpi xmlns:a14="http://schemas.microsoft.com/office/drawing/2010/main" val="0"/>
                        </a:ext>
                      </a:extLst>
                    </a:blip>
                    <a:srcRect t="3511"/>
                    <a:stretch/>
                  </pic:blipFill>
                  <pic:spPr bwMode="auto">
                    <a:xfrm>
                      <a:off x="0" y="0"/>
                      <a:ext cx="5382318" cy="2798009"/>
                    </a:xfrm>
                    <a:prstGeom prst="rect">
                      <a:avLst/>
                    </a:prstGeom>
                    <a:noFill/>
                    <a:ln>
                      <a:noFill/>
                    </a:ln>
                    <a:extLst>
                      <a:ext uri="{53640926-AAD7-44D8-BBD7-CCE9431645EC}">
                        <a14:shadowObscured xmlns:a14="http://schemas.microsoft.com/office/drawing/2010/main"/>
                      </a:ext>
                    </a:extLst>
                  </pic:spPr>
                </pic:pic>
              </a:graphicData>
            </a:graphic>
          </wp:inline>
        </w:drawing>
      </w:r>
    </w:p>
    <w:p w14:paraId="6D993299" w14:textId="77777777" w:rsidR="00CA3D27" w:rsidRDefault="00CA3D27" w:rsidP="00CA3D27">
      <w:pPr>
        <w:tabs>
          <w:tab w:val="left" w:pos="284"/>
        </w:tabs>
        <w:spacing w:after="0" w:line="360" w:lineRule="auto"/>
        <w:jc w:val="both"/>
        <w:rPr>
          <w:rFonts w:ascii="Calibri" w:hAnsi="Calibri"/>
          <w:color w:val="000000"/>
        </w:rPr>
      </w:pPr>
    </w:p>
    <w:p w14:paraId="29370C52" w14:textId="77777777" w:rsidR="00CA3D27" w:rsidRDefault="00CA3D27" w:rsidP="00CA3D27">
      <w:pPr>
        <w:tabs>
          <w:tab w:val="left" w:pos="284"/>
        </w:tabs>
        <w:spacing w:after="0" w:line="360" w:lineRule="auto"/>
        <w:jc w:val="both"/>
        <w:rPr>
          <w:rFonts w:ascii="Calibri" w:hAnsi="Calibri"/>
          <w:color w:val="000000"/>
        </w:rPr>
      </w:pPr>
    </w:p>
    <w:p w14:paraId="3FE07FA1" w14:textId="77777777" w:rsidR="00CA3D27" w:rsidRPr="002A29EB" w:rsidRDefault="00CA3D27" w:rsidP="00CA3D27">
      <w:pPr>
        <w:tabs>
          <w:tab w:val="left" w:pos="284"/>
        </w:tabs>
        <w:spacing w:after="0" w:line="360" w:lineRule="auto"/>
        <w:jc w:val="both"/>
        <w:rPr>
          <w:rFonts w:ascii="Calibri" w:hAnsi="Calibri"/>
          <w:i/>
          <w:color w:val="000000"/>
          <w:sz w:val="8"/>
          <w:szCs w:val="8"/>
        </w:rPr>
      </w:pPr>
    </w:p>
    <w:p w14:paraId="228D152A" w14:textId="77777777" w:rsidR="00CA3D27" w:rsidRPr="002A29EB" w:rsidRDefault="00CA3D27" w:rsidP="00CA3D27">
      <w:pPr>
        <w:tabs>
          <w:tab w:val="left" w:pos="284"/>
        </w:tabs>
        <w:spacing w:after="0" w:line="360" w:lineRule="auto"/>
        <w:jc w:val="both"/>
        <w:rPr>
          <w:rFonts w:ascii="Calibri" w:hAnsi="Calibri"/>
          <w:noProof/>
          <w:color w:val="000000"/>
          <w:lang w:eastAsia="en-AU"/>
        </w:rPr>
      </w:pPr>
      <w:r>
        <w:rPr>
          <w:rFonts w:ascii="Calibri" w:hAnsi="Calibri"/>
          <w:color w:val="000000"/>
        </w:rPr>
        <w:t>This mirrors a pattern seen across Victoria, though the higher rates of early leaving among men are more pronounced and commenced earlier.</w:t>
      </w:r>
    </w:p>
    <w:p w14:paraId="19719F49" w14:textId="77777777" w:rsidR="00CA3D27" w:rsidRDefault="00CA3D27" w:rsidP="00CA3D27">
      <w:pPr>
        <w:spacing w:after="0" w:line="360" w:lineRule="auto"/>
        <w:rPr>
          <w:rFonts w:ascii="Calibri" w:hAnsi="Calibri"/>
          <w:i/>
          <w:color w:val="000000"/>
        </w:rPr>
      </w:pPr>
      <w:r>
        <w:rPr>
          <w:rFonts w:ascii="Calibri" w:hAnsi="Calibri"/>
          <w:i/>
          <w:color w:val="000000"/>
        </w:rPr>
        <w:br w:type="page"/>
      </w:r>
    </w:p>
    <w:p w14:paraId="36F881BF" w14:textId="77777777" w:rsidR="00CA3D27" w:rsidRPr="000638A1" w:rsidRDefault="00CA3D27" w:rsidP="00CA3D27">
      <w:pPr>
        <w:tabs>
          <w:tab w:val="left" w:pos="284"/>
        </w:tabs>
        <w:spacing w:after="0" w:line="360" w:lineRule="auto"/>
        <w:jc w:val="both"/>
        <w:rPr>
          <w:rFonts w:ascii="Calibri" w:hAnsi="Calibri"/>
          <w:i/>
          <w:color w:val="000000"/>
        </w:rPr>
      </w:pPr>
      <w:r>
        <w:rPr>
          <w:rFonts w:ascii="Calibri" w:hAnsi="Calibri"/>
          <w:i/>
          <w:color w:val="000000"/>
        </w:rPr>
        <w:lastRenderedPageBreak/>
        <w:t xml:space="preserve">Early School Leaving and Birthplaces       </w:t>
      </w:r>
    </w:p>
    <w:p w14:paraId="76964823" w14:textId="77777777" w:rsidR="00CA3D27" w:rsidRDefault="00CA3D27" w:rsidP="00CA3D27">
      <w:pPr>
        <w:tabs>
          <w:tab w:val="left" w:pos="284"/>
        </w:tabs>
        <w:spacing w:after="0" w:line="360" w:lineRule="auto"/>
        <w:jc w:val="both"/>
        <w:rPr>
          <w:rFonts w:ascii="Calibri" w:hAnsi="Calibri"/>
          <w:color w:val="000000"/>
        </w:rPr>
      </w:pPr>
      <w:r>
        <w:rPr>
          <w:rFonts w:ascii="Calibri" w:hAnsi="Calibri"/>
          <w:color w:val="000000"/>
        </w:rPr>
        <w:t>In 2021, 52% of 20-24 year-old residents who had left school before completing year 11 were born overseas.</w:t>
      </w:r>
    </w:p>
    <w:p w14:paraId="7E5A590D" w14:textId="77777777" w:rsidR="00CA3D27" w:rsidRDefault="00CA3D27" w:rsidP="00CA3D27">
      <w:pPr>
        <w:tabs>
          <w:tab w:val="left" w:pos="284"/>
        </w:tabs>
        <w:spacing w:after="0" w:line="360" w:lineRule="auto"/>
        <w:jc w:val="both"/>
        <w:rPr>
          <w:rFonts w:ascii="Calibri" w:hAnsi="Calibri"/>
          <w:color w:val="000000"/>
        </w:rPr>
      </w:pPr>
      <w:r>
        <w:rPr>
          <w:rFonts w:ascii="Calibri" w:hAnsi="Calibri"/>
          <w:color w:val="000000"/>
        </w:rPr>
        <w:t>The proportion of young adults from selected birthplaces who had left school early, is illustrated in the accompanying diagram and ranges from 64% among young people from Somalia, to fewer than 2% of those from India.</w:t>
      </w:r>
    </w:p>
    <w:p w14:paraId="6B174F1E" w14:textId="77777777" w:rsidR="00CA3D27" w:rsidRPr="007C436C" w:rsidRDefault="00CA3D27" w:rsidP="00CA3D27">
      <w:pPr>
        <w:tabs>
          <w:tab w:val="left" w:pos="284"/>
        </w:tabs>
        <w:spacing w:after="0" w:line="240" w:lineRule="auto"/>
        <w:jc w:val="both"/>
        <w:rPr>
          <w:rFonts w:ascii="Calibri" w:hAnsi="Calibri"/>
          <w:color w:val="000000"/>
          <w:sz w:val="20"/>
          <w:szCs w:val="20"/>
        </w:rPr>
      </w:pPr>
      <w:r w:rsidRPr="007C436C">
        <w:rPr>
          <w:rFonts w:ascii="Calibri" w:hAnsi="Calibri"/>
          <w:color w:val="000000"/>
          <w:sz w:val="20"/>
          <w:szCs w:val="20"/>
        </w:rPr>
        <w:t xml:space="preserve">                     </w:t>
      </w:r>
      <w:r w:rsidRPr="007C436C">
        <w:rPr>
          <w:rFonts w:ascii="Calibri" w:hAnsi="Calibri"/>
          <w:color w:val="7F7F7F"/>
          <w:sz w:val="20"/>
          <w:szCs w:val="20"/>
        </w:rPr>
        <w:t>Rates of Early School Leaving by Selected Birthplaces: Greater Dandenong, 2021</w:t>
      </w:r>
    </w:p>
    <w:p w14:paraId="7843146D" w14:textId="77777777" w:rsidR="00CA3D27" w:rsidRDefault="00CA3D27" w:rsidP="00CA3D27">
      <w:pPr>
        <w:tabs>
          <w:tab w:val="left" w:pos="284"/>
        </w:tabs>
        <w:spacing w:after="0" w:line="360" w:lineRule="auto"/>
        <w:jc w:val="right"/>
        <w:rPr>
          <w:rFonts w:ascii="Calibri" w:hAnsi="Calibri"/>
          <w:color w:val="000000"/>
        </w:rPr>
      </w:pPr>
      <w:r>
        <w:rPr>
          <w:rFonts w:ascii="Calibri" w:hAnsi="Calibri"/>
          <w:noProof/>
          <w:color w:val="000000"/>
        </w:rPr>
        <w:drawing>
          <wp:inline distT="0" distB="0" distL="0" distR="0" wp14:anchorId="4675B422" wp14:editId="2C8C4901">
            <wp:extent cx="5469890" cy="3557270"/>
            <wp:effectExtent l="0" t="0" r="0" b="508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1">
                      <a:extLst>
                        <a:ext uri="{28A0092B-C50C-407E-A947-70E740481C1C}">
                          <a14:useLocalDpi xmlns:a14="http://schemas.microsoft.com/office/drawing/2010/main" val="0"/>
                        </a:ext>
                      </a:extLst>
                    </a:blip>
                    <a:srcRect l="5357" r="5893" b="57960"/>
                    <a:stretch/>
                  </pic:blipFill>
                  <pic:spPr bwMode="auto">
                    <a:xfrm>
                      <a:off x="0" y="0"/>
                      <a:ext cx="5469890" cy="3557270"/>
                    </a:xfrm>
                    <a:prstGeom prst="rect">
                      <a:avLst/>
                    </a:prstGeom>
                    <a:noFill/>
                    <a:ln>
                      <a:noFill/>
                    </a:ln>
                    <a:extLst>
                      <a:ext uri="{53640926-AAD7-44D8-BBD7-CCE9431645EC}">
                        <a14:shadowObscured xmlns:a14="http://schemas.microsoft.com/office/drawing/2010/main"/>
                      </a:ext>
                    </a:extLst>
                  </pic:spPr>
                </pic:pic>
              </a:graphicData>
            </a:graphic>
          </wp:inline>
        </w:drawing>
      </w:r>
    </w:p>
    <w:p w14:paraId="40739468" w14:textId="77777777" w:rsidR="00CA3D27" w:rsidRDefault="00CA3D27" w:rsidP="00CA3D27">
      <w:pPr>
        <w:tabs>
          <w:tab w:val="left" w:pos="4820"/>
        </w:tabs>
        <w:spacing w:after="0" w:line="360" w:lineRule="auto"/>
        <w:jc w:val="both"/>
        <w:rPr>
          <w:rFonts w:ascii="Calibri" w:hAnsi="Calibri"/>
          <w:color w:val="000000"/>
        </w:rPr>
      </w:pPr>
    </w:p>
    <w:p w14:paraId="2D112888" w14:textId="77777777" w:rsidR="00CA3D27" w:rsidRDefault="00CA3D27" w:rsidP="00CA3D27">
      <w:pPr>
        <w:tabs>
          <w:tab w:val="left" w:pos="4820"/>
        </w:tabs>
        <w:spacing w:after="0" w:line="360" w:lineRule="auto"/>
        <w:jc w:val="both"/>
        <w:rPr>
          <w:rFonts w:ascii="Calibri" w:hAnsi="Calibri"/>
          <w:b/>
          <w:color w:val="7F7F7F"/>
        </w:rPr>
      </w:pPr>
      <w:r w:rsidRPr="00E2314F">
        <w:rPr>
          <w:rFonts w:ascii="Calibri" w:hAnsi="Calibri"/>
          <w:b/>
          <w:color w:val="000000"/>
        </w:rPr>
        <w:t>Tertiary Participation Rates</w:t>
      </w:r>
    </w:p>
    <w:p w14:paraId="064CBF94" w14:textId="77777777" w:rsidR="00CA3D27" w:rsidRDefault="00CA3D27" w:rsidP="00CA3D27">
      <w:pPr>
        <w:tabs>
          <w:tab w:val="left" w:pos="4678"/>
        </w:tabs>
        <w:spacing w:after="0" w:line="360" w:lineRule="auto"/>
        <w:jc w:val="both"/>
        <w:rPr>
          <w:rFonts w:ascii="Calibri" w:hAnsi="Calibri"/>
          <w:color w:val="000000"/>
        </w:rPr>
      </w:pPr>
      <w:r>
        <w:rPr>
          <w:rFonts w:ascii="Calibri" w:hAnsi="Calibri"/>
          <w:noProof/>
          <w:color w:val="000000"/>
        </w:rPr>
        <w:drawing>
          <wp:anchor distT="0" distB="0" distL="114300" distR="114300" simplePos="0" relativeHeight="251751424" behindDoc="0" locked="0" layoutInCell="1" allowOverlap="1" wp14:anchorId="1CD97E3D" wp14:editId="5ECC9997">
            <wp:simplePos x="0" y="0"/>
            <wp:positionH relativeFrom="column">
              <wp:posOffset>2305050</wp:posOffset>
            </wp:positionH>
            <wp:positionV relativeFrom="paragraph">
              <wp:posOffset>113348</wp:posOffset>
            </wp:positionV>
            <wp:extent cx="3814445" cy="2588895"/>
            <wp:effectExtent l="0" t="0" r="0" b="1905"/>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14445" cy="2588895"/>
                    </a:xfrm>
                    <a:prstGeom prst="rect">
                      <a:avLst/>
                    </a:prstGeom>
                    <a:noFill/>
                  </pic:spPr>
                </pic:pic>
              </a:graphicData>
            </a:graphic>
            <wp14:sizeRelH relativeFrom="page">
              <wp14:pctWidth>0</wp14:pctWidth>
            </wp14:sizeRelH>
            <wp14:sizeRelV relativeFrom="page">
              <wp14:pctHeight>0</wp14:pctHeight>
            </wp14:sizeRelV>
          </wp:anchor>
        </w:drawing>
      </w:r>
      <w:r w:rsidRPr="00E2314F">
        <w:rPr>
          <w:rFonts w:ascii="Calibri" w:hAnsi="Calibri"/>
          <w:color w:val="000000"/>
        </w:rPr>
        <w:t xml:space="preserve">Levels of </w:t>
      </w:r>
      <w:r>
        <w:rPr>
          <w:rFonts w:ascii="Calibri" w:hAnsi="Calibri"/>
          <w:color w:val="000000"/>
        </w:rPr>
        <w:t>participation in tertiary education</w:t>
      </w:r>
      <w:r w:rsidRPr="00E2314F">
        <w:rPr>
          <w:rFonts w:ascii="Calibri" w:hAnsi="Calibri"/>
          <w:color w:val="000000"/>
        </w:rPr>
        <w:t xml:space="preserve"> among young adults in Greater Dandenong are lower than </w:t>
      </w:r>
      <w:r>
        <w:rPr>
          <w:rFonts w:ascii="Calibri" w:hAnsi="Calibri"/>
          <w:color w:val="000000"/>
        </w:rPr>
        <w:t xml:space="preserve">the </w:t>
      </w:r>
      <w:r w:rsidRPr="00E2314F">
        <w:rPr>
          <w:rFonts w:ascii="Calibri" w:hAnsi="Calibri"/>
          <w:color w:val="000000"/>
        </w:rPr>
        <w:t xml:space="preserve">metropolitan </w:t>
      </w:r>
      <w:r>
        <w:rPr>
          <w:rFonts w:ascii="Calibri" w:hAnsi="Calibri"/>
          <w:color w:val="000000"/>
        </w:rPr>
        <w:t>average</w:t>
      </w:r>
      <w:r w:rsidRPr="00E2314F">
        <w:rPr>
          <w:rFonts w:ascii="Calibri" w:hAnsi="Calibri"/>
          <w:color w:val="000000"/>
        </w:rPr>
        <w:t xml:space="preserve">, with </w:t>
      </w:r>
      <w:r>
        <w:rPr>
          <w:rFonts w:ascii="Calibri" w:hAnsi="Calibri"/>
          <w:color w:val="000000"/>
        </w:rPr>
        <w:t>32</w:t>
      </w:r>
      <w:r w:rsidRPr="00E2314F">
        <w:rPr>
          <w:rFonts w:ascii="Calibri" w:hAnsi="Calibri"/>
          <w:color w:val="000000"/>
        </w:rPr>
        <w:t xml:space="preserve">% of local 20-24 year-olds attending university or other tertiary </w:t>
      </w:r>
      <w:r>
        <w:rPr>
          <w:rFonts w:ascii="Calibri" w:hAnsi="Calibri"/>
          <w:color w:val="000000"/>
        </w:rPr>
        <w:t>institutions (up from 23% in 2011)</w:t>
      </w:r>
      <w:r w:rsidRPr="00E2314F">
        <w:rPr>
          <w:rFonts w:ascii="Calibri" w:hAnsi="Calibri"/>
          <w:color w:val="000000"/>
        </w:rPr>
        <w:t xml:space="preserve">, </w:t>
      </w:r>
      <w:r>
        <w:rPr>
          <w:rFonts w:ascii="Calibri" w:hAnsi="Calibri"/>
          <w:color w:val="000000"/>
        </w:rPr>
        <w:t>compared with</w:t>
      </w:r>
      <w:r w:rsidRPr="00E2314F">
        <w:rPr>
          <w:rFonts w:ascii="Calibri" w:hAnsi="Calibri"/>
          <w:color w:val="000000"/>
        </w:rPr>
        <w:t xml:space="preserve"> </w:t>
      </w:r>
      <w:r>
        <w:rPr>
          <w:rFonts w:ascii="Calibri" w:hAnsi="Calibri"/>
          <w:color w:val="000000"/>
        </w:rPr>
        <w:t>38</w:t>
      </w:r>
      <w:r w:rsidRPr="00E2314F">
        <w:rPr>
          <w:rFonts w:ascii="Calibri" w:hAnsi="Calibri"/>
          <w:color w:val="000000"/>
        </w:rPr>
        <w:t>% across Melbourne.</w:t>
      </w:r>
    </w:p>
    <w:p w14:paraId="495E3FE5" w14:textId="77777777" w:rsidR="00CA3D27" w:rsidRPr="00511CE6" w:rsidRDefault="00CA3D27" w:rsidP="00CA3D27">
      <w:pPr>
        <w:tabs>
          <w:tab w:val="left" w:pos="4678"/>
        </w:tabs>
        <w:spacing w:after="0" w:line="360" w:lineRule="auto"/>
        <w:jc w:val="both"/>
        <w:rPr>
          <w:rFonts w:ascii="Calibri" w:hAnsi="Calibri"/>
          <w:color w:val="000000"/>
          <w:sz w:val="12"/>
          <w:szCs w:val="12"/>
        </w:rPr>
      </w:pPr>
    </w:p>
    <w:p w14:paraId="3FC617B2" w14:textId="77777777" w:rsidR="00CA3D27" w:rsidRPr="007C436C" w:rsidRDefault="00CA3D27" w:rsidP="00CA3D27">
      <w:pPr>
        <w:tabs>
          <w:tab w:val="left" w:pos="5245"/>
        </w:tabs>
        <w:spacing w:after="0" w:line="240" w:lineRule="auto"/>
        <w:jc w:val="both"/>
        <w:rPr>
          <w:rFonts w:ascii="Calibri" w:hAnsi="Calibri"/>
          <w:color w:val="7F7F7F"/>
          <w:sz w:val="20"/>
          <w:szCs w:val="20"/>
        </w:rPr>
      </w:pPr>
      <w:r w:rsidRPr="007C436C">
        <w:rPr>
          <w:rFonts w:ascii="Calibri" w:hAnsi="Calibri"/>
          <w:color w:val="7F7F7F"/>
          <w:sz w:val="20"/>
          <w:szCs w:val="20"/>
        </w:rPr>
        <w:t>TAFE and University Attendance: 20-24 year-olds,</w:t>
      </w:r>
      <w:r w:rsidRPr="007C436C">
        <w:rPr>
          <w:rFonts w:ascii="Calibri" w:hAnsi="Calibri"/>
          <w:b/>
          <w:color w:val="7F7F7F"/>
          <w:sz w:val="20"/>
          <w:szCs w:val="20"/>
        </w:rPr>
        <w:t xml:space="preserve"> </w:t>
      </w:r>
      <w:r w:rsidRPr="007C436C">
        <w:rPr>
          <w:rFonts w:ascii="Calibri" w:hAnsi="Calibri"/>
          <w:color w:val="7F7F7F"/>
          <w:sz w:val="20"/>
          <w:szCs w:val="20"/>
        </w:rPr>
        <w:t>Greater Dandenong, 2021</w:t>
      </w:r>
    </w:p>
    <w:p w14:paraId="2D87E9E6" w14:textId="77777777" w:rsidR="00CA3D27" w:rsidRDefault="00CA3D27" w:rsidP="00CA3D27">
      <w:pPr>
        <w:tabs>
          <w:tab w:val="left" w:pos="4678"/>
        </w:tabs>
        <w:spacing w:after="0" w:line="360" w:lineRule="auto"/>
        <w:jc w:val="both"/>
        <w:rPr>
          <w:rFonts w:ascii="Calibri" w:hAnsi="Calibri"/>
          <w:color w:val="000000"/>
        </w:rPr>
      </w:pPr>
    </w:p>
    <w:p w14:paraId="5224D50D" w14:textId="77777777" w:rsidR="00CA3D27" w:rsidRDefault="00CA3D27" w:rsidP="00CA3D27">
      <w:pPr>
        <w:tabs>
          <w:tab w:val="left" w:pos="426"/>
          <w:tab w:val="left" w:pos="3261"/>
        </w:tabs>
        <w:spacing w:after="0" w:line="360" w:lineRule="auto"/>
        <w:jc w:val="both"/>
        <w:rPr>
          <w:rFonts w:ascii="Calibri" w:hAnsi="Calibri"/>
          <w:color w:val="000000"/>
        </w:rPr>
      </w:pPr>
      <w:r>
        <w:rPr>
          <w:rFonts w:ascii="Calibri" w:hAnsi="Calibri"/>
          <w:color w:val="000000"/>
        </w:rPr>
        <w:t>Rates of a</w:t>
      </w:r>
      <w:r w:rsidRPr="00E2314F">
        <w:rPr>
          <w:rFonts w:ascii="Calibri" w:hAnsi="Calibri"/>
          <w:color w:val="000000"/>
        </w:rPr>
        <w:t xml:space="preserve">ttendance at TAFE </w:t>
      </w:r>
      <w:r>
        <w:rPr>
          <w:rFonts w:ascii="Calibri" w:hAnsi="Calibri"/>
          <w:color w:val="000000"/>
        </w:rPr>
        <w:t>though</w:t>
      </w:r>
      <w:r w:rsidRPr="00E2314F">
        <w:rPr>
          <w:rFonts w:ascii="Calibri" w:hAnsi="Calibri"/>
          <w:color w:val="000000"/>
        </w:rPr>
        <w:t xml:space="preserve">, </w:t>
      </w:r>
      <w:r>
        <w:rPr>
          <w:rFonts w:ascii="Calibri" w:hAnsi="Calibri"/>
          <w:color w:val="000000"/>
        </w:rPr>
        <w:t>are</w:t>
      </w:r>
      <w:r w:rsidRPr="00E2314F">
        <w:rPr>
          <w:rFonts w:ascii="Calibri" w:hAnsi="Calibri"/>
          <w:color w:val="000000"/>
        </w:rPr>
        <w:t xml:space="preserve"> relatively high, with </w:t>
      </w:r>
      <w:r>
        <w:rPr>
          <w:rFonts w:ascii="Calibri" w:hAnsi="Calibri"/>
          <w:color w:val="000000"/>
        </w:rPr>
        <w:t>12</w:t>
      </w:r>
      <w:r w:rsidRPr="00E2314F">
        <w:rPr>
          <w:rFonts w:ascii="Calibri" w:hAnsi="Calibri"/>
          <w:color w:val="000000"/>
        </w:rPr>
        <w:t xml:space="preserve">% of 20-24 year-olds </w:t>
      </w:r>
      <w:r>
        <w:rPr>
          <w:rFonts w:ascii="Calibri" w:hAnsi="Calibri"/>
          <w:color w:val="000000"/>
        </w:rPr>
        <w:t>in Greater Dandenong participating in</w:t>
      </w:r>
      <w:r w:rsidRPr="00E2314F">
        <w:rPr>
          <w:rFonts w:ascii="Calibri" w:hAnsi="Calibri"/>
          <w:color w:val="000000"/>
        </w:rPr>
        <w:t xml:space="preserve"> TAFE</w:t>
      </w:r>
      <w:r>
        <w:rPr>
          <w:rFonts w:ascii="Calibri" w:hAnsi="Calibri"/>
          <w:color w:val="000000"/>
        </w:rPr>
        <w:t xml:space="preserve"> courses</w:t>
      </w:r>
      <w:r w:rsidRPr="00E2314F">
        <w:rPr>
          <w:rFonts w:ascii="Calibri" w:hAnsi="Calibri"/>
          <w:color w:val="000000"/>
        </w:rPr>
        <w:t xml:space="preserve">, compared with </w:t>
      </w:r>
      <w:r>
        <w:rPr>
          <w:rFonts w:ascii="Calibri" w:hAnsi="Calibri"/>
          <w:color w:val="000000"/>
        </w:rPr>
        <w:t>9.5</w:t>
      </w:r>
      <w:r w:rsidRPr="00E2314F">
        <w:rPr>
          <w:rFonts w:ascii="Calibri" w:hAnsi="Calibri"/>
          <w:color w:val="000000"/>
        </w:rPr>
        <w:t xml:space="preserve">% of Victorian residents </w:t>
      </w:r>
      <w:r>
        <w:rPr>
          <w:rFonts w:ascii="Calibri" w:hAnsi="Calibri"/>
          <w:color w:val="000000"/>
        </w:rPr>
        <w:t>that</w:t>
      </w:r>
      <w:r w:rsidRPr="00E2314F">
        <w:rPr>
          <w:rFonts w:ascii="Calibri" w:hAnsi="Calibri"/>
          <w:color w:val="000000"/>
        </w:rPr>
        <w:t xml:space="preserve"> age.</w:t>
      </w:r>
    </w:p>
    <w:p w14:paraId="6A0E2BE9" w14:textId="77777777" w:rsidR="00CA3D27" w:rsidRDefault="00CA3D27" w:rsidP="00CA3D27">
      <w:pPr>
        <w:tabs>
          <w:tab w:val="left" w:pos="426"/>
          <w:tab w:val="left" w:pos="3261"/>
        </w:tabs>
        <w:spacing w:after="0" w:line="360" w:lineRule="auto"/>
        <w:jc w:val="both"/>
        <w:rPr>
          <w:rFonts w:ascii="Calibri" w:hAnsi="Calibri"/>
          <w:color w:val="000000"/>
        </w:rPr>
      </w:pPr>
    </w:p>
    <w:p w14:paraId="3CB781D4" w14:textId="77777777" w:rsidR="00CA3D27" w:rsidRPr="007C436C" w:rsidRDefault="00CA3D27" w:rsidP="00CA3D27">
      <w:pPr>
        <w:tabs>
          <w:tab w:val="left" w:pos="426"/>
          <w:tab w:val="left" w:pos="3261"/>
        </w:tabs>
        <w:spacing w:after="0" w:line="240" w:lineRule="auto"/>
        <w:jc w:val="both"/>
        <w:rPr>
          <w:rFonts w:ascii="Calibri" w:hAnsi="Calibri"/>
          <w:color w:val="7F7F7F"/>
          <w:sz w:val="20"/>
          <w:szCs w:val="20"/>
        </w:rPr>
      </w:pPr>
      <w:r w:rsidRPr="007C436C">
        <w:rPr>
          <w:rFonts w:ascii="Calibri" w:hAnsi="Calibri"/>
          <w:color w:val="7F7F7F"/>
          <w:sz w:val="20"/>
          <w:szCs w:val="20"/>
        </w:rPr>
        <w:lastRenderedPageBreak/>
        <w:t>Qualifications among persons aged 25-44: Greater Dandenong and Victoria, 2021</w:t>
      </w:r>
    </w:p>
    <w:p w14:paraId="66FC8957" w14:textId="77777777" w:rsidR="00CA3D27" w:rsidRPr="009A30E0" w:rsidRDefault="00CA3D27" w:rsidP="00CA3D27">
      <w:pPr>
        <w:tabs>
          <w:tab w:val="left" w:pos="426"/>
          <w:tab w:val="left" w:pos="3261"/>
        </w:tabs>
        <w:spacing w:after="0" w:line="360" w:lineRule="auto"/>
        <w:jc w:val="both"/>
        <w:rPr>
          <w:rFonts w:ascii="Calibri" w:hAnsi="Calibri"/>
          <w:color w:val="000000"/>
        </w:rPr>
      </w:pPr>
      <w:r>
        <w:rPr>
          <w:rFonts w:ascii="Calibri" w:hAnsi="Calibri"/>
          <w:b/>
          <w:noProof/>
        </w:rPr>
        <w:drawing>
          <wp:anchor distT="0" distB="0" distL="114300" distR="114300" simplePos="0" relativeHeight="251755520" behindDoc="0" locked="0" layoutInCell="1" allowOverlap="1" wp14:anchorId="6A2D0EDE" wp14:editId="1014EAAB">
            <wp:simplePos x="0" y="0"/>
            <wp:positionH relativeFrom="margin">
              <wp:align>left</wp:align>
            </wp:positionH>
            <wp:positionV relativeFrom="paragraph">
              <wp:posOffset>38100</wp:posOffset>
            </wp:positionV>
            <wp:extent cx="3702050" cy="2621280"/>
            <wp:effectExtent l="0" t="0" r="0" b="762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702050" cy="2621280"/>
                    </a:xfrm>
                    <a:prstGeom prst="rect">
                      <a:avLst/>
                    </a:prstGeom>
                    <a:noFill/>
                  </pic:spPr>
                </pic:pic>
              </a:graphicData>
            </a:graphic>
            <wp14:sizeRelH relativeFrom="page">
              <wp14:pctWidth>0</wp14:pctWidth>
            </wp14:sizeRelH>
            <wp14:sizeRelV relativeFrom="page">
              <wp14:pctHeight>0</wp14:pctHeight>
            </wp14:sizeRelV>
          </wp:anchor>
        </w:drawing>
      </w:r>
      <w:r w:rsidRPr="00E2314F">
        <w:rPr>
          <w:rFonts w:ascii="Calibri" w:hAnsi="Calibri"/>
          <w:b/>
          <w:noProof/>
        </w:rPr>
        <w:t>Qualifications</w:t>
      </w:r>
    </w:p>
    <w:p w14:paraId="012DBAF5" w14:textId="77777777" w:rsidR="00CA3D27" w:rsidRPr="00E2314F" w:rsidRDefault="00CA3D27" w:rsidP="00CA3D27">
      <w:pPr>
        <w:tabs>
          <w:tab w:val="left" w:pos="426"/>
          <w:tab w:val="left" w:pos="3261"/>
        </w:tabs>
        <w:spacing w:after="0" w:line="360" w:lineRule="auto"/>
        <w:jc w:val="both"/>
        <w:rPr>
          <w:rFonts w:ascii="Calibri" w:hAnsi="Calibri"/>
          <w:color w:val="000000"/>
        </w:rPr>
      </w:pPr>
      <w:r w:rsidRPr="00E2314F">
        <w:rPr>
          <w:rFonts w:ascii="Calibri" w:hAnsi="Calibri"/>
          <w:color w:val="000000"/>
        </w:rPr>
        <w:t>Consideration of qualifications holds particular relevance for residents aged 25 to 44 years</w:t>
      </w:r>
      <w:r>
        <w:rPr>
          <w:rFonts w:ascii="Calibri" w:hAnsi="Calibri"/>
          <w:color w:val="000000"/>
        </w:rPr>
        <w:t>, among whom employment levels are relatively high</w:t>
      </w:r>
      <w:r w:rsidRPr="00E2314F">
        <w:rPr>
          <w:rFonts w:ascii="Calibri" w:hAnsi="Calibri"/>
          <w:color w:val="000000"/>
        </w:rPr>
        <w:t xml:space="preserve">. </w:t>
      </w:r>
    </w:p>
    <w:p w14:paraId="5269EF24" w14:textId="56E15890" w:rsidR="00CA3D27" w:rsidRDefault="00CA3D27" w:rsidP="00CA3D27">
      <w:pPr>
        <w:tabs>
          <w:tab w:val="left" w:pos="426"/>
          <w:tab w:val="left" w:pos="3261"/>
        </w:tabs>
        <w:spacing w:after="0" w:line="360" w:lineRule="auto"/>
        <w:jc w:val="both"/>
        <w:rPr>
          <w:rFonts w:ascii="Calibri" w:hAnsi="Calibri"/>
          <w:color w:val="000000"/>
        </w:rPr>
      </w:pPr>
      <w:r w:rsidRPr="00E408DF">
        <w:rPr>
          <w:rFonts w:ascii="Calibri" w:hAnsi="Calibri"/>
          <w:noProof/>
          <w:color w:val="7F7F7F" w:themeColor="text1" w:themeTint="80"/>
        </w:rPr>
        <w:drawing>
          <wp:anchor distT="0" distB="0" distL="114300" distR="114300" simplePos="0" relativeHeight="251752448" behindDoc="1" locked="0" layoutInCell="1" allowOverlap="1" wp14:anchorId="6A93BCD5" wp14:editId="351A308C">
            <wp:simplePos x="0" y="0"/>
            <wp:positionH relativeFrom="column">
              <wp:posOffset>2298065</wp:posOffset>
            </wp:positionH>
            <wp:positionV relativeFrom="paragraph">
              <wp:posOffset>1636395</wp:posOffset>
            </wp:positionV>
            <wp:extent cx="3831590" cy="2449195"/>
            <wp:effectExtent l="0" t="0" r="0" b="8255"/>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831590" cy="244919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olor w:val="000000"/>
        </w:rPr>
        <w:t xml:space="preserve">In 2021, approximately 37% of residents in this age range </w:t>
      </w:r>
      <w:r w:rsidRPr="00E2314F">
        <w:rPr>
          <w:rFonts w:ascii="Calibri" w:hAnsi="Calibri"/>
          <w:color w:val="000000"/>
        </w:rPr>
        <w:t xml:space="preserve">held </w:t>
      </w:r>
      <w:r>
        <w:rPr>
          <w:rFonts w:ascii="Calibri" w:hAnsi="Calibri"/>
          <w:color w:val="000000"/>
        </w:rPr>
        <w:t>a degree (compared with 44% of Victorians), 27% held a diploma or certificate and 37% had no post-school qualification</w:t>
      </w:r>
      <w:r w:rsidRPr="00E2314F">
        <w:rPr>
          <w:rFonts w:ascii="Calibri" w:hAnsi="Calibri"/>
          <w:color w:val="000000"/>
        </w:rPr>
        <w:t xml:space="preserve">. Their range of qualifications is illustrated </w:t>
      </w:r>
      <w:r>
        <w:rPr>
          <w:rFonts w:ascii="Calibri" w:hAnsi="Calibri"/>
          <w:color w:val="000000"/>
        </w:rPr>
        <w:t>above.</w:t>
      </w:r>
      <w:r w:rsidRPr="00E2314F">
        <w:rPr>
          <w:rFonts w:ascii="Calibri" w:hAnsi="Calibri"/>
          <w:color w:val="000000"/>
        </w:rPr>
        <w:t xml:space="preserve"> </w:t>
      </w:r>
    </w:p>
    <w:p w14:paraId="45082360" w14:textId="19B83520" w:rsidR="00CA3D27" w:rsidRPr="00E408DF" w:rsidRDefault="00CA3D27" w:rsidP="00CA3D27">
      <w:pPr>
        <w:tabs>
          <w:tab w:val="left" w:pos="426"/>
          <w:tab w:val="left" w:pos="3261"/>
        </w:tabs>
        <w:spacing w:after="0" w:line="360" w:lineRule="auto"/>
        <w:jc w:val="both"/>
        <w:rPr>
          <w:rFonts w:ascii="Calibri" w:hAnsi="Calibri"/>
          <w:color w:val="000000"/>
          <w:sz w:val="16"/>
          <w:szCs w:val="16"/>
        </w:rPr>
      </w:pPr>
    </w:p>
    <w:p w14:paraId="6442035F" w14:textId="6FFCF8CA" w:rsidR="00CA3D27" w:rsidRPr="007C436C" w:rsidRDefault="00CA3D27" w:rsidP="00CA3D27">
      <w:pPr>
        <w:tabs>
          <w:tab w:val="left" w:pos="426"/>
          <w:tab w:val="left" w:pos="3261"/>
        </w:tabs>
        <w:spacing w:after="0" w:line="240" w:lineRule="auto"/>
        <w:jc w:val="both"/>
        <w:rPr>
          <w:rFonts w:ascii="Calibri" w:hAnsi="Calibri"/>
          <w:color w:val="7F7F7F" w:themeColor="text1" w:themeTint="80"/>
          <w:sz w:val="20"/>
          <w:szCs w:val="20"/>
        </w:rPr>
      </w:pPr>
      <w:r w:rsidRPr="007C436C">
        <w:rPr>
          <w:rFonts w:ascii="Calibri" w:hAnsi="Calibri"/>
          <w:color w:val="7F7F7F" w:themeColor="text1" w:themeTint="80"/>
          <w:sz w:val="20"/>
          <w:szCs w:val="20"/>
        </w:rPr>
        <w:t>Post-school Education Attainment, by Type of Institution and Sex: persons aged 25-34 years: Greater Dandenong, 2021</w:t>
      </w:r>
    </w:p>
    <w:p w14:paraId="53884A1F" w14:textId="77777777" w:rsidR="00CA3D27" w:rsidRPr="00E408DF" w:rsidRDefault="00CA3D27" w:rsidP="00CA3D27">
      <w:pPr>
        <w:tabs>
          <w:tab w:val="left" w:pos="426"/>
          <w:tab w:val="left" w:pos="3261"/>
        </w:tabs>
        <w:spacing w:after="0" w:line="360" w:lineRule="auto"/>
        <w:jc w:val="both"/>
        <w:rPr>
          <w:rFonts w:ascii="Calibri" w:hAnsi="Calibri"/>
          <w:color w:val="000000"/>
          <w:sz w:val="16"/>
          <w:szCs w:val="16"/>
        </w:rPr>
      </w:pPr>
    </w:p>
    <w:p w14:paraId="2E9075B5" w14:textId="77777777" w:rsidR="00CA3D27" w:rsidRDefault="00CA3D27" w:rsidP="00CA3D27">
      <w:pPr>
        <w:tabs>
          <w:tab w:val="left" w:pos="426"/>
          <w:tab w:val="left" w:pos="3261"/>
        </w:tabs>
        <w:spacing w:after="0" w:line="360" w:lineRule="auto"/>
        <w:jc w:val="both"/>
        <w:rPr>
          <w:rFonts w:ascii="Calibri" w:hAnsi="Calibri"/>
          <w:color w:val="000000"/>
        </w:rPr>
      </w:pPr>
      <w:r>
        <w:rPr>
          <w:rFonts w:ascii="Calibri" w:hAnsi="Calibri"/>
          <w:color w:val="000000"/>
        </w:rPr>
        <w:t>Among people aged 25-34 years – selected here as a group which would have typically have recently concluded their post-school education – women were more likely than men to hold a university qualification. This is a disparity which also holds across Victoria.</w:t>
      </w:r>
    </w:p>
    <w:p w14:paraId="7700708D" w14:textId="77777777" w:rsidR="00CA3D27" w:rsidRPr="00D82A23" w:rsidRDefault="00CA3D27" w:rsidP="00CA3D27">
      <w:pPr>
        <w:tabs>
          <w:tab w:val="left" w:pos="426"/>
          <w:tab w:val="left" w:pos="3261"/>
        </w:tabs>
        <w:spacing w:after="0" w:line="360" w:lineRule="auto"/>
        <w:jc w:val="both"/>
        <w:rPr>
          <w:rFonts w:ascii="Calibri" w:hAnsi="Calibri"/>
          <w:color w:val="000000"/>
          <w:sz w:val="10"/>
          <w:szCs w:val="10"/>
        </w:rPr>
      </w:pPr>
    </w:p>
    <w:p w14:paraId="66EABC38" w14:textId="77777777" w:rsidR="00CA3D27" w:rsidRDefault="00CA3D27" w:rsidP="00CA3D27">
      <w:pPr>
        <w:tabs>
          <w:tab w:val="left" w:pos="284"/>
        </w:tabs>
        <w:spacing w:after="0" w:line="360" w:lineRule="auto"/>
        <w:jc w:val="both"/>
        <w:rPr>
          <w:rFonts w:ascii="Calibri" w:hAnsi="Calibri"/>
          <w:b/>
          <w:color w:val="000000"/>
        </w:rPr>
      </w:pPr>
      <w:r w:rsidRPr="00E2314F">
        <w:rPr>
          <w:rFonts w:ascii="Calibri" w:hAnsi="Calibri"/>
          <w:b/>
          <w:color w:val="000000"/>
        </w:rPr>
        <w:t>Education &amp; Employment Prospects</w:t>
      </w:r>
    </w:p>
    <w:p w14:paraId="564398DE" w14:textId="77777777" w:rsidR="00CA3D27" w:rsidRDefault="00CA3D27" w:rsidP="00CA3D27">
      <w:pPr>
        <w:tabs>
          <w:tab w:val="left" w:pos="426"/>
          <w:tab w:val="left" w:pos="3261"/>
        </w:tabs>
        <w:spacing w:after="0" w:line="360" w:lineRule="auto"/>
        <w:jc w:val="both"/>
        <w:rPr>
          <w:rFonts w:ascii="Calibri" w:hAnsi="Calibri"/>
          <w:color w:val="000000"/>
        </w:rPr>
      </w:pPr>
      <w:r w:rsidRPr="00E2314F">
        <w:rPr>
          <w:rFonts w:ascii="Calibri" w:hAnsi="Calibri"/>
          <w:color w:val="000000"/>
        </w:rPr>
        <w:t>The 20</w:t>
      </w:r>
      <w:r>
        <w:rPr>
          <w:rFonts w:ascii="Calibri" w:hAnsi="Calibri"/>
          <w:color w:val="000000"/>
        </w:rPr>
        <w:t>21</w:t>
      </w:r>
      <w:r w:rsidRPr="00E2314F">
        <w:rPr>
          <w:rFonts w:ascii="Calibri" w:hAnsi="Calibri"/>
          <w:color w:val="000000"/>
        </w:rPr>
        <w:t xml:space="preserve"> Census found that, among </w:t>
      </w:r>
      <w:r>
        <w:rPr>
          <w:rFonts w:ascii="Calibri" w:hAnsi="Calibri"/>
          <w:color w:val="000000"/>
        </w:rPr>
        <w:t>Greater Dandenong</w:t>
      </w:r>
      <w:r w:rsidRPr="00E2314F">
        <w:rPr>
          <w:rFonts w:ascii="Calibri" w:hAnsi="Calibri"/>
          <w:color w:val="000000"/>
        </w:rPr>
        <w:t xml:space="preserve"> residents aged 30-39 years, </w:t>
      </w:r>
      <w:r>
        <w:rPr>
          <w:rFonts w:ascii="Calibri" w:hAnsi="Calibri"/>
          <w:color w:val="000000"/>
        </w:rPr>
        <w:t>84</w:t>
      </w:r>
      <w:r w:rsidRPr="00E2314F">
        <w:rPr>
          <w:rFonts w:ascii="Calibri" w:hAnsi="Calibri"/>
          <w:color w:val="000000"/>
        </w:rPr>
        <w:t xml:space="preserve">% </w:t>
      </w:r>
      <w:r>
        <w:rPr>
          <w:rFonts w:ascii="Calibri" w:hAnsi="Calibri"/>
          <w:color w:val="000000"/>
        </w:rPr>
        <w:t xml:space="preserve">of those </w:t>
      </w:r>
      <w:r w:rsidRPr="00E2314F">
        <w:rPr>
          <w:rFonts w:ascii="Calibri" w:hAnsi="Calibri"/>
          <w:color w:val="000000"/>
        </w:rPr>
        <w:t xml:space="preserve">with a degree were </w:t>
      </w:r>
      <w:r w:rsidRPr="00D82A23">
        <w:rPr>
          <w:rFonts w:ascii="Calibri" w:hAnsi="Calibri"/>
          <w:iCs/>
          <w:color w:val="000000"/>
        </w:rPr>
        <w:t>employed</w:t>
      </w:r>
      <w:r w:rsidRPr="00E2314F">
        <w:rPr>
          <w:rFonts w:ascii="Calibri" w:hAnsi="Calibri"/>
          <w:color w:val="000000"/>
        </w:rPr>
        <w:t xml:space="preserve">, compared with </w:t>
      </w:r>
      <w:r>
        <w:rPr>
          <w:rFonts w:ascii="Calibri" w:hAnsi="Calibri"/>
          <w:color w:val="000000"/>
        </w:rPr>
        <w:t>50</w:t>
      </w:r>
      <w:r w:rsidRPr="00E2314F">
        <w:rPr>
          <w:rFonts w:ascii="Calibri" w:hAnsi="Calibri"/>
          <w:color w:val="000000"/>
        </w:rPr>
        <w:t xml:space="preserve">% of </w:t>
      </w:r>
      <w:r>
        <w:rPr>
          <w:rFonts w:ascii="Calibri" w:hAnsi="Calibri"/>
          <w:color w:val="000000"/>
        </w:rPr>
        <w:t>people</w:t>
      </w:r>
      <w:r w:rsidRPr="00E2314F">
        <w:rPr>
          <w:rFonts w:ascii="Calibri" w:hAnsi="Calibri"/>
          <w:color w:val="000000"/>
        </w:rPr>
        <w:t xml:space="preserve"> who had left school before completing year 11. </w:t>
      </w:r>
    </w:p>
    <w:p w14:paraId="7A4C6565" w14:textId="77777777" w:rsidR="00CA3D27" w:rsidRPr="00BA42DF" w:rsidRDefault="00CA3D27" w:rsidP="00CA3D27">
      <w:pPr>
        <w:tabs>
          <w:tab w:val="left" w:pos="426"/>
          <w:tab w:val="left" w:pos="3261"/>
        </w:tabs>
        <w:spacing w:after="0" w:line="360" w:lineRule="auto"/>
        <w:jc w:val="both"/>
        <w:rPr>
          <w:rFonts w:ascii="Calibri" w:hAnsi="Calibri"/>
          <w:color w:val="000000"/>
          <w:sz w:val="12"/>
          <w:szCs w:val="12"/>
        </w:rPr>
      </w:pPr>
      <w:r>
        <w:rPr>
          <w:rFonts w:ascii="Calibri" w:hAnsi="Calibri"/>
          <w:noProof/>
          <w:color w:val="000000"/>
        </w:rPr>
        <w:drawing>
          <wp:anchor distT="0" distB="0" distL="114300" distR="114300" simplePos="0" relativeHeight="251753472" behindDoc="0" locked="0" layoutInCell="1" allowOverlap="1" wp14:anchorId="26C57BF6" wp14:editId="013154D4">
            <wp:simplePos x="0" y="0"/>
            <wp:positionH relativeFrom="column">
              <wp:posOffset>-1270</wp:posOffset>
            </wp:positionH>
            <wp:positionV relativeFrom="paragraph">
              <wp:posOffset>50165</wp:posOffset>
            </wp:positionV>
            <wp:extent cx="3876675" cy="2376170"/>
            <wp:effectExtent l="0" t="0" r="9525" b="508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5">
                      <a:extLst>
                        <a:ext uri="{28A0092B-C50C-407E-A947-70E740481C1C}">
                          <a14:useLocalDpi xmlns:a14="http://schemas.microsoft.com/office/drawing/2010/main" val="0"/>
                        </a:ext>
                      </a:extLst>
                    </a:blip>
                    <a:srcRect l="2295" t="19426" r="4336" b="15632"/>
                    <a:stretch/>
                  </pic:blipFill>
                  <pic:spPr bwMode="auto">
                    <a:xfrm>
                      <a:off x="0" y="0"/>
                      <a:ext cx="3876675" cy="2376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DAD158" w14:textId="77777777" w:rsidR="00CA3D27" w:rsidRPr="007C436C" w:rsidRDefault="00CA3D27" w:rsidP="00CA3D27">
      <w:pPr>
        <w:tabs>
          <w:tab w:val="left" w:pos="284"/>
        </w:tabs>
        <w:spacing w:after="0" w:line="240" w:lineRule="auto"/>
        <w:jc w:val="both"/>
        <w:rPr>
          <w:rFonts w:ascii="Calibri" w:hAnsi="Calibri"/>
          <w:color w:val="7F7F7F"/>
          <w:sz w:val="20"/>
          <w:szCs w:val="20"/>
        </w:rPr>
      </w:pPr>
      <w:r w:rsidRPr="007C436C">
        <w:rPr>
          <w:rFonts w:ascii="Calibri" w:hAnsi="Calibri"/>
          <w:color w:val="7F7F7F"/>
          <w:sz w:val="20"/>
          <w:szCs w:val="20"/>
        </w:rPr>
        <w:t>Employment Rates by Educational Attainment: Persons 30-39 years of age, Greater Dandenong, 2021</w:t>
      </w:r>
    </w:p>
    <w:p w14:paraId="689E0E55" w14:textId="77777777" w:rsidR="00CA3D27" w:rsidRPr="00BA42DF" w:rsidRDefault="00CA3D27" w:rsidP="00CA3D27">
      <w:pPr>
        <w:tabs>
          <w:tab w:val="left" w:pos="426"/>
          <w:tab w:val="left" w:pos="3261"/>
        </w:tabs>
        <w:spacing w:after="0" w:line="360" w:lineRule="auto"/>
        <w:jc w:val="both"/>
        <w:rPr>
          <w:rFonts w:ascii="Calibri" w:hAnsi="Calibri"/>
          <w:color w:val="000000"/>
          <w:sz w:val="12"/>
          <w:szCs w:val="12"/>
        </w:rPr>
      </w:pPr>
    </w:p>
    <w:p w14:paraId="1298CC44" w14:textId="77777777" w:rsidR="00CA3D27" w:rsidRDefault="00CA3D27" w:rsidP="00CA3D27">
      <w:pPr>
        <w:tabs>
          <w:tab w:val="left" w:pos="426"/>
          <w:tab w:val="left" w:pos="3261"/>
        </w:tabs>
        <w:spacing w:after="0" w:line="360" w:lineRule="auto"/>
        <w:jc w:val="both"/>
        <w:rPr>
          <w:rFonts w:ascii="Calibri" w:hAnsi="Calibri"/>
          <w:color w:val="000000"/>
        </w:rPr>
      </w:pPr>
      <w:r w:rsidRPr="00E2314F">
        <w:rPr>
          <w:rFonts w:ascii="Calibri" w:hAnsi="Calibri"/>
          <w:color w:val="000000"/>
        </w:rPr>
        <w:t xml:space="preserve">Among women the same age, this contrast </w:t>
      </w:r>
      <w:r>
        <w:rPr>
          <w:rFonts w:ascii="Calibri" w:hAnsi="Calibri"/>
          <w:color w:val="000000"/>
        </w:rPr>
        <w:t>is</w:t>
      </w:r>
      <w:r w:rsidRPr="00E2314F">
        <w:rPr>
          <w:rFonts w:ascii="Calibri" w:hAnsi="Calibri"/>
          <w:color w:val="000000"/>
        </w:rPr>
        <w:t xml:space="preserve"> more striking, with </w:t>
      </w:r>
      <w:r>
        <w:rPr>
          <w:rFonts w:ascii="Calibri" w:hAnsi="Calibri"/>
          <w:color w:val="000000"/>
        </w:rPr>
        <w:t>78</w:t>
      </w:r>
      <w:r w:rsidRPr="00E2314F">
        <w:rPr>
          <w:rFonts w:ascii="Calibri" w:hAnsi="Calibri"/>
          <w:color w:val="000000"/>
        </w:rPr>
        <w:t xml:space="preserve">% of </w:t>
      </w:r>
      <w:r>
        <w:rPr>
          <w:rFonts w:ascii="Calibri" w:hAnsi="Calibri"/>
          <w:color w:val="000000"/>
        </w:rPr>
        <w:t>those</w:t>
      </w:r>
      <w:r w:rsidRPr="00E2314F">
        <w:rPr>
          <w:rFonts w:ascii="Calibri" w:hAnsi="Calibri"/>
          <w:color w:val="000000"/>
        </w:rPr>
        <w:t xml:space="preserve"> with a degree </w:t>
      </w:r>
      <w:r>
        <w:rPr>
          <w:rFonts w:ascii="Calibri" w:hAnsi="Calibri"/>
          <w:iCs/>
          <w:color w:val="000000"/>
        </w:rPr>
        <w:t>holding paid employment</w:t>
      </w:r>
      <w:r w:rsidRPr="00E2314F">
        <w:rPr>
          <w:rFonts w:ascii="Calibri" w:hAnsi="Calibri"/>
          <w:color w:val="000000"/>
        </w:rPr>
        <w:t>, compared with</w:t>
      </w:r>
      <w:r>
        <w:rPr>
          <w:rFonts w:ascii="Calibri" w:hAnsi="Calibri"/>
          <w:color w:val="000000"/>
        </w:rPr>
        <w:t xml:space="preserve"> just</w:t>
      </w:r>
      <w:r w:rsidRPr="00E2314F">
        <w:rPr>
          <w:rFonts w:ascii="Calibri" w:hAnsi="Calibri"/>
          <w:color w:val="000000"/>
        </w:rPr>
        <w:t xml:space="preserve"> </w:t>
      </w:r>
      <w:r>
        <w:rPr>
          <w:rFonts w:ascii="Calibri" w:hAnsi="Calibri"/>
          <w:color w:val="000000"/>
        </w:rPr>
        <w:t>37</w:t>
      </w:r>
      <w:r w:rsidRPr="00E2314F">
        <w:rPr>
          <w:rFonts w:ascii="Calibri" w:hAnsi="Calibri"/>
          <w:color w:val="000000"/>
        </w:rPr>
        <w:t>% of early school leavers.</w:t>
      </w:r>
    </w:p>
    <w:p w14:paraId="1B0EF8C1" w14:textId="48C529E0" w:rsidR="00CA3D27" w:rsidRDefault="00CA3D27">
      <w:r>
        <w:br w:type="page"/>
      </w:r>
    </w:p>
    <w:p w14:paraId="21F03564" w14:textId="77777777" w:rsidR="00F12C73" w:rsidRPr="00C60AE0" w:rsidRDefault="00F12C73" w:rsidP="00F12C73">
      <w:pPr>
        <w:pBdr>
          <w:top w:val="single" w:sz="4" w:space="1" w:color="auto"/>
          <w:bottom w:val="single" w:sz="4" w:space="1" w:color="auto"/>
        </w:pBdr>
        <w:tabs>
          <w:tab w:val="center" w:pos="4678"/>
        </w:tabs>
        <w:jc w:val="center"/>
        <w:rPr>
          <w:rFonts w:ascii="Calibri" w:hAnsi="Calibri"/>
          <w:sz w:val="32"/>
          <w:szCs w:val="32"/>
        </w:rPr>
      </w:pPr>
      <w:r w:rsidRPr="00C60AE0">
        <w:rPr>
          <w:rFonts w:ascii="Calibri" w:hAnsi="Calibri"/>
          <w:noProof/>
          <w:sz w:val="32"/>
          <w:szCs w:val="32"/>
          <w:lang w:val="en-US"/>
        </w:rPr>
        <w:lastRenderedPageBreak/>
        <w:t>Employment</w:t>
      </w:r>
      <w:r>
        <w:rPr>
          <w:rFonts w:ascii="Calibri" w:hAnsi="Calibri"/>
          <w:noProof/>
          <w:sz w:val="32"/>
          <w:szCs w:val="32"/>
          <w:lang w:val="en-US"/>
        </w:rPr>
        <w:t xml:space="preserve"> and Unemployment</w:t>
      </w:r>
    </w:p>
    <w:p w14:paraId="173D148C" w14:textId="77777777" w:rsidR="00F12C73" w:rsidRPr="00051274" w:rsidRDefault="00F12C73" w:rsidP="00F12C73">
      <w:pPr>
        <w:spacing w:after="0" w:line="360" w:lineRule="auto"/>
        <w:jc w:val="both"/>
        <w:rPr>
          <w:rFonts w:ascii="Calibri" w:hAnsi="Calibri"/>
        </w:rPr>
      </w:pPr>
    </w:p>
    <w:p w14:paraId="1D4A02D2" w14:textId="31DA7FC8" w:rsidR="00F12C73" w:rsidRDefault="00F12C73" w:rsidP="00F12C73">
      <w:pPr>
        <w:spacing w:after="0" w:line="360" w:lineRule="auto"/>
        <w:jc w:val="both"/>
        <w:rPr>
          <w:rFonts w:ascii="Calibri" w:hAnsi="Calibri"/>
        </w:rPr>
      </w:pPr>
      <w:r>
        <w:rPr>
          <w:rFonts w:ascii="Calibri" w:hAnsi="Calibri"/>
          <w:noProof/>
          <w:color w:val="7F7F7F"/>
          <w:lang w:eastAsia="en-AU"/>
        </w:rPr>
        <w:drawing>
          <wp:anchor distT="0" distB="0" distL="114300" distR="114300" simplePos="0" relativeHeight="251765760" behindDoc="0" locked="0" layoutInCell="1" allowOverlap="1" wp14:anchorId="78BA4124" wp14:editId="1C620C8C">
            <wp:simplePos x="0" y="0"/>
            <wp:positionH relativeFrom="column">
              <wp:posOffset>4881880</wp:posOffset>
            </wp:positionH>
            <wp:positionV relativeFrom="paragraph">
              <wp:posOffset>582613</wp:posOffset>
            </wp:positionV>
            <wp:extent cx="1231900" cy="808355"/>
            <wp:effectExtent l="0" t="0" r="635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231900" cy="8083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051274">
        <w:rPr>
          <w:rFonts w:ascii="Calibri" w:hAnsi="Calibri"/>
        </w:rPr>
        <w:t>The findings of the 20</w:t>
      </w:r>
      <w:r>
        <w:rPr>
          <w:rFonts w:ascii="Calibri" w:hAnsi="Calibri"/>
        </w:rPr>
        <w:t>21</w:t>
      </w:r>
      <w:r w:rsidRPr="00051274">
        <w:rPr>
          <w:rFonts w:ascii="Calibri" w:hAnsi="Calibri"/>
        </w:rPr>
        <w:t xml:space="preserve"> Census, coupled with </w:t>
      </w:r>
      <w:r w:rsidR="001E57CD">
        <w:rPr>
          <w:rFonts w:ascii="Calibri" w:hAnsi="Calibri"/>
        </w:rPr>
        <w:t>other</w:t>
      </w:r>
      <w:r w:rsidRPr="00051274">
        <w:rPr>
          <w:rFonts w:ascii="Calibri" w:hAnsi="Calibri"/>
        </w:rPr>
        <w:t xml:space="preserve"> sources, </w:t>
      </w:r>
      <w:r>
        <w:rPr>
          <w:rFonts w:ascii="Calibri" w:hAnsi="Calibri"/>
        </w:rPr>
        <w:t>offer insights into</w:t>
      </w:r>
      <w:r w:rsidRPr="00051274">
        <w:rPr>
          <w:rFonts w:ascii="Calibri" w:hAnsi="Calibri"/>
        </w:rPr>
        <w:t xml:space="preserve"> employment</w:t>
      </w:r>
      <w:r>
        <w:rPr>
          <w:rFonts w:ascii="Calibri" w:hAnsi="Calibri"/>
        </w:rPr>
        <w:t>,</w:t>
      </w:r>
      <w:r w:rsidRPr="00051274">
        <w:rPr>
          <w:rFonts w:ascii="Calibri" w:hAnsi="Calibri"/>
        </w:rPr>
        <w:t xml:space="preserve"> </w:t>
      </w:r>
      <w:r>
        <w:rPr>
          <w:rFonts w:ascii="Calibri" w:hAnsi="Calibri"/>
        </w:rPr>
        <w:t>occupations and labour force participation among</w:t>
      </w:r>
      <w:r w:rsidRPr="00051274">
        <w:rPr>
          <w:rFonts w:ascii="Calibri" w:hAnsi="Calibri"/>
        </w:rPr>
        <w:t xml:space="preserve"> residents of Greater Dandenong</w:t>
      </w:r>
      <w:r>
        <w:rPr>
          <w:rFonts w:ascii="Calibri" w:hAnsi="Calibri"/>
        </w:rPr>
        <w:t>,</w:t>
      </w:r>
      <w:r w:rsidRPr="00051274">
        <w:rPr>
          <w:rFonts w:ascii="Calibri" w:hAnsi="Calibri"/>
        </w:rPr>
        <w:t xml:space="preserve"> as well as the nature of the paid work whic</w:t>
      </w:r>
      <w:r>
        <w:rPr>
          <w:rFonts w:ascii="Calibri" w:hAnsi="Calibri"/>
        </w:rPr>
        <w:t>h takes place within this city.</w:t>
      </w:r>
    </w:p>
    <w:p w14:paraId="3B5B0277" w14:textId="77777777" w:rsidR="00F12C73" w:rsidRDefault="00F12C73" w:rsidP="00F12C73">
      <w:pPr>
        <w:spacing w:after="0" w:line="360" w:lineRule="auto"/>
        <w:jc w:val="both"/>
        <w:rPr>
          <w:rFonts w:ascii="Calibri" w:hAnsi="Calibri"/>
        </w:rPr>
      </w:pPr>
    </w:p>
    <w:p w14:paraId="2D7A5058" w14:textId="0932AE31" w:rsidR="00F12C73" w:rsidRDefault="00F12C73" w:rsidP="00F12C73">
      <w:pPr>
        <w:spacing w:after="0" w:line="360" w:lineRule="auto"/>
        <w:jc w:val="both"/>
        <w:rPr>
          <w:rFonts w:ascii="Calibri" w:hAnsi="Calibri"/>
        </w:rPr>
      </w:pPr>
      <w:r w:rsidRPr="00111466">
        <w:rPr>
          <w:rFonts w:ascii="Calibri" w:hAnsi="Calibri"/>
          <w:b/>
          <w:color w:val="000000"/>
        </w:rPr>
        <w:t>Unemployment</w:t>
      </w:r>
    </w:p>
    <w:p w14:paraId="486913E3" w14:textId="37D3B0BF" w:rsidR="00F12C73" w:rsidRDefault="00F12C73" w:rsidP="00F12C73">
      <w:pPr>
        <w:tabs>
          <w:tab w:val="left" w:pos="284"/>
        </w:tabs>
        <w:spacing w:after="0" w:line="360" w:lineRule="auto"/>
        <w:jc w:val="both"/>
        <w:rPr>
          <w:rFonts w:ascii="Calibri" w:hAnsi="Calibri"/>
        </w:rPr>
      </w:pPr>
      <w:r>
        <w:rPr>
          <w:rFonts w:ascii="Calibri" w:hAnsi="Calibri"/>
          <w:b/>
          <w:noProof/>
          <w:color w:val="000000"/>
        </w:rPr>
        <w:drawing>
          <wp:anchor distT="0" distB="0" distL="114300" distR="114300" simplePos="0" relativeHeight="251762688" behindDoc="0" locked="0" layoutInCell="1" allowOverlap="1" wp14:anchorId="7888241B" wp14:editId="48CDBC2F">
            <wp:simplePos x="0" y="0"/>
            <wp:positionH relativeFrom="margin">
              <wp:posOffset>2176145</wp:posOffset>
            </wp:positionH>
            <wp:positionV relativeFrom="paragraph">
              <wp:posOffset>7620</wp:posOffset>
            </wp:positionV>
            <wp:extent cx="3928745" cy="2814320"/>
            <wp:effectExtent l="0" t="0" r="0" b="5080"/>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928745" cy="281432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 xml:space="preserve">Unemployment rates in Greater Dandenong have fluctuated in the past decade, most recently declining unsteadily from 12.4% in June 2016 to 8.5% by 2022. Unemployment levels though, remain the second highest in Victoria and more than double the metropolitan average of 4.5%. </w:t>
      </w:r>
    </w:p>
    <w:p w14:paraId="022CD618" w14:textId="77777777" w:rsidR="00F12C73" w:rsidRPr="00F12C73" w:rsidRDefault="00F12C73" w:rsidP="00F12C73">
      <w:pPr>
        <w:tabs>
          <w:tab w:val="left" w:pos="5387"/>
        </w:tabs>
        <w:spacing w:after="0" w:line="360" w:lineRule="auto"/>
        <w:jc w:val="both"/>
        <w:rPr>
          <w:rFonts w:ascii="Calibri" w:hAnsi="Calibri"/>
          <w:color w:val="7F7F7F"/>
          <w:sz w:val="10"/>
          <w:szCs w:val="10"/>
        </w:rPr>
      </w:pPr>
    </w:p>
    <w:p w14:paraId="0D1DF60B" w14:textId="77777777" w:rsidR="00F12C73" w:rsidRDefault="00F12C73" w:rsidP="00F12C73">
      <w:pPr>
        <w:tabs>
          <w:tab w:val="left" w:pos="5387"/>
        </w:tabs>
        <w:spacing w:after="0" w:line="240" w:lineRule="auto"/>
        <w:jc w:val="both"/>
        <w:rPr>
          <w:rFonts w:ascii="Calibri" w:hAnsi="Calibri"/>
          <w:color w:val="7F7F7F"/>
          <w:sz w:val="20"/>
          <w:szCs w:val="20"/>
        </w:rPr>
      </w:pPr>
      <w:r w:rsidRPr="00093573">
        <w:rPr>
          <w:rFonts w:ascii="Calibri" w:hAnsi="Calibri"/>
          <w:color w:val="7F7F7F"/>
          <w:sz w:val="20"/>
          <w:szCs w:val="20"/>
        </w:rPr>
        <w:t>Unemployment Rates: Greater Dandenong and Metropolitan Melbourne, 2008-20</w:t>
      </w:r>
      <w:r>
        <w:rPr>
          <w:rFonts w:ascii="Calibri" w:hAnsi="Calibri"/>
          <w:color w:val="7F7F7F"/>
          <w:sz w:val="20"/>
          <w:szCs w:val="20"/>
        </w:rPr>
        <w:t>22</w:t>
      </w:r>
    </w:p>
    <w:p w14:paraId="5174B4A0" w14:textId="77777777" w:rsidR="00F12C73" w:rsidRPr="00AE1EBD" w:rsidRDefault="00F12C73" w:rsidP="00F12C73">
      <w:pPr>
        <w:tabs>
          <w:tab w:val="left" w:pos="5387"/>
        </w:tabs>
        <w:spacing w:after="0" w:line="360" w:lineRule="auto"/>
        <w:jc w:val="both"/>
        <w:rPr>
          <w:rFonts w:ascii="Calibri" w:hAnsi="Calibri"/>
          <w:color w:val="7F7F7F"/>
          <w:sz w:val="20"/>
          <w:szCs w:val="20"/>
        </w:rPr>
      </w:pPr>
    </w:p>
    <w:p w14:paraId="05424A8A" w14:textId="77777777" w:rsidR="00F12C73" w:rsidRPr="000525CC" w:rsidRDefault="00F12C73" w:rsidP="00F12C73">
      <w:pPr>
        <w:tabs>
          <w:tab w:val="left" w:pos="284"/>
        </w:tabs>
        <w:spacing w:after="0" w:line="360" w:lineRule="auto"/>
        <w:jc w:val="both"/>
        <w:rPr>
          <w:rFonts w:ascii="Calibri" w:hAnsi="Calibri"/>
          <w:noProof/>
          <w:lang w:eastAsia="en-AU"/>
        </w:rPr>
      </w:pPr>
      <w:r>
        <w:rPr>
          <w:rFonts w:ascii="Calibri" w:hAnsi="Calibri"/>
        </w:rPr>
        <w:t>This percentage represents 7,080 people who were unemployed in Greater Dandenong by June 2022 - a decline of 1,900 in the number of unemployed residents in mid-2016.</w:t>
      </w:r>
    </w:p>
    <w:p w14:paraId="5B325451" w14:textId="77777777" w:rsidR="00F12C73" w:rsidRDefault="00F12C73" w:rsidP="00F12C73">
      <w:pPr>
        <w:tabs>
          <w:tab w:val="left" w:pos="284"/>
        </w:tabs>
        <w:spacing w:after="0" w:line="360" w:lineRule="auto"/>
        <w:jc w:val="both"/>
        <w:rPr>
          <w:rFonts w:ascii="Calibri" w:hAnsi="Calibri"/>
        </w:rPr>
      </w:pPr>
    </w:p>
    <w:p w14:paraId="34D98C81" w14:textId="77777777" w:rsidR="00F12C73" w:rsidRDefault="00F12C73" w:rsidP="00F12C73">
      <w:pPr>
        <w:spacing w:after="0" w:line="360" w:lineRule="auto"/>
        <w:jc w:val="both"/>
        <w:rPr>
          <w:rFonts w:ascii="Calibri" w:hAnsi="Calibri"/>
          <w:noProof/>
        </w:rPr>
      </w:pPr>
      <w:r w:rsidRPr="002563DC">
        <w:rPr>
          <w:rFonts w:ascii="Calibri" w:hAnsi="Calibri"/>
          <w:noProof/>
        </w:rPr>
        <w:t xml:space="preserve">Among the suburbs of Greater Dandenong, unemployment rates in </w:t>
      </w:r>
      <w:r>
        <w:rPr>
          <w:rFonts w:ascii="Calibri" w:hAnsi="Calibri"/>
          <w:noProof/>
        </w:rPr>
        <w:t>June 2021</w:t>
      </w:r>
      <w:r w:rsidRPr="002563DC">
        <w:rPr>
          <w:rFonts w:ascii="Calibri" w:hAnsi="Calibri"/>
          <w:noProof/>
        </w:rPr>
        <w:t xml:space="preserve"> were </w:t>
      </w:r>
      <w:r>
        <w:rPr>
          <w:rFonts w:ascii="Calibri" w:hAnsi="Calibri"/>
          <w:noProof/>
        </w:rPr>
        <w:t>highest in Dandenong, at 14.1%, and lowest in Keysborough, at 4.7%</w:t>
      </w:r>
      <w:r w:rsidRPr="002563DC">
        <w:rPr>
          <w:rFonts w:ascii="Calibri" w:hAnsi="Calibri"/>
          <w:noProof/>
        </w:rPr>
        <w:t>.</w:t>
      </w:r>
    </w:p>
    <w:p w14:paraId="18F00BFB" w14:textId="77777777" w:rsidR="00F12C73" w:rsidRPr="00C64F63" w:rsidRDefault="00F12C73" w:rsidP="00F12C73">
      <w:pPr>
        <w:spacing w:after="0" w:line="240" w:lineRule="auto"/>
        <w:jc w:val="both"/>
        <w:rPr>
          <w:rFonts w:ascii="Calibri" w:hAnsi="Calibri"/>
          <w:noProof/>
          <w:color w:val="7F7F7F"/>
          <w:sz w:val="20"/>
          <w:szCs w:val="20"/>
        </w:rPr>
      </w:pPr>
      <w:r w:rsidRPr="00C64F63">
        <w:rPr>
          <w:rFonts w:ascii="Calibri" w:hAnsi="Calibri"/>
          <w:noProof/>
          <w:color w:val="7F7F7F"/>
          <w:sz w:val="20"/>
          <w:szCs w:val="20"/>
        </w:rPr>
        <w:t xml:space="preserve">Unemployment Rate by Suburb: Greater Dandenong and Melbourne, </w:t>
      </w:r>
      <w:r>
        <w:rPr>
          <w:rFonts w:ascii="Calibri" w:hAnsi="Calibri"/>
          <w:noProof/>
          <w:color w:val="7F7F7F"/>
          <w:sz w:val="20"/>
          <w:szCs w:val="20"/>
        </w:rPr>
        <w:t>June 2022</w:t>
      </w:r>
    </w:p>
    <w:p w14:paraId="4C084ADD" w14:textId="77777777" w:rsidR="00F12C73" w:rsidRDefault="00F12C73" w:rsidP="00F12C73">
      <w:pPr>
        <w:spacing w:after="0" w:line="360" w:lineRule="auto"/>
        <w:jc w:val="center"/>
        <w:rPr>
          <w:rFonts w:ascii="Calibri" w:hAnsi="Calibri"/>
          <w:noProof/>
          <w:lang w:eastAsia="en-AU"/>
        </w:rPr>
      </w:pPr>
      <w:r>
        <w:rPr>
          <w:rFonts w:ascii="Calibri" w:hAnsi="Calibri"/>
          <w:noProof/>
          <w:lang w:eastAsia="en-AU"/>
        </w:rPr>
        <w:drawing>
          <wp:inline distT="0" distB="0" distL="0" distR="0" wp14:anchorId="7B0E72EF" wp14:editId="745C24C5">
            <wp:extent cx="4138613" cy="2742281"/>
            <wp:effectExtent l="0" t="0" r="0" b="127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139288" cy="2742728"/>
                    </a:xfrm>
                    <a:prstGeom prst="rect">
                      <a:avLst/>
                    </a:prstGeom>
                    <a:noFill/>
                  </pic:spPr>
                </pic:pic>
              </a:graphicData>
            </a:graphic>
          </wp:inline>
        </w:drawing>
      </w:r>
    </w:p>
    <w:p w14:paraId="55A76490" w14:textId="77777777" w:rsidR="00F12C73" w:rsidRDefault="00F12C73" w:rsidP="00F12C73">
      <w:pPr>
        <w:tabs>
          <w:tab w:val="left" w:pos="3402"/>
          <w:tab w:val="left" w:pos="5103"/>
        </w:tabs>
        <w:spacing w:after="0" w:line="240" w:lineRule="auto"/>
        <w:ind w:left="3828"/>
        <w:jc w:val="both"/>
        <w:rPr>
          <w:rFonts w:ascii="Calibri" w:hAnsi="Calibri"/>
        </w:rPr>
      </w:pPr>
      <w:r w:rsidRPr="002563DC">
        <w:rPr>
          <w:rFonts w:ascii="Calibri" w:hAnsi="Calibri"/>
          <w:color w:val="7F7F7F"/>
          <w:sz w:val="20"/>
          <w:szCs w:val="20"/>
        </w:rPr>
        <w:lastRenderedPageBreak/>
        <w:t>Unemployment by Age: Greater</w:t>
      </w:r>
      <w:r>
        <w:rPr>
          <w:rFonts w:ascii="Calibri" w:hAnsi="Calibri"/>
          <w:color w:val="7F7F7F"/>
          <w:sz w:val="20"/>
          <w:szCs w:val="20"/>
        </w:rPr>
        <w:t xml:space="preserve"> </w:t>
      </w:r>
      <w:r w:rsidRPr="002563DC">
        <w:rPr>
          <w:rFonts w:ascii="Calibri" w:hAnsi="Calibri"/>
          <w:color w:val="7F7F7F"/>
          <w:sz w:val="20"/>
          <w:szCs w:val="20"/>
        </w:rPr>
        <w:t>Dandenong and Victoria, 20</w:t>
      </w:r>
      <w:r>
        <w:rPr>
          <w:rFonts w:ascii="Calibri" w:hAnsi="Calibri"/>
          <w:color w:val="7F7F7F"/>
          <w:sz w:val="20"/>
          <w:szCs w:val="20"/>
        </w:rPr>
        <w:t>21</w:t>
      </w:r>
    </w:p>
    <w:p w14:paraId="11C9C500" w14:textId="77777777" w:rsidR="00F12C73" w:rsidRDefault="00F12C73" w:rsidP="00F12C73">
      <w:pPr>
        <w:tabs>
          <w:tab w:val="left" w:pos="5103"/>
        </w:tabs>
        <w:spacing w:after="0" w:line="360" w:lineRule="auto"/>
        <w:jc w:val="both"/>
        <w:rPr>
          <w:rFonts w:ascii="Calibri" w:hAnsi="Calibri"/>
        </w:rPr>
      </w:pPr>
      <w:r>
        <w:rPr>
          <w:rFonts w:ascii="Calibri" w:hAnsi="Calibri"/>
          <w:noProof/>
        </w:rPr>
        <w:drawing>
          <wp:anchor distT="0" distB="0" distL="114300" distR="114300" simplePos="0" relativeHeight="251768832" behindDoc="0" locked="0" layoutInCell="1" allowOverlap="1" wp14:anchorId="0DFB93C7" wp14:editId="78FD6F98">
            <wp:simplePos x="0" y="0"/>
            <wp:positionH relativeFrom="column">
              <wp:posOffset>1600200</wp:posOffset>
            </wp:positionH>
            <wp:positionV relativeFrom="paragraph">
              <wp:posOffset>24130</wp:posOffset>
            </wp:positionV>
            <wp:extent cx="4672965" cy="2571750"/>
            <wp:effectExtent l="0" t="0" r="0" b="0"/>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672965" cy="25717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 xml:space="preserve">Unemployment rates among residents of various age groups were documented by the 2021 Census and are shown at right. </w:t>
      </w:r>
    </w:p>
    <w:p w14:paraId="04975EEE" w14:textId="77777777" w:rsidR="00F12C73" w:rsidRDefault="00F12C73" w:rsidP="00F12C73">
      <w:pPr>
        <w:tabs>
          <w:tab w:val="left" w:pos="4536"/>
        </w:tabs>
        <w:spacing w:after="0" w:line="360" w:lineRule="auto"/>
        <w:jc w:val="both"/>
        <w:rPr>
          <w:rFonts w:ascii="Calibri" w:hAnsi="Calibri"/>
        </w:rPr>
      </w:pPr>
      <w:r>
        <w:rPr>
          <w:rFonts w:ascii="Calibri" w:hAnsi="Calibri"/>
        </w:rPr>
        <w:t xml:space="preserve">At this time, the peak unemployment rate was 24% among 15-19 year-olds - higher than the corresponding Victorian rate of 17% among this age group. </w:t>
      </w:r>
    </w:p>
    <w:p w14:paraId="3E218057" w14:textId="77777777" w:rsidR="00F12C73" w:rsidRDefault="00F12C73" w:rsidP="00F12C73">
      <w:pPr>
        <w:spacing w:after="0" w:line="360" w:lineRule="auto"/>
        <w:jc w:val="both"/>
        <w:rPr>
          <w:rFonts w:ascii="Calibri" w:hAnsi="Calibri"/>
        </w:rPr>
      </w:pPr>
      <w:r>
        <w:rPr>
          <w:rFonts w:ascii="Calibri" w:hAnsi="Calibri"/>
        </w:rPr>
        <w:t>Unemployment rates differed only slightly in each age group between women and men, but was decisively higher among males among residents aged 15 to 29. Among residents aged 15 or more overall though, their unemployment rates were similar, at 7.4% for women and 7.3% among men.</w:t>
      </w:r>
    </w:p>
    <w:p w14:paraId="26456612" w14:textId="77777777" w:rsidR="00F12C73" w:rsidRDefault="00F12C73" w:rsidP="00F12C73">
      <w:pPr>
        <w:spacing w:after="0" w:line="360" w:lineRule="auto"/>
        <w:jc w:val="both"/>
        <w:rPr>
          <w:rFonts w:ascii="Calibri" w:hAnsi="Calibri"/>
        </w:rPr>
      </w:pPr>
      <w:r>
        <w:rPr>
          <w:rFonts w:ascii="Calibri" w:hAnsi="Calibri"/>
          <w:noProof/>
        </w:rPr>
        <w:drawing>
          <wp:anchor distT="0" distB="0" distL="114300" distR="114300" simplePos="0" relativeHeight="251764736" behindDoc="0" locked="0" layoutInCell="1" allowOverlap="1" wp14:anchorId="2DE3822B" wp14:editId="10E8D6B4">
            <wp:simplePos x="0" y="0"/>
            <wp:positionH relativeFrom="margin">
              <wp:align>left</wp:align>
            </wp:positionH>
            <wp:positionV relativeFrom="paragraph">
              <wp:posOffset>69943</wp:posOffset>
            </wp:positionV>
            <wp:extent cx="3752850" cy="5070475"/>
            <wp:effectExtent l="0" t="0" r="0" b="0"/>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0">
                      <a:extLst>
                        <a:ext uri="{28A0092B-C50C-407E-A947-70E740481C1C}">
                          <a14:useLocalDpi xmlns:a14="http://schemas.microsoft.com/office/drawing/2010/main" val="0"/>
                        </a:ext>
                      </a:extLst>
                    </a:blip>
                    <a:srcRect b="20601"/>
                    <a:stretch/>
                  </pic:blipFill>
                  <pic:spPr bwMode="auto">
                    <a:xfrm>
                      <a:off x="0" y="0"/>
                      <a:ext cx="3752850" cy="5070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69798F" w14:textId="77777777" w:rsidR="00F12C73" w:rsidRDefault="00F12C73" w:rsidP="00F12C73">
      <w:pPr>
        <w:spacing w:after="0" w:line="360" w:lineRule="auto"/>
        <w:jc w:val="both"/>
        <w:rPr>
          <w:rFonts w:ascii="Calibri" w:hAnsi="Calibri"/>
        </w:rPr>
      </w:pPr>
    </w:p>
    <w:p w14:paraId="1C69458F" w14:textId="77777777" w:rsidR="00F12C73" w:rsidRDefault="00F12C73" w:rsidP="00F12C73">
      <w:pPr>
        <w:spacing w:after="0" w:line="360" w:lineRule="auto"/>
        <w:jc w:val="both"/>
        <w:rPr>
          <w:rFonts w:ascii="Calibri" w:hAnsi="Calibri"/>
        </w:rPr>
      </w:pPr>
    </w:p>
    <w:p w14:paraId="0D9E33ED" w14:textId="77777777" w:rsidR="00F12C73" w:rsidRDefault="00F12C73" w:rsidP="00F12C73">
      <w:pPr>
        <w:spacing w:after="0" w:line="360" w:lineRule="auto"/>
        <w:jc w:val="both"/>
        <w:rPr>
          <w:rFonts w:ascii="Calibri" w:hAnsi="Calibri"/>
        </w:rPr>
      </w:pPr>
    </w:p>
    <w:p w14:paraId="093ACEB0" w14:textId="77777777" w:rsidR="00F12C73" w:rsidRDefault="00F12C73" w:rsidP="00F12C73">
      <w:pPr>
        <w:spacing w:after="0" w:line="360" w:lineRule="auto"/>
        <w:jc w:val="both"/>
        <w:rPr>
          <w:rFonts w:ascii="Calibri" w:hAnsi="Calibri"/>
        </w:rPr>
      </w:pPr>
    </w:p>
    <w:p w14:paraId="3017E345" w14:textId="77777777" w:rsidR="00F12C73" w:rsidRDefault="00F12C73" w:rsidP="00F12C73">
      <w:pPr>
        <w:spacing w:after="0" w:line="360" w:lineRule="auto"/>
        <w:jc w:val="both"/>
        <w:rPr>
          <w:rFonts w:ascii="Calibri" w:hAnsi="Calibri"/>
        </w:rPr>
      </w:pPr>
      <w:r>
        <w:rPr>
          <w:rFonts w:ascii="Calibri" w:hAnsi="Calibri"/>
        </w:rPr>
        <w:t>Unemployment levels varied widely with birthplace in 2021, from less than 5% among residents from Macedonia, Nepal, Fiji, Serbia, Bosnia, India and Philippines, to more than 20% among those from Papua New Guinea and Sudan.</w:t>
      </w:r>
    </w:p>
    <w:p w14:paraId="1F76A3C9" w14:textId="77777777" w:rsidR="00F12C73" w:rsidRDefault="00F12C73" w:rsidP="00F12C73">
      <w:pPr>
        <w:spacing w:after="0" w:line="360" w:lineRule="auto"/>
        <w:jc w:val="both"/>
        <w:rPr>
          <w:rFonts w:ascii="Calibri" w:hAnsi="Calibri"/>
        </w:rPr>
      </w:pPr>
    </w:p>
    <w:p w14:paraId="25762811" w14:textId="77777777" w:rsidR="00F12C73" w:rsidRDefault="00F12C73" w:rsidP="00F12C73">
      <w:pPr>
        <w:spacing w:after="0" w:line="240" w:lineRule="auto"/>
        <w:jc w:val="both"/>
        <w:rPr>
          <w:rFonts w:ascii="Calibri" w:hAnsi="Calibri"/>
          <w:color w:val="7F7F7F"/>
          <w:sz w:val="20"/>
          <w:szCs w:val="20"/>
        </w:rPr>
      </w:pPr>
      <w:r w:rsidRPr="002563DC">
        <w:rPr>
          <w:rFonts w:ascii="Calibri" w:hAnsi="Calibri"/>
          <w:color w:val="7F7F7F"/>
          <w:sz w:val="20"/>
          <w:szCs w:val="20"/>
        </w:rPr>
        <w:t xml:space="preserve">Unemployment by Selected Birthplace: Persons aged </w:t>
      </w:r>
      <w:r>
        <w:rPr>
          <w:rFonts w:ascii="Calibri" w:hAnsi="Calibri"/>
          <w:color w:val="7F7F7F"/>
          <w:sz w:val="20"/>
          <w:szCs w:val="20"/>
        </w:rPr>
        <w:t>15</w:t>
      </w:r>
      <w:r w:rsidRPr="002563DC">
        <w:rPr>
          <w:rFonts w:ascii="Calibri" w:hAnsi="Calibri"/>
          <w:color w:val="7F7F7F"/>
          <w:sz w:val="20"/>
          <w:szCs w:val="20"/>
        </w:rPr>
        <w:t xml:space="preserve"> to </w:t>
      </w:r>
      <w:r>
        <w:rPr>
          <w:rFonts w:ascii="Calibri" w:hAnsi="Calibri"/>
          <w:color w:val="7F7F7F"/>
          <w:sz w:val="20"/>
          <w:szCs w:val="20"/>
        </w:rPr>
        <w:t>6</w:t>
      </w:r>
      <w:r w:rsidRPr="002563DC">
        <w:rPr>
          <w:rFonts w:ascii="Calibri" w:hAnsi="Calibri"/>
          <w:color w:val="7F7F7F"/>
          <w:sz w:val="20"/>
          <w:szCs w:val="20"/>
        </w:rPr>
        <w:t>4, Greater Dandenong, 20</w:t>
      </w:r>
      <w:r>
        <w:rPr>
          <w:rFonts w:ascii="Calibri" w:hAnsi="Calibri"/>
          <w:color w:val="7F7F7F"/>
          <w:sz w:val="20"/>
          <w:szCs w:val="20"/>
        </w:rPr>
        <w:t>21</w:t>
      </w:r>
    </w:p>
    <w:p w14:paraId="40EBEA0B" w14:textId="77777777" w:rsidR="00F12C73" w:rsidRDefault="00F12C73" w:rsidP="00F12C73">
      <w:pPr>
        <w:spacing w:after="0" w:line="360" w:lineRule="auto"/>
        <w:jc w:val="both"/>
        <w:rPr>
          <w:rFonts w:ascii="Calibri" w:hAnsi="Calibri"/>
        </w:rPr>
      </w:pPr>
    </w:p>
    <w:p w14:paraId="357E87FB" w14:textId="77777777" w:rsidR="00F12C73" w:rsidRDefault="00F12C73" w:rsidP="00F12C73">
      <w:pPr>
        <w:spacing w:after="0" w:line="360" w:lineRule="auto"/>
        <w:jc w:val="both"/>
        <w:rPr>
          <w:rFonts w:ascii="Calibri" w:hAnsi="Calibri"/>
        </w:rPr>
      </w:pPr>
    </w:p>
    <w:p w14:paraId="523375CF" w14:textId="77777777" w:rsidR="00F12C73" w:rsidRDefault="00F12C73" w:rsidP="00F12C73">
      <w:pPr>
        <w:spacing w:after="0" w:line="360" w:lineRule="auto"/>
        <w:jc w:val="both"/>
        <w:rPr>
          <w:rFonts w:ascii="Calibri" w:hAnsi="Calibri"/>
        </w:rPr>
      </w:pPr>
    </w:p>
    <w:p w14:paraId="1B3B66EF" w14:textId="77777777" w:rsidR="00F12C73" w:rsidRDefault="00F12C73" w:rsidP="00F12C73">
      <w:pPr>
        <w:spacing w:after="0" w:line="360" w:lineRule="auto"/>
        <w:jc w:val="both"/>
        <w:rPr>
          <w:rFonts w:ascii="Calibri" w:hAnsi="Calibri"/>
        </w:rPr>
      </w:pPr>
    </w:p>
    <w:p w14:paraId="50E8A568" w14:textId="4F8ACD13" w:rsidR="00F12C73" w:rsidRDefault="00F12C73" w:rsidP="00F12C73">
      <w:pPr>
        <w:spacing w:after="0" w:line="360" w:lineRule="auto"/>
        <w:jc w:val="both"/>
        <w:rPr>
          <w:rFonts w:ascii="Calibri" w:hAnsi="Calibri"/>
        </w:rPr>
      </w:pPr>
      <w:r>
        <w:rPr>
          <w:rFonts w:ascii="Calibri" w:hAnsi="Calibri"/>
          <w:noProof/>
        </w:rPr>
        <w:lastRenderedPageBreak/>
        <w:drawing>
          <wp:anchor distT="0" distB="0" distL="114300" distR="114300" simplePos="0" relativeHeight="251769856" behindDoc="0" locked="0" layoutInCell="1" allowOverlap="1" wp14:anchorId="49C41E36" wp14:editId="0E52055C">
            <wp:simplePos x="0" y="0"/>
            <wp:positionH relativeFrom="column">
              <wp:posOffset>-1270</wp:posOffset>
            </wp:positionH>
            <wp:positionV relativeFrom="paragraph">
              <wp:posOffset>-1270</wp:posOffset>
            </wp:positionV>
            <wp:extent cx="4000500" cy="3566795"/>
            <wp:effectExtent l="0" t="0" r="0" b="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1">
                      <a:extLst>
                        <a:ext uri="{28A0092B-C50C-407E-A947-70E740481C1C}">
                          <a14:useLocalDpi xmlns:a14="http://schemas.microsoft.com/office/drawing/2010/main" val="0"/>
                        </a:ext>
                      </a:extLst>
                    </a:blip>
                    <a:srcRect l="6235"/>
                    <a:stretch/>
                  </pic:blipFill>
                  <pic:spPr bwMode="auto">
                    <a:xfrm>
                      <a:off x="0" y="0"/>
                      <a:ext cx="4000500" cy="3566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rPr>
        <w:t xml:space="preserve">Notably though, the greater </w:t>
      </w:r>
      <w:r w:rsidRPr="003E1378">
        <w:rPr>
          <w:rFonts w:ascii="Calibri" w:hAnsi="Calibri"/>
          <w:i/>
          <w:iCs/>
        </w:rPr>
        <w:t>numbers</w:t>
      </w:r>
      <w:r>
        <w:rPr>
          <w:rFonts w:ascii="Calibri" w:hAnsi="Calibri"/>
        </w:rPr>
        <w:t xml:space="preserve"> of residents who are unemployed include those from Australia – accounting for about 1,800 residents – as well as residents from Vietnam, India, Afghanistan, Cambodia, China and Sri Lanka.</w:t>
      </w:r>
    </w:p>
    <w:p w14:paraId="081E64AC" w14:textId="61B3AC03" w:rsidR="00F12C73" w:rsidRPr="00E01FC6" w:rsidRDefault="00F12C73" w:rsidP="00F12C73">
      <w:pPr>
        <w:spacing w:after="0" w:line="360" w:lineRule="auto"/>
        <w:jc w:val="both"/>
        <w:rPr>
          <w:rFonts w:ascii="Calibri" w:hAnsi="Calibri"/>
          <w:color w:val="7F7F7F"/>
          <w:sz w:val="12"/>
          <w:szCs w:val="12"/>
        </w:rPr>
      </w:pPr>
    </w:p>
    <w:p w14:paraId="1108BE74" w14:textId="3022A27C" w:rsidR="00F12C73" w:rsidRDefault="00F12C73" w:rsidP="00F12C73">
      <w:pPr>
        <w:spacing w:after="0" w:line="240" w:lineRule="auto"/>
        <w:jc w:val="both"/>
        <w:rPr>
          <w:rFonts w:ascii="Calibri" w:hAnsi="Calibri"/>
          <w:color w:val="7F7F7F"/>
          <w:sz w:val="20"/>
          <w:szCs w:val="20"/>
        </w:rPr>
      </w:pPr>
      <w:r>
        <w:rPr>
          <w:rFonts w:ascii="Calibri" w:hAnsi="Calibri"/>
          <w:noProof/>
          <w:lang w:eastAsia="en-AU"/>
        </w:rPr>
        <w:drawing>
          <wp:anchor distT="0" distB="0" distL="114300" distR="114300" simplePos="0" relativeHeight="251773952" behindDoc="0" locked="0" layoutInCell="1" allowOverlap="1" wp14:anchorId="27985309" wp14:editId="1AB13C33">
            <wp:simplePos x="0" y="0"/>
            <wp:positionH relativeFrom="margin">
              <wp:posOffset>2484027</wp:posOffset>
            </wp:positionH>
            <wp:positionV relativeFrom="paragraph">
              <wp:posOffset>303750</wp:posOffset>
            </wp:positionV>
            <wp:extent cx="1241936" cy="929095"/>
            <wp:effectExtent l="0" t="0" r="0" b="4445"/>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erce Employment 3.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246038" cy="932163"/>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Pr>
          <w:rFonts w:ascii="Calibri" w:hAnsi="Calibri"/>
          <w:color w:val="7F7F7F"/>
          <w:sz w:val="20"/>
          <w:szCs w:val="20"/>
        </w:rPr>
        <w:t>Numbers of Persons who are Unemployed,</w:t>
      </w:r>
      <w:r w:rsidRPr="002563DC">
        <w:rPr>
          <w:rFonts w:ascii="Calibri" w:hAnsi="Calibri"/>
          <w:color w:val="7F7F7F"/>
          <w:sz w:val="20"/>
          <w:szCs w:val="20"/>
        </w:rPr>
        <w:t xml:space="preserve"> by Selected Birthplace: Persons aged </w:t>
      </w:r>
      <w:r>
        <w:rPr>
          <w:rFonts w:ascii="Calibri" w:hAnsi="Calibri"/>
          <w:color w:val="7F7F7F"/>
          <w:sz w:val="20"/>
          <w:szCs w:val="20"/>
        </w:rPr>
        <w:t>15</w:t>
      </w:r>
      <w:r w:rsidRPr="002563DC">
        <w:rPr>
          <w:rFonts w:ascii="Calibri" w:hAnsi="Calibri"/>
          <w:color w:val="7F7F7F"/>
          <w:sz w:val="20"/>
          <w:szCs w:val="20"/>
        </w:rPr>
        <w:t xml:space="preserve"> to </w:t>
      </w:r>
      <w:r>
        <w:rPr>
          <w:rFonts w:ascii="Calibri" w:hAnsi="Calibri"/>
          <w:color w:val="7F7F7F"/>
          <w:sz w:val="20"/>
          <w:szCs w:val="20"/>
        </w:rPr>
        <w:t>6</w:t>
      </w:r>
      <w:r w:rsidRPr="002563DC">
        <w:rPr>
          <w:rFonts w:ascii="Calibri" w:hAnsi="Calibri"/>
          <w:color w:val="7F7F7F"/>
          <w:sz w:val="20"/>
          <w:szCs w:val="20"/>
        </w:rPr>
        <w:t>4, Greater Dandenong, 20</w:t>
      </w:r>
      <w:r>
        <w:rPr>
          <w:rFonts w:ascii="Calibri" w:hAnsi="Calibri"/>
          <w:color w:val="7F7F7F"/>
          <w:sz w:val="20"/>
          <w:szCs w:val="20"/>
        </w:rPr>
        <w:t>21</w:t>
      </w:r>
    </w:p>
    <w:p w14:paraId="177F22D0" w14:textId="2F782B52" w:rsidR="00F12C73" w:rsidRPr="00E01FC6" w:rsidRDefault="00F12C73" w:rsidP="00F12C73">
      <w:pPr>
        <w:spacing w:after="0" w:line="360" w:lineRule="auto"/>
        <w:jc w:val="both"/>
        <w:rPr>
          <w:rFonts w:ascii="Calibri" w:hAnsi="Calibri"/>
          <w:sz w:val="12"/>
          <w:szCs w:val="12"/>
        </w:rPr>
      </w:pPr>
    </w:p>
    <w:p w14:paraId="036741A9" w14:textId="77777777" w:rsidR="00F12C73" w:rsidRDefault="00F12C73" w:rsidP="00F12C73">
      <w:pPr>
        <w:spacing w:after="0" w:line="360" w:lineRule="auto"/>
        <w:jc w:val="both"/>
        <w:rPr>
          <w:rFonts w:ascii="Calibri" w:hAnsi="Calibri"/>
        </w:rPr>
      </w:pPr>
      <w:r>
        <w:rPr>
          <w:rFonts w:ascii="Calibri" w:hAnsi="Calibri"/>
        </w:rPr>
        <w:t>Overseas-born residents account for over two-thirds of unemployed residents.</w:t>
      </w:r>
    </w:p>
    <w:p w14:paraId="2B4E976F" w14:textId="77777777" w:rsidR="00F12C73" w:rsidRDefault="00F12C73" w:rsidP="00F12C73">
      <w:pPr>
        <w:spacing w:after="0" w:line="360" w:lineRule="auto"/>
        <w:jc w:val="both"/>
        <w:rPr>
          <w:rFonts w:ascii="Calibri" w:hAnsi="Calibri"/>
          <w:b/>
        </w:rPr>
      </w:pPr>
    </w:p>
    <w:p w14:paraId="01144928" w14:textId="77777777" w:rsidR="00F12C73" w:rsidRDefault="00F12C73" w:rsidP="00F12C73">
      <w:pPr>
        <w:spacing w:after="0" w:line="360" w:lineRule="auto"/>
        <w:jc w:val="both"/>
        <w:rPr>
          <w:rFonts w:ascii="Calibri" w:hAnsi="Calibri"/>
          <w:b/>
        </w:rPr>
      </w:pPr>
    </w:p>
    <w:p w14:paraId="0247301E" w14:textId="77777777" w:rsidR="00F12C73" w:rsidRPr="00793095" w:rsidRDefault="00F12C73" w:rsidP="00F12C73">
      <w:pPr>
        <w:spacing w:after="0" w:line="360" w:lineRule="auto"/>
        <w:jc w:val="both"/>
        <w:rPr>
          <w:rFonts w:ascii="Calibri" w:hAnsi="Calibri"/>
          <w:b/>
        </w:rPr>
      </w:pPr>
      <w:r w:rsidRPr="00793095">
        <w:rPr>
          <w:rFonts w:ascii="Calibri" w:hAnsi="Calibri"/>
          <w:b/>
        </w:rPr>
        <w:t>Families with No Parent in Paid Employment</w:t>
      </w:r>
    </w:p>
    <w:p w14:paraId="000DA54D" w14:textId="77777777" w:rsidR="00F12C73" w:rsidRDefault="00F12C73" w:rsidP="00F12C73">
      <w:pPr>
        <w:spacing w:after="0" w:line="360" w:lineRule="auto"/>
        <w:jc w:val="both"/>
        <w:rPr>
          <w:rFonts w:ascii="Calibri" w:hAnsi="Calibri"/>
        </w:rPr>
      </w:pPr>
      <w:r>
        <w:rPr>
          <w:rFonts w:ascii="Calibri" w:hAnsi="Calibri"/>
        </w:rPr>
        <w:t xml:space="preserve">The 2021 Census revealed that among families with children in Greater Dandenong, the head of the family had no paid work in 55% of single parent families, while 27% of couple families with children had no parent in paid employment (diagram, below). </w:t>
      </w:r>
    </w:p>
    <w:p w14:paraId="268B3501" w14:textId="77777777" w:rsidR="00F12C73" w:rsidRDefault="00F12C73" w:rsidP="00F12C73">
      <w:pPr>
        <w:spacing w:after="0" w:line="360" w:lineRule="auto"/>
        <w:jc w:val="both"/>
        <w:rPr>
          <w:rFonts w:ascii="Calibri" w:hAnsi="Calibri"/>
        </w:rPr>
      </w:pPr>
      <w:r>
        <w:rPr>
          <w:rFonts w:ascii="Calibri" w:hAnsi="Calibri"/>
        </w:rPr>
        <w:t xml:space="preserve">Overall, 32.4% of families with children in Greater Dandenong had no parent in paid employment – the highest level in Melbourne, and substantially higher than the corresponding State figure of 24%. </w:t>
      </w:r>
    </w:p>
    <w:p w14:paraId="457D3123" w14:textId="77777777" w:rsidR="00F12C73" w:rsidRDefault="00F12C73" w:rsidP="00F12C73">
      <w:pPr>
        <w:spacing w:after="0" w:line="360" w:lineRule="auto"/>
        <w:jc w:val="both"/>
        <w:rPr>
          <w:rFonts w:ascii="Calibri" w:hAnsi="Calibri"/>
          <w:sz w:val="16"/>
          <w:szCs w:val="16"/>
        </w:rPr>
      </w:pPr>
    </w:p>
    <w:p w14:paraId="585E9B9C" w14:textId="77777777" w:rsidR="00F12C73" w:rsidRDefault="00F12C73" w:rsidP="00F12C73">
      <w:pPr>
        <w:spacing w:after="0" w:line="360" w:lineRule="auto"/>
        <w:jc w:val="both"/>
        <w:rPr>
          <w:rFonts w:ascii="Calibri" w:hAnsi="Calibri"/>
          <w:sz w:val="16"/>
          <w:szCs w:val="16"/>
        </w:rPr>
      </w:pPr>
    </w:p>
    <w:p w14:paraId="408485D7" w14:textId="77777777" w:rsidR="00F12C73" w:rsidRPr="009528E4" w:rsidRDefault="00F12C73" w:rsidP="00F12C73">
      <w:pPr>
        <w:spacing w:after="0" w:line="360" w:lineRule="auto"/>
        <w:jc w:val="both"/>
        <w:rPr>
          <w:rFonts w:ascii="Calibri" w:hAnsi="Calibri"/>
          <w:sz w:val="16"/>
          <w:szCs w:val="16"/>
        </w:rPr>
      </w:pPr>
      <w:r>
        <w:rPr>
          <w:rFonts w:ascii="Calibri" w:hAnsi="Calibri"/>
          <w:noProof/>
          <w:sz w:val="16"/>
          <w:szCs w:val="16"/>
        </w:rPr>
        <w:drawing>
          <wp:anchor distT="0" distB="0" distL="114300" distR="114300" simplePos="0" relativeHeight="251772928" behindDoc="0" locked="0" layoutInCell="1" allowOverlap="1" wp14:anchorId="01898E6B" wp14:editId="152961A3">
            <wp:simplePos x="0" y="0"/>
            <wp:positionH relativeFrom="column">
              <wp:posOffset>2390140</wp:posOffset>
            </wp:positionH>
            <wp:positionV relativeFrom="paragraph">
              <wp:posOffset>46355</wp:posOffset>
            </wp:positionV>
            <wp:extent cx="3727450" cy="2319020"/>
            <wp:effectExtent l="0" t="0" r="6350" b="5080"/>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727450" cy="2319020"/>
                    </a:xfrm>
                    <a:prstGeom prst="rect">
                      <a:avLst/>
                    </a:prstGeom>
                    <a:noFill/>
                  </pic:spPr>
                </pic:pic>
              </a:graphicData>
            </a:graphic>
            <wp14:sizeRelH relativeFrom="page">
              <wp14:pctWidth>0</wp14:pctWidth>
            </wp14:sizeRelH>
            <wp14:sizeRelV relativeFrom="page">
              <wp14:pctHeight>0</wp14:pctHeight>
            </wp14:sizeRelV>
          </wp:anchor>
        </w:drawing>
      </w:r>
    </w:p>
    <w:p w14:paraId="370F5E99" w14:textId="77777777" w:rsidR="00F12C73" w:rsidRPr="000A2D28" w:rsidRDefault="00F12C73" w:rsidP="00F12C73">
      <w:pPr>
        <w:spacing w:after="0" w:line="240" w:lineRule="auto"/>
        <w:jc w:val="both"/>
        <w:rPr>
          <w:rFonts w:ascii="Calibri" w:hAnsi="Calibri"/>
          <w:color w:val="7F7F7F"/>
          <w:sz w:val="20"/>
          <w:szCs w:val="20"/>
        </w:rPr>
      </w:pPr>
      <w:r w:rsidRPr="000A2D28">
        <w:rPr>
          <w:rFonts w:ascii="Calibri" w:hAnsi="Calibri"/>
          <w:color w:val="7F7F7F"/>
          <w:sz w:val="20"/>
          <w:szCs w:val="20"/>
        </w:rPr>
        <w:t>Per cent of Families with Children that have No Parent in Paid Employment, by Family Type: Greater Dandenong and Victoria, 20</w:t>
      </w:r>
      <w:r>
        <w:rPr>
          <w:rFonts w:ascii="Calibri" w:hAnsi="Calibri"/>
          <w:color w:val="7F7F7F"/>
          <w:sz w:val="20"/>
          <w:szCs w:val="20"/>
        </w:rPr>
        <w:t>21</w:t>
      </w:r>
    </w:p>
    <w:p w14:paraId="63ACF716" w14:textId="77777777" w:rsidR="00F12C73" w:rsidRDefault="00F12C73" w:rsidP="00F12C73">
      <w:pPr>
        <w:spacing w:after="0" w:line="360" w:lineRule="auto"/>
        <w:jc w:val="center"/>
        <w:rPr>
          <w:rFonts w:ascii="Calibri" w:hAnsi="Calibri"/>
        </w:rPr>
      </w:pPr>
    </w:p>
    <w:p w14:paraId="7D8FE938" w14:textId="77777777" w:rsidR="00F12C73" w:rsidRDefault="00F12C73" w:rsidP="00F12C73">
      <w:pPr>
        <w:spacing w:after="0" w:line="360" w:lineRule="auto"/>
        <w:jc w:val="both"/>
        <w:rPr>
          <w:rFonts w:ascii="Calibri" w:hAnsi="Calibri"/>
        </w:rPr>
      </w:pPr>
      <w:r>
        <w:rPr>
          <w:rFonts w:ascii="Calibri" w:hAnsi="Calibri"/>
          <w:noProof/>
          <w:lang w:eastAsia="en-AU"/>
        </w:rPr>
        <w:drawing>
          <wp:anchor distT="0" distB="0" distL="114300" distR="114300" simplePos="0" relativeHeight="251763712" behindDoc="0" locked="0" layoutInCell="1" allowOverlap="1" wp14:anchorId="6F93579F" wp14:editId="029556F4">
            <wp:simplePos x="0" y="0"/>
            <wp:positionH relativeFrom="column">
              <wp:posOffset>1266825</wp:posOffset>
            </wp:positionH>
            <wp:positionV relativeFrom="paragraph">
              <wp:posOffset>142875</wp:posOffset>
            </wp:positionV>
            <wp:extent cx="818515" cy="1381125"/>
            <wp:effectExtent l="0" t="0" r="635" b="9525"/>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9.jpg"/>
                    <pic:cNvPicPr/>
                  </pic:nvPicPr>
                  <pic:blipFill rotWithShape="1">
                    <a:blip r:embed="rId114" cstate="print">
                      <a:extLst>
                        <a:ext uri="{28A0092B-C50C-407E-A947-70E740481C1C}">
                          <a14:useLocalDpi xmlns:a14="http://schemas.microsoft.com/office/drawing/2010/main" val="0"/>
                        </a:ext>
                      </a:extLst>
                    </a:blip>
                    <a:srcRect l="22223" r="12222" b="26480"/>
                    <a:stretch/>
                  </pic:blipFill>
                  <pic:spPr bwMode="auto">
                    <a:xfrm>
                      <a:off x="0" y="0"/>
                      <a:ext cx="818515" cy="1381125"/>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F30E92" w14:textId="77777777" w:rsidR="00F12C73" w:rsidRDefault="00F12C73" w:rsidP="00F12C73">
      <w:pPr>
        <w:spacing w:after="0" w:line="360" w:lineRule="auto"/>
        <w:jc w:val="both"/>
        <w:rPr>
          <w:rFonts w:ascii="Calibri" w:hAnsi="Calibri"/>
        </w:rPr>
      </w:pPr>
    </w:p>
    <w:p w14:paraId="4B82A904" w14:textId="77777777" w:rsidR="00F12C73" w:rsidRDefault="00F12C73" w:rsidP="00F12C73">
      <w:pPr>
        <w:spacing w:after="0" w:line="360" w:lineRule="auto"/>
        <w:ind w:right="5243"/>
        <w:jc w:val="both"/>
        <w:rPr>
          <w:rFonts w:ascii="Calibri" w:hAnsi="Calibri"/>
        </w:rPr>
      </w:pPr>
    </w:p>
    <w:p w14:paraId="6E9ADE35" w14:textId="77777777" w:rsidR="00F12C73" w:rsidRDefault="00F12C73" w:rsidP="00F12C73">
      <w:pPr>
        <w:spacing w:after="0" w:line="360" w:lineRule="auto"/>
        <w:ind w:right="5243"/>
        <w:jc w:val="both"/>
        <w:rPr>
          <w:rFonts w:ascii="Calibri" w:hAnsi="Calibri"/>
        </w:rPr>
      </w:pPr>
    </w:p>
    <w:p w14:paraId="464B9CB3" w14:textId="77777777" w:rsidR="00F12C73" w:rsidRDefault="00F12C73" w:rsidP="00F12C73">
      <w:pPr>
        <w:spacing w:after="0" w:line="360" w:lineRule="auto"/>
        <w:ind w:right="5243"/>
        <w:jc w:val="both"/>
        <w:rPr>
          <w:rFonts w:ascii="Calibri" w:hAnsi="Calibri"/>
        </w:rPr>
      </w:pPr>
    </w:p>
    <w:p w14:paraId="5DC76C32" w14:textId="77777777" w:rsidR="00F12C73" w:rsidRDefault="00F12C73" w:rsidP="00F12C73">
      <w:pPr>
        <w:spacing w:after="0" w:line="360" w:lineRule="auto"/>
        <w:ind w:right="5243"/>
        <w:jc w:val="both"/>
        <w:rPr>
          <w:rFonts w:ascii="Calibri" w:hAnsi="Calibri"/>
        </w:rPr>
      </w:pPr>
    </w:p>
    <w:p w14:paraId="468EACF4" w14:textId="77777777" w:rsidR="00F12C73" w:rsidRDefault="00F12C73" w:rsidP="00F12C73">
      <w:pPr>
        <w:spacing w:after="0" w:line="360" w:lineRule="auto"/>
        <w:rPr>
          <w:rFonts w:ascii="Calibri" w:hAnsi="Calibri"/>
          <w:b/>
        </w:rPr>
      </w:pPr>
      <w:r>
        <w:rPr>
          <w:rFonts w:ascii="Calibri" w:hAnsi="Calibri"/>
          <w:b/>
        </w:rPr>
        <w:br w:type="page"/>
      </w:r>
    </w:p>
    <w:p w14:paraId="6A8DF0F8" w14:textId="77777777" w:rsidR="00F12C73" w:rsidRPr="000A2D28" w:rsidRDefault="00F12C73" w:rsidP="00F12C73">
      <w:pPr>
        <w:spacing w:after="0" w:line="360" w:lineRule="auto"/>
        <w:jc w:val="both"/>
        <w:rPr>
          <w:rFonts w:ascii="Calibri" w:hAnsi="Calibri"/>
          <w:b/>
        </w:rPr>
      </w:pPr>
      <w:r w:rsidRPr="000A2D28">
        <w:rPr>
          <w:rFonts w:ascii="Calibri" w:hAnsi="Calibri"/>
          <w:b/>
        </w:rPr>
        <w:lastRenderedPageBreak/>
        <w:t>Occupations and Industry of Employment among Residents</w:t>
      </w:r>
    </w:p>
    <w:p w14:paraId="62623C3F" w14:textId="77777777" w:rsidR="00F12C73" w:rsidRDefault="00F12C73" w:rsidP="00F12C73">
      <w:pPr>
        <w:spacing w:after="0" w:line="360" w:lineRule="auto"/>
        <w:jc w:val="both"/>
        <w:rPr>
          <w:rFonts w:ascii="Calibri" w:hAnsi="Calibri"/>
        </w:rPr>
      </w:pPr>
      <w:r>
        <w:rPr>
          <w:rFonts w:ascii="Calibri" w:hAnsi="Calibri"/>
        </w:rPr>
        <w:t>In 2021, approximately 66,000 residents, or approximately two-fifths (42%) of the population, held paid work – a rise of 7,000 since 2016.</w:t>
      </w:r>
    </w:p>
    <w:p w14:paraId="6DAE3B23" w14:textId="77777777" w:rsidR="00F12C73" w:rsidRPr="000F18B6" w:rsidRDefault="00F12C73" w:rsidP="00F12C73">
      <w:pPr>
        <w:spacing w:after="0" w:line="360" w:lineRule="auto"/>
        <w:jc w:val="both"/>
        <w:rPr>
          <w:rFonts w:ascii="Calibri" w:hAnsi="Calibri"/>
          <w:color w:val="7F7F7F" w:themeColor="text1" w:themeTint="80"/>
          <w:sz w:val="20"/>
          <w:szCs w:val="20"/>
        </w:rPr>
      </w:pPr>
      <w:r>
        <w:rPr>
          <w:rFonts w:ascii="Calibri" w:hAnsi="Calibri"/>
        </w:rPr>
        <w:t xml:space="preserve">The distribution of employed residents of Greater Dandenong, among the major categories of occupation, is illustrated on the right.                    </w:t>
      </w:r>
      <w:r w:rsidRPr="000F18B6">
        <w:rPr>
          <w:rFonts w:ascii="Calibri" w:hAnsi="Calibri"/>
          <w:color w:val="7F7F7F" w:themeColor="text1" w:themeTint="80"/>
          <w:sz w:val="20"/>
          <w:szCs w:val="20"/>
        </w:rPr>
        <w:t>Occupations of Employed Residents: Greater Dandenong and Victoria, 20</w:t>
      </w:r>
      <w:r>
        <w:rPr>
          <w:rFonts w:ascii="Calibri" w:hAnsi="Calibri"/>
          <w:color w:val="7F7F7F" w:themeColor="text1" w:themeTint="80"/>
          <w:sz w:val="20"/>
          <w:szCs w:val="20"/>
        </w:rPr>
        <w:t>21</w:t>
      </w:r>
    </w:p>
    <w:p w14:paraId="501FB064" w14:textId="77777777" w:rsidR="00F12C73" w:rsidRDefault="00F12C73" w:rsidP="00F12C73">
      <w:pPr>
        <w:spacing w:after="0" w:line="360" w:lineRule="auto"/>
        <w:jc w:val="both"/>
        <w:rPr>
          <w:rFonts w:ascii="Calibri" w:hAnsi="Calibri"/>
        </w:rPr>
      </w:pPr>
      <w:r>
        <w:rPr>
          <w:rFonts w:ascii="Calibri" w:hAnsi="Calibri"/>
          <w:noProof/>
        </w:rPr>
        <w:drawing>
          <wp:anchor distT="0" distB="0" distL="114300" distR="114300" simplePos="0" relativeHeight="251770880" behindDoc="0" locked="0" layoutInCell="1" allowOverlap="1" wp14:anchorId="363584F7" wp14:editId="3E3AC5A9">
            <wp:simplePos x="0" y="0"/>
            <wp:positionH relativeFrom="column">
              <wp:posOffset>1736725</wp:posOffset>
            </wp:positionH>
            <wp:positionV relativeFrom="paragraph">
              <wp:posOffset>1270</wp:posOffset>
            </wp:positionV>
            <wp:extent cx="4334510" cy="2928620"/>
            <wp:effectExtent l="0" t="0" r="8890" b="508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334510" cy="2928620"/>
                    </a:xfrm>
                    <a:prstGeom prst="rect">
                      <a:avLst/>
                    </a:prstGeom>
                    <a:noFill/>
                  </pic:spPr>
                </pic:pic>
              </a:graphicData>
            </a:graphic>
            <wp14:sizeRelH relativeFrom="page">
              <wp14:pctWidth>0</wp14:pctWidth>
            </wp14:sizeRelH>
            <wp14:sizeRelV relativeFrom="page">
              <wp14:pctHeight>0</wp14:pctHeight>
            </wp14:sizeRelV>
          </wp:anchor>
        </w:drawing>
      </w:r>
    </w:p>
    <w:p w14:paraId="6ABEBDC6" w14:textId="77777777" w:rsidR="00F12C73" w:rsidRDefault="00F12C73" w:rsidP="00F12C73">
      <w:pPr>
        <w:spacing w:after="0" w:line="360" w:lineRule="auto"/>
        <w:jc w:val="both"/>
        <w:rPr>
          <w:rFonts w:ascii="Calibri" w:hAnsi="Calibri"/>
        </w:rPr>
      </w:pPr>
      <w:r w:rsidRPr="000708D7">
        <w:rPr>
          <w:rFonts w:ascii="Calibri" w:hAnsi="Calibri"/>
        </w:rPr>
        <w:t xml:space="preserve">Notably, the proportion of employed residents who were labourers, machinery operators, technicians and trades workers, exceeded the State average. By contrast, the representation of local workers in professional or managerial occupations was </w:t>
      </w:r>
      <w:r>
        <w:rPr>
          <w:rFonts w:ascii="Calibri" w:hAnsi="Calibri"/>
        </w:rPr>
        <w:t xml:space="preserve">markedly </w:t>
      </w:r>
      <w:r w:rsidRPr="000708D7">
        <w:rPr>
          <w:rFonts w:ascii="Calibri" w:hAnsi="Calibri"/>
        </w:rPr>
        <w:t>lower than the Victorian level.</w:t>
      </w:r>
    </w:p>
    <w:p w14:paraId="32833FC7" w14:textId="77777777" w:rsidR="00F12C73" w:rsidRDefault="00F12C73" w:rsidP="00F12C73">
      <w:pPr>
        <w:spacing w:after="0" w:line="360" w:lineRule="auto"/>
        <w:jc w:val="both"/>
        <w:rPr>
          <w:rFonts w:ascii="Calibri" w:hAnsi="Calibri"/>
        </w:rPr>
      </w:pPr>
    </w:p>
    <w:p w14:paraId="70328FE1" w14:textId="18DDC468" w:rsidR="00F12C73" w:rsidRDefault="00F12C73" w:rsidP="00F12C73">
      <w:pPr>
        <w:spacing w:after="0" w:line="240" w:lineRule="auto"/>
        <w:jc w:val="both"/>
        <w:rPr>
          <w:rFonts w:ascii="Calibri" w:hAnsi="Calibri"/>
        </w:rPr>
      </w:pPr>
      <w:r w:rsidRPr="000F18B6">
        <w:rPr>
          <w:rFonts w:ascii="Calibri" w:hAnsi="Calibri"/>
          <w:color w:val="7F7F7F" w:themeColor="text1" w:themeTint="80"/>
          <w:sz w:val="20"/>
          <w:szCs w:val="20"/>
        </w:rPr>
        <w:t>Occupations of Employed Residents: Greater Dandenong, 20</w:t>
      </w:r>
      <w:r>
        <w:rPr>
          <w:rFonts w:ascii="Calibri" w:hAnsi="Calibri"/>
          <w:color w:val="7F7F7F" w:themeColor="text1" w:themeTint="80"/>
          <w:sz w:val="20"/>
          <w:szCs w:val="20"/>
        </w:rPr>
        <w:t>21</w:t>
      </w:r>
    </w:p>
    <w:p w14:paraId="5EC69BBB" w14:textId="0EC48919" w:rsidR="00F12C73" w:rsidRDefault="00F12C73" w:rsidP="00F12C73">
      <w:pPr>
        <w:spacing w:after="0" w:line="360" w:lineRule="auto"/>
        <w:jc w:val="both"/>
        <w:rPr>
          <w:rFonts w:ascii="Calibri" w:hAnsi="Calibri"/>
        </w:rPr>
      </w:pPr>
      <w:r>
        <w:rPr>
          <w:rFonts w:ascii="Calibri" w:hAnsi="Calibri"/>
          <w:noProof/>
        </w:rPr>
        <w:drawing>
          <wp:anchor distT="0" distB="0" distL="114300" distR="114300" simplePos="0" relativeHeight="251766784" behindDoc="0" locked="0" layoutInCell="1" allowOverlap="1" wp14:anchorId="6FBDAB46" wp14:editId="3803B9E4">
            <wp:simplePos x="0" y="0"/>
            <wp:positionH relativeFrom="column">
              <wp:posOffset>67574</wp:posOffset>
            </wp:positionH>
            <wp:positionV relativeFrom="paragraph">
              <wp:posOffset>138863</wp:posOffset>
            </wp:positionV>
            <wp:extent cx="4117975" cy="3067685"/>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117975" cy="3067685"/>
                    </a:xfrm>
                    <a:prstGeom prst="rect">
                      <a:avLst/>
                    </a:prstGeom>
                    <a:noFill/>
                  </pic:spPr>
                </pic:pic>
              </a:graphicData>
            </a:graphic>
            <wp14:sizeRelH relativeFrom="page">
              <wp14:pctWidth>0</wp14:pctWidth>
            </wp14:sizeRelH>
            <wp14:sizeRelV relativeFrom="page">
              <wp14:pctHeight>0</wp14:pctHeight>
            </wp14:sizeRelV>
          </wp:anchor>
        </w:drawing>
      </w:r>
    </w:p>
    <w:p w14:paraId="04512B7B" w14:textId="77777777" w:rsidR="00F12C73" w:rsidRDefault="00F12C73" w:rsidP="00F12C73">
      <w:pPr>
        <w:spacing w:after="0" w:line="360" w:lineRule="auto"/>
        <w:jc w:val="both"/>
        <w:rPr>
          <w:rFonts w:ascii="Calibri" w:hAnsi="Calibri"/>
        </w:rPr>
      </w:pPr>
      <w:r>
        <w:rPr>
          <w:rFonts w:ascii="Calibri" w:hAnsi="Calibri"/>
          <w:noProof/>
          <w:lang w:eastAsia="en-AU"/>
        </w:rPr>
        <w:drawing>
          <wp:anchor distT="0" distB="0" distL="114300" distR="114300" simplePos="0" relativeHeight="251771904" behindDoc="0" locked="0" layoutInCell="1" allowOverlap="1" wp14:anchorId="466E8FB8" wp14:editId="7CC2BFC9">
            <wp:simplePos x="0" y="0"/>
            <wp:positionH relativeFrom="column">
              <wp:posOffset>2915966</wp:posOffset>
            </wp:positionH>
            <wp:positionV relativeFrom="paragraph">
              <wp:posOffset>1697386</wp:posOffset>
            </wp:positionV>
            <wp:extent cx="1251585" cy="971550"/>
            <wp:effectExtent l="0" t="0" r="5715" b="0"/>
            <wp:wrapNone/>
            <wp:docPr id="105" name="Picture 105"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person&#10;&#10;Description automatically generated"/>
                    <pic:cNvPicPr/>
                  </pic:nvPicPr>
                  <pic:blipFill>
                    <a:blip r:embed="rId117">
                      <a:extLst>
                        <a:ext uri="{28A0092B-C50C-407E-A947-70E740481C1C}">
                          <a14:useLocalDpi xmlns:a14="http://schemas.microsoft.com/office/drawing/2010/main" val="0"/>
                        </a:ext>
                      </a:extLst>
                    </a:blip>
                    <a:stretch>
                      <a:fillRect/>
                    </a:stretch>
                  </pic:blipFill>
                  <pic:spPr>
                    <a:xfrm>
                      <a:off x="0" y="0"/>
                      <a:ext cx="1251585" cy="97155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r>
        <w:rPr>
          <w:rFonts w:ascii="Calibri" w:hAnsi="Calibri"/>
        </w:rPr>
        <w:t>The distribution of employed residents among categories of industry was similar to the metropolitan pattern, with the principal exception of manufacturing, which accounted for 16% of jobs held by residents, compared with 7% of employment across Melbourne.</w:t>
      </w:r>
    </w:p>
    <w:p w14:paraId="38FDB94B" w14:textId="77777777" w:rsidR="00F12C73" w:rsidRDefault="00F12C73" w:rsidP="00F12C73">
      <w:pPr>
        <w:spacing w:line="360" w:lineRule="auto"/>
        <w:jc w:val="both"/>
        <w:rPr>
          <w:rFonts w:ascii="Calibri" w:hAnsi="Calibri"/>
        </w:rPr>
      </w:pPr>
    </w:p>
    <w:p w14:paraId="794B53E7" w14:textId="59DEB948" w:rsidR="00FB7C6B" w:rsidRDefault="00FB7C6B" w:rsidP="0051666C">
      <w:pPr>
        <w:spacing w:after="0" w:line="360" w:lineRule="auto"/>
      </w:pPr>
    </w:p>
    <w:p w14:paraId="7341370E" w14:textId="56448944" w:rsidR="00F12C73" w:rsidRDefault="00F12C73">
      <w:r>
        <w:br w:type="page"/>
      </w:r>
    </w:p>
    <w:p w14:paraId="422155CC" w14:textId="77777777" w:rsidR="00554FF3" w:rsidRPr="00C60AE0" w:rsidRDefault="00554FF3" w:rsidP="00554FF3">
      <w:pPr>
        <w:pBdr>
          <w:top w:val="single" w:sz="4" w:space="1" w:color="auto"/>
          <w:bottom w:val="single" w:sz="4" w:space="1" w:color="auto"/>
        </w:pBdr>
        <w:tabs>
          <w:tab w:val="center" w:pos="4678"/>
        </w:tabs>
        <w:jc w:val="center"/>
        <w:rPr>
          <w:rFonts w:ascii="Calibri" w:hAnsi="Calibri"/>
          <w:sz w:val="32"/>
          <w:szCs w:val="32"/>
        </w:rPr>
      </w:pPr>
      <w:r>
        <w:rPr>
          <w:rFonts w:ascii="Calibri" w:hAnsi="Calibri"/>
          <w:noProof/>
          <w:sz w:val="32"/>
          <w:szCs w:val="32"/>
          <w:lang w:val="en-US"/>
        </w:rPr>
        <w:lastRenderedPageBreak/>
        <w:t>Business</w:t>
      </w:r>
    </w:p>
    <w:p w14:paraId="13E558B7" w14:textId="77777777" w:rsidR="00554FF3" w:rsidRPr="00554FF3" w:rsidRDefault="00554FF3" w:rsidP="00554FF3">
      <w:pPr>
        <w:spacing w:after="0" w:line="360" w:lineRule="auto"/>
        <w:rPr>
          <w:sz w:val="6"/>
          <w:szCs w:val="6"/>
        </w:rPr>
      </w:pPr>
    </w:p>
    <w:p w14:paraId="60892F1B" w14:textId="6C226091" w:rsidR="00554FF3" w:rsidRPr="00D6290A" w:rsidRDefault="00554FF3" w:rsidP="00554FF3">
      <w:pPr>
        <w:spacing w:after="0" w:line="360" w:lineRule="auto"/>
        <w:jc w:val="both"/>
        <w:rPr>
          <w:rFonts w:cstheme="minorHAnsi"/>
          <w:lang w:val="en-GB"/>
        </w:rPr>
      </w:pPr>
      <w:r w:rsidRPr="00D6290A">
        <w:rPr>
          <w:rFonts w:cstheme="minorHAnsi"/>
          <w:lang w:val="en-GB"/>
        </w:rPr>
        <w:t xml:space="preserve">By </w:t>
      </w:r>
      <w:r>
        <w:rPr>
          <w:rFonts w:cstheme="minorHAnsi"/>
          <w:lang w:val="en-GB"/>
        </w:rPr>
        <w:t>2022</w:t>
      </w:r>
      <w:r w:rsidRPr="00D6290A">
        <w:rPr>
          <w:rFonts w:cstheme="minorHAnsi"/>
          <w:lang w:val="en-GB"/>
        </w:rPr>
        <w:t xml:space="preserve"> there were </w:t>
      </w:r>
      <w:r>
        <w:rPr>
          <w:rFonts w:cstheme="minorHAnsi"/>
          <w:lang w:val="en-GB"/>
        </w:rPr>
        <w:t>20,482</w:t>
      </w:r>
      <w:r w:rsidRPr="00D6290A">
        <w:rPr>
          <w:rFonts w:cstheme="minorHAnsi"/>
          <w:lang w:val="en-GB"/>
        </w:rPr>
        <w:t xml:space="preserve"> businesses operating from Greater Dandenong.</w:t>
      </w:r>
    </w:p>
    <w:p w14:paraId="09E11BB8" w14:textId="74F0A8DC" w:rsidR="00554FF3" w:rsidRDefault="00554FF3" w:rsidP="00554FF3">
      <w:pPr>
        <w:spacing w:after="0" w:line="360" w:lineRule="auto"/>
        <w:jc w:val="both"/>
        <w:rPr>
          <w:rFonts w:cstheme="minorHAnsi"/>
          <w:lang w:val="en-GB"/>
        </w:rPr>
      </w:pPr>
      <w:r>
        <w:rPr>
          <w:rFonts w:cstheme="minorHAnsi"/>
          <w:noProof/>
          <w:lang w:val="en-GB"/>
        </w:rPr>
        <w:drawing>
          <wp:anchor distT="0" distB="0" distL="114300" distR="114300" simplePos="0" relativeHeight="251776000" behindDoc="0" locked="0" layoutInCell="1" allowOverlap="1" wp14:anchorId="66C9E1DC" wp14:editId="7E677F32">
            <wp:simplePos x="0" y="0"/>
            <wp:positionH relativeFrom="margin">
              <wp:posOffset>2310130</wp:posOffset>
            </wp:positionH>
            <wp:positionV relativeFrom="paragraph">
              <wp:posOffset>191135</wp:posOffset>
            </wp:positionV>
            <wp:extent cx="3804285" cy="3509645"/>
            <wp:effectExtent l="0" t="0" r="5715" b="0"/>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804285" cy="3509645"/>
                    </a:xfrm>
                    <a:prstGeom prst="rect">
                      <a:avLst/>
                    </a:prstGeom>
                    <a:noFill/>
                  </pic:spPr>
                </pic:pic>
              </a:graphicData>
            </a:graphic>
            <wp14:sizeRelH relativeFrom="page">
              <wp14:pctWidth>0</wp14:pctWidth>
            </wp14:sizeRelH>
            <wp14:sizeRelV relativeFrom="page">
              <wp14:pctHeight>0</wp14:pctHeight>
            </wp14:sizeRelV>
          </wp:anchor>
        </w:drawing>
      </w:r>
      <w:r w:rsidRPr="00D6290A">
        <w:rPr>
          <w:rFonts w:cstheme="minorHAnsi"/>
          <w:lang w:val="en-GB"/>
        </w:rPr>
        <w:t xml:space="preserve">Among the categories of industry accounting for the largest numbers of businesses were transport and warehousing (accounting for </w:t>
      </w:r>
      <w:r>
        <w:rPr>
          <w:rFonts w:cstheme="minorHAnsi"/>
          <w:lang w:val="en-GB"/>
        </w:rPr>
        <w:t>one-fifth</w:t>
      </w:r>
      <w:r w:rsidRPr="00D6290A">
        <w:rPr>
          <w:rFonts w:cstheme="minorHAnsi"/>
          <w:lang w:val="en-GB"/>
        </w:rPr>
        <w:t xml:space="preserve"> of businesses in the municipality); construction; rental, hiring and real estate; </w:t>
      </w:r>
      <w:r>
        <w:rPr>
          <w:rFonts w:cstheme="minorHAnsi"/>
          <w:lang w:val="en-GB"/>
        </w:rPr>
        <w:t xml:space="preserve">retain; administrative and support; </w:t>
      </w:r>
      <w:r w:rsidRPr="00D6290A">
        <w:rPr>
          <w:rFonts w:cstheme="minorHAnsi"/>
          <w:lang w:val="en-GB"/>
        </w:rPr>
        <w:t>manufacturing; and retail trade.</w:t>
      </w:r>
      <w:r>
        <w:rPr>
          <w:rFonts w:cstheme="minorHAnsi"/>
          <w:lang w:val="en-GB"/>
        </w:rPr>
        <w:t xml:space="preserve"> Together, these six industry divisions account for approximately two-thirds of all businesses within Greater Dandenong.</w:t>
      </w:r>
    </w:p>
    <w:p w14:paraId="1BF10D74" w14:textId="77777777" w:rsidR="00554FF3" w:rsidRPr="00222CBC" w:rsidRDefault="00554FF3" w:rsidP="00554FF3">
      <w:pPr>
        <w:spacing w:after="0" w:line="360" w:lineRule="auto"/>
        <w:jc w:val="both"/>
        <w:rPr>
          <w:rFonts w:cstheme="minorHAnsi"/>
          <w:sz w:val="16"/>
          <w:szCs w:val="16"/>
          <w:lang w:val="en-GB"/>
        </w:rPr>
      </w:pPr>
    </w:p>
    <w:p w14:paraId="099DEA0B" w14:textId="08D73360" w:rsidR="00554FF3" w:rsidRPr="00222CBC" w:rsidRDefault="00554FF3" w:rsidP="00554FF3">
      <w:pPr>
        <w:spacing w:after="0" w:line="240" w:lineRule="auto"/>
        <w:jc w:val="both"/>
        <w:rPr>
          <w:rFonts w:cstheme="minorHAnsi"/>
          <w:color w:val="7F7F7F" w:themeColor="text1" w:themeTint="80"/>
          <w:sz w:val="20"/>
          <w:szCs w:val="20"/>
          <w:lang w:val="en-GB"/>
        </w:rPr>
      </w:pPr>
      <w:r w:rsidRPr="00222CBC">
        <w:rPr>
          <w:rFonts w:cstheme="minorHAnsi"/>
          <w:color w:val="7F7F7F" w:themeColor="text1" w:themeTint="80"/>
          <w:sz w:val="20"/>
          <w:szCs w:val="20"/>
          <w:lang w:val="en-GB"/>
        </w:rPr>
        <w:t>Number of Businesses by Industry Division: Greater Dandenong, 2022</w:t>
      </w:r>
    </w:p>
    <w:p w14:paraId="0A2865BE" w14:textId="77777777" w:rsidR="00554FF3" w:rsidRDefault="00554FF3" w:rsidP="00554FF3">
      <w:pPr>
        <w:spacing w:after="0" w:line="360" w:lineRule="auto"/>
        <w:jc w:val="both"/>
        <w:rPr>
          <w:rFonts w:cstheme="minorHAnsi"/>
          <w:sz w:val="16"/>
          <w:szCs w:val="16"/>
          <w:lang w:val="en-GB"/>
        </w:rPr>
      </w:pPr>
    </w:p>
    <w:p w14:paraId="4AD3D0E9" w14:textId="0ADC970E" w:rsidR="00554FF3" w:rsidRPr="00D6290A" w:rsidRDefault="00554FF3" w:rsidP="00554FF3">
      <w:pPr>
        <w:spacing w:after="0" w:line="360" w:lineRule="auto"/>
        <w:jc w:val="both"/>
        <w:rPr>
          <w:rFonts w:cstheme="minorHAnsi"/>
          <w:lang w:val="en-GB"/>
        </w:rPr>
      </w:pPr>
      <w:r>
        <w:rPr>
          <w:rFonts w:cstheme="minorHAnsi"/>
          <w:noProof/>
          <w:lang w:val="en-GB"/>
        </w:rPr>
        <w:drawing>
          <wp:anchor distT="0" distB="0" distL="114300" distR="114300" simplePos="0" relativeHeight="251777024" behindDoc="0" locked="0" layoutInCell="1" allowOverlap="1" wp14:anchorId="6B3389CE" wp14:editId="19CB2E6D">
            <wp:simplePos x="0" y="0"/>
            <wp:positionH relativeFrom="margin">
              <wp:posOffset>60325</wp:posOffset>
            </wp:positionH>
            <wp:positionV relativeFrom="paragraph">
              <wp:posOffset>711200</wp:posOffset>
            </wp:positionV>
            <wp:extent cx="3599180" cy="4504690"/>
            <wp:effectExtent l="0" t="0" r="1270" b="0"/>
            <wp:wrapSquare wrapText="bothSides"/>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9">
                      <a:extLst>
                        <a:ext uri="{28A0092B-C50C-407E-A947-70E740481C1C}">
                          <a14:useLocalDpi xmlns:a14="http://schemas.microsoft.com/office/drawing/2010/main" val="0"/>
                        </a:ext>
                      </a:extLst>
                    </a:blip>
                    <a:srcRect b="49401"/>
                    <a:stretch/>
                  </pic:blipFill>
                  <pic:spPr bwMode="auto">
                    <a:xfrm>
                      <a:off x="0" y="0"/>
                      <a:ext cx="3599180" cy="4504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290A">
        <w:rPr>
          <w:rFonts w:cstheme="minorHAnsi"/>
          <w:lang w:val="en-GB"/>
        </w:rPr>
        <w:t xml:space="preserve">Among the suburbs of Greater Dandenong, half of all businesses – </w:t>
      </w:r>
      <w:r>
        <w:rPr>
          <w:rFonts w:cstheme="minorHAnsi"/>
          <w:lang w:val="en-GB"/>
        </w:rPr>
        <w:t>including</w:t>
      </w:r>
      <w:r w:rsidRPr="00D6290A">
        <w:rPr>
          <w:rFonts w:cstheme="minorHAnsi"/>
          <w:lang w:val="en-GB"/>
        </w:rPr>
        <w:t xml:space="preserve"> 70 per cent of manufacturing - are situated in Dandenong, Dandenong North or Dandenong South.</w:t>
      </w:r>
    </w:p>
    <w:p w14:paraId="3B025EE6" w14:textId="27F8B24A" w:rsidR="00554FF3" w:rsidRDefault="00554FF3" w:rsidP="00554FF3">
      <w:pPr>
        <w:spacing w:after="0" w:line="360" w:lineRule="auto"/>
        <w:jc w:val="both"/>
        <w:rPr>
          <w:rFonts w:cstheme="minorHAnsi"/>
          <w:sz w:val="16"/>
          <w:szCs w:val="16"/>
          <w:lang w:val="en-GB"/>
        </w:rPr>
      </w:pPr>
    </w:p>
    <w:p w14:paraId="64FF78BE" w14:textId="68D82F3B" w:rsidR="00554FF3" w:rsidRDefault="00554FF3" w:rsidP="00554FF3">
      <w:pPr>
        <w:spacing w:after="0" w:line="360" w:lineRule="auto"/>
        <w:jc w:val="both"/>
        <w:rPr>
          <w:rFonts w:cstheme="minorHAnsi"/>
          <w:sz w:val="16"/>
          <w:szCs w:val="16"/>
          <w:lang w:val="en-GB"/>
        </w:rPr>
      </w:pPr>
    </w:p>
    <w:p w14:paraId="37C7ED09" w14:textId="7F7C4531" w:rsidR="00554FF3" w:rsidRDefault="00554FF3" w:rsidP="00554FF3">
      <w:pPr>
        <w:spacing w:after="0" w:line="360" w:lineRule="auto"/>
        <w:jc w:val="both"/>
        <w:rPr>
          <w:rFonts w:cstheme="minorHAnsi"/>
          <w:sz w:val="16"/>
          <w:szCs w:val="16"/>
          <w:lang w:val="en-GB"/>
        </w:rPr>
      </w:pPr>
    </w:p>
    <w:p w14:paraId="0BDD4E36" w14:textId="77777777" w:rsidR="00554FF3" w:rsidRDefault="00554FF3" w:rsidP="00554FF3">
      <w:pPr>
        <w:spacing w:after="0" w:line="360" w:lineRule="auto"/>
        <w:jc w:val="both"/>
        <w:rPr>
          <w:rFonts w:cstheme="minorHAnsi"/>
          <w:sz w:val="16"/>
          <w:szCs w:val="16"/>
          <w:lang w:val="en-GB"/>
        </w:rPr>
      </w:pPr>
    </w:p>
    <w:p w14:paraId="440E1C39" w14:textId="77777777" w:rsidR="00554FF3" w:rsidRDefault="00554FF3" w:rsidP="00554FF3">
      <w:pPr>
        <w:spacing w:after="0" w:line="360" w:lineRule="auto"/>
        <w:jc w:val="both"/>
        <w:rPr>
          <w:rFonts w:cstheme="minorHAnsi"/>
          <w:sz w:val="16"/>
          <w:szCs w:val="16"/>
          <w:lang w:val="en-GB"/>
        </w:rPr>
      </w:pPr>
    </w:p>
    <w:p w14:paraId="6C5D8FCB" w14:textId="77777777" w:rsidR="00554FF3" w:rsidRPr="00D6290A" w:rsidRDefault="00554FF3" w:rsidP="00554FF3">
      <w:pPr>
        <w:spacing w:after="0" w:line="360" w:lineRule="auto"/>
        <w:jc w:val="both"/>
        <w:rPr>
          <w:rFonts w:cstheme="minorHAnsi"/>
          <w:lang w:val="en-GB"/>
        </w:rPr>
      </w:pPr>
      <w:r w:rsidRPr="00D6290A">
        <w:rPr>
          <w:rFonts w:cstheme="minorHAnsi"/>
          <w:lang w:val="en-GB"/>
        </w:rPr>
        <w:t xml:space="preserve">The number of </w:t>
      </w:r>
      <w:r>
        <w:rPr>
          <w:rFonts w:cstheme="minorHAnsi"/>
          <w:lang w:val="en-GB"/>
        </w:rPr>
        <w:t xml:space="preserve">local </w:t>
      </w:r>
      <w:r w:rsidRPr="00D6290A">
        <w:rPr>
          <w:rFonts w:cstheme="minorHAnsi"/>
          <w:lang w:val="en-GB"/>
        </w:rPr>
        <w:t>businesses in the manufacturing sector was the largest among the municipalities of Victoria</w:t>
      </w:r>
      <w:r>
        <w:rPr>
          <w:rFonts w:cstheme="minorHAnsi"/>
          <w:lang w:val="en-GB"/>
        </w:rPr>
        <w:t xml:space="preserve"> (illustration, left)</w:t>
      </w:r>
      <w:r w:rsidRPr="00D6290A">
        <w:rPr>
          <w:rFonts w:cstheme="minorHAnsi"/>
          <w:lang w:val="en-GB"/>
        </w:rPr>
        <w:t xml:space="preserve">, </w:t>
      </w:r>
      <w:r>
        <w:rPr>
          <w:rFonts w:cstheme="minorHAnsi"/>
          <w:lang w:val="en-GB"/>
        </w:rPr>
        <w:t>those in</w:t>
      </w:r>
      <w:r w:rsidRPr="00D6290A">
        <w:rPr>
          <w:rFonts w:cstheme="minorHAnsi"/>
          <w:lang w:val="en-GB"/>
        </w:rPr>
        <w:t xml:space="preserve"> transport and warehousing </w:t>
      </w:r>
      <w:r>
        <w:rPr>
          <w:rFonts w:cstheme="minorHAnsi"/>
          <w:lang w:val="en-GB"/>
        </w:rPr>
        <w:t xml:space="preserve">were </w:t>
      </w:r>
      <w:r w:rsidRPr="00D6290A">
        <w:rPr>
          <w:rFonts w:cstheme="minorHAnsi"/>
          <w:lang w:val="en-GB"/>
        </w:rPr>
        <w:t xml:space="preserve">the sixth highest in the state, and the number in public administration and safety </w:t>
      </w:r>
      <w:r>
        <w:rPr>
          <w:rFonts w:cstheme="minorHAnsi"/>
          <w:lang w:val="en-GB"/>
        </w:rPr>
        <w:t xml:space="preserve">were </w:t>
      </w:r>
      <w:r w:rsidRPr="00D6290A">
        <w:rPr>
          <w:rFonts w:cstheme="minorHAnsi"/>
          <w:lang w:val="en-GB"/>
        </w:rPr>
        <w:t>ranked eighth.</w:t>
      </w:r>
      <w:r w:rsidRPr="00222CBC">
        <w:rPr>
          <w:rFonts w:cstheme="minorHAnsi"/>
          <w:noProof/>
          <w:lang w:val="en-GB"/>
        </w:rPr>
        <w:t xml:space="preserve"> </w:t>
      </w:r>
    </w:p>
    <w:p w14:paraId="5C625DD3" w14:textId="77777777" w:rsidR="00554FF3" w:rsidRDefault="00554FF3" w:rsidP="00554FF3">
      <w:pPr>
        <w:spacing w:after="0" w:line="360" w:lineRule="auto"/>
        <w:jc w:val="both"/>
        <w:rPr>
          <w:rFonts w:cstheme="minorHAnsi"/>
          <w:sz w:val="16"/>
          <w:szCs w:val="16"/>
          <w:lang w:val="en-GB"/>
        </w:rPr>
      </w:pPr>
    </w:p>
    <w:p w14:paraId="44B643E4" w14:textId="77777777" w:rsidR="00554FF3" w:rsidRPr="00222CBC" w:rsidRDefault="00554FF3" w:rsidP="00554FF3">
      <w:pPr>
        <w:spacing w:after="0" w:line="360" w:lineRule="auto"/>
        <w:jc w:val="both"/>
        <w:rPr>
          <w:rFonts w:cstheme="minorHAnsi"/>
          <w:sz w:val="16"/>
          <w:szCs w:val="16"/>
          <w:lang w:val="en-GB"/>
        </w:rPr>
      </w:pPr>
    </w:p>
    <w:p w14:paraId="1F574C4F" w14:textId="77777777" w:rsidR="00554FF3" w:rsidRPr="00222CBC" w:rsidRDefault="00554FF3" w:rsidP="00554FF3">
      <w:pPr>
        <w:spacing w:after="0" w:line="240" w:lineRule="auto"/>
        <w:jc w:val="both"/>
        <w:rPr>
          <w:rFonts w:cstheme="minorHAnsi"/>
          <w:color w:val="7F7F7F" w:themeColor="text1" w:themeTint="80"/>
          <w:sz w:val="20"/>
          <w:szCs w:val="20"/>
          <w:lang w:val="en-GB"/>
        </w:rPr>
      </w:pPr>
      <w:r w:rsidRPr="00222CBC">
        <w:rPr>
          <w:rFonts w:cstheme="minorHAnsi"/>
          <w:color w:val="7F7F7F" w:themeColor="text1" w:themeTint="80"/>
          <w:sz w:val="20"/>
          <w:szCs w:val="20"/>
          <w:lang w:val="en-GB"/>
        </w:rPr>
        <w:t>Counts of Business in Manufacturing Division: Victorian municipalities, 2022</w:t>
      </w:r>
    </w:p>
    <w:p w14:paraId="73173B4D" w14:textId="77777777" w:rsidR="00554FF3" w:rsidRDefault="00554FF3" w:rsidP="00554FF3">
      <w:pPr>
        <w:spacing w:after="0" w:line="360" w:lineRule="auto"/>
        <w:jc w:val="both"/>
        <w:rPr>
          <w:rFonts w:cstheme="minorHAnsi"/>
          <w:sz w:val="16"/>
          <w:szCs w:val="16"/>
          <w:lang w:val="en-GB"/>
        </w:rPr>
      </w:pPr>
    </w:p>
    <w:p w14:paraId="1E52CA4D" w14:textId="77777777" w:rsidR="00FB7C6B" w:rsidRDefault="00FB7C6B" w:rsidP="00554FF3">
      <w:pPr>
        <w:spacing w:after="0" w:line="360" w:lineRule="auto"/>
      </w:pPr>
    </w:p>
    <w:p w14:paraId="5AF3A2CD" w14:textId="4FB96C89" w:rsidR="00FB7C6B" w:rsidRDefault="00FB7C6B" w:rsidP="0051666C">
      <w:pPr>
        <w:spacing w:after="0" w:line="360" w:lineRule="auto"/>
      </w:pPr>
    </w:p>
    <w:p w14:paraId="629C7C4A" w14:textId="540974D6" w:rsidR="00E244F3" w:rsidRPr="000907B7" w:rsidRDefault="00E244F3" w:rsidP="00A26F54">
      <w:pPr>
        <w:pBdr>
          <w:top w:val="single" w:sz="4" w:space="1" w:color="auto"/>
          <w:bottom w:val="single" w:sz="4" w:space="1" w:color="auto"/>
        </w:pBdr>
        <w:tabs>
          <w:tab w:val="center" w:pos="4678"/>
        </w:tabs>
        <w:jc w:val="center"/>
        <w:rPr>
          <w:rFonts w:ascii="Calibri" w:hAnsi="Calibri"/>
          <w:noProof/>
          <w:sz w:val="32"/>
          <w:szCs w:val="32"/>
        </w:rPr>
      </w:pPr>
      <w:r w:rsidRPr="000907B7">
        <w:rPr>
          <w:rFonts w:ascii="Calibri" w:hAnsi="Calibri"/>
          <w:noProof/>
          <w:sz w:val="32"/>
          <w:szCs w:val="32"/>
        </w:rPr>
        <w:lastRenderedPageBreak/>
        <w:t>Incomes</w:t>
      </w:r>
      <w:r>
        <w:rPr>
          <w:rFonts w:ascii="Calibri" w:hAnsi="Calibri"/>
          <w:noProof/>
          <w:sz w:val="32"/>
          <w:szCs w:val="32"/>
        </w:rPr>
        <w:t xml:space="preserve"> and Financial Disadvantage</w:t>
      </w:r>
    </w:p>
    <w:p w14:paraId="285900D8" w14:textId="77777777" w:rsidR="00E244F3" w:rsidRPr="00E244F3" w:rsidRDefault="00E244F3" w:rsidP="00E244F3">
      <w:pPr>
        <w:tabs>
          <w:tab w:val="left" w:pos="4962"/>
        </w:tabs>
        <w:spacing w:after="0" w:line="360" w:lineRule="auto"/>
        <w:jc w:val="right"/>
        <w:rPr>
          <w:rFonts w:ascii="Calibri" w:hAnsi="Calibri"/>
          <w:noProof/>
          <w:sz w:val="8"/>
          <w:szCs w:val="8"/>
        </w:rPr>
      </w:pPr>
      <w:r w:rsidRPr="00E244F3">
        <w:rPr>
          <w:rFonts w:ascii="Calibri" w:hAnsi="Calibri"/>
          <w:noProof/>
          <w:sz w:val="8"/>
          <w:szCs w:val="8"/>
          <w:lang w:eastAsia="en-AU"/>
        </w:rPr>
        <w:drawing>
          <wp:anchor distT="0" distB="0" distL="114300" distR="114300" simplePos="0" relativeHeight="251779072" behindDoc="1" locked="0" layoutInCell="1" allowOverlap="1" wp14:anchorId="4E233A4B" wp14:editId="38801B99">
            <wp:simplePos x="0" y="0"/>
            <wp:positionH relativeFrom="column">
              <wp:posOffset>-91440</wp:posOffset>
            </wp:positionH>
            <wp:positionV relativeFrom="paragraph">
              <wp:posOffset>21590</wp:posOffset>
            </wp:positionV>
            <wp:extent cx="1097280" cy="1631315"/>
            <wp:effectExtent l="0" t="0" r="7620" b="6985"/>
            <wp:wrapTight wrapText="bothSides">
              <wp:wrapPolygon edited="0">
                <wp:start x="1500" y="0"/>
                <wp:lineTo x="0" y="504"/>
                <wp:lineTo x="0" y="20684"/>
                <wp:lineTo x="750" y="21440"/>
                <wp:lineTo x="1500" y="21440"/>
                <wp:lineTo x="19875" y="21440"/>
                <wp:lineTo x="20625" y="21440"/>
                <wp:lineTo x="21375" y="20684"/>
                <wp:lineTo x="21375" y="504"/>
                <wp:lineTo x="19875" y="0"/>
                <wp:lineTo x="1500" y="0"/>
              </wp:wrapPolygon>
            </wp:wrapTight>
            <wp:docPr id="124" name="Picture 87" descr="lady with shoppingImage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dy with shoppingImage5559.jpg"/>
                    <pic:cNvPicPr/>
                  </pic:nvPicPr>
                  <pic:blipFill>
                    <a:blip r:embed="rId120" cstate="print"/>
                    <a:srcRect l="12790" r="18331" b="32854"/>
                    <a:stretch>
                      <a:fillRect/>
                    </a:stretch>
                  </pic:blipFill>
                  <pic:spPr>
                    <a:xfrm>
                      <a:off x="0" y="0"/>
                      <a:ext cx="1097280" cy="16313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9822FC3" w14:textId="32683509" w:rsidR="00E244F3" w:rsidRPr="00624E66" w:rsidRDefault="00E244F3" w:rsidP="00E244F3">
      <w:pPr>
        <w:tabs>
          <w:tab w:val="left" w:pos="4962"/>
        </w:tabs>
        <w:spacing w:after="0" w:line="360" w:lineRule="auto"/>
        <w:jc w:val="both"/>
        <w:rPr>
          <w:rFonts w:ascii="Calibri" w:hAnsi="Calibri"/>
          <w:noProof/>
          <w:color w:val="7F7F7F"/>
          <w:sz w:val="20"/>
          <w:szCs w:val="20"/>
        </w:rPr>
      </w:pPr>
      <w:r>
        <w:rPr>
          <w:rFonts w:ascii="Calibri" w:hAnsi="Calibri"/>
          <w:noProof/>
          <w:color w:val="7F7F7F"/>
          <w:sz w:val="20"/>
          <w:szCs w:val="20"/>
        </w:rPr>
        <w:drawing>
          <wp:anchor distT="0" distB="0" distL="114300" distR="114300" simplePos="0" relativeHeight="251781120" behindDoc="0" locked="0" layoutInCell="1" allowOverlap="1" wp14:anchorId="25AF99F2" wp14:editId="62C773E2">
            <wp:simplePos x="0" y="0"/>
            <wp:positionH relativeFrom="margin">
              <wp:align>right</wp:align>
            </wp:positionH>
            <wp:positionV relativeFrom="paragraph">
              <wp:posOffset>796476</wp:posOffset>
            </wp:positionV>
            <wp:extent cx="4566920" cy="2944495"/>
            <wp:effectExtent l="0" t="0" r="5080" b="8255"/>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566920" cy="2944495"/>
                    </a:xfrm>
                    <a:prstGeom prst="rect">
                      <a:avLst/>
                    </a:prstGeom>
                    <a:noFill/>
                  </pic:spPr>
                </pic:pic>
              </a:graphicData>
            </a:graphic>
            <wp14:sizeRelH relativeFrom="page">
              <wp14:pctWidth>0</wp14:pctWidth>
            </wp14:sizeRelH>
            <wp14:sizeRelV relativeFrom="page">
              <wp14:pctHeight>0</wp14:pctHeight>
            </wp14:sizeRelV>
          </wp:anchor>
        </w:drawing>
      </w:r>
      <w:r w:rsidRPr="00C341FE">
        <w:rPr>
          <w:rFonts w:ascii="Calibri" w:hAnsi="Calibri"/>
          <w:color w:val="000000"/>
        </w:rPr>
        <w:t>In 20</w:t>
      </w:r>
      <w:r>
        <w:rPr>
          <w:rFonts w:ascii="Calibri" w:hAnsi="Calibri"/>
          <w:color w:val="000000"/>
        </w:rPr>
        <w:t>21</w:t>
      </w:r>
      <w:r w:rsidRPr="00C341FE">
        <w:rPr>
          <w:rFonts w:ascii="Calibri" w:hAnsi="Calibri"/>
          <w:color w:val="000000"/>
        </w:rPr>
        <w:t xml:space="preserve">, the median individual weekly </w:t>
      </w:r>
      <w:r>
        <w:rPr>
          <w:rFonts w:ascii="Calibri" w:hAnsi="Calibri"/>
          <w:color w:val="000000"/>
        </w:rPr>
        <w:t xml:space="preserve">gross </w:t>
      </w:r>
      <w:r w:rsidRPr="00C341FE">
        <w:rPr>
          <w:rFonts w:ascii="Calibri" w:hAnsi="Calibri"/>
          <w:color w:val="000000"/>
        </w:rPr>
        <w:t>income in Greater Dandenong stood at $</w:t>
      </w:r>
      <w:r>
        <w:rPr>
          <w:rFonts w:ascii="Calibri" w:hAnsi="Calibri"/>
          <w:color w:val="000000"/>
        </w:rPr>
        <w:t>619</w:t>
      </w:r>
      <w:r w:rsidRPr="00C341FE">
        <w:rPr>
          <w:rFonts w:ascii="Calibri" w:hAnsi="Calibri"/>
          <w:color w:val="000000"/>
        </w:rPr>
        <w:t xml:space="preserve"> – the lowest in Melbourne</w:t>
      </w:r>
      <w:r>
        <w:rPr>
          <w:rFonts w:ascii="Calibri" w:hAnsi="Calibri"/>
          <w:color w:val="000000"/>
        </w:rPr>
        <w:t xml:space="preserve"> and substantially less than the State-wide level</w:t>
      </w:r>
      <w:r w:rsidRPr="00C341FE">
        <w:rPr>
          <w:rFonts w:ascii="Calibri" w:hAnsi="Calibri"/>
          <w:color w:val="000000"/>
        </w:rPr>
        <w:t xml:space="preserve">. </w:t>
      </w:r>
      <w:r>
        <w:rPr>
          <w:rFonts w:ascii="Calibri" w:hAnsi="Calibri"/>
          <w:color w:val="000000"/>
        </w:rPr>
        <w:t xml:space="preserve">However, in the decade to 2021, individual gross incomes had risen from 70% to 76% of the Victorian level. </w:t>
      </w:r>
    </w:p>
    <w:p w14:paraId="126F4F1E" w14:textId="247833CE" w:rsidR="00E244F3" w:rsidRPr="00624E66" w:rsidRDefault="00E244F3" w:rsidP="00E244F3">
      <w:pPr>
        <w:tabs>
          <w:tab w:val="left" w:pos="284"/>
        </w:tabs>
        <w:spacing w:after="0" w:line="360" w:lineRule="auto"/>
        <w:jc w:val="both"/>
        <w:rPr>
          <w:rFonts w:ascii="Calibri" w:hAnsi="Calibri"/>
          <w:color w:val="000000"/>
          <w:sz w:val="10"/>
          <w:szCs w:val="10"/>
        </w:rPr>
      </w:pPr>
    </w:p>
    <w:p w14:paraId="533AEE5D" w14:textId="1FCFEC61" w:rsidR="00E244F3" w:rsidRPr="00F10793" w:rsidRDefault="00E244F3" w:rsidP="00E244F3">
      <w:pPr>
        <w:tabs>
          <w:tab w:val="left" w:pos="284"/>
        </w:tabs>
        <w:spacing w:after="0" w:line="240" w:lineRule="auto"/>
        <w:jc w:val="both"/>
        <w:rPr>
          <w:rFonts w:ascii="Calibri" w:hAnsi="Calibri"/>
          <w:color w:val="7F7F7F"/>
          <w:sz w:val="20"/>
          <w:szCs w:val="20"/>
        </w:rPr>
      </w:pPr>
      <w:r w:rsidRPr="00F10793">
        <w:rPr>
          <w:rFonts w:ascii="Calibri" w:hAnsi="Calibri"/>
          <w:color w:val="7F7F7F"/>
          <w:sz w:val="20"/>
          <w:szCs w:val="20"/>
        </w:rPr>
        <w:t>Median Incomes by Sex: Greater Dandenong, 20</w:t>
      </w:r>
      <w:r>
        <w:rPr>
          <w:rFonts w:ascii="Calibri" w:hAnsi="Calibri"/>
          <w:color w:val="7F7F7F"/>
          <w:sz w:val="20"/>
          <w:szCs w:val="20"/>
        </w:rPr>
        <w:t>21</w:t>
      </w:r>
    </w:p>
    <w:p w14:paraId="281BB642" w14:textId="7D993099" w:rsidR="00E244F3" w:rsidRPr="00E244F3" w:rsidRDefault="00E244F3" w:rsidP="00E244F3">
      <w:pPr>
        <w:tabs>
          <w:tab w:val="left" w:pos="284"/>
        </w:tabs>
        <w:spacing w:after="0" w:line="360" w:lineRule="auto"/>
        <w:jc w:val="both"/>
        <w:rPr>
          <w:rFonts w:ascii="Calibri" w:hAnsi="Calibri"/>
          <w:color w:val="000000"/>
          <w:sz w:val="6"/>
          <w:szCs w:val="6"/>
        </w:rPr>
      </w:pPr>
    </w:p>
    <w:p w14:paraId="16D75608" w14:textId="5C44E8F6" w:rsidR="00E244F3" w:rsidRDefault="00E244F3" w:rsidP="00E244F3">
      <w:pPr>
        <w:tabs>
          <w:tab w:val="left" w:pos="284"/>
        </w:tabs>
        <w:spacing w:after="0" w:line="360" w:lineRule="auto"/>
        <w:jc w:val="both"/>
        <w:rPr>
          <w:rFonts w:ascii="Calibri" w:hAnsi="Calibri"/>
          <w:color w:val="000000"/>
        </w:rPr>
      </w:pPr>
      <w:r w:rsidRPr="00C341FE">
        <w:rPr>
          <w:rFonts w:ascii="Calibri" w:hAnsi="Calibri"/>
          <w:color w:val="000000"/>
        </w:rPr>
        <w:t>At $</w:t>
      </w:r>
      <w:r>
        <w:rPr>
          <w:rFonts w:ascii="Calibri" w:hAnsi="Calibri"/>
          <w:color w:val="000000"/>
        </w:rPr>
        <w:t>482</w:t>
      </w:r>
      <w:r w:rsidRPr="00C341FE">
        <w:rPr>
          <w:rFonts w:ascii="Calibri" w:hAnsi="Calibri"/>
          <w:color w:val="000000"/>
        </w:rPr>
        <w:t xml:space="preserve"> per week, income</w:t>
      </w:r>
      <w:r>
        <w:rPr>
          <w:rFonts w:ascii="Calibri" w:hAnsi="Calibri"/>
          <w:color w:val="000000"/>
        </w:rPr>
        <w:t>s</w:t>
      </w:r>
      <w:r w:rsidRPr="00C341FE">
        <w:rPr>
          <w:rFonts w:ascii="Calibri" w:hAnsi="Calibri"/>
          <w:color w:val="000000"/>
        </w:rPr>
        <w:t xml:space="preserve"> among </w:t>
      </w:r>
      <w:r>
        <w:rPr>
          <w:rFonts w:ascii="Calibri" w:hAnsi="Calibri"/>
          <w:color w:val="000000"/>
        </w:rPr>
        <w:t>fe</w:t>
      </w:r>
      <w:r w:rsidRPr="00C341FE">
        <w:rPr>
          <w:rFonts w:ascii="Calibri" w:hAnsi="Calibri"/>
          <w:color w:val="000000"/>
        </w:rPr>
        <w:t>males</w:t>
      </w:r>
      <w:r>
        <w:rPr>
          <w:rFonts w:ascii="Calibri" w:hAnsi="Calibri"/>
          <w:color w:val="000000"/>
        </w:rPr>
        <w:t xml:space="preserve"> aged 15-85 years in Greater Dandenong</w:t>
      </w:r>
      <w:r w:rsidRPr="00C341FE">
        <w:rPr>
          <w:rFonts w:ascii="Calibri" w:hAnsi="Calibri"/>
          <w:color w:val="000000"/>
        </w:rPr>
        <w:t xml:space="preserve"> were </w:t>
      </w:r>
      <w:r>
        <w:rPr>
          <w:rFonts w:ascii="Calibri" w:hAnsi="Calibri"/>
          <w:color w:val="000000"/>
        </w:rPr>
        <w:t>61%</w:t>
      </w:r>
      <w:r w:rsidRPr="00C341FE">
        <w:rPr>
          <w:rFonts w:ascii="Calibri" w:hAnsi="Calibri"/>
          <w:color w:val="000000"/>
        </w:rPr>
        <w:t xml:space="preserve"> </w:t>
      </w:r>
      <w:r>
        <w:rPr>
          <w:rFonts w:ascii="Calibri" w:hAnsi="Calibri"/>
          <w:color w:val="000000"/>
        </w:rPr>
        <w:t>of</w:t>
      </w:r>
      <w:r w:rsidRPr="00C341FE">
        <w:rPr>
          <w:rFonts w:ascii="Calibri" w:hAnsi="Calibri"/>
          <w:color w:val="000000"/>
        </w:rPr>
        <w:t xml:space="preserve"> those for males, at $</w:t>
      </w:r>
      <w:r>
        <w:rPr>
          <w:rFonts w:ascii="Calibri" w:hAnsi="Calibri"/>
          <w:color w:val="000000"/>
        </w:rPr>
        <w:t>790</w:t>
      </w:r>
      <w:r w:rsidRPr="00C341FE">
        <w:rPr>
          <w:rFonts w:ascii="Calibri" w:hAnsi="Calibri"/>
          <w:color w:val="000000"/>
        </w:rPr>
        <w:t xml:space="preserve">. The disparity between female and male income levels in Greater Dandenong was most </w:t>
      </w:r>
      <w:r>
        <w:rPr>
          <w:rFonts w:ascii="Calibri" w:hAnsi="Calibri"/>
          <w:color w:val="000000"/>
        </w:rPr>
        <w:t>prominent</w:t>
      </w:r>
      <w:r w:rsidRPr="00C341FE">
        <w:rPr>
          <w:rFonts w:ascii="Calibri" w:hAnsi="Calibri"/>
          <w:color w:val="000000"/>
        </w:rPr>
        <w:t xml:space="preserve"> among residents of working age</w:t>
      </w:r>
      <w:r>
        <w:rPr>
          <w:rFonts w:ascii="Calibri" w:hAnsi="Calibri"/>
          <w:color w:val="000000"/>
        </w:rPr>
        <w:t xml:space="preserve"> (diagram, above)</w:t>
      </w:r>
      <w:r w:rsidRPr="00C341FE">
        <w:rPr>
          <w:rFonts w:ascii="Calibri" w:hAnsi="Calibri"/>
          <w:color w:val="000000"/>
        </w:rPr>
        <w:t>.</w:t>
      </w:r>
    </w:p>
    <w:p w14:paraId="5E0C2820" w14:textId="5AAA1203" w:rsidR="00E244F3" w:rsidRPr="00466254" w:rsidRDefault="00E244F3" w:rsidP="00E244F3">
      <w:pPr>
        <w:tabs>
          <w:tab w:val="left" w:pos="284"/>
        </w:tabs>
        <w:spacing w:after="0" w:line="240" w:lineRule="auto"/>
        <w:rPr>
          <w:rFonts w:ascii="Calibri" w:hAnsi="Calibri"/>
          <w:color w:val="000000"/>
        </w:rPr>
      </w:pPr>
      <w:r>
        <w:rPr>
          <w:rFonts w:ascii="Calibri" w:hAnsi="Calibri"/>
          <w:noProof/>
          <w:color w:val="000000"/>
        </w:rPr>
        <w:drawing>
          <wp:anchor distT="0" distB="0" distL="114300" distR="114300" simplePos="0" relativeHeight="251785216" behindDoc="0" locked="0" layoutInCell="1" allowOverlap="1" wp14:anchorId="2440D489" wp14:editId="394713B5">
            <wp:simplePos x="0" y="0"/>
            <wp:positionH relativeFrom="margin">
              <wp:align>left</wp:align>
            </wp:positionH>
            <wp:positionV relativeFrom="paragraph">
              <wp:posOffset>129927</wp:posOffset>
            </wp:positionV>
            <wp:extent cx="3724275" cy="4203700"/>
            <wp:effectExtent l="0" t="0" r="9525" b="6350"/>
            <wp:wrapSquare wrapText="bothSides"/>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724275" cy="4203700"/>
                    </a:xfrm>
                    <a:prstGeom prst="rect">
                      <a:avLst/>
                    </a:prstGeom>
                    <a:noFill/>
                  </pic:spPr>
                </pic:pic>
              </a:graphicData>
            </a:graphic>
            <wp14:sizeRelH relativeFrom="page">
              <wp14:pctWidth>0</wp14:pctWidth>
            </wp14:sizeRelH>
            <wp14:sizeRelV relativeFrom="page">
              <wp14:pctHeight>0</wp14:pctHeight>
            </wp14:sizeRelV>
          </wp:anchor>
        </w:drawing>
      </w:r>
      <w:r w:rsidRPr="00F10793">
        <w:rPr>
          <w:rFonts w:ascii="Calibri" w:hAnsi="Calibri"/>
          <w:color w:val="7F7F7F"/>
          <w:sz w:val="20"/>
          <w:szCs w:val="20"/>
        </w:rPr>
        <w:t>Median Income by Gender and Selected Birthplaces: Persons aged 25-64, Greater Dandenong, 20</w:t>
      </w:r>
      <w:r>
        <w:rPr>
          <w:rFonts w:ascii="Calibri" w:hAnsi="Calibri"/>
          <w:color w:val="7F7F7F"/>
          <w:sz w:val="20"/>
          <w:szCs w:val="20"/>
        </w:rPr>
        <w:t>21</w:t>
      </w:r>
    </w:p>
    <w:p w14:paraId="136C4ECF" w14:textId="77777777" w:rsidR="00E244F3" w:rsidRPr="00466254" w:rsidRDefault="00E244F3" w:rsidP="00E244F3">
      <w:pPr>
        <w:tabs>
          <w:tab w:val="left" w:pos="284"/>
        </w:tabs>
        <w:spacing w:after="0" w:line="360" w:lineRule="auto"/>
        <w:jc w:val="both"/>
        <w:rPr>
          <w:rFonts w:ascii="Calibri" w:hAnsi="Calibri"/>
          <w:color w:val="000000"/>
          <w:sz w:val="12"/>
          <w:szCs w:val="12"/>
        </w:rPr>
      </w:pPr>
    </w:p>
    <w:p w14:paraId="3D18265A" w14:textId="77777777" w:rsidR="00E244F3" w:rsidRDefault="00E244F3" w:rsidP="00E244F3">
      <w:pPr>
        <w:tabs>
          <w:tab w:val="left" w:pos="284"/>
        </w:tabs>
        <w:spacing w:after="0" w:line="360" w:lineRule="auto"/>
        <w:jc w:val="both"/>
        <w:rPr>
          <w:rFonts w:ascii="Calibri" w:hAnsi="Calibri"/>
          <w:color w:val="000000"/>
        </w:rPr>
      </w:pPr>
      <w:r w:rsidRPr="00C341FE">
        <w:rPr>
          <w:rFonts w:ascii="Calibri" w:hAnsi="Calibri"/>
          <w:color w:val="000000"/>
        </w:rPr>
        <w:t xml:space="preserve">Income levels also vary widely </w:t>
      </w:r>
      <w:r>
        <w:rPr>
          <w:rFonts w:ascii="Calibri" w:hAnsi="Calibri"/>
          <w:color w:val="000000"/>
        </w:rPr>
        <w:t>by birthplace</w:t>
      </w:r>
      <w:r w:rsidRPr="00C341FE">
        <w:rPr>
          <w:rFonts w:ascii="Calibri" w:hAnsi="Calibri"/>
          <w:color w:val="000000"/>
        </w:rPr>
        <w:t>. Among residents</w:t>
      </w:r>
      <w:r>
        <w:rPr>
          <w:rFonts w:ascii="Calibri" w:hAnsi="Calibri"/>
          <w:color w:val="000000"/>
        </w:rPr>
        <w:t xml:space="preserve"> aged 24 to 44 (ages of high employment levels)</w:t>
      </w:r>
      <w:r w:rsidRPr="00C341FE">
        <w:rPr>
          <w:rFonts w:ascii="Calibri" w:hAnsi="Calibri"/>
          <w:color w:val="000000"/>
        </w:rPr>
        <w:t>, income</w:t>
      </w:r>
      <w:r>
        <w:rPr>
          <w:rFonts w:ascii="Calibri" w:hAnsi="Calibri"/>
          <w:color w:val="000000"/>
        </w:rPr>
        <w:t>s</w:t>
      </w:r>
      <w:r w:rsidRPr="00C341FE">
        <w:rPr>
          <w:rFonts w:ascii="Calibri" w:hAnsi="Calibri"/>
          <w:color w:val="000000"/>
        </w:rPr>
        <w:t xml:space="preserve"> </w:t>
      </w:r>
      <w:r>
        <w:rPr>
          <w:rFonts w:ascii="Calibri" w:hAnsi="Calibri"/>
          <w:color w:val="000000"/>
        </w:rPr>
        <w:t>ranged from</w:t>
      </w:r>
      <w:r w:rsidRPr="00C341FE">
        <w:rPr>
          <w:rFonts w:ascii="Calibri" w:hAnsi="Calibri"/>
          <w:color w:val="000000"/>
        </w:rPr>
        <w:t xml:space="preserve"> $</w:t>
      </w:r>
      <w:r>
        <w:rPr>
          <w:rFonts w:ascii="Calibri" w:hAnsi="Calibri"/>
          <w:color w:val="000000"/>
        </w:rPr>
        <w:t>367 among those born in Taiwan</w:t>
      </w:r>
      <w:r w:rsidRPr="00C341FE">
        <w:rPr>
          <w:rFonts w:ascii="Calibri" w:hAnsi="Calibri"/>
          <w:color w:val="000000"/>
        </w:rPr>
        <w:t xml:space="preserve">, </w:t>
      </w:r>
      <w:r>
        <w:rPr>
          <w:rFonts w:ascii="Calibri" w:hAnsi="Calibri"/>
          <w:color w:val="000000"/>
        </w:rPr>
        <w:t>to</w:t>
      </w:r>
      <w:r w:rsidRPr="00C341FE">
        <w:rPr>
          <w:rFonts w:ascii="Calibri" w:hAnsi="Calibri"/>
          <w:color w:val="000000"/>
        </w:rPr>
        <w:t xml:space="preserve"> $</w:t>
      </w:r>
      <w:r>
        <w:rPr>
          <w:rFonts w:ascii="Calibri" w:hAnsi="Calibri"/>
          <w:color w:val="000000"/>
        </w:rPr>
        <w:t>1,137</w:t>
      </w:r>
      <w:r w:rsidRPr="00C341FE">
        <w:rPr>
          <w:rFonts w:ascii="Calibri" w:hAnsi="Calibri"/>
          <w:color w:val="000000"/>
        </w:rPr>
        <w:t xml:space="preserve"> among those from </w:t>
      </w:r>
      <w:r>
        <w:rPr>
          <w:rFonts w:ascii="Calibri" w:hAnsi="Calibri"/>
          <w:color w:val="000000"/>
        </w:rPr>
        <w:t>New Zealand.</w:t>
      </w:r>
    </w:p>
    <w:p w14:paraId="62842BA7" w14:textId="77777777" w:rsidR="00E244F3" w:rsidRPr="00F10793" w:rsidRDefault="00E244F3" w:rsidP="00E244F3">
      <w:pPr>
        <w:tabs>
          <w:tab w:val="left" w:pos="284"/>
        </w:tabs>
        <w:spacing w:after="0" w:line="360" w:lineRule="auto"/>
        <w:jc w:val="both"/>
        <w:rPr>
          <w:rFonts w:ascii="Calibri" w:hAnsi="Calibri"/>
          <w:color w:val="000000"/>
        </w:rPr>
      </w:pPr>
      <w:r>
        <w:rPr>
          <w:rFonts w:ascii="Calibri" w:hAnsi="Calibri"/>
          <w:color w:val="000000"/>
        </w:rPr>
        <w:t>Female incomes were lower than for males among all birthplace groups, though most notably among residents from Pakistan, Afghanistan, Bangladesh, Syria and Egypt, among whom female median gross incomes were less than half those for men.</w:t>
      </w:r>
    </w:p>
    <w:p w14:paraId="038B8129" w14:textId="77777777" w:rsidR="00E244F3" w:rsidRDefault="00E244F3" w:rsidP="00E244F3">
      <w:pPr>
        <w:spacing w:after="0" w:line="360" w:lineRule="auto"/>
        <w:rPr>
          <w:rFonts w:ascii="Calibri" w:hAnsi="Calibri"/>
          <w:b/>
          <w:color w:val="000000" w:themeColor="text1"/>
        </w:rPr>
      </w:pPr>
      <w:r>
        <w:rPr>
          <w:rFonts w:ascii="Calibri" w:hAnsi="Calibri"/>
          <w:b/>
          <w:color w:val="000000" w:themeColor="text1"/>
        </w:rPr>
        <w:br w:type="page"/>
      </w:r>
    </w:p>
    <w:p w14:paraId="19E6AD0E" w14:textId="77777777" w:rsidR="00E244F3" w:rsidRPr="00B478BB" w:rsidRDefault="00E244F3" w:rsidP="00E244F3">
      <w:pPr>
        <w:tabs>
          <w:tab w:val="left" w:pos="284"/>
        </w:tabs>
        <w:spacing w:after="0" w:line="360" w:lineRule="auto"/>
        <w:jc w:val="both"/>
        <w:rPr>
          <w:rFonts w:ascii="Calibri" w:hAnsi="Calibri"/>
          <w:b/>
          <w:color w:val="000000" w:themeColor="text1"/>
        </w:rPr>
      </w:pPr>
      <w:r>
        <w:rPr>
          <w:rFonts w:ascii="Calibri" w:hAnsi="Calibri"/>
          <w:b/>
          <w:noProof/>
          <w:color w:val="000000" w:themeColor="text1"/>
        </w:rPr>
        <w:lastRenderedPageBreak/>
        <w:drawing>
          <wp:anchor distT="0" distB="0" distL="114300" distR="114300" simplePos="0" relativeHeight="251783168" behindDoc="0" locked="0" layoutInCell="1" allowOverlap="1" wp14:anchorId="653B1B36" wp14:editId="278FCF98">
            <wp:simplePos x="0" y="0"/>
            <wp:positionH relativeFrom="column">
              <wp:posOffset>1687830</wp:posOffset>
            </wp:positionH>
            <wp:positionV relativeFrom="paragraph">
              <wp:posOffset>79692</wp:posOffset>
            </wp:positionV>
            <wp:extent cx="4399280" cy="3414395"/>
            <wp:effectExtent l="0" t="0" r="1270" b="0"/>
            <wp:wrapSquare wrapText="bothSides"/>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399280" cy="3414395"/>
                    </a:xfrm>
                    <a:prstGeom prst="rect">
                      <a:avLst/>
                    </a:prstGeom>
                    <a:noFill/>
                  </pic:spPr>
                </pic:pic>
              </a:graphicData>
            </a:graphic>
            <wp14:sizeRelH relativeFrom="page">
              <wp14:pctWidth>0</wp14:pctWidth>
            </wp14:sizeRelH>
            <wp14:sizeRelV relativeFrom="page">
              <wp14:pctHeight>0</wp14:pctHeight>
            </wp14:sizeRelV>
          </wp:anchor>
        </w:drawing>
      </w:r>
      <w:r w:rsidRPr="00B478BB">
        <w:rPr>
          <w:rFonts w:ascii="Calibri" w:hAnsi="Calibri"/>
          <w:b/>
          <w:color w:val="000000" w:themeColor="text1"/>
        </w:rPr>
        <w:t>Incomes and Gender</w:t>
      </w:r>
    </w:p>
    <w:p w14:paraId="4189BD8A" w14:textId="56087865" w:rsidR="00E244F3" w:rsidRDefault="00E244F3" w:rsidP="00E244F3">
      <w:pPr>
        <w:tabs>
          <w:tab w:val="left" w:pos="284"/>
        </w:tabs>
        <w:spacing w:after="0" w:line="360" w:lineRule="auto"/>
        <w:jc w:val="both"/>
        <w:rPr>
          <w:rFonts w:ascii="Calibri" w:hAnsi="Calibri"/>
          <w:bCs/>
          <w:color w:val="000000" w:themeColor="text1"/>
        </w:rPr>
      </w:pPr>
      <w:r>
        <w:rPr>
          <w:rFonts w:ascii="Calibri" w:hAnsi="Calibri"/>
          <w:bCs/>
          <w:color w:val="000000" w:themeColor="text1"/>
        </w:rPr>
        <w:t>In the findings of the 2021 Census, median gross incomes among men aged 15 or more were 56% higher than among</w:t>
      </w:r>
      <w:r w:rsidR="00C9123B">
        <w:rPr>
          <w:rFonts w:ascii="Calibri" w:hAnsi="Calibri"/>
          <w:bCs/>
          <w:color w:val="000000" w:themeColor="text1"/>
        </w:rPr>
        <w:t xml:space="preserve"> women</w:t>
      </w:r>
      <w:r>
        <w:rPr>
          <w:rFonts w:ascii="Calibri" w:hAnsi="Calibri"/>
          <w:bCs/>
          <w:color w:val="000000" w:themeColor="text1"/>
        </w:rPr>
        <w:t xml:space="preserve"> of the same age.</w:t>
      </w:r>
    </w:p>
    <w:p w14:paraId="5C392D99" w14:textId="77777777" w:rsidR="00E244F3" w:rsidRPr="00B478BB" w:rsidRDefault="00E244F3" w:rsidP="00E244F3">
      <w:pPr>
        <w:tabs>
          <w:tab w:val="left" w:pos="284"/>
        </w:tabs>
        <w:spacing w:after="0" w:line="360" w:lineRule="auto"/>
        <w:jc w:val="both"/>
        <w:rPr>
          <w:rFonts w:ascii="Calibri" w:hAnsi="Calibri"/>
          <w:bCs/>
          <w:color w:val="000000" w:themeColor="text1"/>
          <w:sz w:val="16"/>
          <w:szCs w:val="16"/>
        </w:rPr>
      </w:pPr>
    </w:p>
    <w:p w14:paraId="189737F4" w14:textId="77777777" w:rsidR="00E244F3" w:rsidRPr="00B478BB" w:rsidRDefault="00E244F3" w:rsidP="00E244F3">
      <w:pPr>
        <w:tabs>
          <w:tab w:val="left" w:pos="284"/>
        </w:tabs>
        <w:spacing w:after="0" w:line="240" w:lineRule="auto"/>
        <w:jc w:val="both"/>
        <w:rPr>
          <w:rFonts w:ascii="Calibri" w:hAnsi="Calibri"/>
          <w:bCs/>
          <w:color w:val="7F7F7F" w:themeColor="text1" w:themeTint="80"/>
          <w:sz w:val="20"/>
          <w:szCs w:val="20"/>
        </w:rPr>
      </w:pPr>
      <w:r w:rsidRPr="00B478BB">
        <w:rPr>
          <w:rFonts w:ascii="Calibri" w:hAnsi="Calibri"/>
          <w:bCs/>
          <w:color w:val="7F7F7F" w:themeColor="text1" w:themeTint="80"/>
          <w:sz w:val="20"/>
          <w:szCs w:val="20"/>
        </w:rPr>
        <w:t>Median gross incomes by sex: Greater Dandenong, 2021</w:t>
      </w:r>
    </w:p>
    <w:p w14:paraId="7C4A384B" w14:textId="77777777" w:rsidR="00E244F3" w:rsidRPr="00B478BB" w:rsidRDefault="00E244F3" w:rsidP="00E244F3">
      <w:pPr>
        <w:tabs>
          <w:tab w:val="left" w:pos="284"/>
        </w:tabs>
        <w:spacing w:after="0" w:line="360" w:lineRule="auto"/>
        <w:jc w:val="both"/>
        <w:rPr>
          <w:rFonts w:ascii="Calibri" w:hAnsi="Calibri"/>
          <w:bCs/>
          <w:color w:val="000000" w:themeColor="text1"/>
          <w:sz w:val="16"/>
          <w:szCs w:val="16"/>
        </w:rPr>
      </w:pPr>
    </w:p>
    <w:p w14:paraId="465E9F57" w14:textId="77777777" w:rsidR="00E244F3" w:rsidRDefault="00E244F3" w:rsidP="00E244F3">
      <w:pPr>
        <w:tabs>
          <w:tab w:val="left" w:pos="284"/>
        </w:tabs>
        <w:spacing w:after="0" w:line="360" w:lineRule="auto"/>
        <w:jc w:val="both"/>
        <w:rPr>
          <w:rFonts w:ascii="Calibri" w:hAnsi="Calibri"/>
          <w:bCs/>
          <w:color w:val="000000" w:themeColor="text1"/>
        </w:rPr>
      </w:pPr>
      <w:r>
        <w:rPr>
          <w:rFonts w:ascii="Calibri" w:hAnsi="Calibri"/>
          <w:bCs/>
          <w:color w:val="000000" w:themeColor="text1"/>
        </w:rPr>
        <w:t>The disparity declines among persons in paid employment, where median male incomes were 23%. The difference in incomes falls further among people in full-time employment, to 8.4%. Finally, male hourly median incomes are 4.7% higher than for females.</w:t>
      </w:r>
    </w:p>
    <w:p w14:paraId="37139D74" w14:textId="77777777" w:rsidR="00E244F3" w:rsidRDefault="00E244F3" w:rsidP="00E244F3">
      <w:pPr>
        <w:tabs>
          <w:tab w:val="left" w:pos="284"/>
        </w:tabs>
        <w:spacing w:after="0" w:line="360" w:lineRule="auto"/>
        <w:jc w:val="both"/>
        <w:rPr>
          <w:rFonts w:ascii="Calibri" w:hAnsi="Calibri"/>
          <w:bCs/>
          <w:color w:val="000000" w:themeColor="text1"/>
        </w:rPr>
      </w:pPr>
      <w:r>
        <w:rPr>
          <w:rFonts w:ascii="Calibri" w:hAnsi="Calibri"/>
          <w:bCs/>
          <w:color w:val="000000" w:themeColor="text1"/>
        </w:rPr>
        <w:t xml:space="preserve">These results show that most of the differences in income between women and men in Greater Dandenong are due to the lesser proportions of women who hold paid work, and among those in such employment, the lower average hours of paid employment among women. </w:t>
      </w:r>
    </w:p>
    <w:p w14:paraId="068C449C" w14:textId="77777777" w:rsidR="00E244F3" w:rsidRDefault="00E244F3" w:rsidP="00E244F3">
      <w:pPr>
        <w:tabs>
          <w:tab w:val="left" w:pos="284"/>
        </w:tabs>
        <w:spacing w:after="0" w:line="360" w:lineRule="auto"/>
        <w:jc w:val="both"/>
        <w:rPr>
          <w:rFonts w:ascii="Calibri" w:hAnsi="Calibri"/>
          <w:bCs/>
          <w:color w:val="000000" w:themeColor="text1"/>
        </w:rPr>
      </w:pPr>
    </w:p>
    <w:p w14:paraId="4E30C380" w14:textId="77777777" w:rsidR="00E244F3" w:rsidRDefault="00E244F3" w:rsidP="00E244F3">
      <w:pPr>
        <w:tabs>
          <w:tab w:val="left" w:pos="284"/>
        </w:tabs>
        <w:spacing w:after="0" w:line="360" w:lineRule="auto"/>
        <w:jc w:val="both"/>
        <w:rPr>
          <w:rFonts w:ascii="Calibri" w:hAnsi="Calibri"/>
          <w:bCs/>
          <w:color w:val="000000" w:themeColor="text1"/>
        </w:rPr>
      </w:pPr>
      <w:r>
        <w:rPr>
          <w:rFonts w:ascii="Calibri" w:hAnsi="Calibri"/>
          <w:bCs/>
          <w:color w:val="000000" w:themeColor="text1"/>
        </w:rPr>
        <w:t>This difference in hourly incomes among women and men in paid employment differs with age. Among people aged less than 35 years, female hourly incomes are slightly higher than for men. Among succeeding age groups, male hourly incomes surpass those of women, first by 1.3% among people aged 35-39, then to a greater extent among people aged 40 to 64 years.</w:t>
      </w:r>
    </w:p>
    <w:p w14:paraId="3FC8F37F" w14:textId="77777777" w:rsidR="00E244F3" w:rsidRPr="00882D81" w:rsidRDefault="00E244F3" w:rsidP="00E244F3">
      <w:pPr>
        <w:tabs>
          <w:tab w:val="left" w:pos="284"/>
        </w:tabs>
        <w:spacing w:after="0" w:line="240" w:lineRule="auto"/>
        <w:jc w:val="both"/>
        <w:rPr>
          <w:rFonts w:ascii="Calibri" w:hAnsi="Calibri"/>
          <w:bCs/>
          <w:color w:val="000000" w:themeColor="text1"/>
        </w:rPr>
      </w:pPr>
      <w:r>
        <w:rPr>
          <w:rFonts w:ascii="Calibri" w:hAnsi="Calibri"/>
          <w:b/>
          <w:noProof/>
          <w:color w:val="000000" w:themeColor="text1"/>
        </w:rPr>
        <w:drawing>
          <wp:anchor distT="0" distB="0" distL="114300" distR="114300" simplePos="0" relativeHeight="251784192" behindDoc="0" locked="0" layoutInCell="1" allowOverlap="1" wp14:anchorId="531BC00D" wp14:editId="6AA397A6">
            <wp:simplePos x="0" y="0"/>
            <wp:positionH relativeFrom="column">
              <wp:posOffset>-1270</wp:posOffset>
            </wp:positionH>
            <wp:positionV relativeFrom="paragraph">
              <wp:posOffset>4445</wp:posOffset>
            </wp:positionV>
            <wp:extent cx="3962400" cy="2652395"/>
            <wp:effectExtent l="0" t="0" r="0" b="0"/>
            <wp:wrapSquare wrapText="bothSides"/>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962400" cy="265239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bCs/>
          <w:color w:val="7F7F7F" w:themeColor="text1" w:themeTint="80"/>
          <w:sz w:val="20"/>
          <w:szCs w:val="20"/>
        </w:rPr>
        <w:t>Male</w:t>
      </w:r>
      <w:r w:rsidRPr="00236BF4">
        <w:rPr>
          <w:rFonts w:ascii="Calibri" w:hAnsi="Calibri"/>
          <w:bCs/>
          <w:color w:val="7F7F7F" w:themeColor="text1" w:themeTint="80"/>
          <w:sz w:val="20"/>
          <w:szCs w:val="20"/>
        </w:rPr>
        <w:t xml:space="preserve"> incomes: per cent higher than female hourly incomes, by age group: Greater Dandenong,2021</w:t>
      </w:r>
    </w:p>
    <w:p w14:paraId="1B321B7E" w14:textId="77777777" w:rsidR="00E244F3" w:rsidRPr="00B478BB" w:rsidRDefault="00E244F3" w:rsidP="00E244F3">
      <w:pPr>
        <w:tabs>
          <w:tab w:val="left" w:pos="284"/>
        </w:tabs>
        <w:spacing w:after="0" w:line="360" w:lineRule="auto"/>
        <w:jc w:val="both"/>
        <w:rPr>
          <w:rFonts w:ascii="Calibri" w:hAnsi="Calibri"/>
          <w:b/>
          <w:color w:val="000000" w:themeColor="text1"/>
        </w:rPr>
      </w:pPr>
    </w:p>
    <w:p w14:paraId="6C5567C5" w14:textId="77777777" w:rsidR="00E244F3" w:rsidRPr="00882D81" w:rsidRDefault="00E244F3" w:rsidP="00E244F3">
      <w:pPr>
        <w:tabs>
          <w:tab w:val="left" w:pos="284"/>
        </w:tabs>
        <w:spacing w:after="0" w:line="360" w:lineRule="auto"/>
        <w:jc w:val="both"/>
        <w:rPr>
          <w:rFonts w:ascii="Calibri" w:hAnsi="Calibri"/>
          <w:bCs/>
          <w:color w:val="000000" w:themeColor="text1"/>
        </w:rPr>
      </w:pPr>
      <w:r w:rsidRPr="00882D81">
        <w:rPr>
          <w:rFonts w:ascii="Calibri" w:hAnsi="Calibri"/>
          <w:bCs/>
          <w:color w:val="000000" w:themeColor="text1"/>
        </w:rPr>
        <w:t>These differences are similar to those</w:t>
      </w:r>
      <w:r>
        <w:rPr>
          <w:rFonts w:ascii="Calibri" w:hAnsi="Calibri"/>
          <w:bCs/>
          <w:color w:val="000000" w:themeColor="text1"/>
        </w:rPr>
        <w:t xml:space="preserve"> seen</w:t>
      </w:r>
      <w:r w:rsidRPr="00882D81">
        <w:rPr>
          <w:rFonts w:ascii="Calibri" w:hAnsi="Calibri"/>
          <w:bCs/>
          <w:color w:val="000000" w:themeColor="text1"/>
        </w:rPr>
        <w:t xml:space="preserve"> across Victoria, except that here, gross median hourly incomes among women aged 20-34 </w:t>
      </w:r>
      <w:r>
        <w:rPr>
          <w:rFonts w:ascii="Calibri" w:hAnsi="Calibri"/>
          <w:bCs/>
          <w:color w:val="000000" w:themeColor="text1"/>
        </w:rPr>
        <w:t>In Greater Dandenong exceed those of men by</w:t>
      </w:r>
      <w:r w:rsidRPr="00882D81">
        <w:rPr>
          <w:rFonts w:ascii="Calibri" w:hAnsi="Calibri"/>
          <w:bCs/>
          <w:color w:val="000000" w:themeColor="text1"/>
        </w:rPr>
        <w:t xml:space="preserve"> 0.4%, compared with 4% across Victoria.</w:t>
      </w:r>
    </w:p>
    <w:p w14:paraId="237AD6D8" w14:textId="77777777" w:rsidR="00E244F3" w:rsidRPr="00B478BB" w:rsidRDefault="00E244F3" w:rsidP="00E244F3">
      <w:pPr>
        <w:spacing w:after="0" w:line="360" w:lineRule="auto"/>
        <w:rPr>
          <w:rFonts w:ascii="Calibri" w:hAnsi="Calibri"/>
          <w:b/>
          <w:color w:val="000000" w:themeColor="text1"/>
        </w:rPr>
      </w:pPr>
      <w:r w:rsidRPr="00B478BB">
        <w:rPr>
          <w:rFonts w:ascii="Calibri" w:hAnsi="Calibri"/>
          <w:b/>
          <w:color w:val="000000" w:themeColor="text1"/>
        </w:rPr>
        <w:br w:type="page"/>
      </w:r>
    </w:p>
    <w:p w14:paraId="3A90F410" w14:textId="77777777" w:rsidR="00E244F3" w:rsidRPr="00667774" w:rsidRDefault="00E244F3" w:rsidP="00E244F3">
      <w:pPr>
        <w:tabs>
          <w:tab w:val="left" w:pos="284"/>
        </w:tabs>
        <w:spacing w:after="0" w:line="360" w:lineRule="auto"/>
        <w:jc w:val="both"/>
        <w:rPr>
          <w:rFonts w:ascii="Calibri" w:hAnsi="Calibri"/>
          <w:b/>
          <w:color w:val="000000" w:themeColor="text1"/>
        </w:rPr>
      </w:pPr>
      <w:r>
        <w:rPr>
          <w:rFonts w:ascii="Calibri" w:hAnsi="Calibri"/>
          <w:noProof/>
          <w:color w:val="000000"/>
          <w:lang w:eastAsia="en-AU"/>
        </w:rPr>
        <w:lastRenderedPageBreak/>
        <w:drawing>
          <wp:anchor distT="0" distB="0" distL="114300" distR="114300" simplePos="0" relativeHeight="251780096" behindDoc="0" locked="0" layoutInCell="1" allowOverlap="1" wp14:anchorId="20FDAED9" wp14:editId="3F2971C1">
            <wp:simplePos x="0" y="0"/>
            <wp:positionH relativeFrom="column">
              <wp:posOffset>4124325</wp:posOffset>
            </wp:positionH>
            <wp:positionV relativeFrom="paragraph">
              <wp:posOffset>94933</wp:posOffset>
            </wp:positionV>
            <wp:extent cx="2146935" cy="1101725"/>
            <wp:effectExtent l="0" t="0" r="5715" b="3175"/>
            <wp:wrapSquare wrapText="bothSides"/>
            <wp:docPr id="161" name="Picture 161" descr="A picture containing person,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person, vegetable&#10;&#10;Description automatically generated"/>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146935" cy="1101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67774">
        <w:rPr>
          <w:rFonts w:ascii="Calibri" w:hAnsi="Calibri"/>
          <w:b/>
          <w:color w:val="000000" w:themeColor="text1"/>
        </w:rPr>
        <w:t>Centrelink Support</w:t>
      </w:r>
    </w:p>
    <w:p w14:paraId="65EFCA40" w14:textId="77777777" w:rsidR="00E244F3" w:rsidRPr="00813A66" w:rsidRDefault="00E244F3" w:rsidP="00E244F3">
      <w:pPr>
        <w:tabs>
          <w:tab w:val="left" w:pos="284"/>
        </w:tabs>
        <w:spacing w:after="0" w:line="360" w:lineRule="auto"/>
        <w:jc w:val="both"/>
        <w:rPr>
          <w:rFonts w:ascii="Calibri" w:hAnsi="Calibri"/>
          <w:color w:val="000000"/>
        </w:rPr>
      </w:pPr>
      <w:r w:rsidRPr="00813A66">
        <w:rPr>
          <w:rFonts w:ascii="Calibri" w:hAnsi="Calibri"/>
          <w:color w:val="000000"/>
        </w:rPr>
        <w:t>In June 20</w:t>
      </w:r>
      <w:r>
        <w:rPr>
          <w:rFonts w:ascii="Calibri" w:hAnsi="Calibri"/>
          <w:color w:val="000000"/>
        </w:rPr>
        <w:t>22</w:t>
      </w:r>
      <w:r w:rsidRPr="00813A66">
        <w:rPr>
          <w:rFonts w:ascii="Calibri" w:hAnsi="Calibri"/>
          <w:color w:val="000000"/>
        </w:rPr>
        <w:t xml:space="preserve">, </w:t>
      </w:r>
      <w:r>
        <w:rPr>
          <w:rFonts w:ascii="Calibri" w:hAnsi="Calibri"/>
          <w:color w:val="000000"/>
        </w:rPr>
        <w:t>7.1</w:t>
      </w:r>
      <w:r w:rsidRPr="00813A66">
        <w:rPr>
          <w:rFonts w:ascii="Calibri" w:hAnsi="Calibri"/>
          <w:color w:val="000000"/>
        </w:rPr>
        <w:t xml:space="preserve">% of Greater Dandenong residents held a Health Care Card – the </w:t>
      </w:r>
      <w:r>
        <w:rPr>
          <w:rFonts w:ascii="Calibri" w:hAnsi="Calibri"/>
          <w:color w:val="000000"/>
        </w:rPr>
        <w:t>fifth</w:t>
      </w:r>
      <w:r w:rsidRPr="00813A66">
        <w:rPr>
          <w:rFonts w:ascii="Calibri" w:hAnsi="Calibri"/>
          <w:color w:val="000000"/>
        </w:rPr>
        <w:t xml:space="preserve"> highest dependency upon such support in </w:t>
      </w:r>
      <w:r>
        <w:rPr>
          <w:rFonts w:ascii="Calibri" w:hAnsi="Calibri"/>
          <w:color w:val="000000"/>
        </w:rPr>
        <w:t>Victoria</w:t>
      </w:r>
      <w:r w:rsidRPr="00813A66">
        <w:rPr>
          <w:rFonts w:ascii="Calibri" w:hAnsi="Calibri"/>
          <w:color w:val="000000"/>
        </w:rPr>
        <w:t xml:space="preserve"> and substantially more than the </w:t>
      </w:r>
      <w:r>
        <w:rPr>
          <w:rFonts w:ascii="Calibri" w:hAnsi="Calibri"/>
          <w:color w:val="000000"/>
        </w:rPr>
        <w:t>Victorian level of 5.1</w:t>
      </w:r>
      <w:r w:rsidRPr="00813A66">
        <w:rPr>
          <w:rFonts w:ascii="Calibri" w:hAnsi="Calibri"/>
          <w:color w:val="000000"/>
        </w:rPr>
        <w:t>%, reflecting extensive financial hardship.</w:t>
      </w:r>
    </w:p>
    <w:p w14:paraId="3B2EDB2F" w14:textId="77777777" w:rsidR="00E244F3" w:rsidRDefault="00E244F3" w:rsidP="00E244F3">
      <w:pPr>
        <w:tabs>
          <w:tab w:val="left" w:pos="284"/>
        </w:tabs>
        <w:spacing w:after="0" w:line="360" w:lineRule="auto"/>
        <w:jc w:val="both"/>
        <w:rPr>
          <w:rFonts w:ascii="Calibri" w:hAnsi="Calibri"/>
          <w:color w:val="000000"/>
        </w:rPr>
      </w:pPr>
      <w:r>
        <w:rPr>
          <w:rFonts w:ascii="Calibri" w:hAnsi="Calibri"/>
          <w:color w:val="000000"/>
        </w:rPr>
        <w:t>More than one-fifth (20.1%)</w:t>
      </w:r>
      <w:r w:rsidRPr="00813A66">
        <w:rPr>
          <w:rFonts w:ascii="Calibri" w:hAnsi="Calibri"/>
          <w:color w:val="000000"/>
        </w:rPr>
        <w:t xml:space="preserve"> of occupied dwellings in Greater Dandenong attract rental assistance payments, the highest level in </w:t>
      </w:r>
      <w:r>
        <w:rPr>
          <w:rFonts w:ascii="Calibri" w:hAnsi="Calibri"/>
          <w:color w:val="000000"/>
        </w:rPr>
        <w:t>Victoria</w:t>
      </w:r>
      <w:r w:rsidRPr="00813A66">
        <w:rPr>
          <w:rFonts w:ascii="Calibri" w:hAnsi="Calibri"/>
          <w:color w:val="000000"/>
        </w:rPr>
        <w:t xml:space="preserve"> and </w:t>
      </w:r>
      <w:r>
        <w:rPr>
          <w:rFonts w:ascii="Calibri" w:hAnsi="Calibri"/>
          <w:color w:val="000000"/>
        </w:rPr>
        <w:t>substantially more than</w:t>
      </w:r>
      <w:r w:rsidRPr="00813A66">
        <w:rPr>
          <w:rFonts w:ascii="Calibri" w:hAnsi="Calibri"/>
          <w:color w:val="000000"/>
        </w:rPr>
        <w:t xml:space="preserve"> the </w:t>
      </w:r>
      <w:r>
        <w:rPr>
          <w:rFonts w:ascii="Calibri" w:hAnsi="Calibri"/>
          <w:color w:val="000000"/>
        </w:rPr>
        <w:t>State-wide</w:t>
      </w:r>
      <w:r w:rsidRPr="00813A66">
        <w:rPr>
          <w:rFonts w:ascii="Calibri" w:hAnsi="Calibri"/>
          <w:color w:val="000000"/>
        </w:rPr>
        <w:t xml:space="preserve"> </w:t>
      </w:r>
      <w:r>
        <w:rPr>
          <w:rFonts w:ascii="Calibri" w:hAnsi="Calibri"/>
          <w:color w:val="000000"/>
        </w:rPr>
        <w:t>level</w:t>
      </w:r>
      <w:r w:rsidRPr="00813A66">
        <w:rPr>
          <w:rFonts w:ascii="Calibri" w:hAnsi="Calibri"/>
          <w:color w:val="000000"/>
        </w:rPr>
        <w:t xml:space="preserve"> of </w:t>
      </w:r>
      <w:r>
        <w:rPr>
          <w:rFonts w:ascii="Calibri" w:hAnsi="Calibri"/>
          <w:color w:val="000000"/>
        </w:rPr>
        <w:t>11.3</w:t>
      </w:r>
      <w:r w:rsidRPr="00813A66">
        <w:rPr>
          <w:rFonts w:ascii="Calibri" w:hAnsi="Calibri"/>
          <w:color w:val="000000"/>
        </w:rPr>
        <w:t>%.</w:t>
      </w:r>
    </w:p>
    <w:p w14:paraId="0F9B5D10" w14:textId="77777777" w:rsidR="00E244F3" w:rsidRPr="00813A66" w:rsidRDefault="00E244F3" w:rsidP="00E244F3">
      <w:pPr>
        <w:tabs>
          <w:tab w:val="left" w:pos="284"/>
        </w:tabs>
        <w:spacing w:after="0" w:line="360" w:lineRule="auto"/>
        <w:jc w:val="both"/>
        <w:rPr>
          <w:rFonts w:ascii="Calibri" w:hAnsi="Calibri"/>
          <w:color w:val="000000"/>
        </w:rPr>
      </w:pPr>
      <w:r>
        <w:rPr>
          <w:rFonts w:ascii="Calibri" w:hAnsi="Calibri"/>
          <w:color w:val="000000"/>
        </w:rPr>
        <w:t>The 2022 Centrelink payments also revealed a high level of dependency of older local residents upon the aged pension, with the number of residents relying on this payment equal to 68% of the number of residents aged 65 years or more – the highest level in Melbourne and in excess of the metropolitan ratio of 52%.</w:t>
      </w:r>
    </w:p>
    <w:p w14:paraId="564DF11F" w14:textId="77777777" w:rsidR="00E244F3" w:rsidRPr="00813A66" w:rsidRDefault="00E244F3" w:rsidP="00E244F3">
      <w:pPr>
        <w:tabs>
          <w:tab w:val="left" w:pos="284"/>
        </w:tabs>
        <w:spacing w:after="0" w:line="360" w:lineRule="auto"/>
        <w:jc w:val="both"/>
        <w:rPr>
          <w:rFonts w:ascii="Calibri" w:hAnsi="Calibri"/>
          <w:color w:val="000000"/>
        </w:rPr>
      </w:pPr>
      <w:r w:rsidRPr="00813A66">
        <w:rPr>
          <w:rFonts w:ascii="Calibri" w:hAnsi="Calibri"/>
          <w:color w:val="000000"/>
        </w:rPr>
        <w:t>The table below sets out a selection of ratios between the relevant population and the number of Centrelink beneficiaries in mid-20</w:t>
      </w:r>
      <w:r>
        <w:rPr>
          <w:rFonts w:ascii="Calibri" w:hAnsi="Calibri"/>
          <w:color w:val="000000"/>
        </w:rPr>
        <w:t>22</w:t>
      </w:r>
      <w:r w:rsidRPr="00813A66">
        <w:rPr>
          <w:rFonts w:ascii="Calibri" w:hAnsi="Calibri"/>
          <w:color w:val="000000"/>
        </w:rPr>
        <w:t>, confirming the level of dependence of various segments of the local population upon pensions and benefits, including older, disabled and unemployed people, and families facing financial difficulties.</w:t>
      </w:r>
    </w:p>
    <w:p w14:paraId="072828F4" w14:textId="77777777" w:rsidR="00E244F3" w:rsidRDefault="00E244F3" w:rsidP="00E244F3">
      <w:pPr>
        <w:tabs>
          <w:tab w:val="left" w:pos="284"/>
        </w:tabs>
        <w:spacing w:after="0" w:line="360" w:lineRule="auto"/>
        <w:jc w:val="center"/>
        <w:rPr>
          <w:color w:val="000000"/>
        </w:rPr>
      </w:pPr>
      <w:r w:rsidRPr="002F7971">
        <w:rPr>
          <w:noProof/>
        </w:rPr>
        <w:drawing>
          <wp:inline distT="0" distB="0" distL="0" distR="0" wp14:anchorId="33FDD86C" wp14:editId="2C6482E0">
            <wp:extent cx="5434330" cy="1633855"/>
            <wp:effectExtent l="0" t="0" r="0" b="444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434330" cy="1633855"/>
                    </a:xfrm>
                    <a:prstGeom prst="rect">
                      <a:avLst/>
                    </a:prstGeom>
                    <a:noFill/>
                    <a:ln>
                      <a:noFill/>
                    </a:ln>
                  </pic:spPr>
                </pic:pic>
              </a:graphicData>
            </a:graphic>
          </wp:inline>
        </w:drawing>
      </w:r>
    </w:p>
    <w:p w14:paraId="2AB7C154" w14:textId="77777777" w:rsidR="00E244F3" w:rsidRDefault="00E244F3" w:rsidP="00E244F3">
      <w:pPr>
        <w:tabs>
          <w:tab w:val="left" w:pos="284"/>
        </w:tabs>
        <w:spacing w:after="0" w:line="360" w:lineRule="auto"/>
        <w:jc w:val="both"/>
        <w:rPr>
          <w:rFonts w:ascii="Calibri" w:hAnsi="Calibri"/>
          <w:color w:val="000000"/>
        </w:rPr>
      </w:pPr>
      <w:r>
        <w:rPr>
          <w:color w:val="000000"/>
        </w:rPr>
        <w:t>Notably, i</w:t>
      </w:r>
      <w:r w:rsidRPr="00E514B6">
        <w:rPr>
          <w:color w:val="000000"/>
        </w:rPr>
        <w:t>n 20</w:t>
      </w:r>
      <w:r>
        <w:rPr>
          <w:color w:val="000000"/>
        </w:rPr>
        <w:t>21</w:t>
      </w:r>
      <w:r w:rsidRPr="00E514B6">
        <w:rPr>
          <w:color w:val="000000"/>
        </w:rPr>
        <w:t>, 3</w:t>
      </w:r>
      <w:r>
        <w:rPr>
          <w:color w:val="000000"/>
        </w:rPr>
        <w:t>2</w:t>
      </w:r>
      <w:r w:rsidRPr="00E514B6">
        <w:rPr>
          <w:color w:val="000000"/>
        </w:rPr>
        <w:t xml:space="preserve">% of families with children in Greater Dandenong had no parent in paid employment – the highest level in metropolitan Melbourne and substantially more than the State level of </w:t>
      </w:r>
      <w:r>
        <w:rPr>
          <w:color w:val="000000"/>
        </w:rPr>
        <w:t>24</w:t>
      </w:r>
      <w:r w:rsidRPr="00E514B6">
        <w:rPr>
          <w:color w:val="000000"/>
        </w:rPr>
        <w:t>%.</w:t>
      </w:r>
      <w:r>
        <w:rPr>
          <w:color w:val="000000"/>
        </w:rPr>
        <w:t xml:space="preserve"> </w:t>
      </w:r>
    </w:p>
    <w:p w14:paraId="66807F31" w14:textId="77777777" w:rsidR="00E244F3" w:rsidRPr="00E244F3" w:rsidRDefault="00E244F3" w:rsidP="00E244F3">
      <w:pPr>
        <w:tabs>
          <w:tab w:val="num" w:pos="720"/>
        </w:tabs>
        <w:spacing w:after="0" w:line="360" w:lineRule="auto"/>
        <w:jc w:val="both"/>
        <w:rPr>
          <w:b/>
          <w:color w:val="000000"/>
          <w:sz w:val="8"/>
          <w:szCs w:val="8"/>
        </w:rPr>
      </w:pPr>
    </w:p>
    <w:p w14:paraId="6A9C662C" w14:textId="77777777" w:rsidR="00E244F3" w:rsidRPr="001C2963" w:rsidRDefault="00E244F3" w:rsidP="00E244F3">
      <w:pPr>
        <w:tabs>
          <w:tab w:val="num" w:pos="720"/>
        </w:tabs>
        <w:spacing w:after="0" w:line="360" w:lineRule="auto"/>
        <w:jc w:val="both"/>
        <w:rPr>
          <w:b/>
          <w:color w:val="000000"/>
        </w:rPr>
      </w:pPr>
      <w:r>
        <w:rPr>
          <w:b/>
          <w:color w:val="000000"/>
        </w:rPr>
        <w:t>The Index of Relative Socio-economic Disadvantage</w:t>
      </w:r>
    </w:p>
    <w:p w14:paraId="0D088AFE" w14:textId="77777777" w:rsidR="00E244F3" w:rsidRPr="001C2963" w:rsidRDefault="00E244F3" w:rsidP="00E244F3">
      <w:pPr>
        <w:spacing w:after="0" w:line="360" w:lineRule="auto"/>
        <w:jc w:val="both"/>
      </w:pPr>
      <w:r w:rsidRPr="001C2963">
        <w:t xml:space="preserve">Greater Dandenong is ranked as the second most disadvantaged municipality in Victoria, on the </w:t>
      </w:r>
      <w:r>
        <w:t xml:space="preserve">2016 </w:t>
      </w:r>
      <w:r w:rsidRPr="001C2963">
        <w:t>Commonwealth Government Index of Relative Socio-economic Disadvantage</w:t>
      </w:r>
      <w:r>
        <w:t xml:space="preserve"> (at the time of writing, still the latest version of this index currently available)</w:t>
      </w:r>
      <w:r w:rsidRPr="001C2963">
        <w:t>.</w:t>
      </w:r>
    </w:p>
    <w:p w14:paraId="1BC8E00F" w14:textId="77777777" w:rsidR="00E244F3" w:rsidRPr="001C2963" w:rsidRDefault="00E244F3" w:rsidP="00E244F3">
      <w:pPr>
        <w:spacing w:after="0" w:line="360" w:lineRule="auto"/>
        <w:jc w:val="both"/>
      </w:pPr>
      <w:r w:rsidRPr="001C2963">
        <w:t>This index</w:t>
      </w:r>
      <w:r>
        <w:t xml:space="preserve"> was</w:t>
      </w:r>
      <w:r w:rsidRPr="001C2963">
        <w:t xml:space="preserve"> based on Census findings about income levels, education, English fluency, home ownership and others</w:t>
      </w:r>
      <w:r>
        <w:t>.</w:t>
      </w:r>
    </w:p>
    <w:p w14:paraId="04485241" w14:textId="77777777" w:rsidR="00E244F3" w:rsidRPr="001C2963" w:rsidRDefault="00E244F3" w:rsidP="00E244F3">
      <w:pPr>
        <w:pStyle w:val="ListParagraph"/>
        <w:numPr>
          <w:ilvl w:val="0"/>
          <w:numId w:val="1"/>
        </w:numPr>
        <w:spacing w:line="360" w:lineRule="auto"/>
        <w:jc w:val="both"/>
        <w:rPr>
          <w:rFonts w:asciiTheme="minorHAnsi" w:hAnsiTheme="minorHAnsi"/>
        </w:rPr>
      </w:pPr>
      <w:r w:rsidRPr="001C2963">
        <w:rPr>
          <w:rFonts w:asciiTheme="minorHAnsi" w:hAnsiTheme="minorHAnsi"/>
        </w:rPr>
        <w:t xml:space="preserve">Greater Dandenong </w:t>
      </w:r>
      <w:r>
        <w:rPr>
          <w:rFonts w:asciiTheme="minorHAnsi" w:hAnsiTheme="minorHAnsi"/>
        </w:rPr>
        <w:t>was</w:t>
      </w:r>
      <w:r w:rsidRPr="001C2963">
        <w:rPr>
          <w:rFonts w:asciiTheme="minorHAnsi" w:hAnsiTheme="minorHAnsi"/>
        </w:rPr>
        <w:t xml:space="preserve"> ranked as the second most socio-economically disadvantaged </w:t>
      </w:r>
      <w:r>
        <w:rPr>
          <w:rFonts w:asciiTheme="minorHAnsi" w:hAnsiTheme="minorHAnsi"/>
        </w:rPr>
        <w:t>municipality</w:t>
      </w:r>
      <w:r w:rsidRPr="001C2963">
        <w:rPr>
          <w:rFonts w:asciiTheme="minorHAnsi" w:hAnsiTheme="minorHAnsi"/>
        </w:rPr>
        <w:t xml:space="preserve"> in Victoria (after Central Goldfields) – the same as its ranking 20 years </w:t>
      </w:r>
      <w:r>
        <w:rPr>
          <w:rFonts w:asciiTheme="minorHAnsi" w:hAnsiTheme="minorHAnsi"/>
        </w:rPr>
        <w:t>before</w:t>
      </w:r>
      <w:r w:rsidRPr="001C2963">
        <w:rPr>
          <w:rFonts w:asciiTheme="minorHAnsi" w:hAnsiTheme="minorHAnsi"/>
        </w:rPr>
        <w:t>, in 1996.</w:t>
      </w:r>
    </w:p>
    <w:p w14:paraId="658840EE" w14:textId="77777777" w:rsidR="00E244F3" w:rsidRPr="001C2963" w:rsidRDefault="00E244F3" w:rsidP="00E244F3">
      <w:pPr>
        <w:pStyle w:val="ListParagraph"/>
        <w:numPr>
          <w:ilvl w:val="0"/>
          <w:numId w:val="1"/>
        </w:numPr>
        <w:spacing w:line="360" w:lineRule="auto"/>
        <w:jc w:val="both"/>
        <w:rPr>
          <w:rFonts w:asciiTheme="minorHAnsi" w:hAnsiTheme="minorHAnsi"/>
        </w:rPr>
      </w:pPr>
      <w:r w:rsidRPr="001C2963">
        <w:rPr>
          <w:rFonts w:asciiTheme="minorHAnsi" w:hAnsiTheme="minorHAnsi"/>
        </w:rPr>
        <w:t xml:space="preserve">By contrast, the least disadvantaged locality in Victoria </w:t>
      </w:r>
      <w:r>
        <w:rPr>
          <w:rFonts w:asciiTheme="minorHAnsi" w:hAnsiTheme="minorHAnsi"/>
        </w:rPr>
        <w:t>was</w:t>
      </w:r>
      <w:r w:rsidRPr="001C2963">
        <w:rPr>
          <w:rFonts w:asciiTheme="minorHAnsi" w:hAnsiTheme="minorHAnsi"/>
        </w:rPr>
        <w:t xml:space="preserve"> Ni</w:t>
      </w:r>
      <w:r>
        <w:rPr>
          <w:rFonts w:asciiTheme="minorHAnsi" w:hAnsiTheme="minorHAnsi"/>
        </w:rPr>
        <w:t>l</w:t>
      </w:r>
      <w:r w:rsidRPr="001C2963">
        <w:rPr>
          <w:rFonts w:asciiTheme="minorHAnsi" w:hAnsiTheme="minorHAnsi"/>
        </w:rPr>
        <w:t xml:space="preserve">lumbik, as it </w:t>
      </w:r>
      <w:r>
        <w:rPr>
          <w:rFonts w:asciiTheme="minorHAnsi" w:hAnsiTheme="minorHAnsi"/>
        </w:rPr>
        <w:t>was five years earlier</w:t>
      </w:r>
      <w:r w:rsidRPr="001C2963">
        <w:rPr>
          <w:rFonts w:asciiTheme="minorHAnsi" w:hAnsiTheme="minorHAnsi"/>
        </w:rPr>
        <w:t>.</w:t>
      </w:r>
    </w:p>
    <w:p w14:paraId="372FE8F1" w14:textId="77777777" w:rsidR="00E244F3" w:rsidRDefault="00E244F3" w:rsidP="00E244F3">
      <w:pPr>
        <w:pStyle w:val="ListParagraph"/>
        <w:numPr>
          <w:ilvl w:val="0"/>
          <w:numId w:val="1"/>
        </w:numPr>
        <w:spacing w:line="360" w:lineRule="auto"/>
        <w:jc w:val="both"/>
        <w:rPr>
          <w:rFonts w:asciiTheme="minorHAnsi" w:hAnsiTheme="minorHAnsi"/>
        </w:rPr>
      </w:pPr>
      <w:r w:rsidRPr="001C2963">
        <w:rPr>
          <w:rFonts w:asciiTheme="minorHAnsi" w:hAnsiTheme="minorHAnsi"/>
        </w:rPr>
        <w:t xml:space="preserve">Within Greater Dandenong, </w:t>
      </w:r>
      <w:r>
        <w:rPr>
          <w:rFonts w:asciiTheme="minorHAnsi" w:hAnsiTheme="minorHAnsi"/>
        </w:rPr>
        <w:t xml:space="preserve">the suburbs of </w:t>
      </w:r>
      <w:r w:rsidRPr="001C2963">
        <w:rPr>
          <w:rFonts w:asciiTheme="minorHAnsi" w:hAnsiTheme="minorHAnsi"/>
        </w:rPr>
        <w:t xml:space="preserve">Dandenong and Springvale </w:t>
      </w:r>
      <w:r>
        <w:rPr>
          <w:rFonts w:asciiTheme="minorHAnsi" w:hAnsiTheme="minorHAnsi"/>
        </w:rPr>
        <w:t>were</w:t>
      </w:r>
      <w:r w:rsidRPr="001C2963">
        <w:rPr>
          <w:rFonts w:asciiTheme="minorHAnsi" w:hAnsiTheme="minorHAnsi"/>
        </w:rPr>
        <w:t xml:space="preserve"> the most disadvantaged on this index, and are among the most disadvantaged 2% in Victoria. Keysborough </w:t>
      </w:r>
      <w:r>
        <w:rPr>
          <w:rFonts w:asciiTheme="minorHAnsi" w:hAnsiTheme="minorHAnsi"/>
        </w:rPr>
        <w:t>was</w:t>
      </w:r>
      <w:r w:rsidRPr="001C2963">
        <w:rPr>
          <w:rFonts w:asciiTheme="minorHAnsi" w:hAnsiTheme="minorHAnsi"/>
        </w:rPr>
        <w:t xml:space="preserve"> the </w:t>
      </w:r>
      <w:r w:rsidRPr="00F57573">
        <w:rPr>
          <w:rFonts w:asciiTheme="minorHAnsi" w:hAnsiTheme="minorHAnsi"/>
          <w:i/>
        </w:rPr>
        <w:t>least</w:t>
      </w:r>
      <w:r w:rsidRPr="001C2963">
        <w:rPr>
          <w:rFonts w:asciiTheme="minorHAnsi" w:hAnsiTheme="minorHAnsi"/>
        </w:rPr>
        <w:t xml:space="preserve"> disadvantaged suburb in Greater Dandenong, though still among the 27% most disadvantaged in the State</w:t>
      </w:r>
      <w:r>
        <w:rPr>
          <w:rFonts w:asciiTheme="minorHAnsi" w:hAnsiTheme="minorHAnsi"/>
        </w:rPr>
        <w:t>.</w:t>
      </w:r>
    </w:p>
    <w:p w14:paraId="1F153B44" w14:textId="77777777" w:rsidR="009A4B37" w:rsidRPr="00A26F54" w:rsidRDefault="009A4B37" w:rsidP="00A26F54">
      <w:pPr>
        <w:pBdr>
          <w:top w:val="single" w:sz="4" w:space="1" w:color="auto"/>
          <w:bottom w:val="single" w:sz="4" w:space="1" w:color="auto"/>
        </w:pBdr>
        <w:tabs>
          <w:tab w:val="center" w:pos="4678"/>
        </w:tabs>
        <w:jc w:val="center"/>
        <w:rPr>
          <w:rFonts w:ascii="Calibri" w:hAnsi="Calibri"/>
          <w:noProof/>
          <w:sz w:val="32"/>
          <w:szCs w:val="32"/>
        </w:rPr>
      </w:pPr>
      <w:bookmarkStart w:id="6" w:name="_Hlk129265493"/>
      <w:r w:rsidRPr="00A26F54">
        <w:rPr>
          <w:rFonts w:ascii="Calibri" w:hAnsi="Calibri"/>
          <w:noProof/>
          <w:sz w:val="32"/>
          <w:szCs w:val="32"/>
        </w:rPr>
        <w:lastRenderedPageBreak/>
        <w:t xml:space="preserve">Gambling </w:t>
      </w:r>
    </w:p>
    <w:p w14:paraId="0C8F6D2F" w14:textId="77777777" w:rsidR="009A4B37" w:rsidRPr="009A4B37" w:rsidRDefault="009A4B37" w:rsidP="009A4B37">
      <w:pPr>
        <w:spacing w:after="0" w:line="360" w:lineRule="auto"/>
        <w:ind w:left="357" w:right="4536"/>
        <w:jc w:val="both"/>
        <w:rPr>
          <w:rFonts w:cs="Arial"/>
          <w:b/>
          <w:color w:val="000000"/>
        </w:rPr>
      </w:pPr>
      <w:r w:rsidRPr="009A4B37">
        <w:rPr>
          <w:rFonts w:cs="Arial"/>
          <w:b/>
          <w:color w:val="000000"/>
        </w:rPr>
        <w:t>Gambling Losses</w:t>
      </w:r>
    </w:p>
    <w:p w14:paraId="755C5081" w14:textId="77777777" w:rsidR="009A4B37" w:rsidRPr="009A4B37" w:rsidRDefault="009A4B37" w:rsidP="009A4B37">
      <w:pPr>
        <w:spacing w:after="0" w:line="360" w:lineRule="auto"/>
        <w:ind w:left="357"/>
        <w:jc w:val="both"/>
        <w:rPr>
          <w:rFonts w:cs="Arial"/>
        </w:rPr>
      </w:pPr>
      <w:r w:rsidRPr="009A4B37">
        <w:rPr>
          <w:rFonts w:cs="Arial"/>
        </w:rPr>
        <w:t>Legal gambling in Victoria include sports betting, racing, lotteries, keno, lotto and the Casino. Electronic gambling machines (EGMs or ‘pokies’) though, account for nearly half of all legal gambling losses and most problems, as they are widely accessible and provide people with the means to gamble continuously. In addition, EGM losses are highest among disadvantaged residents - those least able to afford them.</w:t>
      </w:r>
    </w:p>
    <w:p w14:paraId="71895A0C" w14:textId="77777777" w:rsidR="009A4B37" w:rsidRPr="009A4B37" w:rsidRDefault="009A4B37" w:rsidP="009A4B37">
      <w:pPr>
        <w:spacing w:after="0" w:line="360" w:lineRule="auto"/>
        <w:ind w:left="357"/>
        <w:jc w:val="both"/>
        <w:rPr>
          <w:rFonts w:cs="Arial"/>
          <w:sz w:val="16"/>
          <w:szCs w:val="16"/>
        </w:rPr>
      </w:pPr>
      <w:r w:rsidRPr="009A4B37">
        <w:rPr>
          <w:rFonts w:cs="Arial"/>
        </w:rPr>
        <w:t xml:space="preserve">In 2021/22, $102 million was lost to electronic gambling machines in Greater Dandenong - an average of $281,000 each day, and equal to the cost of feeding </w:t>
      </w:r>
      <w:r w:rsidRPr="009A4B37">
        <w:t>nearly 39,500 children for one year.</w:t>
      </w:r>
      <w:r w:rsidRPr="009A4B37">
        <w:rPr>
          <w:rFonts w:cs="Arial"/>
          <w:sz w:val="16"/>
          <w:szCs w:val="16"/>
        </w:rPr>
        <w:t xml:space="preserve"> </w:t>
      </w:r>
    </w:p>
    <w:p w14:paraId="3D5081DC" w14:textId="77777777" w:rsidR="009A4B37" w:rsidRPr="009A4B37" w:rsidRDefault="009A4B37" w:rsidP="009A4B37">
      <w:pPr>
        <w:spacing w:after="0" w:line="360" w:lineRule="auto"/>
        <w:ind w:left="357"/>
        <w:jc w:val="both"/>
        <w:rPr>
          <w:rFonts w:cs="Arial"/>
        </w:rPr>
      </w:pPr>
      <w:r w:rsidRPr="009A4B37">
        <w:rPr>
          <w:rFonts w:cs="Arial"/>
        </w:rPr>
        <w:t xml:space="preserve">EGM gambling losses in that year were equivalent to $801 per adult – the second highest rate of losses per adult in Victoria, nearly twice the metropolitan level of $431 per adult and over six times the rate of losses in Boroondara ($94 per adult) - the most affluent municipality in the State. </w:t>
      </w:r>
    </w:p>
    <w:p w14:paraId="5492A65E" w14:textId="77777777" w:rsidR="009A4B37" w:rsidRPr="009A4B37" w:rsidRDefault="009A4B37" w:rsidP="009A4B37">
      <w:pPr>
        <w:spacing w:after="0" w:line="360" w:lineRule="auto"/>
        <w:ind w:left="357"/>
        <w:jc w:val="both"/>
        <w:rPr>
          <w:rFonts w:cs="Arial"/>
        </w:rPr>
      </w:pPr>
      <w:r w:rsidRPr="009A4B37">
        <w:rPr>
          <w:rFonts w:cs="Arial"/>
        </w:rPr>
        <w:t xml:space="preserve">Since the introduction of EGMs in Victoria in 1992, over $4 billion has been lost to gambling machines in Greater Dandenong alone </w:t>
      </w:r>
      <w:r w:rsidRPr="009A4B37">
        <w:rPr>
          <w:rFonts w:cs="Arial"/>
          <w:sz w:val="18"/>
          <w:szCs w:val="18"/>
        </w:rPr>
        <w:t>(in 2022 dollars).</w:t>
      </w:r>
    </w:p>
    <w:p w14:paraId="19054F00" w14:textId="77777777" w:rsidR="009A4B37" w:rsidRPr="009A4B37" w:rsidRDefault="009A4B37" w:rsidP="009A4B37">
      <w:pPr>
        <w:spacing w:after="0" w:line="360" w:lineRule="auto"/>
        <w:ind w:left="357"/>
        <w:jc w:val="both"/>
        <w:rPr>
          <w:rFonts w:cs="Arial"/>
        </w:rPr>
      </w:pPr>
      <w:r w:rsidRPr="009A4B37">
        <w:rPr>
          <w:rFonts w:cs="Arial"/>
        </w:rPr>
        <w:t>Information about the level and rate of EGM gambling loses, the number and density of EGMs, within Greater Dandenong and metropolitan Melbourne, in the year 2021/22, is set out below.</w:t>
      </w:r>
    </w:p>
    <w:p w14:paraId="7BB46739" w14:textId="77777777" w:rsidR="009A4B37" w:rsidRPr="009A4B37" w:rsidRDefault="009A4B37" w:rsidP="009A4B37">
      <w:pPr>
        <w:spacing w:after="0" w:line="360" w:lineRule="auto"/>
        <w:ind w:left="357"/>
        <w:jc w:val="both"/>
        <w:rPr>
          <w:rFonts w:cs="Arial"/>
          <w:color w:val="7F7F7F" w:themeColor="text1" w:themeTint="80"/>
          <w:sz w:val="20"/>
          <w:szCs w:val="20"/>
        </w:rPr>
      </w:pPr>
      <w:r w:rsidRPr="009A4B37">
        <w:rPr>
          <w:rFonts w:cs="Arial"/>
          <w:color w:val="7F7F7F" w:themeColor="text1" w:themeTint="80"/>
          <w:sz w:val="20"/>
          <w:szCs w:val="20"/>
        </w:rPr>
        <w:t>EGM Losses and Machines: Greater Dandenong and Metro. Melbourne, 2020/21</w:t>
      </w:r>
    </w:p>
    <w:p w14:paraId="52E8E6B3" w14:textId="77777777" w:rsidR="009A4B37" w:rsidRPr="009A4B37" w:rsidRDefault="009A4B37" w:rsidP="009A4B37">
      <w:pPr>
        <w:spacing w:after="0" w:line="360" w:lineRule="auto"/>
        <w:ind w:left="357"/>
        <w:jc w:val="center"/>
        <w:rPr>
          <w:rFonts w:ascii="Calibri" w:hAnsi="Calibri" w:cs="Arial"/>
        </w:rPr>
      </w:pPr>
      <w:r w:rsidRPr="00CA7087">
        <w:rPr>
          <w:noProof/>
        </w:rPr>
        <w:drawing>
          <wp:inline distT="0" distB="0" distL="0" distR="0" wp14:anchorId="53E6109A" wp14:editId="3C17CEF2">
            <wp:extent cx="6120130" cy="262191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120130" cy="2621915"/>
                    </a:xfrm>
                    <a:prstGeom prst="rect">
                      <a:avLst/>
                    </a:prstGeom>
                    <a:noFill/>
                    <a:ln>
                      <a:noFill/>
                    </a:ln>
                  </pic:spPr>
                </pic:pic>
              </a:graphicData>
            </a:graphic>
          </wp:inline>
        </w:drawing>
      </w:r>
    </w:p>
    <w:p w14:paraId="4BE73792" w14:textId="77777777" w:rsidR="009A4B37" w:rsidRPr="009A4B37" w:rsidRDefault="009A4B37" w:rsidP="009A4B37">
      <w:pPr>
        <w:spacing w:after="0" w:line="360" w:lineRule="auto"/>
        <w:ind w:left="357"/>
        <w:jc w:val="both"/>
        <w:rPr>
          <w:rFonts w:cs="Arial"/>
        </w:rPr>
      </w:pPr>
      <w:r w:rsidRPr="009A4B37">
        <w:rPr>
          <w:rFonts w:cs="Arial"/>
        </w:rPr>
        <w:t>In addition to EGM losses, an estimated $231 million is lost each year by residents to other legal forms of gambling, bringing total annual gambling losses to $333 million in this municipality an average of $2,615 per adult, and approximately 4.8% of total incomes in Greater Dandenong.</w:t>
      </w:r>
    </w:p>
    <w:p w14:paraId="6EF019DE" w14:textId="77777777" w:rsidR="009A4B37" w:rsidRPr="00B70A36" w:rsidRDefault="009A4B37" w:rsidP="009A4B37">
      <w:pPr>
        <w:spacing w:after="0" w:line="360" w:lineRule="auto"/>
        <w:ind w:left="357"/>
        <w:jc w:val="both"/>
        <w:rPr>
          <w:rFonts w:cs="Arial"/>
          <w:b/>
          <w:sz w:val="6"/>
          <w:szCs w:val="6"/>
        </w:rPr>
      </w:pPr>
    </w:p>
    <w:p w14:paraId="004BAE04" w14:textId="24CD317C" w:rsidR="009A4B37" w:rsidRPr="009A4B37" w:rsidRDefault="009A4B37" w:rsidP="009A4B37">
      <w:pPr>
        <w:spacing w:after="0" w:line="360" w:lineRule="auto"/>
        <w:ind w:left="357"/>
        <w:jc w:val="both"/>
        <w:rPr>
          <w:rFonts w:cs="Arial"/>
          <w:b/>
        </w:rPr>
      </w:pPr>
      <w:r w:rsidRPr="009A4B37">
        <w:rPr>
          <w:rFonts w:cs="Arial"/>
          <w:b/>
        </w:rPr>
        <w:t>Gambling Machines</w:t>
      </w:r>
    </w:p>
    <w:p w14:paraId="725F77FD" w14:textId="77777777" w:rsidR="009A4B37" w:rsidRPr="009A4B37" w:rsidRDefault="009A4B37" w:rsidP="009A4B37">
      <w:pPr>
        <w:spacing w:after="0" w:line="360" w:lineRule="auto"/>
        <w:ind w:left="357"/>
        <w:jc w:val="both"/>
        <w:rPr>
          <w:rFonts w:cs="Arial"/>
        </w:rPr>
      </w:pPr>
      <w:r w:rsidRPr="009A4B37">
        <w:rPr>
          <w:rFonts w:cs="Arial"/>
        </w:rPr>
        <w:t>924 EGMs operate at 14 clubs and hotels within Greater Dandenong – the fourth highest number in any Victorian municipality. Under State Government municipal gambling machine limits, 989 EGMs are permitted to operate in this municipality. This means that 65 more may be installed in local venues before the cap is reached. Clubs account for nine of the existing 14 venues with EGMs and over half (59%) of the annual EGM gambling losses in Greater Dandenong ($60 million in 2021/22).</w:t>
      </w:r>
    </w:p>
    <w:p w14:paraId="538B0904" w14:textId="0C1D3FDB" w:rsidR="009A4B37" w:rsidRPr="009A4B37" w:rsidRDefault="009A4B37" w:rsidP="009A4B37">
      <w:pPr>
        <w:spacing w:after="0" w:line="360" w:lineRule="auto"/>
        <w:ind w:left="357" w:right="4536"/>
        <w:jc w:val="both"/>
        <w:rPr>
          <w:rFonts w:cs="Arial"/>
          <w:b/>
          <w:color w:val="000000"/>
        </w:rPr>
      </w:pPr>
      <w:r w:rsidRPr="009A4B37">
        <w:rPr>
          <w:rFonts w:cs="Arial"/>
          <w:b/>
          <w:color w:val="000000"/>
        </w:rPr>
        <w:lastRenderedPageBreak/>
        <w:t>Impact of Gambling Losses</w:t>
      </w:r>
    </w:p>
    <w:p w14:paraId="17E5BA18" w14:textId="77777777" w:rsidR="009A4B37" w:rsidRPr="009A4B37" w:rsidRDefault="009A4B37" w:rsidP="009A4B37">
      <w:pPr>
        <w:spacing w:after="0" w:line="360" w:lineRule="auto"/>
        <w:ind w:left="357"/>
        <w:jc w:val="both"/>
        <w:rPr>
          <w:rFonts w:cs="Arial"/>
        </w:rPr>
      </w:pPr>
      <w:r w:rsidRPr="009A4B37">
        <w:rPr>
          <w:rFonts w:cs="Arial"/>
        </w:rPr>
        <w:t xml:space="preserve">Many people gamble to ease boredom, social isolation or depression, while others are swayed by unrealistic expectations about the chances of winning, or lured by convenient access to venues. In addition though, gambling machines are designed to addict and deceive users, enticing them into losing more money than they otherwise might gamble. </w:t>
      </w:r>
    </w:p>
    <w:p w14:paraId="6320E3D0" w14:textId="77777777" w:rsidR="009A4B37" w:rsidRPr="009A4B37" w:rsidRDefault="009A4B37" w:rsidP="009A4B37">
      <w:pPr>
        <w:spacing w:after="0" w:line="360" w:lineRule="auto"/>
        <w:ind w:left="357"/>
        <w:jc w:val="both"/>
        <w:rPr>
          <w:rFonts w:cs="Arial"/>
        </w:rPr>
      </w:pPr>
      <w:r w:rsidRPr="009A4B37">
        <w:rPr>
          <w:rFonts w:cs="Arial"/>
        </w:rPr>
        <w:t xml:space="preserve">Gambling-related problems generally arise when a person persistently loses more money than they, or their household, can comfortably afford. The resulting financial hardship often contributes to personal distress, family poverty, conflict, violence and breakup, decreased attendance and productivity at work, deceptive or criminal actions to obtain money, and homelessness. </w:t>
      </w:r>
    </w:p>
    <w:p w14:paraId="7FD08C22" w14:textId="77777777" w:rsidR="009A4B37" w:rsidRPr="009A4B37" w:rsidRDefault="009A4B37" w:rsidP="009A4B37">
      <w:pPr>
        <w:spacing w:after="0" w:line="360" w:lineRule="auto"/>
        <w:ind w:left="357"/>
        <w:jc w:val="both"/>
        <w:rPr>
          <w:rFonts w:cstheme="minorHAnsi"/>
        </w:rPr>
      </w:pPr>
      <w:r w:rsidRPr="009A4B37">
        <w:rPr>
          <w:rFonts w:cs="Arial"/>
        </w:rPr>
        <w:t xml:space="preserve">At least 1 in 100 adults have severe gambling problems – a figure the Productivity Commission acknowledges may be three times higher; and about two-thirds of EGM gamblers experience mild to severe gambling problems. Among the approximately 17% of adult residents of Greater Dandenong who use gaming machines, annual gambling losses may average approximately 13% of their </w:t>
      </w:r>
      <w:r w:rsidRPr="009A4B37">
        <w:rPr>
          <w:rFonts w:cstheme="minorHAnsi"/>
        </w:rPr>
        <w:t>gross income (based on total losses among venues in this municipality) – the highest level of gaming losses relative to income levels in Victoria.</w:t>
      </w:r>
    </w:p>
    <w:p w14:paraId="7E9CF1EE" w14:textId="77777777" w:rsidR="009A4B37" w:rsidRPr="009A4B37" w:rsidRDefault="009A4B37" w:rsidP="009A4B37">
      <w:pPr>
        <w:spacing w:after="0" w:line="360" w:lineRule="auto"/>
        <w:ind w:left="357"/>
        <w:jc w:val="both"/>
        <w:rPr>
          <w:rFonts w:cstheme="minorHAnsi"/>
        </w:rPr>
      </w:pPr>
      <w:r w:rsidRPr="009A4B37">
        <w:rPr>
          <w:rFonts w:cstheme="minorHAnsi"/>
        </w:rPr>
        <w:t xml:space="preserve">Gambling-related problems are most widespread among people with limited education, low incomes, manual occupations or without paid work – circumstances widespread in Greater Dandenong. </w:t>
      </w:r>
    </w:p>
    <w:p w14:paraId="4F2F967F" w14:textId="77777777" w:rsidR="009A4B37" w:rsidRDefault="009A4B37" w:rsidP="009A4B37">
      <w:pPr>
        <w:spacing w:after="0" w:line="360" w:lineRule="auto"/>
        <w:ind w:left="357" w:right="4536"/>
        <w:jc w:val="both"/>
        <w:rPr>
          <w:rFonts w:cs="Arial"/>
          <w:b/>
          <w:color w:val="000000"/>
        </w:rPr>
      </w:pPr>
    </w:p>
    <w:p w14:paraId="65FA21C8" w14:textId="566A82FA" w:rsidR="009A4B37" w:rsidRPr="009A4B37" w:rsidRDefault="009A4B37" w:rsidP="009A4B37">
      <w:pPr>
        <w:spacing w:after="0" w:line="360" w:lineRule="auto"/>
        <w:ind w:left="357" w:right="4536"/>
        <w:jc w:val="both"/>
        <w:rPr>
          <w:rFonts w:cs="Arial"/>
          <w:b/>
          <w:color w:val="000000"/>
        </w:rPr>
      </w:pPr>
      <w:r w:rsidRPr="009A4B37">
        <w:rPr>
          <w:rFonts w:cs="Arial"/>
          <w:b/>
          <w:color w:val="000000"/>
        </w:rPr>
        <w:t>‘Benefits’ of Gambling</w:t>
      </w:r>
    </w:p>
    <w:p w14:paraId="47EEEC44" w14:textId="77777777" w:rsidR="009A4B37" w:rsidRPr="009A4B37" w:rsidRDefault="009A4B37" w:rsidP="009A4B37">
      <w:pPr>
        <w:spacing w:after="0" w:line="360" w:lineRule="auto"/>
        <w:ind w:left="357"/>
        <w:jc w:val="both"/>
        <w:rPr>
          <w:rFonts w:cstheme="minorHAnsi"/>
        </w:rPr>
      </w:pPr>
      <w:r w:rsidRPr="009A4B37">
        <w:rPr>
          <w:rFonts w:cstheme="minorHAnsi"/>
        </w:rPr>
        <w:t xml:space="preserve">The gambling industry claims that it supports the community and creates jobs. However, in 2021/21, the clubs in Greater Dandenong returned just 2.8% of their gambling revenue to the community as gifts, donations, sponsorships and support for veterans. </w:t>
      </w:r>
    </w:p>
    <w:p w14:paraId="33EADB26" w14:textId="77777777" w:rsidR="009A4B37" w:rsidRPr="009A4B37" w:rsidRDefault="009A4B37" w:rsidP="009A4B37">
      <w:pPr>
        <w:spacing w:after="0" w:line="360" w:lineRule="auto"/>
        <w:ind w:left="357"/>
        <w:jc w:val="both"/>
        <w:rPr>
          <w:rFonts w:cstheme="minorHAnsi"/>
        </w:rPr>
      </w:pPr>
      <w:r w:rsidRPr="009A4B37">
        <w:rPr>
          <w:rFonts w:cstheme="minorHAnsi"/>
        </w:rPr>
        <w:t>Moreover, investigations of the spending patterns of gambling show that funds lost to gambling machines are largely diverted from expenditure on goods and services, such as household items, with the consequence that growth in the retail sector is lower than it would have been if EGMS had not been introduced. For example, gaming venues often detect from expenditure at local businesses as they divert expenditure from other goods and services.</w:t>
      </w:r>
      <w:bookmarkEnd w:id="6"/>
    </w:p>
    <w:p w14:paraId="594F12E4" w14:textId="4994920A" w:rsidR="00554FF3" w:rsidRPr="009A4B37" w:rsidRDefault="00554FF3" w:rsidP="009A4B37">
      <w:pPr>
        <w:tabs>
          <w:tab w:val="left" w:pos="284"/>
        </w:tabs>
        <w:spacing w:after="0" w:line="360" w:lineRule="auto"/>
        <w:jc w:val="both"/>
        <w:rPr>
          <w:rFonts w:ascii="Calibri" w:hAnsi="Calibri"/>
          <w:color w:val="000000"/>
        </w:rPr>
      </w:pPr>
    </w:p>
    <w:p w14:paraId="04E4B612" w14:textId="6FAD72A1" w:rsidR="009A4B37" w:rsidRDefault="009A4B37">
      <w:pPr>
        <w:rPr>
          <w:rFonts w:ascii="Calibri" w:hAnsi="Calibri"/>
          <w:color w:val="000000"/>
        </w:rPr>
      </w:pPr>
      <w:r>
        <w:rPr>
          <w:rFonts w:ascii="Calibri" w:hAnsi="Calibri"/>
          <w:color w:val="000000"/>
        </w:rPr>
        <w:br w:type="page"/>
      </w:r>
    </w:p>
    <w:p w14:paraId="2438CAF5" w14:textId="77777777" w:rsidR="009A4B37" w:rsidRPr="00A26F54" w:rsidRDefault="009A4B37" w:rsidP="00A26F54">
      <w:pPr>
        <w:pBdr>
          <w:top w:val="single" w:sz="4" w:space="1" w:color="auto"/>
          <w:bottom w:val="single" w:sz="4" w:space="1" w:color="auto"/>
        </w:pBdr>
        <w:tabs>
          <w:tab w:val="center" w:pos="4678"/>
        </w:tabs>
        <w:jc w:val="center"/>
        <w:rPr>
          <w:rFonts w:ascii="Calibri" w:hAnsi="Calibri"/>
          <w:noProof/>
          <w:sz w:val="32"/>
          <w:szCs w:val="32"/>
        </w:rPr>
      </w:pPr>
      <w:r w:rsidRPr="00A26F54">
        <w:rPr>
          <w:rFonts w:ascii="Calibri" w:hAnsi="Calibri"/>
          <w:noProof/>
          <w:sz w:val="32"/>
          <w:szCs w:val="32"/>
        </w:rPr>
        <w:lastRenderedPageBreak/>
        <w:t>Housing</w:t>
      </w:r>
    </w:p>
    <w:p w14:paraId="31CEDD44" w14:textId="77777777" w:rsidR="009A4B37" w:rsidRPr="0043051E" w:rsidRDefault="009A4B37" w:rsidP="009A4B37">
      <w:pPr>
        <w:spacing w:after="0" w:line="360" w:lineRule="auto"/>
        <w:jc w:val="center"/>
        <w:rPr>
          <w:rFonts w:ascii="Calibri" w:hAnsi="Calibri"/>
          <w:sz w:val="10"/>
          <w:szCs w:val="10"/>
        </w:rPr>
      </w:pPr>
      <w:r w:rsidRPr="00803EF5">
        <w:rPr>
          <w:rFonts w:ascii="Calibri" w:hAnsi="Calibri"/>
          <w:noProof/>
          <w:lang w:eastAsia="en-AU"/>
        </w:rPr>
        <w:drawing>
          <wp:anchor distT="0" distB="0" distL="114300" distR="114300" simplePos="0" relativeHeight="251787264" behindDoc="1" locked="0" layoutInCell="1" allowOverlap="1" wp14:anchorId="36E7ACE7" wp14:editId="70E0F6D4">
            <wp:simplePos x="0" y="0"/>
            <wp:positionH relativeFrom="column">
              <wp:posOffset>4899660</wp:posOffset>
            </wp:positionH>
            <wp:positionV relativeFrom="paragraph">
              <wp:posOffset>53975</wp:posOffset>
            </wp:positionV>
            <wp:extent cx="1235710" cy="831850"/>
            <wp:effectExtent l="0" t="0" r="2540" b="6350"/>
            <wp:wrapTight wrapText="bothSides">
              <wp:wrapPolygon edited="0">
                <wp:start x="1332" y="0"/>
                <wp:lineTo x="0" y="989"/>
                <wp:lineTo x="0" y="20776"/>
                <wp:lineTo x="1332" y="21270"/>
                <wp:lineTo x="19979" y="21270"/>
                <wp:lineTo x="21311" y="20776"/>
                <wp:lineTo x="21311" y="989"/>
                <wp:lineTo x="19979" y="0"/>
                <wp:lineTo x="1332" y="0"/>
              </wp:wrapPolygon>
            </wp:wrapTight>
            <wp:docPr id="167" name="Picture 73" descr="Housi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ing 2.jpg"/>
                    <pic:cNvPicPr/>
                  </pic:nvPicPr>
                  <pic:blipFill>
                    <a:blip r:embed="rId128" cstate="print"/>
                    <a:srcRect l="4528" t="10189" r="7453" b="11321"/>
                    <a:stretch>
                      <a:fillRect/>
                    </a:stretch>
                  </pic:blipFill>
                  <pic:spPr>
                    <a:xfrm>
                      <a:off x="0" y="0"/>
                      <a:ext cx="1235710" cy="8318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680B3F62" w14:textId="77777777" w:rsidR="009A4B37" w:rsidRPr="00E94DD1" w:rsidRDefault="009A4B37" w:rsidP="009A4B37">
      <w:pPr>
        <w:pStyle w:val="IntroParagraphtoeachChapter"/>
        <w:pBdr>
          <w:bottom w:val="none" w:sz="0" w:space="0" w:color="auto"/>
        </w:pBdr>
        <w:spacing w:before="0" w:line="360" w:lineRule="auto"/>
        <w:rPr>
          <w:rFonts w:ascii="Calibri" w:hAnsi="Calibri"/>
          <w:b/>
        </w:rPr>
      </w:pPr>
      <w:r w:rsidRPr="00E94DD1">
        <w:rPr>
          <w:rFonts w:ascii="Calibri" w:hAnsi="Calibri"/>
          <w:b/>
        </w:rPr>
        <w:t>Housing Structure</w:t>
      </w:r>
    </w:p>
    <w:p w14:paraId="128B8FF6" w14:textId="77777777" w:rsidR="009A4B37" w:rsidRDefault="009A4B37" w:rsidP="009A4B37">
      <w:pPr>
        <w:pStyle w:val="IntroParagraphtoeachChapter"/>
        <w:pBdr>
          <w:bottom w:val="none" w:sz="0" w:space="0" w:color="auto"/>
        </w:pBdr>
        <w:spacing w:before="0" w:line="360" w:lineRule="auto"/>
        <w:rPr>
          <w:rFonts w:ascii="Calibri" w:hAnsi="Calibri"/>
        </w:rPr>
      </w:pPr>
      <w:r w:rsidRPr="00E94DD1">
        <w:rPr>
          <w:rFonts w:ascii="Calibri" w:hAnsi="Calibri"/>
        </w:rPr>
        <w:t>In 20</w:t>
      </w:r>
      <w:r>
        <w:rPr>
          <w:rFonts w:ascii="Calibri" w:hAnsi="Calibri"/>
        </w:rPr>
        <w:t>21</w:t>
      </w:r>
      <w:r w:rsidRPr="00E94DD1">
        <w:rPr>
          <w:rFonts w:ascii="Calibri" w:hAnsi="Calibri"/>
        </w:rPr>
        <w:t>,</w:t>
      </w:r>
      <w:r>
        <w:rPr>
          <w:rFonts w:ascii="Calibri" w:hAnsi="Calibri"/>
        </w:rPr>
        <w:t xml:space="preserve"> approximately</w:t>
      </w:r>
      <w:r w:rsidRPr="00E94DD1">
        <w:rPr>
          <w:rFonts w:ascii="Calibri" w:hAnsi="Calibri"/>
        </w:rPr>
        <w:t xml:space="preserve"> 70% of households in Greater Dandenong were detached, </w:t>
      </w:r>
      <w:r>
        <w:rPr>
          <w:rFonts w:ascii="Calibri" w:hAnsi="Calibri"/>
        </w:rPr>
        <w:t>11</w:t>
      </w:r>
      <w:r w:rsidRPr="00E94DD1">
        <w:rPr>
          <w:rFonts w:ascii="Calibri" w:hAnsi="Calibri"/>
        </w:rPr>
        <w:t xml:space="preserve">% </w:t>
      </w:r>
      <w:r>
        <w:rPr>
          <w:rFonts w:ascii="Calibri" w:hAnsi="Calibri"/>
        </w:rPr>
        <w:t xml:space="preserve">were </w:t>
      </w:r>
      <w:r w:rsidRPr="00E94DD1">
        <w:rPr>
          <w:rFonts w:ascii="Calibri" w:hAnsi="Calibri"/>
        </w:rPr>
        <w:t xml:space="preserve">flats and </w:t>
      </w:r>
      <w:r>
        <w:rPr>
          <w:rFonts w:ascii="Calibri" w:hAnsi="Calibri"/>
        </w:rPr>
        <w:t>18</w:t>
      </w:r>
      <w:r w:rsidRPr="00E94DD1">
        <w:rPr>
          <w:rFonts w:ascii="Calibri" w:hAnsi="Calibri"/>
        </w:rPr>
        <w:t>% semi-detached</w:t>
      </w:r>
      <w:r>
        <w:rPr>
          <w:rFonts w:ascii="Calibri" w:hAnsi="Calibri"/>
        </w:rPr>
        <w:t xml:space="preserve"> structures</w:t>
      </w:r>
      <w:r w:rsidRPr="00E94DD1">
        <w:rPr>
          <w:rFonts w:ascii="Calibri" w:hAnsi="Calibri"/>
        </w:rPr>
        <w:t xml:space="preserve">. </w:t>
      </w:r>
      <w:r>
        <w:rPr>
          <w:rFonts w:ascii="Calibri" w:hAnsi="Calibri"/>
        </w:rPr>
        <w:t>During the 20 years to 2021, the number of detached dwellings in Greater Dandenong rose by approximately 3,700 and the number of semi-detached dwellings by nearly 5,300, while the number of flats declined by 1,970.</w:t>
      </w:r>
      <w:r w:rsidRPr="00E94DD1">
        <w:rPr>
          <w:rFonts w:ascii="Calibri" w:hAnsi="Calibri"/>
        </w:rPr>
        <w:t xml:space="preserve"> </w:t>
      </w:r>
    </w:p>
    <w:p w14:paraId="0F1E7F6D" w14:textId="77777777" w:rsidR="009A4B37" w:rsidRDefault="009A4B37" w:rsidP="009A4B37">
      <w:pPr>
        <w:pStyle w:val="IntroParagraphtoeachChapter"/>
        <w:pBdr>
          <w:bottom w:val="none" w:sz="0" w:space="0" w:color="auto"/>
        </w:pBdr>
        <w:spacing w:before="0" w:line="360" w:lineRule="auto"/>
        <w:rPr>
          <w:rFonts w:ascii="Calibri" w:hAnsi="Calibri"/>
        </w:rPr>
      </w:pPr>
      <w:r w:rsidRPr="00E94DD1">
        <w:rPr>
          <w:rFonts w:ascii="Calibri" w:hAnsi="Calibri"/>
        </w:rPr>
        <w:t>The distribution of housing structure varies across</w:t>
      </w:r>
      <w:r>
        <w:rPr>
          <w:rFonts w:ascii="Calibri" w:hAnsi="Calibri"/>
        </w:rPr>
        <w:t xml:space="preserve"> the</w:t>
      </w:r>
      <w:r w:rsidRPr="00E94DD1">
        <w:rPr>
          <w:rFonts w:ascii="Calibri" w:hAnsi="Calibri"/>
        </w:rPr>
        <w:t xml:space="preserve"> </w:t>
      </w:r>
      <w:r>
        <w:rPr>
          <w:rFonts w:ascii="Calibri" w:hAnsi="Calibri"/>
        </w:rPr>
        <w:t>metropolitan area, with flats accounting for 88% of dwellings in Melbourne, 52% of</w:t>
      </w:r>
      <w:r w:rsidRPr="00E94DD1">
        <w:rPr>
          <w:rFonts w:ascii="Calibri" w:hAnsi="Calibri"/>
        </w:rPr>
        <w:t xml:space="preserve"> dwellings in </w:t>
      </w:r>
      <w:r>
        <w:rPr>
          <w:rFonts w:ascii="Calibri" w:hAnsi="Calibri"/>
        </w:rPr>
        <w:t xml:space="preserve">Yarra, to 1% in outer-metropolitan Cardinia. </w:t>
      </w:r>
    </w:p>
    <w:p w14:paraId="200B2EC6" w14:textId="77777777" w:rsidR="009A4B37" w:rsidRPr="001E2EC8" w:rsidRDefault="009A4B37" w:rsidP="009A4B37">
      <w:pPr>
        <w:pStyle w:val="IntroParagraphtoeachChapter"/>
        <w:pBdr>
          <w:bottom w:val="none" w:sz="0" w:space="0" w:color="auto"/>
        </w:pBdr>
        <w:spacing w:before="0" w:line="360" w:lineRule="auto"/>
        <w:rPr>
          <w:rFonts w:ascii="Calibri" w:hAnsi="Calibri"/>
        </w:rPr>
      </w:pPr>
      <w:r>
        <w:rPr>
          <w:rFonts w:ascii="Calibri" w:hAnsi="Calibri"/>
        </w:rPr>
        <w:t>Within Greater Dandenong, flats tend to be concentrated among sections of Springvale, Noble Park and Dandenong - particularly in proximity to transport corridors.</w:t>
      </w:r>
    </w:p>
    <w:p w14:paraId="680E21EB" w14:textId="77777777" w:rsidR="009A4B37" w:rsidRDefault="009A4B37" w:rsidP="009A4B37">
      <w:pPr>
        <w:pStyle w:val="IntroParagraphtoeachChapter"/>
        <w:pBdr>
          <w:bottom w:val="none" w:sz="0" w:space="0" w:color="auto"/>
        </w:pBdr>
        <w:spacing w:before="0" w:line="360" w:lineRule="auto"/>
        <w:rPr>
          <w:rFonts w:ascii="Calibri" w:hAnsi="Calibri"/>
          <w:b/>
        </w:rPr>
      </w:pPr>
    </w:p>
    <w:p w14:paraId="013812DC" w14:textId="77777777" w:rsidR="009A4B37" w:rsidRPr="0007783C" w:rsidRDefault="009A4B37" w:rsidP="009A4B37">
      <w:pPr>
        <w:pStyle w:val="IntroParagraphtoeachChapter"/>
        <w:pBdr>
          <w:bottom w:val="none" w:sz="0" w:space="0" w:color="auto"/>
        </w:pBdr>
        <w:spacing w:before="0" w:line="360" w:lineRule="auto"/>
        <w:rPr>
          <w:rFonts w:ascii="Calibri" w:hAnsi="Calibri"/>
          <w:b/>
        </w:rPr>
      </w:pPr>
      <w:r w:rsidRPr="00E94DD1">
        <w:rPr>
          <w:rFonts w:ascii="Calibri" w:hAnsi="Calibri"/>
          <w:b/>
        </w:rPr>
        <w:t>Housing Tenure</w:t>
      </w:r>
      <w:r>
        <w:rPr>
          <w:rFonts w:ascii="Calibri" w:hAnsi="Calibri"/>
          <w:b/>
        </w:rPr>
        <w:t xml:space="preserve"> </w:t>
      </w:r>
    </w:p>
    <w:p w14:paraId="5F383745" w14:textId="77777777" w:rsidR="009A4B37" w:rsidRDefault="009A4B37" w:rsidP="009A4B37">
      <w:pPr>
        <w:spacing w:after="0" w:line="360" w:lineRule="auto"/>
        <w:jc w:val="both"/>
        <w:rPr>
          <w:rFonts w:ascii="Calibri" w:hAnsi="Calibri"/>
        </w:rPr>
      </w:pPr>
      <w:r>
        <w:rPr>
          <w:rFonts w:ascii="Calibri" w:hAnsi="Calibri"/>
        </w:rPr>
        <w:t xml:space="preserve">Levels of home ownership in Greater Dandenong are lower than the metropolitan average and have fallen in recent years. </w:t>
      </w:r>
      <w:r w:rsidRPr="00E94DD1">
        <w:rPr>
          <w:rFonts w:ascii="Calibri" w:hAnsi="Calibri"/>
        </w:rPr>
        <w:t>In 20</w:t>
      </w:r>
      <w:r>
        <w:rPr>
          <w:rFonts w:ascii="Calibri" w:hAnsi="Calibri"/>
        </w:rPr>
        <w:t>21</w:t>
      </w:r>
      <w:r w:rsidRPr="00E94DD1">
        <w:rPr>
          <w:rFonts w:ascii="Calibri" w:hAnsi="Calibri"/>
        </w:rPr>
        <w:t xml:space="preserve">, </w:t>
      </w:r>
      <w:r>
        <w:rPr>
          <w:rFonts w:ascii="Calibri" w:hAnsi="Calibri"/>
        </w:rPr>
        <w:t xml:space="preserve">nearly two-thirds (62%) of </w:t>
      </w:r>
      <w:r w:rsidRPr="00E94DD1">
        <w:rPr>
          <w:rFonts w:ascii="Calibri" w:hAnsi="Calibri"/>
        </w:rPr>
        <w:t xml:space="preserve">private dwellings in Greater Dandenong were either owned or being purchased by their occupants </w:t>
      </w:r>
      <w:r>
        <w:rPr>
          <w:rFonts w:ascii="Calibri" w:hAnsi="Calibri"/>
        </w:rPr>
        <w:t>– a decline from 65% in 2011. Across metropolitan Melbourne, a slightly higher proportion of homes (67%), were owned or being purchased</w:t>
      </w:r>
      <w:r w:rsidRPr="00E94DD1">
        <w:rPr>
          <w:rFonts w:ascii="Calibri" w:eastAsia="Times New Roman" w:hAnsi="Calibri"/>
          <w:lang w:val="en-US"/>
        </w:rPr>
        <w:t>.</w:t>
      </w:r>
      <w:r w:rsidRPr="00E94DD1">
        <w:rPr>
          <w:rFonts w:ascii="Calibri" w:hAnsi="Calibri"/>
        </w:rPr>
        <w:t xml:space="preserve"> </w:t>
      </w:r>
      <w:bookmarkStart w:id="7" w:name="_Hlk23238916"/>
    </w:p>
    <w:p w14:paraId="0AAD3880" w14:textId="77777777" w:rsidR="009A4B37" w:rsidRDefault="009A4B37" w:rsidP="009A4B37">
      <w:pPr>
        <w:spacing w:after="0" w:line="360" w:lineRule="auto"/>
        <w:jc w:val="both"/>
        <w:rPr>
          <w:rFonts w:ascii="Calibri" w:hAnsi="Calibri"/>
        </w:rPr>
      </w:pPr>
      <w:r>
        <w:rPr>
          <w:rFonts w:ascii="Calibri" w:hAnsi="Calibri"/>
          <w:noProof/>
        </w:rPr>
        <w:drawing>
          <wp:anchor distT="0" distB="0" distL="114300" distR="114300" simplePos="0" relativeHeight="251793408" behindDoc="0" locked="0" layoutInCell="1" allowOverlap="1" wp14:anchorId="016A05DA" wp14:editId="5B6F1FC9">
            <wp:simplePos x="0" y="0"/>
            <wp:positionH relativeFrom="margin">
              <wp:align>right</wp:align>
            </wp:positionH>
            <wp:positionV relativeFrom="paragraph">
              <wp:posOffset>179070</wp:posOffset>
            </wp:positionV>
            <wp:extent cx="3611245" cy="4643755"/>
            <wp:effectExtent l="0" t="0" r="8255" b="4445"/>
            <wp:wrapSquare wrapText="bothSides"/>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611245" cy="464375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In Greater Dandenong, 35.6% of dwellings are rented, compared with 30.8% across Victoria and 31.2% in Greater Dandenong in 2016.</w:t>
      </w:r>
      <w:bookmarkEnd w:id="7"/>
    </w:p>
    <w:p w14:paraId="325D2AB1" w14:textId="77777777" w:rsidR="009A4B37" w:rsidRDefault="009A4B37" w:rsidP="009A4B37">
      <w:pPr>
        <w:pStyle w:val="IntroParagraphtoeachChapter"/>
        <w:pBdr>
          <w:bottom w:val="none" w:sz="0" w:space="0" w:color="auto"/>
        </w:pBdr>
        <w:tabs>
          <w:tab w:val="left" w:pos="5529"/>
        </w:tabs>
        <w:spacing w:before="0" w:line="360" w:lineRule="auto"/>
        <w:rPr>
          <w:rFonts w:ascii="Calibri" w:hAnsi="Calibri"/>
        </w:rPr>
      </w:pPr>
      <w:r>
        <w:rPr>
          <w:rFonts w:ascii="Calibri" w:hAnsi="Calibri"/>
          <w:noProof/>
        </w:rPr>
        <w:t>Local</w:t>
      </w:r>
      <w:r>
        <w:rPr>
          <w:rFonts w:ascii="Calibri" w:hAnsi="Calibri"/>
        </w:rPr>
        <w:t xml:space="preserve"> h</w:t>
      </w:r>
      <w:r w:rsidRPr="00E94DD1">
        <w:rPr>
          <w:rFonts w:ascii="Calibri" w:hAnsi="Calibri"/>
        </w:rPr>
        <w:t>ome ownership levels are lowest among recent settlers</w:t>
      </w:r>
      <w:r>
        <w:rPr>
          <w:rFonts w:ascii="Calibri" w:hAnsi="Calibri"/>
        </w:rPr>
        <w:t>, with</w:t>
      </w:r>
      <w:r w:rsidRPr="00E94DD1">
        <w:rPr>
          <w:rFonts w:ascii="Calibri" w:hAnsi="Calibri"/>
        </w:rPr>
        <w:t xml:space="preserve"> </w:t>
      </w:r>
      <w:r>
        <w:rPr>
          <w:rFonts w:ascii="Calibri" w:hAnsi="Calibri"/>
        </w:rPr>
        <w:t>more than half of those from Somalia, Sudan, Syria, Ethiopia, Iran, Pakistan and Afghanistan renting</w:t>
      </w:r>
      <w:r w:rsidRPr="00E94DD1">
        <w:rPr>
          <w:rFonts w:ascii="Calibri" w:hAnsi="Calibri"/>
        </w:rPr>
        <w:t xml:space="preserve"> their accommodation, compared with fewer than one in </w:t>
      </w:r>
      <w:r>
        <w:rPr>
          <w:rFonts w:ascii="Calibri" w:hAnsi="Calibri"/>
        </w:rPr>
        <w:t>ten</w:t>
      </w:r>
      <w:r w:rsidRPr="00E94DD1">
        <w:rPr>
          <w:rFonts w:ascii="Calibri" w:hAnsi="Calibri"/>
        </w:rPr>
        <w:t xml:space="preserve"> from </w:t>
      </w:r>
      <w:r>
        <w:rPr>
          <w:rFonts w:ascii="Calibri" w:hAnsi="Calibri"/>
        </w:rPr>
        <w:t>Italy, Macedonia and Malta</w:t>
      </w:r>
      <w:r w:rsidRPr="00E94DD1">
        <w:rPr>
          <w:rFonts w:ascii="Calibri" w:hAnsi="Calibri"/>
        </w:rPr>
        <w:t xml:space="preserve"> </w:t>
      </w:r>
      <w:r>
        <w:rPr>
          <w:rFonts w:ascii="Calibri" w:hAnsi="Calibri"/>
        </w:rPr>
        <w:t>(accompanying diagram).</w:t>
      </w:r>
    </w:p>
    <w:p w14:paraId="3B3B97E0" w14:textId="77777777" w:rsidR="009A4B37" w:rsidRDefault="009A4B37" w:rsidP="009A4B37">
      <w:pPr>
        <w:spacing w:after="0" w:line="360" w:lineRule="auto"/>
        <w:jc w:val="both"/>
        <w:rPr>
          <w:rFonts w:ascii="Calibri" w:hAnsi="Calibri"/>
        </w:rPr>
      </w:pPr>
    </w:p>
    <w:p w14:paraId="783E4277" w14:textId="77777777" w:rsidR="009A4B37" w:rsidRDefault="009A4B37" w:rsidP="009A4B37">
      <w:pPr>
        <w:spacing w:after="0" w:line="360" w:lineRule="auto"/>
        <w:jc w:val="both"/>
        <w:rPr>
          <w:rFonts w:ascii="Calibri" w:hAnsi="Calibri"/>
        </w:rPr>
      </w:pPr>
    </w:p>
    <w:p w14:paraId="0788C41F" w14:textId="77777777" w:rsidR="009A4B37" w:rsidRPr="00190B5D" w:rsidRDefault="009A4B37" w:rsidP="009A4B37">
      <w:pPr>
        <w:pStyle w:val="IntroParagraphtoeachChapter"/>
        <w:pBdr>
          <w:bottom w:val="none" w:sz="0" w:space="0" w:color="auto"/>
        </w:pBdr>
        <w:spacing w:before="0"/>
        <w:rPr>
          <w:rFonts w:ascii="Calibri" w:hAnsi="Calibri"/>
          <w:color w:val="7F7F7F"/>
          <w:sz w:val="18"/>
          <w:szCs w:val="18"/>
        </w:rPr>
      </w:pPr>
      <w:r w:rsidRPr="00190B5D">
        <w:rPr>
          <w:rFonts w:ascii="Calibri" w:hAnsi="Calibri"/>
          <w:color w:val="7F7F7F"/>
          <w:sz w:val="18"/>
          <w:szCs w:val="18"/>
        </w:rPr>
        <w:t>Per cent of Persons Renting their Homes, by Selected Birthplaces: Greater Dandenong, 20</w:t>
      </w:r>
      <w:r>
        <w:rPr>
          <w:rFonts w:ascii="Calibri" w:hAnsi="Calibri"/>
          <w:color w:val="7F7F7F"/>
          <w:sz w:val="18"/>
          <w:szCs w:val="18"/>
        </w:rPr>
        <w:t>21</w:t>
      </w:r>
    </w:p>
    <w:p w14:paraId="24D89A87" w14:textId="77777777" w:rsidR="009A4B37" w:rsidRDefault="009A4B37" w:rsidP="009A4B37">
      <w:pPr>
        <w:spacing w:after="0" w:line="360" w:lineRule="auto"/>
        <w:jc w:val="both"/>
        <w:rPr>
          <w:rFonts w:ascii="Calibri" w:hAnsi="Calibri"/>
        </w:rPr>
      </w:pPr>
    </w:p>
    <w:p w14:paraId="24ACE88A" w14:textId="77777777" w:rsidR="009A4B37" w:rsidRDefault="009A4B37" w:rsidP="009A4B37">
      <w:pPr>
        <w:spacing w:after="0" w:line="360" w:lineRule="auto"/>
        <w:jc w:val="both"/>
        <w:rPr>
          <w:rFonts w:ascii="Calibri" w:hAnsi="Calibri"/>
        </w:rPr>
      </w:pPr>
    </w:p>
    <w:p w14:paraId="1861B227" w14:textId="77777777" w:rsidR="009A4B37" w:rsidRDefault="009A4B37" w:rsidP="009A4B37">
      <w:pPr>
        <w:spacing w:after="0" w:line="360" w:lineRule="auto"/>
        <w:jc w:val="both"/>
        <w:rPr>
          <w:rFonts w:ascii="Calibri" w:hAnsi="Calibri"/>
        </w:rPr>
      </w:pPr>
    </w:p>
    <w:p w14:paraId="76FC4899" w14:textId="77777777" w:rsidR="009A4B37" w:rsidRDefault="009A4B37" w:rsidP="009A4B37">
      <w:pPr>
        <w:spacing w:after="0" w:line="360" w:lineRule="auto"/>
        <w:jc w:val="both"/>
        <w:rPr>
          <w:rFonts w:ascii="Calibri" w:hAnsi="Calibri"/>
        </w:rPr>
      </w:pPr>
    </w:p>
    <w:p w14:paraId="477A0BE5" w14:textId="01001D2B" w:rsidR="009A4B37" w:rsidRDefault="009A4B37" w:rsidP="009A4B37">
      <w:pPr>
        <w:spacing w:after="0" w:line="360" w:lineRule="auto"/>
        <w:jc w:val="both"/>
        <w:rPr>
          <w:rFonts w:ascii="Calibri" w:hAnsi="Calibri"/>
        </w:rPr>
      </w:pPr>
    </w:p>
    <w:p w14:paraId="7C6BA6D3" w14:textId="77777777" w:rsidR="009A4B37" w:rsidRDefault="009A4B37" w:rsidP="009A4B37">
      <w:pPr>
        <w:spacing w:after="0" w:line="360" w:lineRule="auto"/>
        <w:jc w:val="both"/>
        <w:rPr>
          <w:rFonts w:ascii="Calibri" w:hAnsi="Calibri"/>
        </w:rPr>
      </w:pPr>
    </w:p>
    <w:p w14:paraId="302722D7" w14:textId="77777777" w:rsidR="009A4B37" w:rsidRPr="001D5C57" w:rsidRDefault="009A4B37" w:rsidP="009A4B37">
      <w:pPr>
        <w:spacing w:after="0" w:line="360" w:lineRule="auto"/>
        <w:jc w:val="both"/>
        <w:rPr>
          <w:rFonts w:ascii="Calibri" w:hAnsi="Calibri"/>
          <w:b/>
          <w:bCs/>
        </w:rPr>
      </w:pPr>
      <w:r w:rsidRPr="001D5C57">
        <w:rPr>
          <w:rFonts w:ascii="Calibri" w:hAnsi="Calibri"/>
          <w:b/>
          <w:bCs/>
        </w:rPr>
        <w:lastRenderedPageBreak/>
        <w:t>Housing Costs</w:t>
      </w:r>
    </w:p>
    <w:p w14:paraId="687052FE" w14:textId="77777777" w:rsidR="009A4B37" w:rsidRDefault="009A4B37" w:rsidP="009A4B37">
      <w:pPr>
        <w:pStyle w:val="IntroParagraphtoeachChapter"/>
        <w:pBdr>
          <w:bottom w:val="none" w:sz="0" w:space="0" w:color="auto"/>
        </w:pBdr>
        <w:spacing w:before="0" w:line="360" w:lineRule="auto"/>
        <w:rPr>
          <w:rFonts w:ascii="Calibri" w:hAnsi="Calibri"/>
        </w:rPr>
      </w:pPr>
      <w:r>
        <w:rPr>
          <w:rFonts w:ascii="Calibri" w:hAnsi="Calibri"/>
          <w:noProof/>
        </w:rPr>
        <w:drawing>
          <wp:anchor distT="0" distB="0" distL="114300" distR="114300" simplePos="0" relativeHeight="251794432" behindDoc="0" locked="0" layoutInCell="1" allowOverlap="1" wp14:anchorId="51234693" wp14:editId="51575190">
            <wp:simplePos x="0" y="0"/>
            <wp:positionH relativeFrom="column">
              <wp:posOffset>2045335</wp:posOffset>
            </wp:positionH>
            <wp:positionV relativeFrom="line">
              <wp:posOffset>28575</wp:posOffset>
            </wp:positionV>
            <wp:extent cx="4046220" cy="3166745"/>
            <wp:effectExtent l="0" t="0" r="0" b="0"/>
            <wp:wrapSquare wrapText="bothSides"/>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046220" cy="316674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In the 20 years to 2022, median housing costs in Greater Dandenong had nearly trebled in real terms, rising by 168%, compared with 93% across Melbourne in the same period (after adjustment for inflation).</w:t>
      </w:r>
    </w:p>
    <w:p w14:paraId="382CBFA7" w14:textId="77777777" w:rsidR="009A4B37" w:rsidRDefault="009A4B37" w:rsidP="009A4B37">
      <w:pPr>
        <w:pStyle w:val="IntroParagraphtoeachChapter"/>
        <w:pBdr>
          <w:bottom w:val="none" w:sz="0" w:space="0" w:color="auto"/>
        </w:pBdr>
        <w:spacing w:before="0" w:line="360" w:lineRule="auto"/>
        <w:rPr>
          <w:rFonts w:ascii="Calibri" w:hAnsi="Calibri"/>
        </w:rPr>
      </w:pPr>
      <w:bookmarkStart w:id="8" w:name="_Hlk23238955"/>
      <w:r>
        <w:rPr>
          <w:rFonts w:ascii="Calibri" w:hAnsi="Calibri"/>
        </w:rPr>
        <w:t>And in the years from 2011 to 2022,</w:t>
      </w:r>
      <w:r w:rsidRPr="00E94DD1">
        <w:rPr>
          <w:rFonts w:ascii="Calibri" w:hAnsi="Calibri"/>
        </w:rPr>
        <w:t xml:space="preserve"> </w:t>
      </w:r>
      <w:r>
        <w:rPr>
          <w:rFonts w:ascii="Calibri" w:hAnsi="Calibri"/>
          <w:noProof/>
          <w:lang w:eastAsia="en-AU"/>
        </w:rPr>
        <w:drawing>
          <wp:anchor distT="0" distB="0" distL="114300" distR="114300" simplePos="0" relativeHeight="251795456" behindDoc="0" locked="0" layoutInCell="1" allowOverlap="1" wp14:anchorId="1DE0EB30" wp14:editId="58AB5D2A">
            <wp:simplePos x="0" y="0"/>
            <wp:positionH relativeFrom="column">
              <wp:posOffset>4737100</wp:posOffset>
            </wp:positionH>
            <wp:positionV relativeFrom="line">
              <wp:posOffset>113983</wp:posOffset>
            </wp:positionV>
            <wp:extent cx="1098021" cy="823515"/>
            <wp:effectExtent l="0" t="0" r="6985"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e 6.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098021" cy="8235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rPr>
        <w:t xml:space="preserve">house </w:t>
      </w:r>
      <w:r w:rsidRPr="00E94DD1">
        <w:rPr>
          <w:rFonts w:ascii="Calibri" w:hAnsi="Calibri"/>
        </w:rPr>
        <w:t xml:space="preserve">purchase prices </w:t>
      </w:r>
      <w:r>
        <w:rPr>
          <w:rFonts w:ascii="Calibri" w:hAnsi="Calibri"/>
        </w:rPr>
        <w:t xml:space="preserve">rose by 61% (after inflation), nearly twice the corresponding rate of 34% across metropolitan Melbourne </w:t>
      </w:r>
      <w:r w:rsidRPr="00E94DD1">
        <w:rPr>
          <w:rFonts w:ascii="Calibri" w:hAnsi="Calibri"/>
        </w:rPr>
        <w:t>(diagram</w:t>
      </w:r>
      <w:r>
        <w:rPr>
          <w:rFonts w:ascii="Calibri" w:hAnsi="Calibri"/>
        </w:rPr>
        <w:t>,</w:t>
      </w:r>
      <w:r w:rsidRPr="00E94DD1">
        <w:rPr>
          <w:rFonts w:ascii="Calibri" w:hAnsi="Calibri"/>
        </w:rPr>
        <w:t xml:space="preserve"> </w:t>
      </w:r>
      <w:r>
        <w:rPr>
          <w:rFonts w:ascii="Calibri" w:hAnsi="Calibri"/>
        </w:rPr>
        <w:t xml:space="preserve">right). Local median purchase prices reached $812,000 by June 2022. </w:t>
      </w:r>
    </w:p>
    <w:p w14:paraId="27C13A4B" w14:textId="77777777" w:rsidR="009A4B37" w:rsidRDefault="009A4B37" w:rsidP="009A4B37">
      <w:pPr>
        <w:pStyle w:val="IntroParagraphtoeachChapter"/>
        <w:pBdr>
          <w:bottom w:val="none" w:sz="0" w:space="0" w:color="auto"/>
        </w:pBdr>
        <w:spacing w:before="0" w:line="360" w:lineRule="auto"/>
        <w:rPr>
          <w:rFonts w:ascii="Calibri" w:hAnsi="Calibri"/>
        </w:rPr>
      </w:pPr>
      <w:r>
        <w:rPr>
          <w:rFonts w:ascii="Calibri" w:hAnsi="Calibri"/>
        </w:rPr>
        <w:t>As a consequence, l</w:t>
      </w:r>
      <w:r w:rsidRPr="00E94DD1">
        <w:rPr>
          <w:rFonts w:ascii="Calibri" w:hAnsi="Calibri"/>
        </w:rPr>
        <w:t xml:space="preserve">ocal price increases </w:t>
      </w:r>
      <w:r>
        <w:rPr>
          <w:rFonts w:ascii="Calibri" w:hAnsi="Calibri"/>
        </w:rPr>
        <w:t xml:space="preserve">have </w:t>
      </w:r>
      <w:r w:rsidRPr="00E94DD1">
        <w:rPr>
          <w:rFonts w:ascii="Calibri" w:hAnsi="Calibri"/>
        </w:rPr>
        <w:t>outstripped growth in incomes</w:t>
      </w:r>
      <w:r>
        <w:rPr>
          <w:rFonts w:ascii="Calibri" w:hAnsi="Calibri"/>
        </w:rPr>
        <w:t>, with the</w:t>
      </w:r>
      <w:r w:rsidRPr="00E94DD1">
        <w:rPr>
          <w:rFonts w:ascii="Calibri" w:hAnsi="Calibri"/>
        </w:rPr>
        <w:t xml:space="preserve"> median cost of houses rising from </w:t>
      </w:r>
      <w:r>
        <w:rPr>
          <w:rFonts w:ascii="Calibri" w:hAnsi="Calibri"/>
        </w:rPr>
        <w:t>3.2</w:t>
      </w:r>
      <w:r w:rsidRPr="00E94DD1">
        <w:rPr>
          <w:rFonts w:ascii="Calibri" w:hAnsi="Calibri"/>
        </w:rPr>
        <w:t xml:space="preserve"> years of median </w:t>
      </w:r>
      <w:r>
        <w:rPr>
          <w:rFonts w:ascii="Calibri" w:hAnsi="Calibri"/>
        </w:rPr>
        <w:t>household</w:t>
      </w:r>
      <w:r w:rsidRPr="00E94DD1">
        <w:rPr>
          <w:rFonts w:ascii="Calibri" w:hAnsi="Calibri"/>
        </w:rPr>
        <w:t xml:space="preserve"> income</w:t>
      </w:r>
      <w:r>
        <w:rPr>
          <w:rFonts w:ascii="Calibri" w:hAnsi="Calibri"/>
        </w:rPr>
        <w:t xml:space="preserve"> in 1996</w:t>
      </w:r>
      <w:r w:rsidRPr="00E94DD1">
        <w:rPr>
          <w:rFonts w:ascii="Calibri" w:hAnsi="Calibri"/>
        </w:rPr>
        <w:t xml:space="preserve">, to </w:t>
      </w:r>
      <w:r>
        <w:rPr>
          <w:rFonts w:ascii="Calibri" w:hAnsi="Calibri"/>
        </w:rPr>
        <w:t>10.3</w:t>
      </w:r>
      <w:r w:rsidRPr="00E94DD1">
        <w:rPr>
          <w:rFonts w:ascii="Calibri" w:hAnsi="Calibri"/>
        </w:rPr>
        <w:t xml:space="preserve"> year</w:t>
      </w:r>
      <w:r>
        <w:rPr>
          <w:rFonts w:ascii="Calibri" w:hAnsi="Calibri"/>
        </w:rPr>
        <w:t>s in 2021</w:t>
      </w:r>
      <w:r w:rsidRPr="00E94DD1">
        <w:rPr>
          <w:rFonts w:ascii="Calibri" w:hAnsi="Calibri"/>
        </w:rPr>
        <w:t xml:space="preserve">. </w:t>
      </w:r>
      <w:bookmarkEnd w:id="8"/>
    </w:p>
    <w:p w14:paraId="3AE613CE" w14:textId="77777777" w:rsidR="009A4B37" w:rsidRDefault="009A4B37" w:rsidP="009A4B37">
      <w:pPr>
        <w:pStyle w:val="IntroParagraphtoeachChapter"/>
        <w:pBdr>
          <w:bottom w:val="none" w:sz="0" w:space="0" w:color="auto"/>
        </w:pBdr>
        <w:spacing w:before="0" w:line="360" w:lineRule="auto"/>
        <w:rPr>
          <w:rFonts w:ascii="Calibri" w:hAnsi="Calibri"/>
        </w:rPr>
      </w:pPr>
    </w:p>
    <w:p w14:paraId="2792A765" w14:textId="77777777" w:rsidR="009A4B37" w:rsidRDefault="009A4B37" w:rsidP="009A4B37">
      <w:pPr>
        <w:pStyle w:val="IntroParagraphtoeachChapter"/>
        <w:pBdr>
          <w:bottom w:val="none" w:sz="0" w:space="0" w:color="auto"/>
        </w:pBdr>
        <w:spacing w:before="0" w:line="360" w:lineRule="auto"/>
        <w:rPr>
          <w:rFonts w:ascii="Calibri" w:hAnsi="Calibri"/>
        </w:rPr>
      </w:pPr>
    </w:p>
    <w:p w14:paraId="402C9433" w14:textId="48EBF34D" w:rsidR="009A4B37" w:rsidRDefault="009A4B37" w:rsidP="009A4B37">
      <w:pPr>
        <w:pStyle w:val="IntroParagraphtoeachChapter"/>
        <w:pBdr>
          <w:bottom w:val="none" w:sz="0" w:space="0" w:color="auto"/>
        </w:pBdr>
        <w:spacing w:before="0" w:line="360" w:lineRule="auto"/>
        <w:rPr>
          <w:rFonts w:ascii="Calibri" w:hAnsi="Calibri"/>
        </w:rPr>
      </w:pPr>
    </w:p>
    <w:p w14:paraId="1EE19FBA" w14:textId="77777777" w:rsidR="009A4B37" w:rsidRDefault="009A4B37" w:rsidP="009A4B37">
      <w:pPr>
        <w:pStyle w:val="IntroParagraphtoeachChapter"/>
        <w:pBdr>
          <w:bottom w:val="none" w:sz="0" w:space="0" w:color="auto"/>
        </w:pBdr>
        <w:spacing w:before="0" w:line="360" w:lineRule="auto"/>
        <w:rPr>
          <w:rFonts w:ascii="Calibri" w:hAnsi="Calibri"/>
        </w:rPr>
      </w:pPr>
    </w:p>
    <w:p w14:paraId="093E3F73" w14:textId="77777777" w:rsidR="009A4B37" w:rsidRDefault="009A4B37" w:rsidP="009A4B37">
      <w:pPr>
        <w:pStyle w:val="IntroParagraphtoeachChapter"/>
        <w:pBdr>
          <w:bottom w:val="none" w:sz="0" w:space="0" w:color="auto"/>
        </w:pBdr>
        <w:spacing w:before="0" w:line="360" w:lineRule="auto"/>
        <w:rPr>
          <w:rFonts w:ascii="Calibri" w:hAnsi="Calibri"/>
        </w:rPr>
      </w:pPr>
      <w:r>
        <w:rPr>
          <w:rFonts w:ascii="Calibri" w:hAnsi="Calibri"/>
          <w:noProof/>
        </w:rPr>
        <w:drawing>
          <wp:anchor distT="0" distB="0" distL="114300" distR="114300" simplePos="0" relativeHeight="251788288" behindDoc="0" locked="0" layoutInCell="1" allowOverlap="1" wp14:anchorId="4121EE19" wp14:editId="4DB806C1">
            <wp:simplePos x="0" y="0"/>
            <wp:positionH relativeFrom="column">
              <wp:posOffset>-1270</wp:posOffset>
            </wp:positionH>
            <wp:positionV relativeFrom="line">
              <wp:posOffset>25718</wp:posOffset>
            </wp:positionV>
            <wp:extent cx="4040505" cy="3166745"/>
            <wp:effectExtent l="0" t="0" r="0" b="0"/>
            <wp:wrapSquare wrapText="bothSides"/>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040505" cy="3166745"/>
                    </a:xfrm>
                    <a:prstGeom prst="rect">
                      <a:avLst/>
                    </a:prstGeom>
                    <a:noFill/>
                  </pic:spPr>
                </pic:pic>
              </a:graphicData>
            </a:graphic>
            <wp14:sizeRelH relativeFrom="page">
              <wp14:pctWidth>0</wp14:pctWidth>
            </wp14:sizeRelH>
            <wp14:sizeRelV relativeFrom="page">
              <wp14:pctHeight>0</wp14:pctHeight>
            </wp14:sizeRelV>
          </wp:anchor>
        </w:drawing>
      </w:r>
    </w:p>
    <w:p w14:paraId="3414C6DD" w14:textId="77777777" w:rsidR="009A4B37" w:rsidRDefault="009A4B37" w:rsidP="009A4B37">
      <w:pPr>
        <w:pStyle w:val="IntroParagraphtoeachChapter"/>
        <w:pBdr>
          <w:bottom w:val="none" w:sz="0" w:space="0" w:color="auto"/>
        </w:pBdr>
        <w:spacing w:before="0"/>
        <w:ind w:left="3828"/>
        <w:rPr>
          <w:rFonts w:ascii="Calibri" w:hAnsi="Calibri"/>
          <w:color w:val="7F7F7F" w:themeColor="text1" w:themeTint="80"/>
          <w:sz w:val="18"/>
          <w:szCs w:val="18"/>
        </w:rPr>
      </w:pPr>
      <w:r w:rsidRPr="00706648">
        <w:rPr>
          <w:rFonts w:ascii="Calibri" w:hAnsi="Calibri"/>
          <w:color w:val="7F7F7F" w:themeColor="text1" w:themeTint="80"/>
          <w:sz w:val="18"/>
          <w:szCs w:val="18"/>
        </w:rPr>
        <w:t xml:space="preserve">Median </w:t>
      </w:r>
      <w:r>
        <w:rPr>
          <w:rFonts w:ascii="Calibri" w:hAnsi="Calibri"/>
          <w:color w:val="7F7F7F" w:themeColor="text1" w:themeTint="80"/>
          <w:sz w:val="18"/>
          <w:szCs w:val="18"/>
        </w:rPr>
        <w:t>Unit</w:t>
      </w:r>
      <w:r w:rsidRPr="00706648">
        <w:rPr>
          <w:rFonts w:ascii="Calibri" w:hAnsi="Calibri"/>
          <w:color w:val="7F7F7F" w:themeColor="text1" w:themeTint="80"/>
          <w:sz w:val="18"/>
          <w:szCs w:val="18"/>
        </w:rPr>
        <w:t xml:space="preserve"> Purchase Costs: Greater Dandenong and metropolitan Melbourne, 1985 to 20</w:t>
      </w:r>
      <w:r>
        <w:rPr>
          <w:rFonts w:ascii="Calibri" w:hAnsi="Calibri"/>
          <w:color w:val="7F7F7F" w:themeColor="text1" w:themeTint="80"/>
          <w:sz w:val="18"/>
          <w:szCs w:val="18"/>
        </w:rPr>
        <w:t>22</w:t>
      </w:r>
      <w:r w:rsidRPr="00706648">
        <w:rPr>
          <w:rFonts w:ascii="Calibri" w:hAnsi="Calibri"/>
          <w:color w:val="7F7F7F" w:themeColor="text1" w:themeTint="80"/>
          <w:sz w:val="18"/>
          <w:szCs w:val="18"/>
        </w:rPr>
        <w:t xml:space="preserve"> (adjusted for inflation)</w:t>
      </w:r>
    </w:p>
    <w:p w14:paraId="1C1DECF2" w14:textId="77777777" w:rsidR="009A4B37" w:rsidRDefault="009A4B37" w:rsidP="009A4B37">
      <w:pPr>
        <w:pStyle w:val="IntroParagraphtoeachChapter"/>
        <w:pBdr>
          <w:bottom w:val="none" w:sz="0" w:space="0" w:color="auto"/>
        </w:pBdr>
        <w:spacing w:before="0" w:line="360" w:lineRule="auto"/>
        <w:ind w:left="3828"/>
        <w:rPr>
          <w:rFonts w:ascii="Calibri" w:hAnsi="Calibri"/>
          <w:color w:val="7F7F7F" w:themeColor="text1" w:themeTint="80"/>
          <w:sz w:val="18"/>
          <w:szCs w:val="18"/>
        </w:rPr>
      </w:pPr>
    </w:p>
    <w:p w14:paraId="4317BF87" w14:textId="77777777" w:rsidR="009A4B37" w:rsidRPr="00706648" w:rsidRDefault="009A4B37" w:rsidP="009A4B37">
      <w:pPr>
        <w:pStyle w:val="IntroParagraphtoeachChapter"/>
        <w:pBdr>
          <w:bottom w:val="none" w:sz="0" w:space="0" w:color="auto"/>
        </w:pBdr>
        <w:spacing w:before="0" w:line="360" w:lineRule="auto"/>
        <w:ind w:left="3828"/>
        <w:rPr>
          <w:rFonts w:ascii="Calibri" w:hAnsi="Calibri"/>
          <w:color w:val="7F7F7F" w:themeColor="text1" w:themeTint="80"/>
          <w:sz w:val="18"/>
          <w:szCs w:val="18"/>
        </w:rPr>
      </w:pPr>
    </w:p>
    <w:p w14:paraId="011B800E" w14:textId="77777777" w:rsidR="009A4B37" w:rsidRDefault="009A4B37" w:rsidP="009A4B37">
      <w:pPr>
        <w:pStyle w:val="IntroParagraphtoeachChapter"/>
        <w:pBdr>
          <w:bottom w:val="none" w:sz="0" w:space="0" w:color="auto"/>
        </w:pBdr>
        <w:spacing w:before="0" w:line="360" w:lineRule="auto"/>
        <w:rPr>
          <w:rFonts w:ascii="Calibri" w:hAnsi="Calibri"/>
        </w:rPr>
      </w:pPr>
      <w:r>
        <w:rPr>
          <w:rFonts w:ascii="Calibri" w:hAnsi="Calibri"/>
        </w:rPr>
        <w:t xml:space="preserve">Meantime, the median price of units in Greater Dandenong rose 22% during the decade to 2020 – </w:t>
      </w:r>
      <w:r>
        <w:rPr>
          <w:rFonts w:ascii="Calibri" w:hAnsi="Calibri"/>
          <w:noProof/>
          <w:lang w:val="en-AU" w:eastAsia="en-AU"/>
        </w:rPr>
        <w:drawing>
          <wp:anchor distT="0" distB="0" distL="114300" distR="114300" simplePos="0" relativeHeight="251796480" behindDoc="0" locked="0" layoutInCell="1" allowOverlap="1" wp14:anchorId="27E7F381" wp14:editId="08756A18">
            <wp:simplePos x="0" y="0"/>
            <wp:positionH relativeFrom="column">
              <wp:posOffset>2924810</wp:posOffset>
            </wp:positionH>
            <wp:positionV relativeFrom="line">
              <wp:posOffset>88265</wp:posOffset>
            </wp:positionV>
            <wp:extent cx="1087755" cy="815340"/>
            <wp:effectExtent l="0" t="0" r="0" b="3810"/>
            <wp:wrapSquare wrapText="bothSides"/>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e 15.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087755" cy="8153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rPr>
        <w:t xml:space="preserve">more than twice the rate of growth recorded across Melbourne during this period, of 9.7%. </w:t>
      </w:r>
    </w:p>
    <w:p w14:paraId="170C3CAE" w14:textId="77777777" w:rsidR="009A4B37" w:rsidRDefault="009A4B37" w:rsidP="009A4B37">
      <w:pPr>
        <w:pStyle w:val="IntroParagraphtoeachChapter"/>
        <w:pBdr>
          <w:bottom w:val="none" w:sz="0" w:space="0" w:color="auto"/>
        </w:pBdr>
        <w:spacing w:before="0" w:line="360" w:lineRule="auto"/>
        <w:rPr>
          <w:rFonts w:ascii="Calibri" w:hAnsi="Calibri"/>
        </w:rPr>
      </w:pPr>
    </w:p>
    <w:p w14:paraId="4B809D67" w14:textId="77777777" w:rsidR="009A4B37" w:rsidRDefault="009A4B37" w:rsidP="009A4B37">
      <w:pPr>
        <w:pStyle w:val="IntroParagraphtoeachChapter"/>
        <w:pBdr>
          <w:bottom w:val="none" w:sz="0" w:space="0" w:color="auto"/>
        </w:pBdr>
        <w:spacing w:before="0" w:line="360" w:lineRule="auto"/>
        <w:rPr>
          <w:rFonts w:ascii="Calibri" w:hAnsi="Calibri"/>
        </w:rPr>
      </w:pPr>
    </w:p>
    <w:p w14:paraId="2023549F" w14:textId="77777777" w:rsidR="009A4B37" w:rsidRDefault="009A4B37" w:rsidP="009A4B37">
      <w:pPr>
        <w:pStyle w:val="IntroParagraphtoeachChapter"/>
        <w:pBdr>
          <w:bottom w:val="none" w:sz="0" w:space="0" w:color="auto"/>
        </w:pBdr>
        <w:spacing w:before="0" w:line="360" w:lineRule="auto"/>
        <w:rPr>
          <w:rFonts w:ascii="Calibri" w:hAnsi="Calibri"/>
        </w:rPr>
      </w:pPr>
    </w:p>
    <w:p w14:paraId="06720B9E" w14:textId="2B1A4CA2" w:rsidR="009A4B37" w:rsidRDefault="009A4B37" w:rsidP="009A4B37">
      <w:pPr>
        <w:pStyle w:val="IntroParagraphtoeachChapter"/>
        <w:pBdr>
          <w:bottom w:val="none" w:sz="0" w:space="0" w:color="auto"/>
        </w:pBdr>
        <w:spacing w:before="0" w:line="360" w:lineRule="auto"/>
        <w:rPr>
          <w:rFonts w:ascii="Calibri" w:hAnsi="Calibri"/>
        </w:rPr>
      </w:pPr>
    </w:p>
    <w:p w14:paraId="2AFAA610" w14:textId="77777777" w:rsidR="009A4B37" w:rsidRDefault="009A4B37" w:rsidP="009A4B37">
      <w:pPr>
        <w:pStyle w:val="IntroParagraphtoeachChapter"/>
        <w:pBdr>
          <w:bottom w:val="none" w:sz="0" w:space="0" w:color="auto"/>
        </w:pBdr>
        <w:spacing w:before="0" w:line="360" w:lineRule="auto"/>
        <w:rPr>
          <w:rFonts w:ascii="Calibri" w:hAnsi="Calibri"/>
        </w:rPr>
      </w:pPr>
    </w:p>
    <w:p w14:paraId="6034542F" w14:textId="77777777" w:rsidR="009A4B37" w:rsidRPr="003E35B5" w:rsidRDefault="009A4B37" w:rsidP="009A4B37">
      <w:pPr>
        <w:pStyle w:val="IntroParagraphtoeachChapter"/>
        <w:pBdr>
          <w:bottom w:val="none" w:sz="0" w:space="0" w:color="auto"/>
        </w:pBdr>
        <w:spacing w:before="0" w:line="360" w:lineRule="auto"/>
        <w:rPr>
          <w:rFonts w:ascii="Calibri" w:hAnsi="Calibri"/>
        </w:rPr>
      </w:pPr>
      <w:r>
        <w:rPr>
          <w:rFonts w:ascii="Calibri" w:hAnsi="Calibri"/>
          <w:b/>
        </w:rPr>
        <w:lastRenderedPageBreak/>
        <w:t xml:space="preserve">Rental Cost and </w:t>
      </w:r>
      <w:r w:rsidRPr="00E94DD1">
        <w:rPr>
          <w:rFonts w:ascii="Calibri" w:hAnsi="Calibri"/>
          <w:b/>
        </w:rPr>
        <w:t>Affordability</w:t>
      </w:r>
    </w:p>
    <w:p w14:paraId="528E7A39" w14:textId="77777777" w:rsidR="009A4B37" w:rsidRDefault="009A4B37" w:rsidP="009A4B37">
      <w:pPr>
        <w:pStyle w:val="IntroParagraphtoeachChapter"/>
        <w:pBdr>
          <w:bottom w:val="none" w:sz="0" w:space="0" w:color="auto"/>
        </w:pBdr>
        <w:spacing w:before="0" w:line="360" w:lineRule="auto"/>
        <w:rPr>
          <w:rFonts w:ascii="Calibri" w:hAnsi="Calibri"/>
        </w:rPr>
      </w:pPr>
      <w:r w:rsidRPr="00481BDA">
        <w:rPr>
          <w:rFonts w:ascii="Calibri" w:hAnsi="Calibri"/>
        </w:rPr>
        <w:t xml:space="preserve">In </w:t>
      </w:r>
      <w:r>
        <w:rPr>
          <w:rFonts w:ascii="Calibri" w:hAnsi="Calibri"/>
        </w:rPr>
        <w:t xml:space="preserve">June </w:t>
      </w:r>
      <w:r w:rsidRPr="00481BDA">
        <w:rPr>
          <w:rFonts w:ascii="Calibri" w:hAnsi="Calibri"/>
        </w:rPr>
        <w:t>20</w:t>
      </w:r>
      <w:r>
        <w:rPr>
          <w:rFonts w:ascii="Calibri" w:hAnsi="Calibri"/>
        </w:rPr>
        <w:t>22</w:t>
      </w:r>
      <w:r w:rsidRPr="00481BDA">
        <w:rPr>
          <w:rFonts w:ascii="Calibri" w:hAnsi="Calibri"/>
        </w:rPr>
        <w:t>, the average cost of renting a three-bedroom house</w:t>
      </w:r>
      <w:r>
        <w:rPr>
          <w:rFonts w:ascii="Calibri" w:hAnsi="Calibri"/>
        </w:rPr>
        <w:t xml:space="preserve"> in Greater Dandenong</w:t>
      </w:r>
      <w:r w:rsidRPr="00481BDA">
        <w:rPr>
          <w:rFonts w:ascii="Calibri" w:hAnsi="Calibri"/>
        </w:rPr>
        <w:t xml:space="preserve"> was $</w:t>
      </w:r>
      <w:r>
        <w:rPr>
          <w:rFonts w:ascii="Calibri" w:hAnsi="Calibri"/>
        </w:rPr>
        <w:t>400</w:t>
      </w:r>
      <w:r w:rsidRPr="00481BDA">
        <w:rPr>
          <w:rFonts w:ascii="Calibri" w:hAnsi="Calibri"/>
        </w:rPr>
        <w:t xml:space="preserve"> – similar to the metropolitan average of $</w:t>
      </w:r>
      <w:r>
        <w:rPr>
          <w:rFonts w:ascii="Calibri" w:hAnsi="Calibri"/>
        </w:rPr>
        <w:t>430.</w:t>
      </w:r>
      <w:r w:rsidRPr="00481BDA">
        <w:rPr>
          <w:rFonts w:ascii="Calibri" w:hAnsi="Calibri"/>
        </w:rPr>
        <w:t xml:space="preserve"> </w:t>
      </w:r>
    </w:p>
    <w:p w14:paraId="3EF3ACCE" w14:textId="77777777" w:rsidR="009A4B37" w:rsidRDefault="009A4B37" w:rsidP="009A4B37">
      <w:pPr>
        <w:pStyle w:val="IntroParagraphtoeachChapter"/>
        <w:pBdr>
          <w:bottom w:val="none" w:sz="0" w:space="0" w:color="auto"/>
        </w:pBdr>
        <w:spacing w:before="0" w:line="360" w:lineRule="auto"/>
        <w:rPr>
          <w:rFonts w:ascii="Calibri" w:hAnsi="Calibri"/>
        </w:rPr>
      </w:pPr>
      <w:r>
        <w:rPr>
          <w:rFonts w:ascii="Calibri" w:hAnsi="Calibri"/>
        </w:rPr>
        <w:t>In the past 23 years, l</w:t>
      </w:r>
      <w:r w:rsidRPr="002C21AE">
        <w:rPr>
          <w:rFonts w:ascii="Calibri" w:hAnsi="Calibri"/>
        </w:rPr>
        <w:t xml:space="preserve">ocal median rental costs have risen by </w:t>
      </w:r>
      <w:r>
        <w:rPr>
          <w:rFonts w:ascii="Calibri" w:hAnsi="Calibri"/>
        </w:rPr>
        <w:t>36</w:t>
      </w:r>
      <w:r w:rsidRPr="002C21AE">
        <w:rPr>
          <w:rFonts w:ascii="Calibri" w:hAnsi="Calibri"/>
        </w:rPr>
        <w:t>% for three</w:t>
      </w:r>
      <w:r>
        <w:rPr>
          <w:rFonts w:ascii="Calibri" w:hAnsi="Calibri"/>
        </w:rPr>
        <w:t>-</w:t>
      </w:r>
      <w:r w:rsidRPr="002C21AE">
        <w:rPr>
          <w:rFonts w:ascii="Calibri" w:hAnsi="Calibri"/>
        </w:rPr>
        <w:t>bedroom houses real terms –slightly higher than the corresponding rise across metro</w:t>
      </w:r>
      <w:r>
        <w:rPr>
          <w:rFonts w:ascii="Calibri" w:hAnsi="Calibri"/>
        </w:rPr>
        <w:t>politan</w:t>
      </w:r>
      <w:r w:rsidRPr="002C21AE">
        <w:rPr>
          <w:rFonts w:ascii="Calibri" w:hAnsi="Calibri"/>
        </w:rPr>
        <w:t xml:space="preserve"> Melbourne, of 3</w:t>
      </w:r>
      <w:r>
        <w:rPr>
          <w:rFonts w:ascii="Calibri" w:hAnsi="Calibri"/>
        </w:rPr>
        <w:t>0</w:t>
      </w:r>
      <w:r w:rsidRPr="002C21AE">
        <w:rPr>
          <w:rFonts w:ascii="Calibri" w:hAnsi="Calibri"/>
        </w:rPr>
        <w:t xml:space="preserve">%. </w:t>
      </w:r>
    </w:p>
    <w:p w14:paraId="25393B58" w14:textId="77777777" w:rsidR="009A4B37" w:rsidRDefault="009A4B37" w:rsidP="009A4B37">
      <w:pPr>
        <w:pStyle w:val="IntroParagraphtoeachChapter"/>
        <w:pBdr>
          <w:bottom w:val="none" w:sz="0" w:space="0" w:color="auto"/>
        </w:pBdr>
        <w:spacing w:before="0"/>
        <w:jc w:val="left"/>
        <w:rPr>
          <w:rFonts w:ascii="Calibri" w:hAnsi="Calibri"/>
          <w:noProof/>
          <w:color w:val="7F7F7F"/>
          <w:sz w:val="18"/>
          <w:szCs w:val="18"/>
          <w:lang w:eastAsia="en-AU"/>
        </w:rPr>
      </w:pPr>
      <w:r>
        <w:rPr>
          <w:rFonts w:ascii="Calibri" w:hAnsi="Calibri"/>
          <w:noProof/>
          <w:color w:val="7F7F7F"/>
          <w:sz w:val="12"/>
          <w:szCs w:val="12"/>
          <w:lang w:eastAsia="en-AU"/>
        </w:rPr>
        <w:drawing>
          <wp:anchor distT="0" distB="0" distL="114300" distR="114300" simplePos="0" relativeHeight="251798528" behindDoc="0" locked="0" layoutInCell="1" allowOverlap="1" wp14:anchorId="1B73C01C" wp14:editId="429DBE26">
            <wp:simplePos x="0" y="0"/>
            <wp:positionH relativeFrom="column">
              <wp:posOffset>-1270</wp:posOffset>
            </wp:positionH>
            <wp:positionV relativeFrom="line">
              <wp:posOffset>6985</wp:posOffset>
            </wp:positionV>
            <wp:extent cx="4466590" cy="2847975"/>
            <wp:effectExtent l="0" t="0" r="0" b="9525"/>
            <wp:wrapSquare wrapText="bothSides"/>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466590" cy="2847975"/>
                    </a:xfrm>
                    <a:prstGeom prst="rect">
                      <a:avLst/>
                    </a:prstGeom>
                    <a:noFill/>
                  </pic:spPr>
                </pic:pic>
              </a:graphicData>
            </a:graphic>
            <wp14:sizeRelH relativeFrom="page">
              <wp14:pctWidth>0</wp14:pctWidth>
            </wp14:sizeRelH>
            <wp14:sizeRelV relativeFrom="page">
              <wp14:pctHeight>0</wp14:pctHeight>
            </wp14:sizeRelV>
          </wp:anchor>
        </w:drawing>
      </w:r>
      <w:r w:rsidRPr="00245785">
        <w:rPr>
          <w:rFonts w:ascii="Calibri" w:hAnsi="Calibri"/>
          <w:noProof/>
          <w:color w:val="7F7F7F"/>
          <w:sz w:val="18"/>
          <w:szCs w:val="18"/>
          <w:lang w:eastAsia="en-AU"/>
        </w:rPr>
        <w:t xml:space="preserve">Per cent Rental Properties Affordable, Greater Dandenong and </w:t>
      </w:r>
      <w:r>
        <w:rPr>
          <w:rFonts w:ascii="Calibri" w:hAnsi="Calibri"/>
          <w:noProof/>
          <w:color w:val="7F7F7F"/>
          <w:sz w:val="18"/>
          <w:szCs w:val="18"/>
          <w:lang w:eastAsia="en-AU"/>
        </w:rPr>
        <w:t>Metropolitan Melbourne</w:t>
      </w:r>
      <w:r w:rsidRPr="00245785">
        <w:rPr>
          <w:rFonts w:ascii="Calibri" w:hAnsi="Calibri"/>
          <w:noProof/>
          <w:color w:val="7F7F7F"/>
          <w:sz w:val="18"/>
          <w:szCs w:val="18"/>
          <w:lang w:eastAsia="en-AU"/>
        </w:rPr>
        <w:t xml:space="preserve"> 2000-20</w:t>
      </w:r>
      <w:r>
        <w:rPr>
          <w:rFonts w:ascii="Calibri" w:hAnsi="Calibri"/>
          <w:noProof/>
          <w:color w:val="7F7F7F"/>
          <w:sz w:val="18"/>
          <w:szCs w:val="18"/>
          <w:lang w:eastAsia="en-AU"/>
        </w:rPr>
        <w:t xml:space="preserve">22 </w:t>
      </w:r>
    </w:p>
    <w:p w14:paraId="1FA67703" w14:textId="77777777" w:rsidR="009A4B37" w:rsidRPr="00BC5041" w:rsidRDefault="009A4B37" w:rsidP="009A4B37">
      <w:pPr>
        <w:pStyle w:val="IntroParagraphtoeachChapter"/>
        <w:pBdr>
          <w:bottom w:val="none" w:sz="0" w:space="0" w:color="auto"/>
        </w:pBdr>
        <w:spacing w:before="0" w:line="360" w:lineRule="auto"/>
        <w:jc w:val="left"/>
        <w:rPr>
          <w:rFonts w:ascii="Calibri" w:hAnsi="Calibri"/>
          <w:noProof/>
          <w:color w:val="7F7F7F"/>
          <w:sz w:val="12"/>
          <w:szCs w:val="12"/>
          <w:lang w:eastAsia="en-AU"/>
        </w:rPr>
      </w:pPr>
    </w:p>
    <w:p w14:paraId="503071F9" w14:textId="77777777" w:rsidR="009A4B37" w:rsidRDefault="009A4B37" w:rsidP="009A4B37">
      <w:pPr>
        <w:pStyle w:val="IntroParagraphtoeachChapter"/>
        <w:pBdr>
          <w:bottom w:val="none" w:sz="0" w:space="0" w:color="auto"/>
        </w:pBdr>
        <w:spacing w:before="0" w:line="360" w:lineRule="auto"/>
        <w:rPr>
          <w:rFonts w:ascii="Calibri" w:hAnsi="Calibri"/>
        </w:rPr>
      </w:pPr>
      <w:r>
        <w:rPr>
          <w:rFonts w:ascii="Calibri" w:hAnsi="Calibri"/>
        </w:rPr>
        <w:t>Consequently, the proportion of local,</w:t>
      </w:r>
      <w:r w:rsidRPr="00E94DD1">
        <w:rPr>
          <w:rFonts w:ascii="Calibri" w:hAnsi="Calibri"/>
        </w:rPr>
        <w:t xml:space="preserve"> rental properties affordable to Centrelink recipients </w:t>
      </w:r>
      <w:r>
        <w:rPr>
          <w:rFonts w:ascii="Calibri" w:hAnsi="Calibri"/>
        </w:rPr>
        <w:t>has fallen</w:t>
      </w:r>
      <w:r w:rsidRPr="00E94DD1">
        <w:rPr>
          <w:rFonts w:ascii="Calibri" w:hAnsi="Calibri"/>
        </w:rPr>
        <w:t xml:space="preserve"> from </w:t>
      </w:r>
      <w:r>
        <w:rPr>
          <w:rFonts w:ascii="Calibri" w:hAnsi="Calibri"/>
        </w:rPr>
        <w:t>83</w:t>
      </w:r>
      <w:r w:rsidRPr="00E94DD1">
        <w:rPr>
          <w:rFonts w:ascii="Calibri" w:hAnsi="Calibri"/>
        </w:rPr>
        <w:t>%</w:t>
      </w:r>
      <w:r>
        <w:rPr>
          <w:rFonts w:ascii="Calibri" w:hAnsi="Calibri"/>
        </w:rPr>
        <w:t xml:space="preserve"> in 2001, to</w:t>
      </w:r>
      <w:r w:rsidRPr="00E94DD1">
        <w:rPr>
          <w:rFonts w:ascii="Calibri" w:hAnsi="Calibri"/>
        </w:rPr>
        <w:t xml:space="preserve"> </w:t>
      </w:r>
      <w:r>
        <w:rPr>
          <w:rFonts w:ascii="Calibri" w:hAnsi="Calibri"/>
        </w:rPr>
        <w:t>9</w:t>
      </w:r>
      <w:r w:rsidRPr="00E94DD1">
        <w:rPr>
          <w:rFonts w:ascii="Calibri" w:hAnsi="Calibri"/>
        </w:rPr>
        <w:t xml:space="preserve">% </w:t>
      </w:r>
      <w:r>
        <w:rPr>
          <w:rFonts w:ascii="Calibri" w:hAnsi="Calibri"/>
        </w:rPr>
        <w:t>by</w:t>
      </w:r>
      <w:r w:rsidRPr="00E94DD1">
        <w:rPr>
          <w:rFonts w:ascii="Calibri" w:hAnsi="Calibri"/>
        </w:rPr>
        <w:t xml:space="preserve"> 20</w:t>
      </w:r>
      <w:r>
        <w:rPr>
          <w:rFonts w:ascii="Calibri" w:hAnsi="Calibri"/>
        </w:rPr>
        <w:t xml:space="preserve">22 </w:t>
      </w:r>
      <w:r w:rsidRPr="00E94DD1">
        <w:rPr>
          <w:rFonts w:ascii="Calibri" w:hAnsi="Calibri"/>
        </w:rPr>
        <w:t xml:space="preserve">(diagram, </w:t>
      </w:r>
      <w:r>
        <w:rPr>
          <w:rFonts w:ascii="Calibri" w:hAnsi="Calibri"/>
        </w:rPr>
        <w:t>left), thereby aggravating the financial difficulties faced by many households.</w:t>
      </w:r>
    </w:p>
    <w:p w14:paraId="6D914D06" w14:textId="77777777" w:rsidR="009A4B37" w:rsidRDefault="009A4B37" w:rsidP="009A4B37">
      <w:pPr>
        <w:pStyle w:val="IntroParagraphtoeachChapter"/>
        <w:pBdr>
          <w:bottom w:val="none" w:sz="0" w:space="0" w:color="auto"/>
        </w:pBdr>
        <w:spacing w:before="0" w:line="360" w:lineRule="auto"/>
        <w:rPr>
          <w:rFonts w:ascii="Calibri" w:hAnsi="Calibri"/>
          <w:b/>
        </w:rPr>
      </w:pPr>
    </w:p>
    <w:p w14:paraId="7A44CAC6" w14:textId="77777777" w:rsidR="009A4B37" w:rsidRPr="00195826" w:rsidRDefault="009A4B37" w:rsidP="009A4B37">
      <w:pPr>
        <w:pStyle w:val="IntroParagraphtoeachChapter"/>
        <w:pBdr>
          <w:bottom w:val="none" w:sz="0" w:space="0" w:color="auto"/>
        </w:pBdr>
        <w:spacing w:before="0" w:line="360" w:lineRule="auto"/>
        <w:rPr>
          <w:rFonts w:ascii="Calibri" w:hAnsi="Calibri"/>
          <w:b/>
          <w:sz w:val="18"/>
          <w:szCs w:val="18"/>
        </w:rPr>
      </w:pPr>
      <w:r w:rsidRPr="00195826">
        <w:rPr>
          <w:rFonts w:ascii="Calibri" w:hAnsi="Calibri"/>
          <w:b/>
        </w:rPr>
        <w:t>Rent-related Poverty</w:t>
      </w:r>
    </w:p>
    <w:p w14:paraId="3C2407D7" w14:textId="77777777" w:rsidR="009A4B37" w:rsidRPr="00195826" w:rsidRDefault="009A4B37" w:rsidP="009A4B37">
      <w:pPr>
        <w:spacing w:after="0" w:line="240" w:lineRule="auto"/>
        <w:jc w:val="both"/>
        <w:rPr>
          <w:rFonts w:cstheme="minorHAnsi"/>
          <w:color w:val="7F7F7F" w:themeColor="text1" w:themeTint="80"/>
          <w:sz w:val="18"/>
          <w:szCs w:val="18"/>
        </w:rPr>
      </w:pPr>
      <w:r w:rsidRPr="00195826">
        <w:rPr>
          <w:rFonts w:cstheme="minorHAnsi"/>
          <w:color w:val="7F7F7F" w:themeColor="text1" w:themeTint="80"/>
          <w:sz w:val="18"/>
          <w:szCs w:val="18"/>
        </w:rPr>
        <w:t>Per cent of renting households living in poverty, by household type: Greater Dandenong and Victoria, 2021</w:t>
      </w:r>
    </w:p>
    <w:p w14:paraId="4D4D8AF6" w14:textId="77777777" w:rsidR="009A4B37" w:rsidRPr="00195826" w:rsidRDefault="009A4B37" w:rsidP="009A4B37">
      <w:pPr>
        <w:spacing w:after="0" w:line="360" w:lineRule="auto"/>
        <w:jc w:val="both"/>
        <w:rPr>
          <w:rFonts w:ascii="Calibri" w:hAnsi="Calibri"/>
        </w:rPr>
      </w:pPr>
      <w:r w:rsidRPr="00195826">
        <w:rPr>
          <w:rFonts w:ascii="Calibri" w:hAnsi="Calibri"/>
          <w:b/>
          <w:noProof/>
        </w:rPr>
        <w:drawing>
          <wp:anchor distT="0" distB="0" distL="114300" distR="114300" simplePos="0" relativeHeight="251799552" behindDoc="0" locked="0" layoutInCell="1" allowOverlap="1" wp14:anchorId="389498B0" wp14:editId="37B26C75">
            <wp:simplePos x="0" y="0"/>
            <wp:positionH relativeFrom="margin">
              <wp:posOffset>-5715</wp:posOffset>
            </wp:positionH>
            <wp:positionV relativeFrom="paragraph">
              <wp:posOffset>36195</wp:posOffset>
            </wp:positionV>
            <wp:extent cx="4143375" cy="2450465"/>
            <wp:effectExtent l="0" t="0" r="9525" b="6985"/>
            <wp:wrapSquare wrapText="bothSides"/>
            <wp:docPr id="174" name="Picture 17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143375" cy="2450465"/>
                    </a:xfrm>
                    <a:prstGeom prst="rect">
                      <a:avLst/>
                    </a:prstGeom>
                    <a:noFill/>
                  </pic:spPr>
                </pic:pic>
              </a:graphicData>
            </a:graphic>
            <wp14:sizeRelH relativeFrom="page">
              <wp14:pctWidth>0</wp14:pctWidth>
            </wp14:sizeRelH>
            <wp14:sizeRelV relativeFrom="page">
              <wp14:pctHeight>0</wp14:pctHeight>
            </wp14:sizeRelV>
          </wp:anchor>
        </w:drawing>
      </w:r>
      <w:r w:rsidRPr="00195826">
        <w:rPr>
          <w:rFonts w:ascii="Calibri" w:hAnsi="Calibri"/>
        </w:rPr>
        <w:t>Findings of the 2021 Census show that about one-fifth (21%) of families in Greater Dandenong which are renting their accommodation are living in poverty – higher than the Victorian figure of 16% and</w:t>
      </w:r>
      <w:r>
        <w:rPr>
          <w:rFonts w:ascii="Calibri" w:hAnsi="Calibri"/>
        </w:rPr>
        <w:t xml:space="preserve"> the</w:t>
      </w:r>
      <w:r w:rsidRPr="00195826">
        <w:rPr>
          <w:rFonts w:ascii="Calibri" w:hAnsi="Calibri"/>
        </w:rPr>
        <w:t xml:space="preserve"> third highest proportion in the State.</w:t>
      </w:r>
      <w:r>
        <w:rPr>
          <w:rStyle w:val="FootnoteReference"/>
          <w:rFonts w:ascii="Calibri" w:hAnsi="Calibri"/>
        </w:rPr>
        <w:footnoteReference w:id="19"/>
      </w:r>
      <w:r w:rsidRPr="00195826">
        <w:rPr>
          <w:rFonts w:ascii="Calibri" w:hAnsi="Calibri"/>
        </w:rPr>
        <w:t xml:space="preserve"> </w:t>
      </w:r>
      <w:r>
        <w:rPr>
          <w:rFonts w:ascii="Calibri" w:hAnsi="Calibri"/>
        </w:rPr>
        <w:t>T</w:t>
      </w:r>
      <w:r w:rsidRPr="00195826">
        <w:rPr>
          <w:rFonts w:ascii="Calibri" w:hAnsi="Calibri"/>
        </w:rPr>
        <w:t>he percentage</w:t>
      </w:r>
      <w:r>
        <w:rPr>
          <w:rFonts w:ascii="Calibri" w:hAnsi="Calibri"/>
        </w:rPr>
        <w:t xml:space="preserve"> of </w:t>
      </w:r>
      <w:r w:rsidRPr="00195826">
        <w:rPr>
          <w:rFonts w:ascii="Calibri" w:hAnsi="Calibri"/>
        </w:rPr>
        <w:t xml:space="preserve">local households living in poverty ranged from 13% among couples, to 21% for couples with children, 34% among single parent households, and 42% of sole persons. </w:t>
      </w:r>
    </w:p>
    <w:p w14:paraId="32D8E0A0" w14:textId="77777777" w:rsidR="009A4B37" w:rsidRDefault="009A4B37" w:rsidP="009A4B37">
      <w:pPr>
        <w:spacing w:after="0" w:line="360" w:lineRule="auto"/>
        <w:jc w:val="both"/>
        <w:rPr>
          <w:rFonts w:cstheme="minorHAnsi"/>
        </w:rPr>
      </w:pPr>
      <w:r w:rsidRPr="00195826">
        <w:rPr>
          <w:rFonts w:ascii="Calibri" w:hAnsi="Calibri"/>
          <w:noProof/>
        </w:rPr>
        <w:lastRenderedPageBreak/>
        <w:drawing>
          <wp:anchor distT="0" distB="0" distL="114300" distR="114300" simplePos="0" relativeHeight="251800576" behindDoc="0" locked="0" layoutInCell="1" allowOverlap="1" wp14:anchorId="52F79A25" wp14:editId="7FE16EE1">
            <wp:simplePos x="0" y="0"/>
            <wp:positionH relativeFrom="column">
              <wp:posOffset>2167890</wp:posOffset>
            </wp:positionH>
            <wp:positionV relativeFrom="paragraph">
              <wp:posOffset>3810</wp:posOffset>
            </wp:positionV>
            <wp:extent cx="3947795" cy="2709545"/>
            <wp:effectExtent l="0" t="0" r="0" b="0"/>
            <wp:wrapSquare wrapText="bothSides"/>
            <wp:docPr id="175" name="Picture 17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947795" cy="2709545"/>
                    </a:xfrm>
                    <a:prstGeom prst="rect">
                      <a:avLst/>
                    </a:prstGeom>
                    <a:noFill/>
                  </pic:spPr>
                </pic:pic>
              </a:graphicData>
            </a:graphic>
            <wp14:sizeRelH relativeFrom="page">
              <wp14:pctWidth>0</wp14:pctWidth>
            </wp14:sizeRelH>
            <wp14:sizeRelV relativeFrom="page">
              <wp14:pctHeight>0</wp14:pctHeight>
            </wp14:sizeRelV>
          </wp:anchor>
        </w:drawing>
      </w:r>
      <w:r w:rsidRPr="00195826">
        <w:rPr>
          <w:rFonts w:cstheme="minorHAnsi"/>
        </w:rPr>
        <w:t>Where numbers are taken into consideration, couples with children account for nearly half of all local renting families in poverty, while lone persons represent nearly half of households in poverty.</w:t>
      </w:r>
    </w:p>
    <w:p w14:paraId="452E2B1F" w14:textId="77777777" w:rsidR="009A4B37" w:rsidRPr="00195826" w:rsidRDefault="009A4B37" w:rsidP="009A4B37">
      <w:pPr>
        <w:spacing w:after="0" w:line="360" w:lineRule="auto"/>
        <w:jc w:val="both"/>
        <w:rPr>
          <w:rFonts w:cstheme="minorHAnsi"/>
        </w:rPr>
      </w:pPr>
    </w:p>
    <w:p w14:paraId="17392BAA" w14:textId="77777777" w:rsidR="009A4B37" w:rsidRPr="00195826" w:rsidRDefault="009A4B37" w:rsidP="009A4B37">
      <w:pPr>
        <w:spacing w:after="0" w:line="240" w:lineRule="auto"/>
        <w:jc w:val="both"/>
        <w:rPr>
          <w:rFonts w:cstheme="minorHAnsi"/>
          <w:color w:val="7F7F7F" w:themeColor="text1" w:themeTint="80"/>
          <w:sz w:val="18"/>
          <w:szCs w:val="18"/>
        </w:rPr>
      </w:pPr>
      <w:r w:rsidRPr="00195826">
        <w:rPr>
          <w:rFonts w:cstheme="minorHAnsi"/>
          <w:color w:val="7F7F7F" w:themeColor="text1" w:themeTint="80"/>
          <w:sz w:val="18"/>
          <w:szCs w:val="18"/>
        </w:rPr>
        <w:t>Number of renting households living in poverty, by household type: Greater Dandenong and Victoria, 2021</w:t>
      </w:r>
    </w:p>
    <w:p w14:paraId="074CE5B7" w14:textId="77777777" w:rsidR="009A4B37" w:rsidRDefault="009A4B37" w:rsidP="009A4B37">
      <w:pPr>
        <w:spacing w:after="0" w:line="360" w:lineRule="auto"/>
        <w:jc w:val="both"/>
        <w:rPr>
          <w:rFonts w:cstheme="minorHAnsi"/>
        </w:rPr>
      </w:pPr>
    </w:p>
    <w:p w14:paraId="2C153F80" w14:textId="77777777" w:rsidR="009A4B37" w:rsidRDefault="009A4B37" w:rsidP="009A4B37">
      <w:pPr>
        <w:spacing w:after="0" w:line="360" w:lineRule="auto"/>
        <w:jc w:val="both"/>
        <w:rPr>
          <w:rFonts w:cstheme="minorHAnsi"/>
        </w:rPr>
      </w:pPr>
    </w:p>
    <w:p w14:paraId="4631D6CF" w14:textId="77777777" w:rsidR="009A4B37" w:rsidRDefault="009A4B37" w:rsidP="009A4B37">
      <w:pPr>
        <w:spacing w:after="0" w:line="360" w:lineRule="auto"/>
        <w:jc w:val="both"/>
        <w:rPr>
          <w:rFonts w:cstheme="minorHAnsi"/>
        </w:rPr>
      </w:pPr>
    </w:p>
    <w:p w14:paraId="010A9DB7" w14:textId="77777777" w:rsidR="009A4B37" w:rsidRPr="00195826" w:rsidRDefault="009A4B37" w:rsidP="009A4B37">
      <w:pPr>
        <w:spacing w:after="0" w:line="360" w:lineRule="auto"/>
        <w:jc w:val="both"/>
        <w:rPr>
          <w:rFonts w:cstheme="minorHAnsi"/>
        </w:rPr>
      </w:pPr>
      <w:r>
        <w:rPr>
          <w:rFonts w:ascii="Calibri" w:hAnsi="Calibri"/>
          <w:noProof/>
        </w:rPr>
        <w:drawing>
          <wp:anchor distT="0" distB="0" distL="114300" distR="114300" simplePos="0" relativeHeight="251790336" behindDoc="0" locked="0" layoutInCell="1" allowOverlap="1" wp14:anchorId="0667AE18" wp14:editId="528E880A">
            <wp:simplePos x="0" y="0"/>
            <wp:positionH relativeFrom="column">
              <wp:posOffset>2698115</wp:posOffset>
            </wp:positionH>
            <wp:positionV relativeFrom="line">
              <wp:posOffset>257810</wp:posOffset>
            </wp:positionV>
            <wp:extent cx="3376295" cy="5295900"/>
            <wp:effectExtent l="0" t="0" r="0" b="0"/>
            <wp:wrapSquare wrapText="bothSides"/>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7">
                      <a:extLst>
                        <a:ext uri="{28A0092B-C50C-407E-A947-70E740481C1C}">
                          <a14:useLocalDpi xmlns:a14="http://schemas.microsoft.com/office/drawing/2010/main" val="0"/>
                        </a:ext>
                      </a:extLst>
                    </a:blip>
                    <a:srcRect t="1654" r="5380" b="1419"/>
                    <a:stretch/>
                  </pic:blipFill>
                  <pic:spPr bwMode="auto">
                    <a:xfrm>
                      <a:off x="0" y="0"/>
                      <a:ext cx="3376295" cy="5295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513925" w14:textId="77777777" w:rsidR="009A4B37" w:rsidRDefault="009A4B37" w:rsidP="009A4B37">
      <w:pPr>
        <w:pStyle w:val="IntroParagraphtoeachChapter"/>
        <w:pBdr>
          <w:bottom w:val="none" w:sz="0" w:space="0" w:color="auto"/>
        </w:pBdr>
        <w:spacing w:before="0" w:line="360" w:lineRule="auto"/>
        <w:rPr>
          <w:rFonts w:ascii="Calibri" w:hAnsi="Calibri"/>
          <w:b/>
        </w:rPr>
      </w:pPr>
    </w:p>
    <w:p w14:paraId="3A09F4BE" w14:textId="77777777" w:rsidR="009A4B37" w:rsidRDefault="009A4B37" w:rsidP="009A4B37">
      <w:pPr>
        <w:pStyle w:val="IntroParagraphtoeachChapter"/>
        <w:pBdr>
          <w:bottom w:val="none" w:sz="0" w:space="0" w:color="auto"/>
        </w:pBdr>
        <w:spacing w:before="0" w:line="360" w:lineRule="auto"/>
        <w:rPr>
          <w:rFonts w:ascii="Calibri" w:hAnsi="Calibri"/>
          <w:b/>
        </w:rPr>
      </w:pPr>
      <w:r>
        <w:rPr>
          <w:rFonts w:ascii="Calibri" w:hAnsi="Calibri"/>
          <w:b/>
        </w:rPr>
        <w:t>Overcrowding of Private Dwellings</w:t>
      </w:r>
    </w:p>
    <w:p w14:paraId="2AFEFA20" w14:textId="77777777" w:rsidR="009A4B37" w:rsidRDefault="009A4B37" w:rsidP="009A4B37">
      <w:pPr>
        <w:tabs>
          <w:tab w:val="left" w:pos="4395"/>
        </w:tabs>
        <w:spacing w:after="0" w:line="360" w:lineRule="auto"/>
        <w:jc w:val="both"/>
        <w:rPr>
          <w:rFonts w:ascii="Calibri" w:hAnsi="Calibri"/>
          <w:noProof/>
        </w:rPr>
      </w:pPr>
      <w:r w:rsidRPr="00DD6DDD">
        <w:rPr>
          <w:rFonts w:ascii="Calibri" w:hAnsi="Calibri"/>
          <w:noProof/>
        </w:rPr>
        <w:t xml:space="preserve">To measure the proportion of private dwellings that were overcrowded, </w:t>
      </w:r>
      <w:r>
        <w:rPr>
          <w:rFonts w:ascii="Calibri" w:hAnsi="Calibri"/>
          <w:noProof/>
        </w:rPr>
        <w:t>conditions were</w:t>
      </w:r>
      <w:r w:rsidRPr="00DD6DDD">
        <w:rPr>
          <w:rFonts w:ascii="Calibri" w:hAnsi="Calibri"/>
          <w:noProof/>
        </w:rPr>
        <w:t xml:space="preserve"> defined as persons living in private dwellings where there are either</w:t>
      </w:r>
      <w:r>
        <w:rPr>
          <w:rFonts w:ascii="Calibri" w:hAnsi="Calibri"/>
          <w:noProof/>
        </w:rPr>
        <w:t xml:space="preserve"> </w:t>
      </w:r>
      <w:r w:rsidRPr="00DD6DDD">
        <w:rPr>
          <w:rFonts w:ascii="Calibri" w:hAnsi="Calibri"/>
          <w:noProof/>
        </w:rPr>
        <w:t>4 or more persons in a dwelling with 0 or 1 bedroom</w:t>
      </w:r>
      <w:r>
        <w:rPr>
          <w:rFonts w:ascii="Calibri" w:hAnsi="Calibri"/>
          <w:noProof/>
        </w:rPr>
        <w:t xml:space="preserve"> or </w:t>
      </w:r>
      <w:r w:rsidRPr="00DD6DDD">
        <w:rPr>
          <w:rFonts w:ascii="Calibri" w:hAnsi="Calibri"/>
          <w:noProof/>
        </w:rPr>
        <w:t>6 or more persons in a dwelling of 2 bedrooms</w:t>
      </w:r>
    </w:p>
    <w:p w14:paraId="12CE585F" w14:textId="77777777" w:rsidR="009A4B37" w:rsidRPr="00A23310" w:rsidRDefault="009A4B37" w:rsidP="009A4B37">
      <w:pPr>
        <w:tabs>
          <w:tab w:val="left" w:pos="993"/>
          <w:tab w:val="left" w:pos="4395"/>
        </w:tabs>
        <w:spacing w:after="0" w:line="360" w:lineRule="auto"/>
        <w:ind w:left="633"/>
        <w:jc w:val="both"/>
        <w:rPr>
          <w:rFonts w:ascii="Calibri" w:hAnsi="Calibri"/>
          <w:noProof/>
          <w:sz w:val="8"/>
          <w:szCs w:val="8"/>
        </w:rPr>
      </w:pPr>
    </w:p>
    <w:p w14:paraId="1120F793" w14:textId="77777777" w:rsidR="009A4B37" w:rsidRPr="00CA01BE" w:rsidRDefault="009A4B37" w:rsidP="009A4B37">
      <w:pPr>
        <w:tabs>
          <w:tab w:val="left" w:pos="4395"/>
        </w:tabs>
        <w:spacing w:after="0" w:line="240" w:lineRule="auto"/>
        <w:jc w:val="both"/>
        <w:rPr>
          <w:rFonts w:ascii="Calibri" w:hAnsi="Calibri"/>
          <w:noProof/>
          <w:color w:val="7F7F7F"/>
          <w:sz w:val="20"/>
          <w:szCs w:val="20"/>
        </w:rPr>
      </w:pPr>
      <w:r w:rsidRPr="00CA01BE">
        <w:rPr>
          <w:rFonts w:ascii="Calibri" w:hAnsi="Calibri"/>
          <w:noProof/>
          <w:color w:val="7F7F7F"/>
          <w:sz w:val="20"/>
          <w:szCs w:val="20"/>
        </w:rPr>
        <w:t>Proportion of private dwellings that are overcrowded: metropolitan municipalities, 20</w:t>
      </w:r>
      <w:r>
        <w:rPr>
          <w:rFonts w:ascii="Calibri" w:hAnsi="Calibri"/>
          <w:noProof/>
          <w:color w:val="7F7F7F"/>
          <w:sz w:val="20"/>
          <w:szCs w:val="20"/>
        </w:rPr>
        <w:t>21</w:t>
      </w:r>
    </w:p>
    <w:p w14:paraId="38C68BAF" w14:textId="77777777" w:rsidR="009A4B37" w:rsidRPr="00A23310" w:rsidRDefault="009A4B37" w:rsidP="009A4B37">
      <w:pPr>
        <w:tabs>
          <w:tab w:val="left" w:pos="4395"/>
        </w:tabs>
        <w:spacing w:after="0" w:line="360" w:lineRule="auto"/>
        <w:jc w:val="both"/>
        <w:rPr>
          <w:rFonts w:ascii="Calibri" w:hAnsi="Calibri"/>
          <w:noProof/>
          <w:sz w:val="8"/>
          <w:szCs w:val="8"/>
        </w:rPr>
      </w:pPr>
    </w:p>
    <w:p w14:paraId="33E984C7" w14:textId="77777777" w:rsidR="009A4B37" w:rsidRDefault="009A4B37" w:rsidP="009A4B37">
      <w:pPr>
        <w:tabs>
          <w:tab w:val="left" w:pos="4395"/>
        </w:tabs>
        <w:spacing w:after="0" w:line="360" w:lineRule="auto"/>
        <w:jc w:val="both"/>
        <w:rPr>
          <w:rFonts w:ascii="Calibri" w:hAnsi="Calibri"/>
          <w:noProof/>
        </w:rPr>
      </w:pPr>
      <w:r>
        <w:rPr>
          <w:rFonts w:ascii="Calibri" w:hAnsi="Calibri"/>
          <w:noProof/>
        </w:rPr>
        <w:t>Based on these criteria and the findings of the 2021 Census, 1.3% of private dwellings, numbering 645 homes, were overcrowded – the highest number and proportion in metropolitan Melbourne.</w:t>
      </w:r>
    </w:p>
    <w:p w14:paraId="209795B8" w14:textId="77777777" w:rsidR="009A4B37" w:rsidRDefault="009A4B37" w:rsidP="009A4B37">
      <w:pPr>
        <w:tabs>
          <w:tab w:val="left" w:pos="4395"/>
        </w:tabs>
        <w:spacing w:after="0" w:line="360" w:lineRule="auto"/>
        <w:jc w:val="both"/>
        <w:rPr>
          <w:rFonts w:ascii="Calibri" w:hAnsi="Calibri"/>
          <w:noProof/>
        </w:rPr>
      </w:pPr>
      <w:r>
        <w:rPr>
          <w:rFonts w:ascii="Calibri" w:hAnsi="Calibri"/>
          <w:noProof/>
        </w:rPr>
        <w:t>Similarly, 3% of private dwellings in Greater Dandenong accommodated 7 or more persons in 2021, compared with an averge of 1% across Victoria.</w:t>
      </w:r>
    </w:p>
    <w:p w14:paraId="72577BFF" w14:textId="77777777" w:rsidR="009A4B37" w:rsidRDefault="009A4B37" w:rsidP="009A4B37">
      <w:pPr>
        <w:spacing w:after="0" w:line="360" w:lineRule="auto"/>
        <w:rPr>
          <w:rFonts w:ascii="Calibri" w:eastAsia="Times New Roman" w:hAnsi="Calibri"/>
          <w:b/>
          <w:lang w:val="en-US"/>
        </w:rPr>
      </w:pPr>
      <w:r>
        <w:rPr>
          <w:rFonts w:ascii="Calibri" w:hAnsi="Calibri"/>
          <w:b/>
        </w:rPr>
        <w:br w:type="page"/>
      </w:r>
    </w:p>
    <w:p w14:paraId="5AF173E9" w14:textId="77777777" w:rsidR="00591FEE" w:rsidRPr="008751D8" w:rsidRDefault="00591FEE" w:rsidP="00591FEE">
      <w:pPr>
        <w:pStyle w:val="IntroParagraphtoeachChapter"/>
        <w:pBdr>
          <w:bottom w:val="none" w:sz="0" w:space="0" w:color="auto"/>
        </w:pBdr>
        <w:spacing w:before="0" w:line="360" w:lineRule="auto"/>
        <w:rPr>
          <w:rFonts w:ascii="Calibri" w:hAnsi="Calibri"/>
          <w:color w:val="7F7F7F"/>
          <w:sz w:val="18"/>
          <w:szCs w:val="18"/>
        </w:rPr>
      </w:pPr>
      <w:r w:rsidRPr="00E94DD1">
        <w:rPr>
          <w:rFonts w:ascii="Calibri" w:hAnsi="Calibri"/>
          <w:b/>
        </w:rPr>
        <w:lastRenderedPageBreak/>
        <w:t>Homelessness</w:t>
      </w:r>
    </w:p>
    <w:p w14:paraId="7BF8A8ED" w14:textId="77777777" w:rsidR="00591FEE" w:rsidRPr="00A86C5B" w:rsidRDefault="00591FEE" w:rsidP="00591FEE">
      <w:pPr>
        <w:shd w:val="clear" w:color="auto" w:fill="FFFFFF"/>
        <w:spacing w:after="0" w:line="360" w:lineRule="auto"/>
        <w:jc w:val="both"/>
        <w:textAlignment w:val="baseline"/>
        <w:rPr>
          <w:rFonts w:ascii="Calibri" w:eastAsia="Times New Roman" w:hAnsi="Calibri" w:cs="Calibri"/>
          <w:color w:val="000000"/>
        </w:rPr>
      </w:pPr>
      <w:r w:rsidRPr="00A86C5B">
        <w:rPr>
          <w:rFonts w:ascii="Calibri" w:eastAsia="Times New Roman" w:hAnsi="Calibri" w:cs="Calibri"/>
          <w:color w:val="000000"/>
        </w:rPr>
        <w:t>The Australian Bureau of Statistics determined that</w:t>
      </w:r>
      <w:r>
        <w:rPr>
          <w:rFonts w:ascii="Calibri" w:eastAsia="Times New Roman" w:hAnsi="Calibri" w:cs="Calibri"/>
          <w:color w:val="000000"/>
        </w:rPr>
        <w:t xml:space="preserve"> in 2021,</w:t>
      </w:r>
      <w:r w:rsidRPr="00A86C5B">
        <w:rPr>
          <w:rFonts w:ascii="Calibri" w:eastAsia="Times New Roman" w:hAnsi="Calibri" w:cs="Calibri"/>
          <w:color w:val="000000"/>
        </w:rPr>
        <w:t xml:space="preserve"> 2,366 people in Greater Dandenong were homeless or living in 'severely overcrowded' conditions. This number is the largest in Victoria,</w:t>
      </w:r>
      <w:r>
        <w:rPr>
          <w:rFonts w:ascii="Calibri" w:eastAsia="Times New Roman" w:hAnsi="Calibri" w:cs="Calibri"/>
          <w:color w:val="000000"/>
        </w:rPr>
        <w:t xml:space="preserve"> </w:t>
      </w:r>
      <w:r w:rsidRPr="00A86C5B">
        <w:rPr>
          <w:rFonts w:ascii="Calibri" w:eastAsia="Times New Roman" w:hAnsi="Calibri" w:cs="Calibri"/>
          <w:color w:val="000000"/>
          <w:bdr w:val="none" w:sz="0" w:space="0" w:color="auto" w:frame="1"/>
          <w:shd w:val="clear" w:color="auto" w:fill="FFFFFF"/>
        </w:rPr>
        <w:t>accounts for 1.5% of the municipal population - the highest proportion in the State</w:t>
      </w:r>
      <w:r>
        <w:rPr>
          <w:rFonts w:ascii="Calibri" w:eastAsia="Times New Roman" w:hAnsi="Calibri" w:cs="Calibri"/>
          <w:color w:val="000000"/>
          <w:bdr w:val="none" w:sz="0" w:space="0" w:color="auto" w:frame="1"/>
          <w:shd w:val="clear" w:color="auto" w:fill="FFFFFF"/>
        </w:rPr>
        <w:t xml:space="preserve"> and over four times the Victorian level</w:t>
      </w:r>
      <w:r w:rsidRPr="00A86C5B">
        <w:rPr>
          <w:rFonts w:ascii="Calibri" w:eastAsia="Times New Roman" w:hAnsi="Calibri" w:cs="Calibri"/>
          <w:color w:val="000000"/>
          <w:bdr w:val="none" w:sz="0" w:space="0" w:color="auto" w:frame="1"/>
          <w:shd w:val="clear" w:color="auto" w:fill="FFFFFF"/>
        </w:rPr>
        <w:t>,</w:t>
      </w:r>
      <w:r>
        <w:rPr>
          <w:rFonts w:ascii="Calibri" w:eastAsia="Times New Roman" w:hAnsi="Calibri" w:cs="Calibri"/>
          <w:color w:val="000000"/>
          <w:bdr w:val="none" w:sz="0" w:space="0" w:color="auto" w:frame="1"/>
          <w:shd w:val="clear" w:color="auto" w:fill="FFFFFF"/>
        </w:rPr>
        <w:t xml:space="preserve"> </w:t>
      </w:r>
      <w:r w:rsidRPr="00A86C5B">
        <w:rPr>
          <w:rFonts w:ascii="Calibri" w:eastAsia="Times New Roman" w:hAnsi="Calibri" w:cs="Calibri"/>
          <w:color w:val="000000"/>
        </w:rPr>
        <w:t>and represents a rise of 851, or 56 per cent, during the past decade.</w:t>
      </w:r>
    </w:p>
    <w:p w14:paraId="0D7592E6" w14:textId="0460557B" w:rsidR="00591FEE" w:rsidRPr="00621251" w:rsidRDefault="00591FEE" w:rsidP="00591FEE">
      <w:pPr>
        <w:shd w:val="clear" w:color="auto" w:fill="FFFFFF"/>
        <w:spacing w:line="360" w:lineRule="auto"/>
        <w:jc w:val="both"/>
        <w:textAlignment w:val="baseline"/>
        <w:rPr>
          <w:rFonts w:ascii="Calibri" w:eastAsia="Calibri" w:hAnsi="Calibri" w:cs="Times New Roman"/>
        </w:rPr>
      </w:pPr>
      <w:r w:rsidRPr="00A86C5B">
        <w:rPr>
          <w:rFonts w:ascii="Calibri" w:eastAsia="Times New Roman" w:hAnsi="Calibri" w:cs="Calibri"/>
          <w:color w:val="000000"/>
        </w:rPr>
        <w:t>Most of these residents were living in overcrowded dwellings (46%) or in boarding houses (31%), with lesser numbers in supported accommodation, temporary arrangements with friends or elsewhere, else in squats, tents or sleeping out</w:t>
      </w:r>
      <w:r w:rsidR="009A5598">
        <w:rPr>
          <w:rFonts w:ascii="Calibri" w:eastAsia="Times New Roman" w:hAnsi="Calibri" w:cs="Calibri"/>
          <w:color w:val="000000"/>
        </w:rPr>
        <w:t xml:space="preserve"> </w:t>
      </w:r>
      <w:r>
        <w:rPr>
          <w:rFonts w:ascii="Calibri" w:hAnsi="Calibri"/>
        </w:rPr>
        <w:t>(diagram, below).</w:t>
      </w:r>
    </w:p>
    <w:p w14:paraId="72912C56" w14:textId="77777777" w:rsidR="00591FEE" w:rsidRDefault="00591FEE" w:rsidP="00591FEE">
      <w:pPr>
        <w:pStyle w:val="IntroParagraphtoeachChapter"/>
        <w:pBdr>
          <w:bottom w:val="none" w:sz="0" w:space="0" w:color="auto"/>
        </w:pBdr>
        <w:tabs>
          <w:tab w:val="left" w:pos="6521"/>
        </w:tabs>
        <w:spacing w:before="0" w:line="360" w:lineRule="auto"/>
        <w:rPr>
          <w:rFonts w:ascii="Calibri" w:hAnsi="Calibri"/>
        </w:rPr>
      </w:pPr>
      <w:r>
        <w:rPr>
          <w:rFonts w:ascii="Calibri" w:hAnsi="Calibri"/>
          <w:noProof/>
        </w:rPr>
        <w:drawing>
          <wp:anchor distT="0" distB="0" distL="114300" distR="114300" simplePos="0" relativeHeight="252110848" behindDoc="0" locked="0" layoutInCell="1" allowOverlap="1" wp14:anchorId="5B1C9281" wp14:editId="722D4570">
            <wp:simplePos x="0" y="0"/>
            <wp:positionH relativeFrom="column">
              <wp:posOffset>94615</wp:posOffset>
            </wp:positionH>
            <wp:positionV relativeFrom="line">
              <wp:posOffset>52388</wp:posOffset>
            </wp:positionV>
            <wp:extent cx="4105275" cy="2739019"/>
            <wp:effectExtent l="0" t="0" r="0" b="4445"/>
            <wp:wrapSquare wrapText="bothSides"/>
            <wp:docPr id="78" name="Picture 78"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pie chart&#10;&#10;Description automatically generated"/>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105275" cy="2739019"/>
                    </a:xfrm>
                    <a:prstGeom prst="rect">
                      <a:avLst/>
                    </a:prstGeom>
                    <a:noFill/>
                  </pic:spPr>
                </pic:pic>
              </a:graphicData>
            </a:graphic>
            <wp14:sizeRelH relativeFrom="page">
              <wp14:pctWidth>0</wp14:pctWidth>
            </wp14:sizeRelH>
            <wp14:sizeRelV relativeFrom="page">
              <wp14:pctHeight>0</wp14:pctHeight>
            </wp14:sizeRelV>
          </wp:anchor>
        </w:drawing>
      </w:r>
    </w:p>
    <w:p w14:paraId="465ED494" w14:textId="77777777" w:rsidR="00591FEE" w:rsidRDefault="00591FEE" w:rsidP="00591FEE">
      <w:pPr>
        <w:pStyle w:val="IntroParagraphtoeachChapter"/>
        <w:pBdr>
          <w:bottom w:val="none" w:sz="0" w:space="0" w:color="auto"/>
        </w:pBdr>
        <w:tabs>
          <w:tab w:val="left" w:pos="6521"/>
        </w:tabs>
        <w:spacing w:before="0" w:line="360" w:lineRule="auto"/>
        <w:rPr>
          <w:rFonts w:ascii="Calibri" w:hAnsi="Calibri"/>
        </w:rPr>
      </w:pPr>
    </w:p>
    <w:p w14:paraId="3F0E1CFD" w14:textId="77777777" w:rsidR="00591FEE" w:rsidRPr="00C510FF" w:rsidRDefault="00591FEE" w:rsidP="00591FEE">
      <w:pPr>
        <w:pStyle w:val="IntroParagraphtoeachChapter"/>
        <w:pBdr>
          <w:bottom w:val="none" w:sz="0" w:space="0" w:color="auto"/>
        </w:pBdr>
        <w:tabs>
          <w:tab w:val="left" w:pos="6521"/>
        </w:tabs>
        <w:spacing w:before="0"/>
        <w:rPr>
          <w:rFonts w:ascii="Calibri" w:hAnsi="Calibri"/>
          <w:sz w:val="20"/>
          <w:szCs w:val="20"/>
        </w:rPr>
      </w:pPr>
      <w:r w:rsidRPr="00C510FF">
        <w:rPr>
          <w:rFonts w:ascii="Calibri" w:hAnsi="Calibri"/>
          <w:color w:val="7F7F7F"/>
          <w:sz w:val="20"/>
          <w:szCs w:val="20"/>
        </w:rPr>
        <w:t>Percent of Homeless Persons, by Type of Shelter: Residents of Greater Dandenong, 20</w:t>
      </w:r>
      <w:r>
        <w:rPr>
          <w:rFonts w:ascii="Calibri" w:hAnsi="Calibri"/>
          <w:color w:val="7F7F7F"/>
          <w:sz w:val="20"/>
          <w:szCs w:val="20"/>
        </w:rPr>
        <w:t>21</w:t>
      </w:r>
    </w:p>
    <w:p w14:paraId="1B7AECFB" w14:textId="77777777" w:rsidR="00591FEE" w:rsidRDefault="00591FEE" w:rsidP="00591FEE">
      <w:pPr>
        <w:pStyle w:val="IntroParagraphtoeachChapter"/>
        <w:pBdr>
          <w:bottom w:val="none" w:sz="0" w:space="0" w:color="auto"/>
        </w:pBdr>
        <w:tabs>
          <w:tab w:val="left" w:pos="6521"/>
        </w:tabs>
        <w:spacing w:before="0" w:line="360" w:lineRule="auto"/>
        <w:rPr>
          <w:rFonts w:ascii="Calibri" w:hAnsi="Calibri"/>
        </w:rPr>
      </w:pPr>
    </w:p>
    <w:p w14:paraId="55E20F35" w14:textId="77777777" w:rsidR="00591FEE" w:rsidRDefault="00591FEE" w:rsidP="00591FEE">
      <w:pPr>
        <w:pStyle w:val="IntroParagraphtoeachChapter"/>
        <w:pBdr>
          <w:bottom w:val="none" w:sz="0" w:space="0" w:color="auto"/>
        </w:pBdr>
        <w:tabs>
          <w:tab w:val="left" w:pos="6521"/>
        </w:tabs>
        <w:spacing w:before="0" w:line="360" w:lineRule="auto"/>
        <w:rPr>
          <w:rFonts w:ascii="Calibri" w:hAnsi="Calibri"/>
        </w:rPr>
      </w:pPr>
    </w:p>
    <w:p w14:paraId="5C6E3CAB" w14:textId="77777777" w:rsidR="00591FEE" w:rsidRDefault="00591FEE" w:rsidP="00591FEE">
      <w:pPr>
        <w:pStyle w:val="IntroParagraphtoeachChapter"/>
        <w:pBdr>
          <w:bottom w:val="none" w:sz="0" w:space="0" w:color="auto"/>
        </w:pBdr>
        <w:tabs>
          <w:tab w:val="left" w:pos="6521"/>
        </w:tabs>
        <w:spacing w:before="0" w:line="360" w:lineRule="auto"/>
        <w:rPr>
          <w:rFonts w:ascii="Calibri" w:hAnsi="Calibri"/>
        </w:rPr>
      </w:pPr>
      <w:r>
        <w:rPr>
          <w:rFonts w:ascii="Calibri" w:hAnsi="Calibri"/>
          <w:noProof/>
          <w:lang w:val="en-AU" w:eastAsia="en-AU"/>
        </w:rPr>
        <w:drawing>
          <wp:anchor distT="0" distB="0" distL="114300" distR="114300" simplePos="0" relativeHeight="252109824" behindDoc="0" locked="0" layoutInCell="1" allowOverlap="1" wp14:anchorId="4DCDCD14" wp14:editId="6B41479D">
            <wp:simplePos x="0" y="0"/>
            <wp:positionH relativeFrom="column">
              <wp:posOffset>673100</wp:posOffset>
            </wp:positionH>
            <wp:positionV relativeFrom="paragraph">
              <wp:posOffset>153352</wp:posOffset>
            </wp:positionV>
            <wp:extent cx="1000340" cy="842963"/>
            <wp:effectExtent l="0" t="0" r="0" b="0"/>
            <wp:wrapNone/>
            <wp:docPr id="89" name="Picture 88" descr="Homeless 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less family.jpg"/>
                    <pic:cNvPicPr/>
                  </pic:nvPicPr>
                  <pic:blipFill>
                    <a:blip r:embed="rId139" cstate="print"/>
                    <a:srcRect l="13580" r="16872"/>
                    <a:stretch>
                      <a:fillRect/>
                    </a:stretch>
                  </pic:blipFill>
                  <pic:spPr>
                    <a:xfrm>
                      <a:off x="0" y="0"/>
                      <a:ext cx="1000340" cy="842963"/>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C1A52DA" w14:textId="77777777" w:rsidR="00591FEE" w:rsidRDefault="00591FEE" w:rsidP="00591FEE">
      <w:pPr>
        <w:pStyle w:val="IntroParagraphtoeachChapter"/>
        <w:pBdr>
          <w:bottom w:val="none" w:sz="0" w:space="0" w:color="auto"/>
        </w:pBdr>
        <w:tabs>
          <w:tab w:val="left" w:pos="6521"/>
        </w:tabs>
        <w:spacing w:before="0" w:line="360" w:lineRule="auto"/>
        <w:rPr>
          <w:rFonts w:ascii="Calibri" w:hAnsi="Calibri"/>
        </w:rPr>
      </w:pPr>
    </w:p>
    <w:p w14:paraId="68E929CB" w14:textId="77777777" w:rsidR="00591FEE" w:rsidRDefault="00591FEE" w:rsidP="00591FEE">
      <w:pPr>
        <w:pStyle w:val="IntroParagraphtoeachChapter"/>
        <w:pBdr>
          <w:bottom w:val="none" w:sz="0" w:space="0" w:color="auto"/>
        </w:pBdr>
        <w:tabs>
          <w:tab w:val="left" w:pos="6521"/>
        </w:tabs>
        <w:spacing w:before="0" w:line="360" w:lineRule="auto"/>
        <w:rPr>
          <w:rFonts w:ascii="Calibri" w:hAnsi="Calibri"/>
        </w:rPr>
      </w:pPr>
    </w:p>
    <w:p w14:paraId="53F53E37" w14:textId="455B8059" w:rsidR="00591FEE" w:rsidRDefault="00591FEE" w:rsidP="00591FEE">
      <w:pPr>
        <w:pStyle w:val="IntroParagraphtoeachChapter"/>
        <w:pBdr>
          <w:bottom w:val="none" w:sz="0" w:space="0" w:color="auto"/>
        </w:pBdr>
        <w:tabs>
          <w:tab w:val="left" w:pos="6521"/>
        </w:tabs>
        <w:spacing w:before="0" w:line="360" w:lineRule="auto"/>
        <w:rPr>
          <w:rFonts w:ascii="Calibri" w:hAnsi="Calibri"/>
        </w:rPr>
      </w:pPr>
    </w:p>
    <w:p w14:paraId="0D0EA352" w14:textId="7512FDE3" w:rsidR="00591FEE" w:rsidRDefault="00591FEE" w:rsidP="00591FEE">
      <w:pPr>
        <w:pStyle w:val="IntroParagraphtoeachChapter"/>
        <w:pBdr>
          <w:bottom w:val="none" w:sz="0" w:space="0" w:color="auto"/>
        </w:pBdr>
        <w:tabs>
          <w:tab w:val="left" w:pos="6521"/>
        </w:tabs>
        <w:spacing w:before="0" w:line="360" w:lineRule="auto"/>
        <w:rPr>
          <w:rFonts w:ascii="Calibri" w:hAnsi="Calibri"/>
        </w:rPr>
      </w:pPr>
      <w:r>
        <w:rPr>
          <w:rFonts w:ascii="Calibri" w:hAnsi="Calibri"/>
          <w:noProof/>
          <w:sz w:val="10"/>
          <w:szCs w:val="10"/>
        </w:rPr>
        <w:drawing>
          <wp:anchor distT="0" distB="0" distL="114300" distR="114300" simplePos="0" relativeHeight="252111872" behindDoc="0" locked="0" layoutInCell="1" allowOverlap="1" wp14:anchorId="42653996" wp14:editId="15B08FB1">
            <wp:simplePos x="0" y="0"/>
            <wp:positionH relativeFrom="column">
              <wp:posOffset>2156460</wp:posOffset>
            </wp:positionH>
            <wp:positionV relativeFrom="line">
              <wp:posOffset>196850</wp:posOffset>
            </wp:positionV>
            <wp:extent cx="3892550" cy="2698115"/>
            <wp:effectExtent l="0" t="0" r="0" b="6985"/>
            <wp:wrapSquare wrapText="bothSides"/>
            <wp:docPr id="88" name="Picture 8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892550" cy="2698115"/>
                    </a:xfrm>
                    <a:prstGeom prst="rect">
                      <a:avLst/>
                    </a:prstGeom>
                    <a:noFill/>
                  </pic:spPr>
                </pic:pic>
              </a:graphicData>
            </a:graphic>
            <wp14:sizeRelH relativeFrom="page">
              <wp14:pctWidth>0</wp14:pctWidth>
            </wp14:sizeRelH>
            <wp14:sizeRelV relativeFrom="page">
              <wp14:pctHeight>0</wp14:pctHeight>
            </wp14:sizeRelV>
          </wp:anchor>
        </w:drawing>
      </w:r>
    </w:p>
    <w:p w14:paraId="0260AC49" w14:textId="77777777" w:rsidR="00591FEE" w:rsidRDefault="00591FEE" w:rsidP="00591FEE">
      <w:pPr>
        <w:pStyle w:val="IntroParagraphtoeachChapter"/>
        <w:pBdr>
          <w:bottom w:val="none" w:sz="0" w:space="0" w:color="auto"/>
        </w:pBdr>
        <w:tabs>
          <w:tab w:val="left" w:pos="6521"/>
        </w:tabs>
        <w:spacing w:before="0" w:line="360" w:lineRule="auto"/>
        <w:jc w:val="left"/>
        <w:rPr>
          <w:rFonts w:ascii="Calibri" w:hAnsi="Calibri"/>
          <w:color w:val="7F7F7F"/>
          <w:sz w:val="10"/>
          <w:szCs w:val="10"/>
        </w:rPr>
      </w:pPr>
    </w:p>
    <w:p w14:paraId="04F855A9" w14:textId="77777777" w:rsidR="00591FEE" w:rsidRDefault="00591FEE" w:rsidP="00591FEE">
      <w:pPr>
        <w:pStyle w:val="IntroParagraphtoeachChapter"/>
        <w:pBdr>
          <w:bottom w:val="none" w:sz="0" w:space="0" w:color="auto"/>
        </w:pBdr>
        <w:tabs>
          <w:tab w:val="left" w:pos="6521"/>
        </w:tabs>
        <w:spacing w:before="0" w:line="360" w:lineRule="auto"/>
        <w:jc w:val="left"/>
        <w:rPr>
          <w:rFonts w:ascii="Calibri" w:hAnsi="Calibri"/>
          <w:color w:val="7F7F7F"/>
          <w:sz w:val="10"/>
          <w:szCs w:val="10"/>
        </w:rPr>
      </w:pPr>
    </w:p>
    <w:p w14:paraId="45FAEED7" w14:textId="77777777" w:rsidR="00591FEE" w:rsidRPr="00C510FF" w:rsidRDefault="00591FEE" w:rsidP="00591FEE">
      <w:pPr>
        <w:pStyle w:val="IntroParagraphtoeachChapter"/>
        <w:pBdr>
          <w:bottom w:val="none" w:sz="0" w:space="0" w:color="auto"/>
        </w:pBdr>
        <w:tabs>
          <w:tab w:val="left" w:pos="6521"/>
        </w:tabs>
        <w:spacing w:before="0"/>
        <w:jc w:val="left"/>
        <w:rPr>
          <w:rFonts w:ascii="Calibri" w:hAnsi="Calibri"/>
          <w:color w:val="7F7F7F"/>
          <w:sz w:val="20"/>
          <w:szCs w:val="20"/>
        </w:rPr>
      </w:pPr>
      <w:r w:rsidRPr="00C510FF">
        <w:rPr>
          <w:rFonts w:ascii="Calibri" w:hAnsi="Calibri"/>
          <w:color w:val="7F7F7F"/>
          <w:sz w:val="20"/>
          <w:szCs w:val="20"/>
        </w:rPr>
        <w:t>Number of Homeless Persons by Suburb: Greater Dandenong 20</w:t>
      </w:r>
      <w:r>
        <w:rPr>
          <w:rFonts w:ascii="Calibri" w:hAnsi="Calibri"/>
          <w:color w:val="7F7F7F"/>
          <w:sz w:val="20"/>
          <w:szCs w:val="20"/>
        </w:rPr>
        <w:t>21</w:t>
      </w:r>
    </w:p>
    <w:p w14:paraId="46A97BA8" w14:textId="77777777" w:rsidR="00591FEE" w:rsidRDefault="00591FEE" w:rsidP="00591FEE">
      <w:pPr>
        <w:pStyle w:val="IntroParagraphtoeachChapter"/>
        <w:pBdr>
          <w:bottom w:val="none" w:sz="0" w:space="0" w:color="auto"/>
        </w:pBdr>
        <w:tabs>
          <w:tab w:val="left" w:pos="6521"/>
        </w:tabs>
        <w:spacing w:before="0" w:line="360" w:lineRule="auto"/>
        <w:rPr>
          <w:rFonts w:ascii="Calibri" w:hAnsi="Calibri"/>
          <w:sz w:val="10"/>
          <w:szCs w:val="10"/>
        </w:rPr>
      </w:pPr>
    </w:p>
    <w:p w14:paraId="6EF9B5CB" w14:textId="77777777" w:rsidR="00591FEE" w:rsidRDefault="00591FEE" w:rsidP="00591FEE">
      <w:pPr>
        <w:pStyle w:val="IntroParagraphtoeachChapter"/>
        <w:pBdr>
          <w:bottom w:val="none" w:sz="0" w:space="0" w:color="auto"/>
        </w:pBdr>
        <w:tabs>
          <w:tab w:val="left" w:pos="6521"/>
        </w:tabs>
        <w:spacing w:before="0" w:line="360" w:lineRule="auto"/>
        <w:rPr>
          <w:rFonts w:ascii="Calibri" w:hAnsi="Calibri"/>
          <w:sz w:val="10"/>
          <w:szCs w:val="10"/>
        </w:rPr>
      </w:pPr>
    </w:p>
    <w:p w14:paraId="7CC01DCF" w14:textId="5C136778" w:rsidR="00591FEE" w:rsidRDefault="00655F45" w:rsidP="00591FEE">
      <w:pPr>
        <w:pStyle w:val="IntroParagraphtoeachChapter"/>
        <w:pBdr>
          <w:bottom w:val="none" w:sz="0" w:space="0" w:color="auto"/>
        </w:pBdr>
        <w:tabs>
          <w:tab w:val="left" w:pos="6521"/>
        </w:tabs>
        <w:spacing w:before="0" w:line="360" w:lineRule="auto"/>
        <w:rPr>
          <w:rFonts w:ascii="Calibri" w:hAnsi="Calibri"/>
        </w:rPr>
      </w:pPr>
      <w:r>
        <w:rPr>
          <w:rFonts w:ascii="Calibri" w:hAnsi="Calibri"/>
        </w:rPr>
        <w:t>Residents who were homeless or living in severely overcrowded conditions</w:t>
      </w:r>
      <w:r w:rsidR="00591FEE">
        <w:rPr>
          <w:rFonts w:ascii="Calibri" w:hAnsi="Calibri"/>
        </w:rPr>
        <w:t xml:space="preserve"> resided largely in Dandenong and Noble Park, with few in Keysborough, Noble Park North or Springvale South. </w:t>
      </w:r>
    </w:p>
    <w:p w14:paraId="6EA790B2" w14:textId="77777777" w:rsidR="00591FEE" w:rsidRPr="00655F45" w:rsidRDefault="00591FEE" w:rsidP="00591FEE">
      <w:pPr>
        <w:pStyle w:val="IntroParagraphtoeachChapter"/>
        <w:pBdr>
          <w:bottom w:val="none" w:sz="0" w:space="0" w:color="auto"/>
        </w:pBdr>
        <w:tabs>
          <w:tab w:val="left" w:pos="6521"/>
        </w:tabs>
        <w:spacing w:before="0" w:line="360" w:lineRule="auto"/>
        <w:rPr>
          <w:rFonts w:ascii="Calibri" w:hAnsi="Calibri"/>
          <w:b/>
          <w:sz w:val="28"/>
          <w:szCs w:val="28"/>
        </w:rPr>
      </w:pPr>
    </w:p>
    <w:p w14:paraId="13F7AC34" w14:textId="77777777" w:rsidR="00591FEE" w:rsidRPr="009D07ED" w:rsidRDefault="00591FEE" w:rsidP="00591FEE">
      <w:pPr>
        <w:pStyle w:val="IntroParagraphtoeachChapter"/>
        <w:pBdr>
          <w:bottom w:val="none" w:sz="0" w:space="0" w:color="auto"/>
        </w:pBdr>
        <w:tabs>
          <w:tab w:val="left" w:pos="6521"/>
        </w:tabs>
        <w:spacing w:before="0" w:line="360" w:lineRule="auto"/>
        <w:rPr>
          <w:rFonts w:ascii="Calibri" w:hAnsi="Calibri"/>
          <w:color w:val="7F7F7F"/>
        </w:rPr>
      </w:pPr>
      <w:r>
        <w:rPr>
          <w:rFonts w:ascii="Calibri" w:hAnsi="Calibri"/>
          <w:noProof/>
          <w:lang w:val="en-AU" w:eastAsia="en-AU"/>
        </w:rPr>
        <w:drawing>
          <wp:anchor distT="0" distB="0" distL="114300" distR="114300" simplePos="0" relativeHeight="252108800" behindDoc="0" locked="0" layoutInCell="1" allowOverlap="1" wp14:anchorId="1923D17C" wp14:editId="0E283FDE">
            <wp:simplePos x="0" y="0"/>
            <wp:positionH relativeFrom="column">
              <wp:posOffset>4780280</wp:posOffset>
            </wp:positionH>
            <wp:positionV relativeFrom="line">
              <wp:posOffset>122555</wp:posOffset>
            </wp:positionV>
            <wp:extent cx="1294765" cy="862965"/>
            <wp:effectExtent l="0" t="0" r="635" b="0"/>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ing Nursing Home.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294765" cy="8629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b/>
        </w:rPr>
        <w:t>Non-Private Accommodation</w:t>
      </w:r>
    </w:p>
    <w:p w14:paraId="1F961126" w14:textId="2CD6638A" w:rsidR="00591FEE" w:rsidRDefault="00591FEE" w:rsidP="00591FEE">
      <w:pPr>
        <w:pStyle w:val="IntroParagraphtoeachChapter"/>
        <w:pBdr>
          <w:bottom w:val="none" w:sz="0" w:space="0" w:color="auto"/>
        </w:pBdr>
        <w:spacing w:before="0" w:line="360" w:lineRule="auto"/>
        <w:rPr>
          <w:rFonts w:ascii="Calibri" w:hAnsi="Calibri"/>
        </w:rPr>
      </w:pPr>
      <w:r w:rsidRPr="00471265">
        <w:rPr>
          <w:rFonts w:ascii="Calibri" w:hAnsi="Calibri"/>
        </w:rPr>
        <w:t>In 20</w:t>
      </w:r>
      <w:r>
        <w:rPr>
          <w:rFonts w:ascii="Calibri" w:hAnsi="Calibri"/>
        </w:rPr>
        <w:t>21</w:t>
      </w:r>
      <w:r w:rsidRPr="00471265">
        <w:rPr>
          <w:rFonts w:ascii="Calibri" w:hAnsi="Calibri"/>
        </w:rPr>
        <w:t xml:space="preserve">, </w:t>
      </w:r>
      <w:r>
        <w:rPr>
          <w:rFonts w:ascii="Calibri" w:hAnsi="Calibri"/>
        </w:rPr>
        <w:t>3,390</w:t>
      </w:r>
      <w:r w:rsidRPr="00471265">
        <w:rPr>
          <w:rFonts w:ascii="Calibri" w:hAnsi="Calibri"/>
        </w:rPr>
        <w:t xml:space="preserve"> residents of Greater Dandenong resid</w:t>
      </w:r>
      <w:r>
        <w:rPr>
          <w:rFonts w:ascii="Calibri" w:hAnsi="Calibri"/>
        </w:rPr>
        <w:t>ed</w:t>
      </w:r>
      <w:r w:rsidRPr="00471265">
        <w:rPr>
          <w:rFonts w:ascii="Calibri" w:hAnsi="Calibri"/>
        </w:rPr>
        <w:t xml:space="preserve"> in non-private dwellings, 3</w:t>
      </w:r>
      <w:r>
        <w:rPr>
          <w:rFonts w:ascii="Calibri" w:hAnsi="Calibri"/>
        </w:rPr>
        <w:t>0% of them in retirement accommodation</w:t>
      </w:r>
      <w:r w:rsidRPr="00471265">
        <w:rPr>
          <w:rFonts w:ascii="Calibri" w:hAnsi="Calibri"/>
        </w:rPr>
        <w:t xml:space="preserve">, </w:t>
      </w:r>
      <w:r>
        <w:rPr>
          <w:rFonts w:ascii="Calibri" w:hAnsi="Calibri"/>
        </w:rPr>
        <w:t>19</w:t>
      </w:r>
      <w:r w:rsidRPr="00471265">
        <w:rPr>
          <w:rFonts w:ascii="Calibri" w:hAnsi="Calibri"/>
        </w:rPr>
        <w:t xml:space="preserve">% in </w:t>
      </w:r>
      <w:r>
        <w:rPr>
          <w:rFonts w:ascii="Calibri" w:hAnsi="Calibri"/>
        </w:rPr>
        <w:t>nursing homes</w:t>
      </w:r>
      <w:r w:rsidRPr="00471265">
        <w:rPr>
          <w:rFonts w:ascii="Calibri" w:hAnsi="Calibri"/>
        </w:rPr>
        <w:t>, 1</w:t>
      </w:r>
      <w:r>
        <w:rPr>
          <w:rFonts w:ascii="Calibri" w:hAnsi="Calibri"/>
        </w:rPr>
        <w:t>3</w:t>
      </w:r>
      <w:r w:rsidRPr="00471265">
        <w:rPr>
          <w:rFonts w:ascii="Calibri" w:hAnsi="Calibri"/>
        </w:rPr>
        <w:t xml:space="preserve">% in </w:t>
      </w:r>
      <w:r>
        <w:rPr>
          <w:rFonts w:ascii="Calibri" w:hAnsi="Calibri"/>
        </w:rPr>
        <w:t xml:space="preserve">public </w:t>
      </w:r>
      <w:r w:rsidRPr="00471265">
        <w:rPr>
          <w:rFonts w:ascii="Calibri" w:hAnsi="Calibri"/>
        </w:rPr>
        <w:t xml:space="preserve">hospitals, </w:t>
      </w:r>
      <w:r>
        <w:rPr>
          <w:rFonts w:ascii="Calibri" w:hAnsi="Calibri"/>
        </w:rPr>
        <w:t>9</w:t>
      </w:r>
      <w:r w:rsidRPr="00471265">
        <w:rPr>
          <w:rFonts w:ascii="Calibri" w:hAnsi="Calibri"/>
        </w:rPr>
        <w:t xml:space="preserve">% in </w:t>
      </w:r>
      <w:r>
        <w:rPr>
          <w:rFonts w:ascii="Calibri" w:hAnsi="Calibri"/>
        </w:rPr>
        <w:t>hotels</w:t>
      </w:r>
      <w:r w:rsidRPr="00471265">
        <w:rPr>
          <w:rFonts w:ascii="Calibri" w:hAnsi="Calibri"/>
        </w:rPr>
        <w:t xml:space="preserve"> or motels</w:t>
      </w:r>
      <w:r>
        <w:rPr>
          <w:rFonts w:ascii="Calibri" w:hAnsi="Calibri"/>
        </w:rPr>
        <w:t xml:space="preserve"> </w:t>
      </w:r>
      <w:r w:rsidRPr="00471265">
        <w:rPr>
          <w:rFonts w:ascii="Calibri" w:hAnsi="Calibri"/>
        </w:rPr>
        <w:t xml:space="preserve">and </w:t>
      </w:r>
      <w:r>
        <w:rPr>
          <w:rFonts w:ascii="Calibri" w:hAnsi="Calibri"/>
        </w:rPr>
        <w:t>20</w:t>
      </w:r>
      <w:r w:rsidRPr="00471265">
        <w:rPr>
          <w:rFonts w:ascii="Calibri" w:hAnsi="Calibri"/>
        </w:rPr>
        <w:t xml:space="preserve">% in </w:t>
      </w:r>
      <w:r>
        <w:rPr>
          <w:rFonts w:ascii="Calibri" w:hAnsi="Calibri"/>
        </w:rPr>
        <w:t>boarding houses.</w:t>
      </w:r>
    </w:p>
    <w:p w14:paraId="37B57994" w14:textId="77777777" w:rsidR="00591FEE" w:rsidRDefault="00591FEE">
      <w:pPr>
        <w:rPr>
          <w:rFonts w:ascii="Calibri" w:eastAsia="Times New Roman" w:hAnsi="Calibri" w:cs="Times New Roman"/>
          <w:lang w:val="en-US"/>
        </w:rPr>
      </w:pPr>
      <w:r>
        <w:rPr>
          <w:rFonts w:ascii="Calibri" w:hAnsi="Calibri"/>
        </w:rPr>
        <w:br w:type="page"/>
      </w:r>
    </w:p>
    <w:p w14:paraId="5619D922" w14:textId="77777777" w:rsidR="00580F4D" w:rsidRPr="00A26F54" w:rsidRDefault="00580F4D" w:rsidP="00A26F54">
      <w:pPr>
        <w:pBdr>
          <w:top w:val="single" w:sz="4" w:space="1" w:color="auto"/>
          <w:bottom w:val="single" w:sz="4" w:space="1" w:color="auto"/>
        </w:pBdr>
        <w:tabs>
          <w:tab w:val="center" w:pos="4678"/>
        </w:tabs>
        <w:jc w:val="center"/>
        <w:rPr>
          <w:rFonts w:ascii="Calibri" w:hAnsi="Calibri"/>
          <w:noProof/>
          <w:sz w:val="32"/>
          <w:szCs w:val="32"/>
        </w:rPr>
      </w:pPr>
      <w:r w:rsidRPr="00A26F54">
        <w:rPr>
          <w:rFonts w:ascii="Calibri" w:hAnsi="Calibri"/>
          <w:noProof/>
          <w:sz w:val="32"/>
          <w:szCs w:val="32"/>
        </w:rPr>
        <w:lastRenderedPageBreak/>
        <w:t xml:space="preserve">Transport </w:t>
      </w:r>
    </w:p>
    <w:p w14:paraId="38ABCDA3" w14:textId="77777777" w:rsidR="00580F4D" w:rsidRPr="0038388D" w:rsidRDefault="00580F4D" w:rsidP="00580F4D">
      <w:pPr>
        <w:spacing w:after="0" w:line="360" w:lineRule="auto"/>
        <w:rPr>
          <w:rFonts w:ascii="Calibri" w:hAnsi="Calibri"/>
          <w:sz w:val="12"/>
          <w:szCs w:val="12"/>
          <w:lang w:val="en-US"/>
        </w:rPr>
      </w:pPr>
      <w:r w:rsidRPr="0038388D">
        <w:rPr>
          <w:rFonts w:ascii="Calibri" w:hAnsi="Calibri"/>
          <w:noProof/>
          <w:sz w:val="12"/>
          <w:szCs w:val="12"/>
          <w:lang w:eastAsia="en-AU"/>
        </w:rPr>
        <w:drawing>
          <wp:anchor distT="0" distB="0" distL="114300" distR="114300" simplePos="0" relativeHeight="251807744" behindDoc="0" locked="0" layoutInCell="1" allowOverlap="1" wp14:anchorId="1838A709" wp14:editId="506CBE30">
            <wp:simplePos x="0" y="0"/>
            <wp:positionH relativeFrom="column">
              <wp:posOffset>4469765</wp:posOffset>
            </wp:positionH>
            <wp:positionV relativeFrom="paragraph">
              <wp:posOffset>158115</wp:posOffset>
            </wp:positionV>
            <wp:extent cx="1638935" cy="1228725"/>
            <wp:effectExtent l="0" t="0" r="0" b="9525"/>
            <wp:wrapSquare wrapText="bothSides"/>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ort 7.jpg"/>
                    <pic:cNvPicPr/>
                  </pic:nvPicPr>
                  <pic:blipFill>
                    <a:blip r:embed="rId142" cstate="print">
                      <a:extLst>
                        <a:ext uri="{BEBA8EAE-BF5A-486C-A8C5-ECC9F3942E4B}">
                          <a14:imgProps xmlns:a14="http://schemas.microsoft.com/office/drawing/2010/main">
                            <a14:imgLayer r:embed="rId143">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638935" cy="1228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1FCA95A" w14:textId="77777777" w:rsidR="00580F4D" w:rsidRPr="00985EBD" w:rsidRDefault="00580F4D" w:rsidP="00580F4D">
      <w:pPr>
        <w:spacing w:after="0" w:line="360" w:lineRule="auto"/>
        <w:jc w:val="both"/>
        <w:rPr>
          <w:rFonts w:ascii="Calibri" w:hAnsi="Calibri"/>
          <w:b/>
        </w:rPr>
      </w:pPr>
      <w:r w:rsidRPr="00985EBD">
        <w:rPr>
          <w:rFonts w:ascii="Calibri" w:hAnsi="Calibri"/>
          <w:b/>
        </w:rPr>
        <w:t>Car Ownership</w:t>
      </w:r>
    </w:p>
    <w:p w14:paraId="44F9B1F2" w14:textId="77777777" w:rsidR="00580F4D" w:rsidRPr="00886AD5" w:rsidRDefault="00580F4D" w:rsidP="00580F4D">
      <w:pPr>
        <w:spacing w:after="0" w:line="360" w:lineRule="auto"/>
        <w:jc w:val="both"/>
        <w:rPr>
          <w:rFonts w:ascii="Calibri" w:hAnsi="Calibri"/>
        </w:rPr>
      </w:pPr>
      <w:r>
        <w:rPr>
          <w:rFonts w:ascii="Calibri" w:hAnsi="Calibri"/>
        </w:rPr>
        <w:t>The findings of the 2021 Census provide a glimpse of differences in levels of access to private transport among different family types. At this time, 23</w:t>
      </w:r>
      <w:r w:rsidRPr="00886AD5">
        <w:rPr>
          <w:rFonts w:ascii="Calibri" w:hAnsi="Calibri"/>
        </w:rPr>
        <w:t>% of two-parent families with young children (&lt;</w:t>
      </w:r>
      <w:r>
        <w:rPr>
          <w:rFonts w:ascii="Calibri" w:hAnsi="Calibri"/>
        </w:rPr>
        <w:t>15</w:t>
      </w:r>
      <w:r w:rsidRPr="00886AD5">
        <w:rPr>
          <w:rFonts w:ascii="Calibri" w:hAnsi="Calibri"/>
        </w:rPr>
        <w:t xml:space="preserve"> years) had either one or no cars</w:t>
      </w:r>
      <w:r>
        <w:rPr>
          <w:rFonts w:ascii="Calibri" w:hAnsi="Calibri"/>
        </w:rPr>
        <w:t xml:space="preserve"> (that is, fewer cars than parents)</w:t>
      </w:r>
      <w:r w:rsidRPr="00886AD5">
        <w:rPr>
          <w:rFonts w:ascii="Calibri" w:hAnsi="Calibri"/>
        </w:rPr>
        <w:t xml:space="preserve">, compared with </w:t>
      </w:r>
      <w:r>
        <w:rPr>
          <w:rFonts w:ascii="Calibri" w:hAnsi="Calibri"/>
        </w:rPr>
        <w:t>18</w:t>
      </w:r>
      <w:r w:rsidRPr="00886AD5">
        <w:rPr>
          <w:rFonts w:ascii="Calibri" w:hAnsi="Calibri"/>
        </w:rPr>
        <w:t xml:space="preserve">% of such families across Melbourne. </w:t>
      </w:r>
    </w:p>
    <w:p w14:paraId="3A2C58FF" w14:textId="77777777" w:rsidR="00580F4D" w:rsidRPr="00F62786" w:rsidRDefault="00580F4D" w:rsidP="00580F4D">
      <w:pPr>
        <w:spacing w:after="0" w:line="240" w:lineRule="auto"/>
        <w:rPr>
          <w:rFonts w:ascii="Calibri" w:hAnsi="Calibri"/>
          <w:color w:val="808080"/>
          <w:sz w:val="20"/>
          <w:szCs w:val="20"/>
        </w:rPr>
      </w:pPr>
      <w:r w:rsidRPr="00F62786">
        <w:rPr>
          <w:rFonts w:ascii="Calibri" w:hAnsi="Calibri"/>
          <w:color w:val="808080"/>
          <w:sz w:val="20"/>
          <w:szCs w:val="20"/>
        </w:rPr>
        <w:t>Per cent of Families with One or No Car (two-parent) or No Car (one-parent):</w:t>
      </w:r>
    </w:p>
    <w:p w14:paraId="525EFE6F" w14:textId="77777777" w:rsidR="00580F4D" w:rsidRPr="00261149" w:rsidRDefault="00580F4D" w:rsidP="00580F4D">
      <w:pPr>
        <w:spacing w:after="0" w:line="240" w:lineRule="auto"/>
        <w:rPr>
          <w:rFonts w:ascii="Calibri" w:hAnsi="Calibri"/>
          <w:color w:val="808080"/>
          <w:sz w:val="20"/>
          <w:szCs w:val="20"/>
        </w:rPr>
      </w:pPr>
      <w:r w:rsidRPr="00F62786">
        <w:rPr>
          <w:rFonts w:ascii="Calibri" w:hAnsi="Calibri"/>
          <w:color w:val="808080"/>
          <w:sz w:val="20"/>
          <w:szCs w:val="20"/>
        </w:rPr>
        <w:t xml:space="preserve">Greater Dandenong and </w:t>
      </w:r>
      <w:r>
        <w:rPr>
          <w:rFonts w:ascii="Calibri" w:hAnsi="Calibri"/>
          <w:color w:val="808080"/>
          <w:sz w:val="20"/>
          <w:szCs w:val="20"/>
        </w:rPr>
        <w:t xml:space="preserve">Victoria, 2021 </w:t>
      </w:r>
    </w:p>
    <w:p w14:paraId="2153D353" w14:textId="77777777" w:rsidR="00580F4D" w:rsidRDefault="00580F4D" w:rsidP="00580F4D">
      <w:pPr>
        <w:spacing w:after="0" w:line="360" w:lineRule="auto"/>
        <w:ind w:left="5387"/>
        <w:jc w:val="both"/>
        <w:rPr>
          <w:rFonts w:ascii="Calibri" w:hAnsi="Calibri"/>
        </w:rPr>
      </w:pPr>
      <w:r>
        <w:rPr>
          <w:rFonts w:ascii="Calibri" w:hAnsi="Calibri"/>
          <w:noProof/>
          <w:color w:val="808080"/>
          <w:sz w:val="20"/>
          <w:szCs w:val="20"/>
        </w:rPr>
        <w:drawing>
          <wp:anchor distT="0" distB="0" distL="114300" distR="114300" simplePos="0" relativeHeight="251808768" behindDoc="0" locked="0" layoutInCell="1" allowOverlap="1" wp14:anchorId="76C920EF" wp14:editId="2D8AE711">
            <wp:simplePos x="0" y="0"/>
            <wp:positionH relativeFrom="margin">
              <wp:align>left</wp:align>
            </wp:positionH>
            <wp:positionV relativeFrom="paragraph">
              <wp:posOffset>62865</wp:posOffset>
            </wp:positionV>
            <wp:extent cx="4295775" cy="2402205"/>
            <wp:effectExtent l="0" t="0" r="9525" b="0"/>
            <wp:wrapSquare wrapText="bothSides"/>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295775" cy="2402205"/>
                    </a:xfrm>
                    <a:prstGeom prst="rect">
                      <a:avLst/>
                    </a:prstGeom>
                    <a:noFill/>
                  </pic:spPr>
                </pic:pic>
              </a:graphicData>
            </a:graphic>
            <wp14:sizeRelH relativeFrom="page">
              <wp14:pctWidth>0</wp14:pctWidth>
            </wp14:sizeRelH>
            <wp14:sizeRelV relativeFrom="page">
              <wp14:pctHeight>0</wp14:pctHeight>
            </wp14:sizeRelV>
          </wp:anchor>
        </w:drawing>
      </w:r>
    </w:p>
    <w:p w14:paraId="27DED951" w14:textId="77777777" w:rsidR="00580F4D" w:rsidRDefault="00580F4D" w:rsidP="00580F4D">
      <w:pPr>
        <w:spacing w:after="0" w:line="360" w:lineRule="auto"/>
        <w:ind w:left="5387"/>
        <w:jc w:val="both"/>
        <w:rPr>
          <w:rFonts w:ascii="Calibri" w:hAnsi="Calibri"/>
        </w:rPr>
      </w:pPr>
      <w:r>
        <w:rPr>
          <w:rFonts w:ascii="Calibri" w:hAnsi="Calibri"/>
        </w:rPr>
        <w:t>Among</w:t>
      </w:r>
      <w:r w:rsidRPr="00886AD5">
        <w:rPr>
          <w:rFonts w:ascii="Calibri" w:hAnsi="Calibri"/>
        </w:rPr>
        <w:t xml:space="preserve"> one-parent families with children aged less than </w:t>
      </w:r>
      <w:r>
        <w:rPr>
          <w:rFonts w:ascii="Calibri" w:hAnsi="Calibri"/>
        </w:rPr>
        <w:t>15, 6.7% of those</w:t>
      </w:r>
      <w:r w:rsidRPr="00886AD5">
        <w:rPr>
          <w:rFonts w:ascii="Calibri" w:hAnsi="Calibri"/>
        </w:rPr>
        <w:t xml:space="preserve"> in Greater Dandenong, and </w:t>
      </w:r>
      <w:r>
        <w:rPr>
          <w:rFonts w:ascii="Calibri" w:hAnsi="Calibri"/>
        </w:rPr>
        <w:t>5.4</w:t>
      </w:r>
      <w:r w:rsidRPr="00886AD5">
        <w:rPr>
          <w:rFonts w:ascii="Calibri" w:hAnsi="Calibri"/>
        </w:rPr>
        <w:t xml:space="preserve">% across </w:t>
      </w:r>
      <w:r>
        <w:rPr>
          <w:rFonts w:ascii="Calibri" w:hAnsi="Calibri"/>
        </w:rPr>
        <w:t>Victoria,</w:t>
      </w:r>
      <w:r w:rsidRPr="00886AD5">
        <w:rPr>
          <w:rFonts w:ascii="Calibri" w:hAnsi="Calibri"/>
        </w:rPr>
        <w:t xml:space="preserve"> ha</w:t>
      </w:r>
      <w:r>
        <w:rPr>
          <w:rFonts w:ascii="Calibri" w:hAnsi="Calibri"/>
        </w:rPr>
        <w:t>d</w:t>
      </w:r>
      <w:r w:rsidRPr="00886AD5">
        <w:rPr>
          <w:rFonts w:ascii="Calibri" w:hAnsi="Calibri"/>
        </w:rPr>
        <w:t xml:space="preserve"> no car. </w:t>
      </w:r>
    </w:p>
    <w:p w14:paraId="2B43BAD0" w14:textId="77777777" w:rsidR="00580F4D" w:rsidRDefault="00580F4D" w:rsidP="00580F4D">
      <w:pPr>
        <w:spacing w:after="0" w:line="360" w:lineRule="auto"/>
        <w:jc w:val="both"/>
        <w:rPr>
          <w:rFonts w:ascii="Calibri" w:hAnsi="Calibri"/>
        </w:rPr>
      </w:pPr>
    </w:p>
    <w:p w14:paraId="606294DA" w14:textId="77777777" w:rsidR="00580F4D" w:rsidRDefault="00580F4D" w:rsidP="00580F4D">
      <w:pPr>
        <w:spacing w:after="0" w:line="360" w:lineRule="auto"/>
        <w:jc w:val="both"/>
        <w:rPr>
          <w:rFonts w:ascii="Calibri" w:hAnsi="Calibri"/>
        </w:rPr>
      </w:pPr>
    </w:p>
    <w:p w14:paraId="40F5607D" w14:textId="44CF4BC5" w:rsidR="00580F4D" w:rsidRDefault="00580F4D" w:rsidP="00580F4D">
      <w:pPr>
        <w:spacing w:after="0" w:line="360" w:lineRule="auto"/>
        <w:jc w:val="both"/>
        <w:rPr>
          <w:rFonts w:ascii="Calibri" w:hAnsi="Calibri"/>
        </w:rPr>
      </w:pPr>
    </w:p>
    <w:p w14:paraId="5F9AA12D" w14:textId="77777777" w:rsidR="00E87888" w:rsidRDefault="00E87888" w:rsidP="00580F4D">
      <w:pPr>
        <w:spacing w:after="0" w:line="360" w:lineRule="auto"/>
        <w:jc w:val="both"/>
        <w:rPr>
          <w:rFonts w:ascii="Calibri" w:hAnsi="Calibri"/>
        </w:rPr>
      </w:pPr>
    </w:p>
    <w:p w14:paraId="20836777" w14:textId="77777777" w:rsidR="00580F4D" w:rsidRPr="00531423" w:rsidRDefault="00580F4D" w:rsidP="00580F4D">
      <w:pPr>
        <w:tabs>
          <w:tab w:val="left" w:pos="4395"/>
        </w:tabs>
        <w:spacing w:after="0" w:line="360" w:lineRule="auto"/>
        <w:jc w:val="both"/>
        <w:rPr>
          <w:rFonts w:ascii="Calibri" w:hAnsi="Calibri"/>
          <w:color w:val="7F7F7F"/>
          <w:sz w:val="20"/>
          <w:szCs w:val="20"/>
        </w:rPr>
      </w:pPr>
      <w:r w:rsidRPr="00985EBD">
        <w:rPr>
          <w:rFonts w:ascii="Calibri" w:hAnsi="Calibri"/>
          <w:b/>
        </w:rPr>
        <w:t>Mode of Travel to Work</w:t>
      </w:r>
    </w:p>
    <w:p w14:paraId="6C2501B7" w14:textId="77777777" w:rsidR="00580F4D" w:rsidRDefault="00580F4D" w:rsidP="00580F4D">
      <w:pPr>
        <w:spacing w:after="0" w:line="360" w:lineRule="auto"/>
        <w:jc w:val="both"/>
        <w:rPr>
          <w:rFonts w:ascii="Calibri" w:hAnsi="Calibri"/>
        </w:rPr>
      </w:pPr>
      <w:r>
        <w:rPr>
          <w:rFonts w:ascii="Calibri" w:hAnsi="Calibri"/>
          <w:noProof/>
        </w:rPr>
        <w:drawing>
          <wp:anchor distT="0" distB="0" distL="114300" distR="114300" simplePos="0" relativeHeight="251804672" behindDoc="0" locked="0" layoutInCell="1" allowOverlap="1" wp14:anchorId="59E9FBD8" wp14:editId="006F643D">
            <wp:simplePos x="0" y="0"/>
            <wp:positionH relativeFrom="column">
              <wp:posOffset>51435</wp:posOffset>
            </wp:positionH>
            <wp:positionV relativeFrom="paragraph">
              <wp:posOffset>556260</wp:posOffset>
            </wp:positionV>
            <wp:extent cx="4547870" cy="2857500"/>
            <wp:effectExtent l="0" t="0" r="5080" b="0"/>
            <wp:wrapSquare wrapText="bothSides"/>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5">
                      <a:extLst>
                        <a:ext uri="{28A0092B-C50C-407E-A947-70E740481C1C}">
                          <a14:useLocalDpi xmlns:a14="http://schemas.microsoft.com/office/drawing/2010/main" val="0"/>
                        </a:ext>
                      </a:extLst>
                    </a:blip>
                    <a:srcRect r="11868"/>
                    <a:stretch/>
                  </pic:blipFill>
                  <pic:spPr bwMode="auto">
                    <a:xfrm>
                      <a:off x="0" y="0"/>
                      <a:ext cx="4547870" cy="2857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E38F5">
        <w:rPr>
          <w:rFonts w:ascii="Calibri" w:hAnsi="Calibri"/>
        </w:rPr>
        <w:t xml:space="preserve">The </w:t>
      </w:r>
      <w:r>
        <w:rPr>
          <w:rFonts w:ascii="Calibri" w:hAnsi="Calibri"/>
        </w:rPr>
        <w:t>2021 Censu</w:t>
      </w:r>
      <w:r w:rsidRPr="009E38F5">
        <w:rPr>
          <w:rFonts w:ascii="Calibri" w:hAnsi="Calibri"/>
        </w:rPr>
        <w:t xml:space="preserve">s found that </w:t>
      </w:r>
      <w:r>
        <w:rPr>
          <w:rFonts w:ascii="Calibri" w:hAnsi="Calibri"/>
        </w:rPr>
        <w:t>more than four-fifths</w:t>
      </w:r>
      <w:r w:rsidRPr="009E38F5">
        <w:rPr>
          <w:rFonts w:ascii="Calibri" w:hAnsi="Calibri"/>
        </w:rPr>
        <w:t xml:space="preserve"> (</w:t>
      </w:r>
      <w:r>
        <w:rPr>
          <w:rFonts w:ascii="Calibri" w:hAnsi="Calibri"/>
        </w:rPr>
        <w:t>80.5%</w:t>
      </w:r>
      <w:r w:rsidRPr="009E38F5">
        <w:rPr>
          <w:rFonts w:ascii="Calibri" w:hAnsi="Calibri"/>
        </w:rPr>
        <w:t xml:space="preserve">) of residents of Greater Dandenong who travel to work, </w:t>
      </w:r>
      <w:r>
        <w:rPr>
          <w:rFonts w:ascii="Calibri" w:hAnsi="Calibri"/>
        </w:rPr>
        <w:t>journeyed</w:t>
      </w:r>
      <w:r w:rsidRPr="009E38F5">
        <w:rPr>
          <w:rFonts w:ascii="Calibri" w:hAnsi="Calibri"/>
        </w:rPr>
        <w:t xml:space="preserve"> by car – either as a driver or pa</w:t>
      </w:r>
      <w:r>
        <w:rPr>
          <w:rFonts w:ascii="Calibri" w:hAnsi="Calibri"/>
        </w:rPr>
        <w:t>ssenger. A further 11% travelled</w:t>
      </w:r>
      <w:r w:rsidRPr="009E38F5">
        <w:rPr>
          <w:rFonts w:ascii="Calibri" w:hAnsi="Calibri"/>
        </w:rPr>
        <w:t xml:space="preserve"> by train, </w:t>
      </w:r>
      <w:r>
        <w:rPr>
          <w:rFonts w:ascii="Calibri" w:hAnsi="Calibri"/>
        </w:rPr>
        <w:t>4</w:t>
      </w:r>
      <w:r w:rsidRPr="009E38F5">
        <w:rPr>
          <w:rFonts w:ascii="Calibri" w:hAnsi="Calibri"/>
        </w:rPr>
        <w:t xml:space="preserve">% by bus and </w:t>
      </w:r>
      <w:r>
        <w:rPr>
          <w:rFonts w:ascii="Calibri" w:hAnsi="Calibri"/>
        </w:rPr>
        <w:t>1.4</w:t>
      </w:r>
      <w:r w:rsidRPr="009E38F5">
        <w:rPr>
          <w:rFonts w:ascii="Calibri" w:hAnsi="Calibri"/>
        </w:rPr>
        <w:t>% w</w:t>
      </w:r>
      <w:r>
        <w:rPr>
          <w:rFonts w:ascii="Calibri" w:hAnsi="Calibri"/>
        </w:rPr>
        <w:t>alked only</w:t>
      </w:r>
      <w:r w:rsidRPr="009E38F5">
        <w:rPr>
          <w:rFonts w:ascii="Calibri" w:hAnsi="Calibri"/>
        </w:rPr>
        <w:t xml:space="preserve"> to work.</w:t>
      </w:r>
      <w:r>
        <w:rPr>
          <w:rStyle w:val="FootnoteReference"/>
          <w:rFonts w:ascii="Calibri" w:hAnsi="Calibri"/>
        </w:rPr>
        <w:footnoteReference w:id="20"/>
      </w:r>
    </w:p>
    <w:p w14:paraId="62BFC03D" w14:textId="77777777" w:rsidR="00580F4D" w:rsidRPr="0038388D" w:rsidRDefault="00580F4D" w:rsidP="00580F4D">
      <w:pPr>
        <w:spacing w:after="0" w:line="360" w:lineRule="auto"/>
        <w:jc w:val="both"/>
        <w:rPr>
          <w:rFonts w:ascii="Calibri" w:hAnsi="Calibri"/>
          <w:sz w:val="10"/>
          <w:szCs w:val="10"/>
        </w:rPr>
      </w:pPr>
    </w:p>
    <w:p w14:paraId="713EE09D" w14:textId="77777777" w:rsidR="00580F4D" w:rsidRDefault="00580F4D" w:rsidP="00580F4D">
      <w:pPr>
        <w:spacing w:after="0" w:line="240" w:lineRule="auto"/>
        <w:jc w:val="both"/>
        <w:rPr>
          <w:rFonts w:ascii="Calibri" w:hAnsi="Calibri"/>
          <w:color w:val="7F7F7F"/>
          <w:sz w:val="20"/>
          <w:szCs w:val="20"/>
        </w:rPr>
      </w:pPr>
      <w:r>
        <w:rPr>
          <w:rFonts w:ascii="Calibri" w:hAnsi="Calibri"/>
          <w:noProof/>
          <w:lang w:eastAsia="en-AU"/>
        </w:rPr>
        <w:drawing>
          <wp:anchor distT="0" distB="0" distL="114300" distR="114300" simplePos="0" relativeHeight="251806720" behindDoc="0" locked="0" layoutInCell="1" allowOverlap="1" wp14:anchorId="4C6538AC" wp14:editId="623C0762">
            <wp:simplePos x="0" y="0"/>
            <wp:positionH relativeFrom="column">
              <wp:posOffset>-3657282</wp:posOffset>
            </wp:positionH>
            <wp:positionV relativeFrom="paragraph">
              <wp:posOffset>163514</wp:posOffset>
            </wp:positionV>
            <wp:extent cx="1687545" cy="1066800"/>
            <wp:effectExtent l="0" t="0" r="8255"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ort 1.JPG"/>
                    <pic:cNvPicPr/>
                  </pic:nvPicPr>
                  <pic:blipFill rotWithShape="1">
                    <a:blip r:embed="rId146" cstate="print">
                      <a:extLst>
                        <a:ext uri="{28A0092B-C50C-407E-A947-70E740481C1C}">
                          <a14:useLocalDpi xmlns:a14="http://schemas.microsoft.com/office/drawing/2010/main" val="0"/>
                        </a:ext>
                      </a:extLst>
                    </a:blip>
                    <a:srcRect l="19683" t="15603" r="7972" b="23404"/>
                    <a:stretch/>
                  </pic:blipFill>
                  <pic:spPr bwMode="auto">
                    <a:xfrm>
                      <a:off x="0" y="0"/>
                      <a:ext cx="1689654" cy="1068134"/>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62786">
        <w:rPr>
          <w:rFonts w:ascii="Calibri" w:hAnsi="Calibri"/>
          <w:color w:val="7F7F7F"/>
          <w:sz w:val="20"/>
          <w:szCs w:val="20"/>
        </w:rPr>
        <w:t xml:space="preserve">Mode of Travel to Work: Greater Dandenong and </w:t>
      </w:r>
      <w:r>
        <w:rPr>
          <w:rFonts w:ascii="Calibri" w:hAnsi="Calibri"/>
          <w:color w:val="7F7F7F"/>
          <w:sz w:val="20"/>
          <w:szCs w:val="20"/>
        </w:rPr>
        <w:t>Victoria</w:t>
      </w:r>
      <w:r w:rsidRPr="00F62786">
        <w:rPr>
          <w:rFonts w:ascii="Calibri" w:hAnsi="Calibri"/>
          <w:color w:val="7F7F7F"/>
          <w:sz w:val="20"/>
          <w:szCs w:val="20"/>
        </w:rPr>
        <w:t>, 20</w:t>
      </w:r>
      <w:r>
        <w:rPr>
          <w:rFonts w:ascii="Calibri" w:hAnsi="Calibri"/>
          <w:color w:val="7F7F7F"/>
          <w:sz w:val="20"/>
          <w:szCs w:val="20"/>
        </w:rPr>
        <w:t>21</w:t>
      </w:r>
    </w:p>
    <w:p w14:paraId="143BDBED" w14:textId="77777777" w:rsidR="00580F4D" w:rsidRPr="0038388D" w:rsidRDefault="00580F4D" w:rsidP="00580F4D">
      <w:pPr>
        <w:spacing w:after="0" w:line="360" w:lineRule="auto"/>
        <w:jc w:val="both"/>
        <w:rPr>
          <w:rFonts w:ascii="Calibri" w:hAnsi="Calibri"/>
          <w:sz w:val="10"/>
          <w:szCs w:val="10"/>
        </w:rPr>
      </w:pPr>
    </w:p>
    <w:p w14:paraId="5770D45C" w14:textId="77777777" w:rsidR="00580F4D" w:rsidRDefault="00580F4D" w:rsidP="00580F4D">
      <w:pPr>
        <w:spacing w:after="0" w:line="360" w:lineRule="auto"/>
        <w:jc w:val="both"/>
        <w:rPr>
          <w:rFonts w:ascii="Calibri" w:hAnsi="Calibri"/>
        </w:rPr>
      </w:pPr>
      <w:r>
        <w:rPr>
          <w:rFonts w:ascii="Calibri" w:hAnsi="Calibri"/>
        </w:rPr>
        <w:t>These</w:t>
      </w:r>
      <w:r w:rsidRPr="009E38F5">
        <w:rPr>
          <w:rFonts w:ascii="Calibri" w:hAnsi="Calibri"/>
        </w:rPr>
        <w:t xml:space="preserve"> patterns </w:t>
      </w:r>
      <w:r>
        <w:rPr>
          <w:rFonts w:ascii="Calibri" w:hAnsi="Calibri"/>
        </w:rPr>
        <w:t>are broadly</w:t>
      </w:r>
      <w:r w:rsidRPr="009E38F5">
        <w:rPr>
          <w:rFonts w:ascii="Calibri" w:hAnsi="Calibri"/>
        </w:rPr>
        <w:t xml:space="preserve"> similar to those across </w:t>
      </w:r>
      <w:r>
        <w:rPr>
          <w:rFonts w:ascii="Calibri" w:hAnsi="Calibri"/>
        </w:rPr>
        <w:t>Victoria</w:t>
      </w:r>
      <w:r w:rsidRPr="009E38F5">
        <w:rPr>
          <w:rFonts w:ascii="Calibri" w:hAnsi="Calibri"/>
        </w:rPr>
        <w:t>, though</w:t>
      </w:r>
      <w:r>
        <w:rPr>
          <w:rFonts w:ascii="Calibri" w:hAnsi="Calibri"/>
        </w:rPr>
        <w:t xml:space="preserve"> </w:t>
      </w:r>
      <w:r w:rsidRPr="009E38F5">
        <w:rPr>
          <w:rFonts w:ascii="Calibri" w:hAnsi="Calibri"/>
        </w:rPr>
        <w:t xml:space="preserve">more </w:t>
      </w:r>
      <w:r>
        <w:rPr>
          <w:rFonts w:ascii="Calibri" w:hAnsi="Calibri"/>
        </w:rPr>
        <w:t xml:space="preserve">local residents travel </w:t>
      </w:r>
      <w:r w:rsidRPr="009E38F5">
        <w:rPr>
          <w:rFonts w:ascii="Calibri" w:hAnsi="Calibri"/>
        </w:rPr>
        <w:t>by car o</w:t>
      </w:r>
      <w:r>
        <w:rPr>
          <w:rFonts w:ascii="Calibri" w:hAnsi="Calibri"/>
        </w:rPr>
        <w:t xml:space="preserve">r bus, and fewer use </w:t>
      </w:r>
      <w:r w:rsidRPr="009E38F5">
        <w:rPr>
          <w:rFonts w:ascii="Calibri" w:hAnsi="Calibri"/>
        </w:rPr>
        <w:t>other modes of transport.</w:t>
      </w:r>
    </w:p>
    <w:p w14:paraId="1E8FAF48" w14:textId="77777777" w:rsidR="00580F4D" w:rsidRDefault="00580F4D" w:rsidP="00580F4D">
      <w:pPr>
        <w:spacing w:after="0" w:line="360" w:lineRule="auto"/>
        <w:jc w:val="both"/>
        <w:rPr>
          <w:rFonts w:ascii="Calibri" w:hAnsi="Calibri"/>
          <w:color w:val="7F7F7F"/>
          <w:sz w:val="20"/>
          <w:szCs w:val="20"/>
        </w:rPr>
      </w:pPr>
    </w:p>
    <w:p w14:paraId="038F1AD6" w14:textId="77777777" w:rsidR="00E87888" w:rsidRDefault="00E87888" w:rsidP="00E87888">
      <w:pPr>
        <w:spacing w:after="0" w:line="240" w:lineRule="auto"/>
        <w:jc w:val="both"/>
        <w:rPr>
          <w:rFonts w:ascii="Calibri" w:hAnsi="Calibri"/>
          <w:color w:val="7F7F7F"/>
          <w:sz w:val="20"/>
          <w:szCs w:val="20"/>
        </w:rPr>
      </w:pPr>
      <w:r w:rsidRPr="00F62786">
        <w:rPr>
          <w:rFonts w:ascii="Calibri" w:hAnsi="Calibri"/>
          <w:color w:val="7F7F7F"/>
          <w:sz w:val="20"/>
          <w:szCs w:val="20"/>
        </w:rPr>
        <w:lastRenderedPageBreak/>
        <w:t>P</w:t>
      </w:r>
      <w:r>
        <w:rPr>
          <w:rFonts w:ascii="Calibri" w:hAnsi="Calibri"/>
          <w:color w:val="7F7F7F"/>
          <w:sz w:val="20"/>
          <w:szCs w:val="20"/>
        </w:rPr>
        <w:t>er cent of Residents who Travell</w:t>
      </w:r>
      <w:r w:rsidRPr="00F62786">
        <w:rPr>
          <w:rFonts w:ascii="Calibri" w:hAnsi="Calibri"/>
          <w:color w:val="7F7F7F"/>
          <w:sz w:val="20"/>
          <w:szCs w:val="20"/>
        </w:rPr>
        <w:t xml:space="preserve">ed to Work </w:t>
      </w:r>
      <w:r>
        <w:rPr>
          <w:rFonts w:ascii="Calibri" w:hAnsi="Calibri"/>
          <w:color w:val="7F7F7F"/>
          <w:sz w:val="20"/>
          <w:szCs w:val="20"/>
        </w:rPr>
        <w:t xml:space="preserve">Solely by Active </w:t>
      </w:r>
    </w:p>
    <w:p w14:paraId="24053A4B" w14:textId="77777777" w:rsidR="00E87888" w:rsidRPr="00F62786" w:rsidRDefault="00E87888" w:rsidP="00E87888">
      <w:pPr>
        <w:spacing w:after="0" w:line="240" w:lineRule="auto"/>
        <w:jc w:val="both"/>
        <w:rPr>
          <w:rFonts w:ascii="Calibri" w:hAnsi="Calibri"/>
          <w:color w:val="7F7F7F"/>
          <w:sz w:val="20"/>
          <w:szCs w:val="20"/>
        </w:rPr>
      </w:pPr>
      <w:r>
        <w:rPr>
          <w:rFonts w:ascii="Calibri" w:hAnsi="Calibri"/>
          <w:color w:val="7F7F7F"/>
          <w:sz w:val="20"/>
          <w:szCs w:val="20"/>
        </w:rPr>
        <w:t>or Public Transport</w:t>
      </w:r>
      <w:r w:rsidRPr="00F62786">
        <w:rPr>
          <w:rFonts w:ascii="Calibri" w:hAnsi="Calibri"/>
          <w:color w:val="7F7F7F"/>
          <w:sz w:val="20"/>
          <w:szCs w:val="20"/>
        </w:rPr>
        <w:t>: Selected municipalities, 20</w:t>
      </w:r>
      <w:r>
        <w:rPr>
          <w:rFonts w:ascii="Calibri" w:hAnsi="Calibri"/>
          <w:color w:val="7F7F7F"/>
          <w:sz w:val="20"/>
          <w:szCs w:val="20"/>
        </w:rPr>
        <w:t>21</w:t>
      </w:r>
    </w:p>
    <w:p w14:paraId="779A0BB6" w14:textId="722AD2E8" w:rsidR="00E87888" w:rsidRPr="009E38F5" w:rsidRDefault="00FE4009" w:rsidP="00E87888">
      <w:pPr>
        <w:spacing w:after="0" w:line="360" w:lineRule="auto"/>
        <w:jc w:val="both"/>
        <w:rPr>
          <w:rFonts w:ascii="Calibri" w:hAnsi="Calibri"/>
        </w:rPr>
      </w:pPr>
      <w:r>
        <w:rPr>
          <w:rFonts w:ascii="Calibri" w:hAnsi="Calibri"/>
          <w:bCs/>
          <w:noProof/>
        </w:rPr>
        <w:drawing>
          <wp:anchor distT="0" distB="0" distL="114300" distR="114300" simplePos="0" relativeHeight="252087296" behindDoc="0" locked="0" layoutInCell="1" allowOverlap="1" wp14:anchorId="2AC32F40" wp14:editId="02B6849E">
            <wp:simplePos x="0" y="0"/>
            <wp:positionH relativeFrom="margin">
              <wp:posOffset>2994660</wp:posOffset>
            </wp:positionH>
            <wp:positionV relativeFrom="paragraph">
              <wp:posOffset>3046095</wp:posOffset>
            </wp:positionV>
            <wp:extent cx="3123565" cy="4123690"/>
            <wp:effectExtent l="0" t="0" r="635" b="0"/>
            <wp:wrapSquare wrapText="bothSides"/>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7">
                      <a:extLst>
                        <a:ext uri="{28A0092B-C50C-407E-A947-70E740481C1C}">
                          <a14:useLocalDpi xmlns:a14="http://schemas.microsoft.com/office/drawing/2010/main" val="0"/>
                        </a:ext>
                      </a:extLst>
                    </a:blip>
                    <a:srcRect r="8029"/>
                    <a:stretch/>
                  </pic:blipFill>
                  <pic:spPr bwMode="auto">
                    <a:xfrm>
                      <a:off x="0" y="0"/>
                      <a:ext cx="3123565" cy="4123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7888">
        <w:rPr>
          <w:rFonts w:ascii="Calibri" w:hAnsi="Calibri"/>
          <w:noProof/>
          <w:color w:val="7F7F7F"/>
          <w:sz w:val="20"/>
          <w:szCs w:val="20"/>
          <w:lang w:eastAsia="en-AU"/>
        </w:rPr>
        <w:drawing>
          <wp:anchor distT="12192" distB="58928" distL="138684" distR="186436" simplePos="0" relativeHeight="252086272" behindDoc="0" locked="0" layoutInCell="1" allowOverlap="1" wp14:anchorId="6BC0355C" wp14:editId="6FEA10CE">
            <wp:simplePos x="0" y="0"/>
            <wp:positionH relativeFrom="column">
              <wp:posOffset>2561590</wp:posOffset>
            </wp:positionH>
            <wp:positionV relativeFrom="paragraph">
              <wp:posOffset>1737677</wp:posOffset>
            </wp:positionV>
            <wp:extent cx="1304925" cy="800100"/>
            <wp:effectExtent l="38100" t="38100" r="104775" b="95250"/>
            <wp:wrapNone/>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ycling to work.jpg"/>
                    <pic:cNvPicPr/>
                  </pic:nvPicPr>
                  <pic:blipFill>
                    <a:blip r:embed="rId148" cstate="print"/>
                    <a:srcRect l="8760" r="9168"/>
                    <a:stretch>
                      <a:fillRect/>
                    </a:stretch>
                  </pic:blipFill>
                  <pic:spPr>
                    <a:xfrm>
                      <a:off x="0" y="0"/>
                      <a:ext cx="1304925" cy="800100"/>
                    </a:xfrm>
                    <a:prstGeom prst="rect">
                      <a:avLst/>
                    </a:prstGeom>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E87888">
        <w:rPr>
          <w:rFonts w:ascii="Calibri" w:hAnsi="Calibri"/>
          <w:noProof/>
          <w:color w:val="7F7F7F"/>
          <w:sz w:val="20"/>
          <w:szCs w:val="20"/>
        </w:rPr>
        <w:drawing>
          <wp:anchor distT="0" distB="0" distL="114300" distR="114300" simplePos="0" relativeHeight="252085248" behindDoc="0" locked="0" layoutInCell="1" allowOverlap="1" wp14:anchorId="7496295C" wp14:editId="00F7B768">
            <wp:simplePos x="0" y="0"/>
            <wp:positionH relativeFrom="margin">
              <wp:posOffset>36830</wp:posOffset>
            </wp:positionH>
            <wp:positionV relativeFrom="paragraph">
              <wp:posOffset>65405</wp:posOffset>
            </wp:positionV>
            <wp:extent cx="3919220" cy="2579370"/>
            <wp:effectExtent l="0" t="0" r="508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9">
                      <a:extLst>
                        <a:ext uri="{28A0092B-C50C-407E-A947-70E740481C1C}">
                          <a14:useLocalDpi xmlns:a14="http://schemas.microsoft.com/office/drawing/2010/main" val="0"/>
                        </a:ext>
                      </a:extLst>
                    </a:blip>
                    <a:srcRect r="5932"/>
                    <a:stretch/>
                  </pic:blipFill>
                  <pic:spPr bwMode="auto">
                    <a:xfrm>
                      <a:off x="0" y="0"/>
                      <a:ext cx="3919220" cy="2579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7888">
        <w:rPr>
          <w:rFonts w:ascii="Calibri" w:hAnsi="Calibri"/>
        </w:rPr>
        <w:t>The proportion of residents who journey to work solely by public or active (walking only or cycling) modes of transport, tends to decline with increasing distance from central Melbourne. For example, among municipalities extending from the CBD across south-east metropolitan area, the percentage of employed residents who had used active transport to travel to work at the time of the Census diminished from over 62% in Melbourne, to less than 5% in Casey and Cardinia.</w:t>
      </w:r>
    </w:p>
    <w:p w14:paraId="6C66B98B" w14:textId="77777777" w:rsidR="00580F4D" w:rsidRPr="00E87888" w:rsidRDefault="00580F4D" w:rsidP="00580F4D">
      <w:pPr>
        <w:spacing w:after="0" w:line="360" w:lineRule="auto"/>
        <w:jc w:val="both"/>
        <w:rPr>
          <w:rFonts w:ascii="Calibri" w:hAnsi="Calibri"/>
          <w:b/>
          <w:noProof/>
          <w:sz w:val="8"/>
          <w:szCs w:val="8"/>
        </w:rPr>
      </w:pPr>
    </w:p>
    <w:p w14:paraId="3BE8F3D2" w14:textId="793621B2" w:rsidR="00580F4D" w:rsidRPr="005F158F" w:rsidRDefault="00580F4D" w:rsidP="00580F4D">
      <w:pPr>
        <w:spacing w:after="0" w:line="360" w:lineRule="auto"/>
        <w:jc w:val="both"/>
        <w:rPr>
          <w:rFonts w:ascii="Calibri" w:hAnsi="Calibri"/>
          <w:b/>
          <w:noProof/>
        </w:rPr>
      </w:pPr>
      <w:r w:rsidRPr="005F158F">
        <w:rPr>
          <w:rFonts w:ascii="Calibri" w:hAnsi="Calibri"/>
          <w:b/>
          <w:noProof/>
        </w:rPr>
        <w:t>Walkability</w:t>
      </w:r>
    </w:p>
    <w:p w14:paraId="5F356936" w14:textId="046BAAC0" w:rsidR="00580F4D" w:rsidRDefault="00E87888" w:rsidP="00580F4D">
      <w:pPr>
        <w:spacing w:after="0" w:line="360" w:lineRule="auto"/>
        <w:jc w:val="both"/>
        <w:rPr>
          <w:rFonts w:ascii="Calibri" w:hAnsi="Calibri"/>
          <w:bCs/>
          <w:noProof/>
        </w:rPr>
      </w:pPr>
      <w:r>
        <w:rPr>
          <w:rFonts w:ascii="Calibri" w:hAnsi="Calibri"/>
          <w:bCs/>
          <w:noProof/>
        </w:rPr>
        <w:drawing>
          <wp:anchor distT="0" distB="0" distL="114300" distR="114300" simplePos="0" relativeHeight="251809792" behindDoc="0" locked="0" layoutInCell="1" allowOverlap="1" wp14:anchorId="5DB2C664" wp14:editId="31823F7F">
            <wp:simplePos x="0" y="0"/>
            <wp:positionH relativeFrom="margin">
              <wp:align>left</wp:align>
            </wp:positionH>
            <wp:positionV relativeFrom="paragraph">
              <wp:posOffset>2945130</wp:posOffset>
            </wp:positionV>
            <wp:extent cx="3076575" cy="2063750"/>
            <wp:effectExtent l="0" t="0" r="9525" b="0"/>
            <wp:wrapSquare wrapText="bothSides"/>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076575" cy="2063750"/>
                    </a:xfrm>
                    <a:prstGeom prst="rect">
                      <a:avLst/>
                    </a:prstGeom>
                    <a:noFill/>
                  </pic:spPr>
                </pic:pic>
              </a:graphicData>
            </a:graphic>
            <wp14:sizeRelH relativeFrom="page">
              <wp14:pctWidth>0</wp14:pctWidth>
            </wp14:sizeRelH>
            <wp14:sizeRelV relativeFrom="page">
              <wp14:pctHeight>0</wp14:pctHeight>
            </wp14:sizeRelV>
          </wp:anchor>
        </w:drawing>
      </w:r>
      <w:r w:rsidR="00580F4D" w:rsidRPr="00AE2A64">
        <w:rPr>
          <w:rFonts w:ascii="Calibri" w:hAnsi="Calibri"/>
          <w:bCs/>
          <w:noProof/>
        </w:rPr>
        <w:t>Measures of the ease of walking to key detinations, such as shops</w:t>
      </w:r>
      <w:r w:rsidR="00580F4D">
        <w:rPr>
          <w:rFonts w:ascii="Calibri" w:hAnsi="Calibri"/>
          <w:bCs/>
          <w:noProof/>
        </w:rPr>
        <w:t>,</w:t>
      </w:r>
      <w:r w:rsidR="00580F4D" w:rsidRPr="00AE2A64">
        <w:rPr>
          <w:rFonts w:ascii="Calibri" w:hAnsi="Calibri"/>
          <w:bCs/>
          <w:noProof/>
        </w:rPr>
        <w:t xml:space="preserve"> are prepared by ‘Walkshare’. Calculations published in 20</w:t>
      </w:r>
      <w:r w:rsidR="00580F4D">
        <w:rPr>
          <w:rFonts w:ascii="Calibri" w:hAnsi="Calibri"/>
          <w:bCs/>
          <w:noProof/>
        </w:rPr>
        <w:t>22</w:t>
      </w:r>
      <w:r w:rsidR="00580F4D" w:rsidRPr="00AE2A64">
        <w:rPr>
          <w:rFonts w:ascii="Calibri" w:hAnsi="Calibri"/>
          <w:bCs/>
          <w:noProof/>
        </w:rPr>
        <w:t xml:space="preserve"> assiged a walkabllity score of 53 to Greater Dandenong, similar to the average among metropolitan municipalitises of 5</w:t>
      </w:r>
      <w:r w:rsidR="00580F4D">
        <w:rPr>
          <w:rFonts w:ascii="Calibri" w:hAnsi="Calibri"/>
          <w:bCs/>
          <w:noProof/>
        </w:rPr>
        <w:t>8</w:t>
      </w:r>
      <w:r w:rsidR="00580F4D" w:rsidRPr="00AE2A64">
        <w:rPr>
          <w:rFonts w:ascii="Calibri" w:hAnsi="Calibri"/>
          <w:bCs/>
          <w:noProof/>
        </w:rPr>
        <w:t xml:space="preserve">. Scores for other municipalites in Melbourne ranged from about </w:t>
      </w:r>
      <w:r w:rsidR="00580F4D">
        <w:rPr>
          <w:rFonts w:ascii="Calibri" w:hAnsi="Calibri"/>
          <w:bCs/>
          <w:noProof/>
        </w:rPr>
        <w:t>over 85</w:t>
      </w:r>
      <w:r w:rsidR="00580F4D" w:rsidRPr="00AE2A64">
        <w:rPr>
          <w:rFonts w:ascii="Calibri" w:hAnsi="Calibri"/>
          <w:bCs/>
          <w:noProof/>
        </w:rPr>
        <w:t xml:space="preserve"> for inner metropolitan Yarra, Port Phillip and Melbourne, to less than </w:t>
      </w:r>
      <w:r w:rsidR="00580F4D">
        <w:rPr>
          <w:rFonts w:ascii="Calibri" w:hAnsi="Calibri"/>
          <w:bCs/>
          <w:noProof/>
        </w:rPr>
        <w:t>37</w:t>
      </w:r>
      <w:r w:rsidR="00580F4D" w:rsidRPr="00AE2A64">
        <w:rPr>
          <w:rFonts w:ascii="Calibri" w:hAnsi="Calibri"/>
          <w:bCs/>
          <w:noProof/>
        </w:rPr>
        <w:t xml:space="preserve"> for </w:t>
      </w:r>
      <w:r w:rsidR="00580F4D">
        <w:rPr>
          <w:rFonts w:ascii="Calibri" w:hAnsi="Calibri"/>
          <w:bCs/>
          <w:noProof/>
        </w:rPr>
        <w:t>Wyndham, Casey, Mornington Peninsula and Cardinia</w:t>
      </w:r>
      <w:r w:rsidR="00580F4D" w:rsidRPr="00AE2A64">
        <w:rPr>
          <w:rFonts w:ascii="Calibri" w:hAnsi="Calibri"/>
          <w:bCs/>
          <w:noProof/>
        </w:rPr>
        <w:t>.</w:t>
      </w:r>
      <w:r>
        <w:rPr>
          <w:rFonts w:ascii="Calibri" w:hAnsi="Calibri"/>
          <w:bCs/>
          <w:noProof/>
        </w:rPr>
        <w:t xml:space="preserve"> </w:t>
      </w:r>
      <w:r w:rsidR="00580F4D" w:rsidRPr="00874ACD">
        <w:rPr>
          <w:rFonts w:ascii="Calibri" w:hAnsi="Calibri"/>
          <w:bCs/>
          <w:noProof/>
        </w:rPr>
        <w:t xml:space="preserve">Among </w:t>
      </w:r>
      <w:r w:rsidR="00580F4D">
        <w:rPr>
          <w:rFonts w:ascii="Calibri" w:hAnsi="Calibri"/>
          <w:bCs/>
          <w:noProof/>
        </w:rPr>
        <w:t>t</w:t>
      </w:r>
      <w:r w:rsidR="00580F4D" w:rsidRPr="00874ACD">
        <w:rPr>
          <w:rFonts w:ascii="Calibri" w:hAnsi="Calibri"/>
          <w:bCs/>
          <w:noProof/>
        </w:rPr>
        <w:t xml:space="preserve">he suburbs of Melbourne, the </w:t>
      </w:r>
      <w:r w:rsidR="00580F4D">
        <w:rPr>
          <w:rFonts w:ascii="Calibri" w:hAnsi="Calibri"/>
          <w:bCs/>
          <w:noProof/>
        </w:rPr>
        <w:t>lowest</w:t>
      </w:r>
      <w:r w:rsidR="00580F4D" w:rsidRPr="00874ACD">
        <w:rPr>
          <w:rFonts w:ascii="Calibri" w:hAnsi="Calibri"/>
          <w:bCs/>
          <w:noProof/>
        </w:rPr>
        <w:t xml:space="preserve"> walkability sore</w:t>
      </w:r>
      <w:r w:rsidR="00580F4D">
        <w:rPr>
          <w:rFonts w:ascii="Calibri" w:hAnsi="Calibri"/>
          <w:bCs/>
          <w:noProof/>
        </w:rPr>
        <w:t>s</w:t>
      </w:r>
      <w:r w:rsidR="00580F4D" w:rsidRPr="00874ACD">
        <w:rPr>
          <w:rFonts w:ascii="Calibri" w:hAnsi="Calibri"/>
          <w:bCs/>
          <w:noProof/>
        </w:rPr>
        <w:t xml:space="preserve"> </w:t>
      </w:r>
      <w:r w:rsidR="00580F4D">
        <w:rPr>
          <w:rFonts w:ascii="Calibri" w:hAnsi="Calibri"/>
          <w:bCs/>
          <w:noProof/>
        </w:rPr>
        <w:t>were</w:t>
      </w:r>
      <w:r w:rsidR="00580F4D" w:rsidRPr="00874ACD">
        <w:rPr>
          <w:rFonts w:ascii="Calibri" w:hAnsi="Calibri"/>
          <w:bCs/>
          <w:noProof/>
        </w:rPr>
        <w:t xml:space="preserve"> assing</w:t>
      </w:r>
      <w:r w:rsidR="00580F4D">
        <w:rPr>
          <w:rFonts w:ascii="Calibri" w:hAnsi="Calibri"/>
          <w:bCs/>
          <w:noProof/>
        </w:rPr>
        <w:t>n</w:t>
      </w:r>
      <w:r w:rsidR="00580F4D" w:rsidRPr="00874ACD">
        <w:rPr>
          <w:rFonts w:ascii="Calibri" w:hAnsi="Calibri"/>
          <w:bCs/>
          <w:noProof/>
        </w:rPr>
        <w:t xml:space="preserve">ed to Ferny Creek and Langwarrin South, at 16 and 12 respectively, and the highest scores to </w:t>
      </w:r>
      <w:r w:rsidR="00580F4D">
        <w:rPr>
          <w:rFonts w:ascii="Calibri" w:hAnsi="Calibri"/>
          <w:bCs/>
          <w:noProof/>
        </w:rPr>
        <w:t>Fitzroy</w:t>
      </w:r>
      <w:r w:rsidR="00580F4D" w:rsidRPr="00874ACD">
        <w:rPr>
          <w:rFonts w:ascii="Calibri" w:hAnsi="Calibri"/>
          <w:bCs/>
          <w:noProof/>
        </w:rPr>
        <w:t xml:space="preserve"> and </w:t>
      </w:r>
      <w:r w:rsidR="00580F4D">
        <w:rPr>
          <w:rFonts w:ascii="Calibri" w:hAnsi="Calibri"/>
          <w:bCs/>
          <w:noProof/>
        </w:rPr>
        <w:t>Carlton</w:t>
      </w:r>
      <w:r w:rsidR="00580F4D" w:rsidRPr="00874ACD">
        <w:rPr>
          <w:rFonts w:ascii="Calibri" w:hAnsi="Calibri"/>
          <w:bCs/>
          <w:noProof/>
        </w:rPr>
        <w:t xml:space="preserve"> at 96 and 97 respectively.</w:t>
      </w:r>
      <w:r w:rsidR="00580F4D">
        <w:rPr>
          <w:rFonts w:ascii="Calibri" w:hAnsi="Calibri"/>
          <w:bCs/>
          <w:noProof/>
        </w:rPr>
        <w:t xml:space="preserve"> </w:t>
      </w:r>
    </w:p>
    <w:p w14:paraId="1AFFD17A" w14:textId="11C6DD33" w:rsidR="00554FF3" w:rsidRPr="00E87888" w:rsidRDefault="00580F4D" w:rsidP="00E87888">
      <w:pPr>
        <w:spacing w:after="0" w:line="360" w:lineRule="auto"/>
        <w:jc w:val="both"/>
        <w:rPr>
          <w:rFonts w:ascii="Calibri" w:hAnsi="Calibri"/>
          <w:bCs/>
          <w:noProof/>
        </w:rPr>
      </w:pPr>
      <w:r>
        <w:rPr>
          <w:rFonts w:ascii="Calibri" w:hAnsi="Calibri"/>
          <w:bCs/>
          <w:noProof/>
        </w:rPr>
        <w:t>And within Greater Dandenong, scores varied from their highest level in Springvale, to the lowe</w:t>
      </w:r>
      <w:r w:rsidR="00B038DB">
        <w:rPr>
          <w:rFonts w:ascii="Calibri" w:hAnsi="Calibri"/>
          <w:bCs/>
          <w:noProof/>
        </w:rPr>
        <w:t>s</w:t>
      </w:r>
      <w:r>
        <w:rPr>
          <w:rFonts w:ascii="Calibri" w:hAnsi="Calibri"/>
          <w:bCs/>
          <w:noProof/>
        </w:rPr>
        <w:t>t for Dandenong South.</w:t>
      </w:r>
    </w:p>
    <w:p w14:paraId="1E3EF05B" w14:textId="77777777" w:rsidR="00E87888" w:rsidRDefault="00E87888">
      <w:pPr>
        <w:rPr>
          <w:rFonts w:ascii="Calibri" w:hAnsi="Calibri"/>
          <w:color w:val="000000"/>
        </w:rPr>
      </w:pPr>
      <w:bookmarkStart w:id="9" w:name="_Hlk481681882"/>
      <w:r>
        <w:rPr>
          <w:rFonts w:ascii="Calibri" w:hAnsi="Calibri"/>
          <w:color w:val="000000"/>
        </w:rPr>
        <w:br w:type="page"/>
      </w:r>
    </w:p>
    <w:p w14:paraId="63E126F6" w14:textId="10DA3564" w:rsidR="00955663" w:rsidRPr="002C6E72" w:rsidRDefault="00955663" w:rsidP="00A26F54">
      <w:pPr>
        <w:pBdr>
          <w:top w:val="single" w:sz="4" w:space="1" w:color="auto"/>
          <w:bottom w:val="single" w:sz="4" w:space="1" w:color="auto"/>
        </w:pBdr>
        <w:tabs>
          <w:tab w:val="center" w:pos="4678"/>
        </w:tabs>
        <w:jc w:val="center"/>
        <w:rPr>
          <w:rFonts w:ascii="Calibri" w:hAnsi="Calibri"/>
          <w:noProof/>
          <w:sz w:val="32"/>
          <w:szCs w:val="32"/>
        </w:rPr>
      </w:pPr>
      <w:r w:rsidRPr="002C6E72">
        <w:rPr>
          <w:rFonts w:ascii="Calibri" w:hAnsi="Calibri"/>
          <w:noProof/>
          <w:sz w:val="32"/>
          <w:szCs w:val="32"/>
        </w:rPr>
        <w:lastRenderedPageBreak/>
        <w:t>Socio-economic Disadvantage</w:t>
      </w:r>
    </w:p>
    <w:bookmarkEnd w:id="9"/>
    <w:p w14:paraId="4FA0A294" w14:textId="4F9B1E65" w:rsidR="00955663" w:rsidRDefault="00955663" w:rsidP="00955663">
      <w:pPr>
        <w:tabs>
          <w:tab w:val="num" w:pos="720"/>
        </w:tabs>
        <w:spacing w:after="0" w:line="360" w:lineRule="auto"/>
        <w:jc w:val="both"/>
        <w:rPr>
          <w:color w:val="000000"/>
        </w:rPr>
      </w:pPr>
      <w:r w:rsidRPr="00381A9A">
        <w:rPr>
          <w:noProof/>
          <w:color w:val="FFFFFF" w:themeColor="background1"/>
          <w:sz w:val="2"/>
          <w:szCs w:val="2"/>
        </w:rPr>
        <w:drawing>
          <wp:anchor distT="0" distB="0" distL="114300" distR="114300" simplePos="0" relativeHeight="251812864" behindDoc="0" locked="0" layoutInCell="1" allowOverlap="1" wp14:anchorId="44CD0652" wp14:editId="492F1A3C">
            <wp:simplePos x="0" y="0"/>
            <wp:positionH relativeFrom="column">
              <wp:posOffset>3810</wp:posOffset>
            </wp:positionH>
            <wp:positionV relativeFrom="paragraph">
              <wp:posOffset>944431</wp:posOffset>
            </wp:positionV>
            <wp:extent cx="539750" cy="359410"/>
            <wp:effectExtent l="152400" t="152400" r="355600" b="364490"/>
            <wp:wrapNone/>
            <wp:docPr id="191" name="Picture 7" descr="4 Another cultural diversit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7" descr="4 Another cultural diversity.jpg"/>
                    <pic:cNvPicPr>
                      <a:picLocks/>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292100" dist="139700" dir="2700000" algn="tl" rotWithShape="0">
                        <a:srgbClr val="333333">
                          <a:alpha val="65000"/>
                        </a:srgbClr>
                      </a:outerShdw>
                      <a:softEdge rad="12700"/>
                    </a:effectLst>
                  </pic:spPr>
                </pic:pic>
              </a:graphicData>
            </a:graphic>
            <wp14:sizeRelH relativeFrom="page">
              <wp14:pctWidth>0</wp14:pctWidth>
            </wp14:sizeRelH>
            <wp14:sizeRelV relativeFrom="page">
              <wp14:pctHeight>0</wp14:pctHeight>
            </wp14:sizeRelV>
          </wp:anchor>
        </w:drawing>
      </w:r>
      <w:r w:rsidRPr="002C6E72">
        <w:rPr>
          <w:color w:val="000000"/>
        </w:rPr>
        <w:t>Greater Dandenong is a community of marked cultural diversity and ongoing migrant settlement, which faces the challenges of low</w:t>
      </w:r>
      <w:r>
        <w:rPr>
          <w:color w:val="000000"/>
        </w:rPr>
        <w:t>-</w:t>
      </w:r>
      <w:r w:rsidRPr="002C6E72">
        <w:rPr>
          <w:color w:val="000000"/>
        </w:rPr>
        <w:t xml:space="preserve">income levels, high unemployment, unfavourable educational outcomes, a substantial rate of refugee settlement, lower levels of mental and physical health than the Victorian average, and elevated crime rates. </w:t>
      </w:r>
    </w:p>
    <w:p w14:paraId="6089E13A" w14:textId="71A12F29" w:rsidR="00955663" w:rsidRPr="00E514B6" w:rsidRDefault="00955663" w:rsidP="00955663">
      <w:pPr>
        <w:spacing w:after="0" w:line="360" w:lineRule="auto"/>
        <w:jc w:val="both"/>
        <w:rPr>
          <w:b/>
          <w:color w:val="17365D"/>
        </w:rPr>
      </w:pPr>
      <w:r w:rsidRPr="00381A9A">
        <w:rPr>
          <w:b/>
          <w:color w:val="FFFFFF" w:themeColor="background1"/>
        </w:rPr>
        <w:t xml:space="preserve">                   </w:t>
      </w:r>
      <w:r w:rsidRPr="00E514B6">
        <w:rPr>
          <w:b/>
          <w:color w:val="17365D"/>
        </w:rPr>
        <w:t>Cultural Diversity and Settlement</w:t>
      </w:r>
    </w:p>
    <w:p w14:paraId="249269A1" w14:textId="77777777" w:rsidR="00955663" w:rsidRDefault="00955663" w:rsidP="00955663">
      <w:pPr>
        <w:tabs>
          <w:tab w:val="num" w:pos="720"/>
        </w:tabs>
        <w:spacing w:after="0" w:line="360" w:lineRule="auto"/>
        <w:jc w:val="both"/>
        <w:rPr>
          <w:color w:val="000000"/>
        </w:rPr>
      </w:pPr>
      <w:r w:rsidRPr="00E514B6">
        <w:rPr>
          <w:color w:val="000000"/>
        </w:rPr>
        <w:t xml:space="preserve">Greater Dandenong is the most culturally diverse community in </w:t>
      </w:r>
      <w:r>
        <w:rPr>
          <w:color w:val="000000"/>
        </w:rPr>
        <w:t>Australia</w:t>
      </w:r>
      <w:r w:rsidRPr="00E514B6">
        <w:rPr>
          <w:color w:val="000000"/>
        </w:rPr>
        <w:t>, with 6</w:t>
      </w:r>
      <w:r>
        <w:rPr>
          <w:color w:val="000000"/>
        </w:rPr>
        <w:t xml:space="preserve">3% </w:t>
      </w:r>
      <w:r w:rsidRPr="00E514B6">
        <w:rPr>
          <w:color w:val="000000"/>
        </w:rPr>
        <w:t xml:space="preserve">of its </w:t>
      </w:r>
      <w:r>
        <w:rPr>
          <w:color w:val="000000"/>
        </w:rPr>
        <w:t>residents</w:t>
      </w:r>
      <w:r w:rsidRPr="00E514B6">
        <w:rPr>
          <w:color w:val="000000"/>
        </w:rPr>
        <w:t xml:space="preserve"> born overseas, residents from </w:t>
      </w:r>
      <w:r>
        <w:rPr>
          <w:color w:val="000000"/>
        </w:rPr>
        <w:t>at least 154</w:t>
      </w:r>
      <w:r w:rsidRPr="00E514B6">
        <w:rPr>
          <w:color w:val="000000"/>
        </w:rPr>
        <w:t xml:space="preserve"> different birthplaces</w:t>
      </w:r>
      <w:r>
        <w:rPr>
          <w:color w:val="000000"/>
        </w:rPr>
        <w:t>,</w:t>
      </w:r>
      <w:r w:rsidRPr="00E514B6">
        <w:rPr>
          <w:color w:val="000000"/>
        </w:rPr>
        <w:t xml:space="preserve"> and languages other than English spoken </w:t>
      </w:r>
      <w:r>
        <w:rPr>
          <w:color w:val="000000"/>
        </w:rPr>
        <w:t xml:space="preserve">at home by </w:t>
      </w:r>
      <w:r>
        <w:rPr>
          <w:rFonts w:ascii="Calibri" w:hAnsi="Calibri"/>
          <w:color w:val="000000"/>
        </w:rPr>
        <w:t>nearly three-quarters</w:t>
      </w:r>
      <w:r w:rsidRPr="00111466">
        <w:rPr>
          <w:rFonts w:ascii="Calibri" w:hAnsi="Calibri"/>
          <w:color w:val="000000"/>
        </w:rPr>
        <w:t xml:space="preserve"> </w:t>
      </w:r>
      <w:r w:rsidRPr="00111466">
        <w:rPr>
          <w:rFonts w:ascii="Calibri" w:hAnsi="Calibri"/>
          <w:color w:val="000000"/>
          <w:sz w:val="18"/>
          <w:szCs w:val="18"/>
        </w:rPr>
        <w:t>(</w:t>
      </w:r>
      <w:r>
        <w:rPr>
          <w:rFonts w:ascii="Calibri" w:hAnsi="Calibri"/>
          <w:color w:val="000000"/>
          <w:sz w:val="18"/>
          <w:szCs w:val="18"/>
        </w:rPr>
        <w:t>72</w:t>
      </w:r>
      <w:r w:rsidRPr="00111466">
        <w:rPr>
          <w:rFonts w:ascii="Calibri" w:hAnsi="Calibri"/>
          <w:color w:val="000000"/>
          <w:sz w:val="18"/>
          <w:szCs w:val="18"/>
        </w:rPr>
        <w:t xml:space="preserve">%) </w:t>
      </w:r>
      <w:r w:rsidRPr="00760F43">
        <w:rPr>
          <w:rFonts w:ascii="Calibri" w:hAnsi="Calibri"/>
          <w:color w:val="000000"/>
        </w:rPr>
        <w:t>of</w:t>
      </w:r>
      <w:r>
        <w:rPr>
          <w:rFonts w:ascii="Calibri" w:hAnsi="Calibri"/>
          <w:color w:val="000000"/>
          <w:sz w:val="18"/>
          <w:szCs w:val="18"/>
        </w:rPr>
        <w:t xml:space="preserve"> </w:t>
      </w:r>
      <w:r w:rsidRPr="00111466">
        <w:rPr>
          <w:rFonts w:ascii="Calibri" w:hAnsi="Calibri"/>
          <w:color w:val="000000"/>
        </w:rPr>
        <w:t xml:space="preserve">residents </w:t>
      </w:r>
      <w:r w:rsidRPr="00E514B6">
        <w:rPr>
          <w:color w:val="000000"/>
        </w:rPr>
        <w:t xml:space="preserve">– the highest level in the state. </w:t>
      </w:r>
    </w:p>
    <w:p w14:paraId="1FEB0D1F" w14:textId="77777777" w:rsidR="00955663" w:rsidRPr="004E4802" w:rsidRDefault="00955663" w:rsidP="00955663">
      <w:pPr>
        <w:tabs>
          <w:tab w:val="num" w:pos="720"/>
        </w:tabs>
        <w:spacing w:after="0" w:line="360" w:lineRule="auto"/>
        <w:jc w:val="both"/>
        <w:rPr>
          <w:color w:val="000000"/>
        </w:rPr>
      </w:pPr>
      <w:r w:rsidRPr="004E4802">
        <w:rPr>
          <w:color w:val="000000"/>
        </w:rPr>
        <w:t xml:space="preserve">In </w:t>
      </w:r>
      <w:r>
        <w:rPr>
          <w:color w:val="000000"/>
        </w:rPr>
        <w:t>2020/21</w:t>
      </w:r>
      <w:r w:rsidRPr="004E4802">
        <w:rPr>
          <w:color w:val="000000"/>
        </w:rPr>
        <w:t xml:space="preserve">, </w:t>
      </w:r>
      <w:r>
        <w:rPr>
          <w:color w:val="000000"/>
        </w:rPr>
        <w:t>2,919</w:t>
      </w:r>
      <w:r w:rsidRPr="004E4802">
        <w:rPr>
          <w:color w:val="000000"/>
        </w:rPr>
        <w:t xml:space="preserve"> migrants settled in Greater Dandenong, the fourth high</w:t>
      </w:r>
      <w:r>
        <w:rPr>
          <w:color w:val="000000"/>
        </w:rPr>
        <w:t>est number in Victoria. Among them, humanitarian migrants</w:t>
      </w:r>
      <w:r w:rsidRPr="004E4802">
        <w:rPr>
          <w:color w:val="000000"/>
        </w:rPr>
        <w:t xml:space="preserve"> numbered </w:t>
      </w:r>
      <w:r>
        <w:rPr>
          <w:color w:val="000000"/>
        </w:rPr>
        <w:t>85</w:t>
      </w:r>
      <w:r w:rsidRPr="004E4802">
        <w:rPr>
          <w:color w:val="000000"/>
        </w:rPr>
        <w:t xml:space="preserve"> – </w:t>
      </w:r>
      <w:r>
        <w:rPr>
          <w:color w:val="000000"/>
        </w:rPr>
        <w:t>about a tenth of</w:t>
      </w:r>
      <w:r w:rsidRPr="004E4802">
        <w:rPr>
          <w:color w:val="000000"/>
        </w:rPr>
        <w:t xml:space="preserve"> the 750 who settled in Greater Dandenong in 2010/11 – though the highest number in Victoria.</w:t>
      </w:r>
    </w:p>
    <w:p w14:paraId="17632A9E" w14:textId="796E0AA0" w:rsidR="00955663" w:rsidRPr="00E514B6" w:rsidRDefault="00955663" w:rsidP="00955663">
      <w:pPr>
        <w:tabs>
          <w:tab w:val="num" w:pos="720"/>
        </w:tabs>
        <w:spacing w:after="0" w:line="360" w:lineRule="auto"/>
        <w:jc w:val="both"/>
        <w:rPr>
          <w:color w:val="000000"/>
        </w:rPr>
      </w:pPr>
      <w:r w:rsidRPr="00381A9A">
        <w:rPr>
          <w:noProof/>
          <w:color w:val="FFFFFF" w:themeColor="background1"/>
        </w:rPr>
        <w:drawing>
          <wp:anchor distT="0" distB="0" distL="114300" distR="114300" simplePos="0" relativeHeight="251813888" behindDoc="0" locked="0" layoutInCell="1" allowOverlap="1" wp14:anchorId="0C6A2D72" wp14:editId="5FED6DEA">
            <wp:simplePos x="0" y="0"/>
            <wp:positionH relativeFrom="column">
              <wp:posOffset>3810</wp:posOffset>
            </wp:positionH>
            <wp:positionV relativeFrom="paragraph">
              <wp:posOffset>685986</wp:posOffset>
            </wp:positionV>
            <wp:extent cx="539750" cy="359410"/>
            <wp:effectExtent l="152400" t="152400" r="355600" b="364490"/>
            <wp:wrapNone/>
            <wp:docPr id="192" name="Picture 5" descr="7 Spoken language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descr="7 Spoken languages.jpg"/>
                    <pic:cNvPicPr>
                      <a:picLocks/>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292100" dist="139700" dir="2700000" algn="tl" rotWithShape="0">
                        <a:srgbClr val="333333">
                          <a:alpha val="65000"/>
                        </a:srgbClr>
                      </a:outerShdw>
                      <a:softEdge rad="12700"/>
                    </a:effectLst>
                  </pic:spPr>
                </pic:pic>
              </a:graphicData>
            </a:graphic>
            <wp14:sizeRelH relativeFrom="page">
              <wp14:pctWidth>0</wp14:pctWidth>
            </wp14:sizeRelH>
            <wp14:sizeRelV relativeFrom="page">
              <wp14:pctHeight>0</wp14:pctHeight>
            </wp14:sizeRelV>
          </wp:anchor>
        </w:drawing>
      </w:r>
      <w:r w:rsidRPr="00E514B6">
        <w:rPr>
          <w:color w:val="000000"/>
        </w:rPr>
        <w:t xml:space="preserve">In addition to </w:t>
      </w:r>
      <w:r>
        <w:rPr>
          <w:color w:val="000000"/>
        </w:rPr>
        <w:t>these</w:t>
      </w:r>
      <w:r w:rsidRPr="00E514B6">
        <w:rPr>
          <w:color w:val="000000"/>
        </w:rPr>
        <w:t xml:space="preserve"> settlers, the </w:t>
      </w:r>
      <w:r>
        <w:rPr>
          <w:color w:val="000000"/>
        </w:rPr>
        <w:t>Commonwealth Government</w:t>
      </w:r>
      <w:r w:rsidRPr="00E514B6">
        <w:rPr>
          <w:color w:val="000000"/>
        </w:rPr>
        <w:t xml:space="preserve"> reports that there were </w:t>
      </w:r>
      <w:r>
        <w:rPr>
          <w:color w:val="000000"/>
        </w:rPr>
        <w:t>882</w:t>
      </w:r>
      <w:r w:rsidRPr="00E514B6">
        <w:rPr>
          <w:color w:val="000000"/>
        </w:rPr>
        <w:t xml:space="preserve"> </w:t>
      </w:r>
      <w:r w:rsidR="00131E0F">
        <w:rPr>
          <w:color w:val="000000"/>
        </w:rPr>
        <w:t>people seeking asylum</w:t>
      </w:r>
      <w:r w:rsidRPr="00E514B6">
        <w:rPr>
          <w:color w:val="000000"/>
        </w:rPr>
        <w:t xml:space="preserve"> residing in this municipality in </w:t>
      </w:r>
      <w:r>
        <w:rPr>
          <w:color w:val="000000"/>
        </w:rPr>
        <w:t>2022,</w:t>
      </w:r>
      <w:r w:rsidRPr="00E514B6">
        <w:rPr>
          <w:color w:val="000000"/>
        </w:rPr>
        <w:t xml:space="preserve"> the </w:t>
      </w:r>
      <w:r>
        <w:rPr>
          <w:color w:val="000000"/>
        </w:rPr>
        <w:t xml:space="preserve">second </w:t>
      </w:r>
      <w:r w:rsidRPr="00E514B6">
        <w:rPr>
          <w:color w:val="000000"/>
        </w:rPr>
        <w:t xml:space="preserve">highest number in any Victorian municipality and accounting for </w:t>
      </w:r>
      <w:r>
        <w:rPr>
          <w:color w:val="000000"/>
        </w:rPr>
        <w:t>21</w:t>
      </w:r>
      <w:r w:rsidRPr="00E514B6">
        <w:rPr>
          <w:color w:val="000000"/>
        </w:rPr>
        <w:t xml:space="preserve">% of all </w:t>
      </w:r>
      <w:r w:rsidR="00131E0F">
        <w:rPr>
          <w:color w:val="000000"/>
        </w:rPr>
        <w:t>people seeking asylum</w:t>
      </w:r>
      <w:r w:rsidR="00131E0F" w:rsidRPr="00E514B6">
        <w:rPr>
          <w:color w:val="000000"/>
        </w:rPr>
        <w:t xml:space="preserve"> </w:t>
      </w:r>
      <w:r w:rsidRPr="00E514B6">
        <w:rPr>
          <w:color w:val="000000"/>
        </w:rPr>
        <w:t xml:space="preserve">in the state. </w:t>
      </w:r>
    </w:p>
    <w:p w14:paraId="5266A665" w14:textId="5F28C982" w:rsidR="00955663" w:rsidRPr="00E514B6" w:rsidRDefault="00955663" w:rsidP="00955663">
      <w:pPr>
        <w:spacing w:after="0" w:line="360" w:lineRule="auto"/>
        <w:jc w:val="both"/>
        <w:rPr>
          <w:b/>
          <w:color w:val="17365D"/>
        </w:rPr>
      </w:pPr>
      <w:r w:rsidRPr="00381A9A">
        <w:rPr>
          <w:b/>
          <w:color w:val="FFFFFF" w:themeColor="background1"/>
        </w:rPr>
        <w:t xml:space="preserve">                   </w:t>
      </w:r>
      <w:r w:rsidRPr="00E514B6">
        <w:rPr>
          <w:b/>
          <w:color w:val="17365D"/>
        </w:rPr>
        <w:t xml:space="preserve">Fluency </w:t>
      </w:r>
      <w:r>
        <w:rPr>
          <w:b/>
          <w:color w:val="17365D"/>
        </w:rPr>
        <w:t xml:space="preserve">and Literacy </w:t>
      </w:r>
      <w:r w:rsidRPr="00E514B6">
        <w:rPr>
          <w:b/>
          <w:color w:val="17365D"/>
        </w:rPr>
        <w:t>in English</w:t>
      </w:r>
    </w:p>
    <w:p w14:paraId="470A56F8" w14:textId="77777777" w:rsidR="00955663" w:rsidRDefault="00955663" w:rsidP="00955663">
      <w:pPr>
        <w:tabs>
          <w:tab w:val="left" w:pos="284"/>
        </w:tabs>
        <w:spacing w:after="0" w:line="360" w:lineRule="auto"/>
        <w:jc w:val="both"/>
        <w:rPr>
          <w:rFonts w:ascii="Calibri" w:hAnsi="Calibri"/>
          <w:color w:val="000000"/>
        </w:rPr>
      </w:pPr>
      <w:r>
        <w:rPr>
          <w:rFonts w:ascii="Calibri" w:hAnsi="Calibri"/>
          <w:color w:val="000000"/>
        </w:rPr>
        <w:t xml:space="preserve">In 2021, about one </w:t>
      </w:r>
      <w:r w:rsidRPr="00330EA5">
        <w:rPr>
          <w:rFonts w:ascii="Calibri" w:hAnsi="Calibri"/>
          <w:color w:val="000000"/>
        </w:rPr>
        <w:t xml:space="preserve">in </w:t>
      </w:r>
      <w:r>
        <w:rPr>
          <w:rFonts w:ascii="Calibri" w:hAnsi="Calibri"/>
          <w:color w:val="000000"/>
        </w:rPr>
        <w:t>six</w:t>
      </w:r>
      <w:r w:rsidRPr="00330EA5">
        <w:rPr>
          <w:rFonts w:ascii="Calibri" w:hAnsi="Calibri"/>
          <w:color w:val="000000"/>
        </w:rPr>
        <w:t xml:space="preserve"> residents</w:t>
      </w:r>
      <w:r>
        <w:rPr>
          <w:rFonts w:ascii="Calibri" w:hAnsi="Calibri"/>
          <w:color w:val="000000"/>
        </w:rPr>
        <w:t>,</w:t>
      </w:r>
      <w:r w:rsidRPr="00330EA5">
        <w:rPr>
          <w:rFonts w:ascii="Calibri" w:hAnsi="Calibri"/>
          <w:color w:val="000000"/>
        </w:rPr>
        <w:t xml:space="preserve"> accounting for </w:t>
      </w:r>
      <w:r>
        <w:rPr>
          <w:rFonts w:ascii="Calibri" w:hAnsi="Calibri"/>
          <w:color w:val="000000"/>
        </w:rPr>
        <w:t>23,000</w:t>
      </w:r>
      <w:r w:rsidRPr="00330EA5">
        <w:rPr>
          <w:rFonts w:ascii="Calibri" w:hAnsi="Calibri"/>
          <w:color w:val="000000"/>
        </w:rPr>
        <w:t xml:space="preserve"> people or 1</w:t>
      </w:r>
      <w:r>
        <w:rPr>
          <w:rFonts w:ascii="Calibri" w:hAnsi="Calibri"/>
          <w:color w:val="000000"/>
        </w:rPr>
        <w:t>4.4</w:t>
      </w:r>
      <w:r w:rsidRPr="00330EA5">
        <w:rPr>
          <w:rFonts w:ascii="Calibri" w:hAnsi="Calibri"/>
          <w:color w:val="000000"/>
        </w:rPr>
        <w:t>% of the population</w:t>
      </w:r>
      <w:r>
        <w:rPr>
          <w:rFonts w:ascii="Calibri" w:hAnsi="Calibri"/>
          <w:color w:val="000000"/>
        </w:rPr>
        <w:t>,</w:t>
      </w:r>
      <w:r w:rsidRPr="00330EA5">
        <w:rPr>
          <w:rFonts w:ascii="Calibri" w:hAnsi="Calibri"/>
          <w:color w:val="000000"/>
        </w:rPr>
        <w:t xml:space="preserve"> ha</w:t>
      </w:r>
      <w:r>
        <w:rPr>
          <w:rFonts w:ascii="Calibri" w:hAnsi="Calibri"/>
          <w:color w:val="000000"/>
        </w:rPr>
        <w:t>d</w:t>
      </w:r>
      <w:r w:rsidRPr="00330EA5">
        <w:rPr>
          <w:rFonts w:ascii="Calibri" w:hAnsi="Calibri"/>
          <w:color w:val="000000"/>
        </w:rPr>
        <w:t xml:space="preserve"> limited fluency in spoken English – </w:t>
      </w:r>
      <w:r>
        <w:rPr>
          <w:rFonts w:ascii="Calibri" w:hAnsi="Calibri"/>
          <w:color w:val="000000"/>
        </w:rPr>
        <w:t>over three</w:t>
      </w:r>
      <w:r w:rsidRPr="00330EA5">
        <w:rPr>
          <w:rFonts w:ascii="Calibri" w:hAnsi="Calibri"/>
          <w:color w:val="000000"/>
        </w:rPr>
        <w:t xml:space="preserve"> times the metropolitan </w:t>
      </w:r>
      <w:r>
        <w:rPr>
          <w:rFonts w:ascii="Calibri" w:hAnsi="Calibri"/>
          <w:color w:val="000000"/>
        </w:rPr>
        <w:t>proportion</w:t>
      </w:r>
      <w:r w:rsidRPr="00330EA5">
        <w:rPr>
          <w:rFonts w:ascii="Calibri" w:hAnsi="Calibri"/>
          <w:color w:val="000000"/>
        </w:rPr>
        <w:t xml:space="preserve"> of 4</w:t>
      </w:r>
      <w:r>
        <w:rPr>
          <w:rFonts w:ascii="Calibri" w:hAnsi="Calibri"/>
          <w:color w:val="000000"/>
        </w:rPr>
        <w:t>.5</w:t>
      </w:r>
      <w:r w:rsidRPr="00330EA5">
        <w:rPr>
          <w:rFonts w:ascii="Calibri" w:hAnsi="Calibri"/>
          <w:color w:val="000000"/>
        </w:rPr>
        <w:t>%</w:t>
      </w:r>
      <w:r>
        <w:rPr>
          <w:rFonts w:ascii="Calibri" w:hAnsi="Calibri"/>
          <w:color w:val="000000"/>
        </w:rPr>
        <w:t>, and the highest level in Victoria</w:t>
      </w:r>
      <w:r w:rsidRPr="00330EA5">
        <w:rPr>
          <w:rFonts w:ascii="Calibri" w:hAnsi="Calibri"/>
          <w:color w:val="000000"/>
        </w:rPr>
        <w:t xml:space="preserve">. </w:t>
      </w:r>
    </w:p>
    <w:p w14:paraId="72B73F9B" w14:textId="70000F6F" w:rsidR="00955663" w:rsidRDefault="00955663" w:rsidP="00955663">
      <w:pPr>
        <w:tabs>
          <w:tab w:val="left" w:pos="284"/>
        </w:tabs>
        <w:spacing w:after="0" w:line="360" w:lineRule="auto"/>
        <w:jc w:val="both"/>
        <w:rPr>
          <w:rFonts w:ascii="Calibri" w:hAnsi="Calibri"/>
          <w:color w:val="000000"/>
        </w:rPr>
      </w:pPr>
      <w:r w:rsidRPr="00381A9A">
        <w:rPr>
          <w:noProof/>
          <w:color w:val="FFFFFF" w:themeColor="background1"/>
        </w:rPr>
        <w:drawing>
          <wp:anchor distT="0" distB="0" distL="114300" distR="114300" simplePos="0" relativeHeight="251814912" behindDoc="0" locked="0" layoutInCell="1" allowOverlap="1" wp14:anchorId="17D68787" wp14:editId="6CC5159A">
            <wp:simplePos x="0" y="0"/>
            <wp:positionH relativeFrom="column">
              <wp:posOffset>3810</wp:posOffset>
            </wp:positionH>
            <wp:positionV relativeFrom="paragraph">
              <wp:posOffset>173541</wp:posOffset>
            </wp:positionV>
            <wp:extent cx="539750" cy="359410"/>
            <wp:effectExtent l="152400" t="152400" r="355600" b="364490"/>
            <wp:wrapNone/>
            <wp:docPr id="193" name="Picture 11" descr="1209712_turning_page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1" descr="1209712_turning_pages.jpg"/>
                    <pic:cNvPicPr>
                      <a:picLocks/>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292100" dist="139700" dir="2700000" algn="tl" rotWithShape="0">
                        <a:srgbClr val="333333">
                          <a:alpha val="65000"/>
                        </a:srgbClr>
                      </a:outerShdw>
                      <a:softEdge rad="12700"/>
                    </a:effectLst>
                  </pic:spPr>
                </pic:pic>
              </a:graphicData>
            </a:graphic>
            <wp14:sizeRelH relativeFrom="page">
              <wp14:pctWidth>0</wp14:pctWidth>
            </wp14:sizeRelH>
            <wp14:sizeRelV relativeFrom="page">
              <wp14:pctHeight>0</wp14:pctHeight>
            </wp14:sizeRelV>
          </wp:anchor>
        </w:drawing>
      </w:r>
      <w:r>
        <w:rPr>
          <w:rFonts w:ascii="Calibri" w:hAnsi="Calibri"/>
          <w:color w:val="000000"/>
        </w:rPr>
        <w:t>An estimated 26% of residents have very limited English literacy.</w:t>
      </w:r>
    </w:p>
    <w:p w14:paraId="7B102380" w14:textId="3ADA9E84" w:rsidR="00955663" w:rsidRPr="00E514B6" w:rsidRDefault="00955663" w:rsidP="00955663">
      <w:pPr>
        <w:spacing w:after="0" w:line="360" w:lineRule="auto"/>
        <w:jc w:val="both"/>
        <w:rPr>
          <w:b/>
          <w:color w:val="17365D"/>
        </w:rPr>
      </w:pPr>
      <w:r w:rsidRPr="00381A9A">
        <w:rPr>
          <w:b/>
          <w:color w:val="FFFFFF" w:themeColor="background1"/>
        </w:rPr>
        <w:t xml:space="preserve">                   </w:t>
      </w:r>
      <w:r w:rsidRPr="00E514B6">
        <w:rPr>
          <w:b/>
          <w:color w:val="17365D"/>
        </w:rPr>
        <w:t xml:space="preserve">Education </w:t>
      </w:r>
    </w:p>
    <w:p w14:paraId="352EF1FE" w14:textId="77777777" w:rsidR="00955663" w:rsidRDefault="00955663" w:rsidP="00955663">
      <w:pPr>
        <w:tabs>
          <w:tab w:val="num" w:pos="720"/>
        </w:tabs>
        <w:spacing w:after="0" w:line="360" w:lineRule="auto"/>
        <w:jc w:val="both"/>
        <w:rPr>
          <w:color w:val="000000"/>
        </w:rPr>
      </w:pPr>
      <w:r>
        <w:rPr>
          <w:color w:val="000000"/>
        </w:rPr>
        <w:t>T</w:t>
      </w:r>
      <w:r w:rsidRPr="00E514B6">
        <w:rPr>
          <w:color w:val="000000"/>
        </w:rPr>
        <w:t xml:space="preserve">he </w:t>
      </w:r>
      <w:r>
        <w:rPr>
          <w:color w:val="000000"/>
        </w:rPr>
        <w:t>2021 Australian Early Development Indicators</w:t>
      </w:r>
      <w:r w:rsidRPr="00E514B6">
        <w:rPr>
          <w:color w:val="000000"/>
        </w:rPr>
        <w:t xml:space="preserve"> </w:t>
      </w:r>
      <w:r>
        <w:rPr>
          <w:color w:val="000000"/>
        </w:rPr>
        <w:t>recorded</w:t>
      </w:r>
      <w:r w:rsidRPr="00E514B6">
        <w:rPr>
          <w:color w:val="000000"/>
        </w:rPr>
        <w:t xml:space="preserve"> that 28% of </w:t>
      </w:r>
      <w:r>
        <w:rPr>
          <w:color w:val="000000"/>
        </w:rPr>
        <w:t xml:space="preserve">local </w:t>
      </w:r>
      <w:r w:rsidRPr="00E514B6">
        <w:rPr>
          <w:color w:val="000000"/>
        </w:rPr>
        <w:t xml:space="preserve">prep. pupils were vulnerable on one or more aspects of development – the highest level in Melbourne and more than the </w:t>
      </w:r>
      <w:r>
        <w:rPr>
          <w:color w:val="000000"/>
        </w:rPr>
        <w:t>State</w:t>
      </w:r>
      <w:r w:rsidRPr="00E514B6">
        <w:rPr>
          <w:color w:val="000000"/>
        </w:rPr>
        <w:t xml:space="preserve"> average of 20%.</w:t>
      </w:r>
      <w:r>
        <w:rPr>
          <w:color w:val="000000"/>
        </w:rPr>
        <w:t xml:space="preserve"> It also revealed</w:t>
      </w:r>
      <w:r w:rsidRPr="00E514B6">
        <w:rPr>
          <w:color w:val="000000"/>
        </w:rPr>
        <w:t xml:space="preserve"> that </w:t>
      </w:r>
      <w:r>
        <w:rPr>
          <w:color w:val="000000"/>
        </w:rPr>
        <w:t>6.7</w:t>
      </w:r>
      <w:r w:rsidRPr="00E514B6">
        <w:rPr>
          <w:color w:val="000000"/>
        </w:rPr>
        <w:t>% of prep. pupils in Greater Dandenong schools had</w:t>
      </w:r>
      <w:r>
        <w:rPr>
          <w:color w:val="000000"/>
        </w:rPr>
        <w:t xml:space="preserve"> not</w:t>
      </w:r>
      <w:r w:rsidRPr="00E514B6">
        <w:rPr>
          <w:color w:val="000000"/>
        </w:rPr>
        <w:t xml:space="preserve"> participated in a pre-school program in the preceding year</w:t>
      </w:r>
      <w:r>
        <w:rPr>
          <w:color w:val="000000"/>
        </w:rPr>
        <w:t>,</w:t>
      </w:r>
      <w:r w:rsidRPr="00E514B6">
        <w:rPr>
          <w:color w:val="000000"/>
        </w:rPr>
        <w:t xml:space="preserve"> the </w:t>
      </w:r>
      <w:r>
        <w:rPr>
          <w:color w:val="000000"/>
        </w:rPr>
        <w:t>second</w:t>
      </w:r>
      <w:r w:rsidRPr="00E514B6">
        <w:rPr>
          <w:color w:val="000000"/>
        </w:rPr>
        <w:t xml:space="preserve"> </w:t>
      </w:r>
      <w:r>
        <w:rPr>
          <w:color w:val="000000"/>
        </w:rPr>
        <w:t>highest</w:t>
      </w:r>
      <w:r w:rsidRPr="00E514B6">
        <w:rPr>
          <w:color w:val="000000"/>
        </w:rPr>
        <w:t xml:space="preserve"> level in Melbourne</w:t>
      </w:r>
      <w:r>
        <w:rPr>
          <w:color w:val="000000"/>
        </w:rPr>
        <w:t xml:space="preserve"> and substantially more than the metropolitan level of 3.8%</w:t>
      </w:r>
      <w:r w:rsidRPr="00E514B6">
        <w:rPr>
          <w:color w:val="000000"/>
        </w:rPr>
        <w:t>.</w:t>
      </w:r>
    </w:p>
    <w:p w14:paraId="650666ED" w14:textId="77777777" w:rsidR="00955663" w:rsidRPr="00E514B6" w:rsidRDefault="00955663" w:rsidP="00955663">
      <w:pPr>
        <w:tabs>
          <w:tab w:val="num" w:pos="720"/>
        </w:tabs>
        <w:spacing w:after="0" w:line="360" w:lineRule="auto"/>
        <w:jc w:val="both"/>
        <w:rPr>
          <w:color w:val="000000"/>
        </w:rPr>
      </w:pPr>
      <w:r>
        <w:rPr>
          <w:color w:val="000000"/>
        </w:rPr>
        <w:t>Information published by the State Department of Education and Training in 2019 showed that 14% of year 9 pupils in Greater Dandenong did not meet national literacy benchmarks – the third highest level in Victoria and more than the Victorian level of 9%.</w:t>
      </w:r>
    </w:p>
    <w:p w14:paraId="41A78124" w14:textId="77777777" w:rsidR="00955663" w:rsidRPr="006F61E9" w:rsidRDefault="00955663" w:rsidP="00955663">
      <w:pPr>
        <w:tabs>
          <w:tab w:val="num" w:pos="720"/>
        </w:tabs>
        <w:spacing w:after="0" w:line="360" w:lineRule="auto"/>
        <w:jc w:val="both"/>
        <w:rPr>
          <w:color w:val="000000" w:themeColor="text1"/>
        </w:rPr>
      </w:pPr>
      <w:r w:rsidRPr="006F61E9">
        <w:rPr>
          <w:color w:val="000000" w:themeColor="text1"/>
        </w:rPr>
        <w:t>In 2021, 8.1% of 20 to 24 year-olds had left school before year 11, compared with 6.3% across Melbourne.</w:t>
      </w:r>
    </w:p>
    <w:p w14:paraId="52122342" w14:textId="5FDA9AEC" w:rsidR="00955663" w:rsidRDefault="00955663" w:rsidP="00955663">
      <w:pPr>
        <w:tabs>
          <w:tab w:val="num" w:pos="720"/>
        </w:tabs>
        <w:spacing w:after="0" w:line="360" w:lineRule="auto"/>
        <w:jc w:val="both"/>
        <w:rPr>
          <w:rFonts w:ascii="Calibri" w:hAnsi="Calibri"/>
          <w:color w:val="000000" w:themeColor="text1"/>
        </w:rPr>
      </w:pPr>
      <w:r>
        <w:rPr>
          <w:rFonts w:ascii="Calibri" w:hAnsi="Calibri"/>
          <w:color w:val="000000" w:themeColor="text1"/>
        </w:rPr>
        <w:t>Thirteen</w:t>
      </w:r>
      <w:r w:rsidRPr="006F61E9">
        <w:rPr>
          <w:rFonts w:ascii="Calibri" w:hAnsi="Calibri"/>
          <w:color w:val="000000" w:themeColor="text1"/>
        </w:rPr>
        <w:t xml:space="preserve"> per cent of 20 to 24 year-olds were neither in paid employment nor enrolled in education in 2021 – </w:t>
      </w:r>
      <w:r>
        <w:rPr>
          <w:rFonts w:ascii="Calibri" w:hAnsi="Calibri"/>
          <w:color w:val="000000" w:themeColor="text1"/>
        </w:rPr>
        <w:t>among the highest levels</w:t>
      </w:r>
      <w:r w:rsidRPr="006F61E9">
        <w:rPr>
          <w:rFonts w:ascii="Calibri" w:hAnsi="Calibri"/>
          <w:color w:val="000000" w:themeColor="text1"/>
        </w:rPr>
        <w:t xml:space="preserve"> in Melbourne, and more than the corresponding metropolitan figure of 9.8%.</w:t>
      </w:r>
    </w:p>
    <w:p w14:paraId="607631D0" w14:textId="3161EFD9" w:rsidR="00955663" w:rsidRDefault="00955663" w:rsidP="00955663">
      <w:pPr>
        <w:tabs>
          <w:tab w:val="num" w:pos="720"/>
        </w:tabs>
        <w:spacing w:after="0" w:line="360" w:lineRule="auto"/>
        <w:jc w:val="both"/>
        <w:rPr>
          <w:rFonts w:ascii="Calibri" w:hAnsi="Calibri"/>
          <w:color w:val="000000" w:themeColor="text1"/>
        </w:rPr>
      </w:pPr>
    </w:p>
    <w:p w14:paraId="153B3845" w14:textId="1BEA59C7" w:rsidR="00955663" w:rsidRDefault="00955663" w:rsidP="00955663">
      <w:pPr>
        <w:tabs>
          <w:tab w:val="num" w:pos="720"/>
        </w:tabs>
        <w:spacing w:after="0" w:line="360" w:lineRule="auto"/>
        <w:jc w:val="both"/>
        <w:rPr>
          <w:rFonts w:ascii="Calibri" w:hAnsi="Calibri"/>
          <w:color w:val="000000" w:themeColor="text1"/>
        </w:rPr>
      </w:pPr>
    </w:p>
    <w:p w14:paraId="0882EF4E" w14:textId="77777777" w:rsidR="00955663" w:rsidRPr="006F61E9" w:rsidRDefault="00955663" w:rsidP="00955663">
      <w:pPr>
        <w:tabs>
          <w:tab w:val="num" w:pos="720"/>
        </w:tabs>
        <w:spacing w:after="0" w:line="360" w:lineRule="auto"/>
        <w:jc w:val="both"/>
        <w:rPr>
          <w:color w:val="000000" w:themeColor="text1"/>
        </w:rPr>
      </w:pPr>
    </w:p>
    <w:p w14:paraId="1CDF8B5F" w14:textId="77777777" w:rsidR="00955663" w:rsidRPr="00E514B6" w:rsidRDefault="00955663" w:rsidP="00955663">
      <w:pPr>
        <w:spacing w:after="0" w:line="360" w:lineRule="auto"/>
        <w:jc w:val="both"/>
        <w:rPr>
          <w:b/>
          <w:color w:val="17365D"/>
        </w:rPr>
      </w:pPr>
      <w:r w:rsidRPr="00381A9A">
        <w:rPr>
          <w:noProof/>
          <w:color w:val="FFFFFF" w:themeColor="background1"/>
        </w:rPr>
        <w:lastRenderedPageBreak/>
        <w:drawing>
          <wp:anchor distT="0" distB="0" distL="114300" distR="114300" simplePos="0" relativeHeight="251815936" behindDoc="0" locked="0" layoutInCell="1" allowOverlap="1" wp14:anchorId="2BD9913D" wp14:editId="54A5A621">
            <wp:simplePos x="0" y="0"/>
            <wp:positionH relativeFrom="column">
              <wp:posOffset>3810</wp:posOffset>
            </wp:positionH>
            <wp:positionV relativeFrom="paragraph">
              <wp:posOffset>12065</wp:posOffset>
            </wp:positionV>
            <wp:extent cx="539750" cy="359410"/>
            <wp:effectExtent l="171450" t="171450" r="374650" b="364490"/>
            <wp:wrapNone/>
            <wp:docPr id="194" name="Picture 16" descr="1168056_at_work.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16" descr="1168056_at_work.jpg"/>
                    <pic:cNvPicPr>
                      <a:picLocks/>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381A9A">
        <w:rPr>
          <w:b/>
          <w:color w:val="FFFFFF" w:themeColor="background1"/>
        </w:rPr>
        <w:t xml:space="preserve">                   </w:t>
      </w:r>
      <w:r w:rsidRPr="00E514B6">
        <w:rPr>
          <w:b/>
          <w:color w:val="17365D"/>
        </w:rPr>
        <w:t>Employment and Unemployment</w:t>
      </w:r>
    </w:p>
    <w:p w14:paraId="46F280AC" w14:textId="77777777" w:rsidR="00955663" w:rsidRPr="00E514B6" w:rsidRDefault="00955663" w:rsidP="00955663">
      <w:pPr>
        <w:spacing w:after="0" w:line="360" w:lineRule="auto"/>
        <w:jc w:val="both"/>
      </w:pPr>
      <w:r>
        <w:t xml:space="preserve">                   </w:t>
      </w:r>
      <w:r w:rsidRPr="00366246">
        <w:rPr>
          <w:color w:val="000000"/>
        </w:rPr>
        <w:t xml:space="preserve">According to Commonwealth Government estimates, unemployment rates in Greater Dandenong </w:t>
      </w:r>
      <w:r>
        <w:rPr>
          <w:color w:val="000000"/>
        </w:rPr>
        <w:t>stood at 8.5</w:t>
      </w:r>
      <w:r w:rsidRPr="00366246">
        <w:rPr>
          <w:color w:val="000000"/>
        </w:rPr>
        <w:t xml:space="preserve">% </w:t>
      </w:r>
      <w:r>
        <w:rPr>
          <w:color w:val="000000"/>
        </w:rPr>
        <w:t>in</w:t>
      </w:r>
      <w:r w:rsidRPr="00366246">
        <w:rPr>
          <w:color w:val="000000"/>
        </w:rPr>
        <w:t xml:space="preserve"> </w:t>
      </w:r>
      <w:r>
        <w:rPr>
          <w:color w:val="000000"/>
        </w:rPr>
        <w:t>June 2022</w:t>
      </w:r>
      <w:r w:rsidRPr="00366246">
        <w:rPr>
          <w:color w:val="000000"/>
        </w:rPr>
        <w:t xml:space="preserve"> – </w:t>
      </w:r>
      <w:r>
        <w:rPr>
          <w:color w:val="000000"/>
        </w:rPr>
        <w:t>among the highest levels</w:t>
      </w:r>
      <w:r w:rsidRPr="00366246">
        <w:rPr>
          <w:color w:val="000000"/>
        </w:rPr>
        <w:t xml:space="preserve"> in Victoria</w:t>
      </w:r>
      <w:r>
        <w:rPr>
          <w:color w:val="000000"/>
        </w:rPr>
        <w:t xml:space="preserve"> and nearly double the Victorian rate of 4.3%.</w:t>
      </w:r>
    </w:p>
    <w:p w14:paraId="603F130F" w14:textId="77777777" w:rsidR="00955663" w:rsidRDefault="00955663" w:rsidP="00955663">
      <w:pPr>
        <w:tabs>
          <w:tab w:val="num" w:pos="720"/>
        </w:tabs>
        <w:spacing w:after="0" w:line="360" w:lineRule="auto"/>
        <w:jc w:val="both"/>
        <w:rPr>
          <w:color w:val="000000" w:themeColor="text1"/>
        </w:rPr>
      </w:pPr>
      <w:r w:rsidRPr="00B831DA">
        <w:rPr>
          <w:color w:val="000000" w:themeColor="text1"/>
        </w:rPr>
        <w:t>Of all residents in paid work in 2021, 24% held management or professional occupations [compared with 41% across Melbourne] and 41% worked labourers or machinery operators [metro. 14%].</w:t>
      </w:r>
    </w:p>
    <w:p w14:paraId="6ECB18B6" w14:textId="644723C6" w:rsidR="00955663" w:rsidRPr="00B831DA" w:rsidRDefault="00955663" w:rsidP="00955663">
      <w:pPr>
        <w:tabs>
          <w:tab w:val="num" w:pos="720"/>
        </w:tabs>
        <w:spacing w:after="0" w:line="360" w:lineRule="auto"/>
        <w:jc w:val="both"/>
        <w:rPr>
          <w:color w:val="000000" w:themeColor="text1"/>
        </w:rPr>
      </w:pPr>
      <w:r w:rsidRPr="00381A9A">
        <w:rPr>
          <w:noProof/>
          <w:color w:val="FFFFFF" w:themeColor="background1"/>
        </w:rPr>
        <w:drawing>
          <wp:anchor distT="0" distB="0" distL="114300" distR="114300" simplePos="0" relativeHeight="251816960" behindDoc="0" locked="0" layoutInCell="1" allowOverlap="1" wp14:anchorId="71E31913" wp14:editId="75A8F517">
            <wp:simplePos x="0" y="0"/>
            <wp:positionH relativeFrom="column">
              <wp:posOffset>12514</wp:posOffset>
            </wp:positionH>
            <wp:positionV relativeFrom="paragraph">
              <wp:posOffset>443556</wp:posOffset>
            </wp:positionV>
            <wp:extent cx="539750" cy="359410"/>
            <wp:effectExtent l="171450" t="171450" r="374650" b="364490"/>
            <wp:wrapNone/>
            <wp:docPr id="195" name="Picture 17" descr="1387517_2012_crisi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17" descr="1387517_2012_crisis.jpg"/>
                    <pic:cNvPicPr>
                      <a:picLocks/>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color w:val="000000" w:themeColor="text1"/>
        </w:rPr>
        <w:t>At this time, the industries of manufacturing, construction, health care and retail trade accounted for over half of the employment of residents.</w:t>
      </w:r>
    </w:p>
    <w:p w14:paraId="007FFE66" w14:textId="5FD75E3D" w:rsidR="00955663" w:rsidRPr="00E514B6" w:rsidRDefault="00955663" w:rsidP="00955663">
      <w:pPr>
        <w:spacing w:after="0" w:line="360" w:lineRule="auto"/>
        <w:jc w:val="both"/>
        <w:rPr>
          <w:b/>
          <w:color w:val="17365D"/>
        </w:rPr>
      </w:pPr>
      <w:r w:rsidRPr="00381A9A">
        <w:rPr>
          <w:b/>
          <w:color w:val="FFFFFF" w:themeColor="background1"/>
        </w:rPr>
        <w:t xml:space="preserve">                   </w:t>
      </w:r>
      <w:r w:rsidRPr="00E514B6">
        <w:rPr>
          <w:b/>
          <w:color w:val="17365D"/>
        </w:rPr>
        <w:t>Incomes</w:t>
      </w:r>
    </w:p>
    <w:p w14:paraId="494F4155" w14:textId="77777777" w:rsidR="00955663" w:rsidRPr="009010F9" w:rsidRDefault="00955663" w:rsidP="00955663">
      <w:pPr>
        <w:tabs>
          <w:tab w:val="num" w:pos="720"/>
        </w:tabs>
        <w:spacing w:after="0" w:line="360" w:lineRule="auto"/>
        <w:jc w:val="both"/>
        <w:rPr>
          <w:color w:val="000000" w:themeColor="text1"/>
        </w:rPr>
      </w:pPr>
      <w:r w:rsidRPr="00E514B6">
        <w:rPr>
          <w:color w:val="000000"/>
        </w:rPr>
        <w:t xml:space="preserve">In </w:t>
      </w:r>
      <w:r>
        <w:rPr>
          <w:color w:val="000000"/>
        </w:rPr>
        <w:t>2021</w:t>
      </w:r>
      <w:r w:rsidRPr="00E514B6">
        <w:rPr>
          <w:color w:val="000000"/>
        </w:rPr>
        <w:t>, median individual weekly gross incomes</w:t>
      </w:r>
      <w:r>
        <w:rPr>
          <w:color w:val="000000"/>
        </w:rPr>
        <w:t xml:space="preserve"> </w:t>
      </w:r>
      <w:r w:rsidRPr="00E514B6">
        <w:rPr>
          <w:color w:val="000000"/>
        </w:rPr>
        <w:t>in Greater Dandenong</w:t>
      </w:r>
      <w:r>
        <w:rPr>
          <w:color w:val="000000"/>
        </w:rPr>
        <w:t xml:space="preserve"> stood at $619 - 77% of</w:t>
      </w:r>
      <w:r w:rsidRPr="00E514B6">
        <w:rPr>
          <w:color w:val="000000"/>
        </w:rPr>
        <w:t xml:space="preserve"> the metropolitan level</w:t>
      </w:r>
      <w:r>
        <w:rPr>
          <w:color w:val="000000"/>
        </w:rPr>
        <w:t>,</w:t>
      </w:r>
      <w:r w:rsidRPr="00E514B6">
        <w:rPr>
          <w:color w:val="000000"/>
        </w:rPr>
        <w:t xml:space="preserve"> and the</w:t>
      </w:r>
      <w:r>
        <w:rPr>
          <w:color w:val="000000"/>
        </w:rPr>
        <w:t xml:space="preserve"> second</w:t>
      </w:r>
      <w:r w:rsidRPr="00E514B6">
        <w:rPr>
          <w:color w:val="000000"/>
        </w:rPr>
        <w:t xml:space="preserve"> lowest </w:t>
      </w:r>
      <w:r>
        <w:rPr>
          <w:color w:val="000000"/>
        </w:rPr>
        <w:t>in</w:t>
      </w:r>
      <w:r w:rsidRPr="00E514B6">
        <w:rPr>
          <w:color w:val="000000"/>
        </w:rPr>
        <w:t xml:space="preserve"> Melbourne</w:t>
      </w:r>
      <w:r w:rsidRPr="009010F9">
        <w:rPr>
          <w:color w:val="000000" w:themeColor="text1"/>
        </w:rPr>
        <w:t xml:space="preserve">. </w:t>
      </w:r>
      <w:r>
        <w:rPr>
          <w:color w:val="000000" w:themeColor="text1"/>
        </w:rPr>
        <w:t>Thirty-two per cent</w:t>
      </w:r>
      <w:r w:rsidRPr="009010F9">
        <w:rPr>
          <w:color w:val="000000" w:themeColor="text1"/>
        </w:rPr>
        <w:t xml:space="preserve"> of families with children in Greater Dandenong had no parent in paid employment – the highest level in metropolitan Melbourne and more than the State level of 24%.</w:t>
      </w:r>
    </w:p>
    <w:p w14:paraId="008A2F27" w14:textId="77777777" w:rsidR="00955663" w:rsidRDefault="00955663" w:rsidP="00955663">
      <w:pPr>
        <w:tabs>
          <w:tab w:val="num" w:pos="720"/>
        </w:tabs>
        <w:spacing w:after="0" w:line="360" w:lineRule="auto"/>
        <w:jc w:val="both"/>
        <w:rPr>
          <w:color w:val="000000"/>
        </w:rPr>
      </w:pPr>
      <w:r>
        <w:rPr>
          <w:color w:val="000000"/>
        </w:rPr>
        <w:t>The number of health care card holders in Greater Dandenong in June 2022 represented 7.1% of the population, compared with 5.1% across Melbourne, and the fifth highest level in Victoria.</w:t>
      </w:r>
    </w:p>
    <w:p w14:paraId="503F9EDE" w14:textId="7972FBE0" w:rsidR="00955663" w:rsidRDefault="00955663" w:rsidP="00955663">
      <w:pPr>
        <w:tabs>
          <w:tab w:val="num" w:pos="720"/>
        </w:tabs>
        <w:spacing w:after="0" w:line="360" w:lineRule="auto"/>
        <w:jc w:val="both"/>
        <w:rPr>
          <w:color w:val="000000"/>
        </w:rPr>
      </w:pPr>
      <w:r w:rsidRPr="00381A9A">
        <w:rPr>
          <w:noProof/>
          <w:color w:val="FFFFFF" w:themeColor="background1"/>
        </w:rPr>
        <w:drawing>
          <wp:anchor distT="0" distB="0" distL="114300" distR="114300" simplePos="0" relativeHeight="251819008" behindDoc="0" locked="0" layoutInCell="1" allowOverlap="1" wp14:anchorId="05A1356D" wp14:editId="705B574E">
            <wp:simplePos x="0" y="0"/>
            <wp:positionH relativeFrom="column">
              <wp:posOffset>19949</wp:posOffset>
            </wp:positionH>
            <wp:positionV relativeFrom="paragraph">
              <wp:posOffset>929439</wp:posOffset>
            </wp:positionV>
            <wp:extent cx="539750" cy="359410"/>
            <wp:effectExtent l="171450" t="171450" r="374650" b="364490"/>
            <wp:wrapNone/>
            <wp:docPr id="196" name="Picture 14" descr="Housing.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4" descr="Housing.jpg"/>
                    <pic:cNvPicPr>
                      <a:picLocks/>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color w:val="000000"/>
        </w:rPr>
        <w:t>Local financial hardship is exacerbated by gambling losses incurred within the municipality. In</w:t>
      </w:r>
      <w:r w:rsidRPr="00E94EAD">
        <w:rPr>
          <w:color w:val="000000"/>
        </w:rPr>
        <w:t xml:space="preserve"> </w:t>
      </w:r>
      <w:r>
        <w:rPr>
          <w:color w:val="000000"/>
        </w:rPr>
        <w:t>2021/22</w:t>
      </w:r>
      <w:r w:rsidRPr="00E94EAD">
        <w:rPr>
          <w:color w:val="000000"/>
        </w:rPr>
        <w:t>, $</w:t>
      </w:r>
      <w:r>
        <w:rPr>
          <w:color w:val="000000"/>
        </w:rPr>
        <w:t>103</w:t>
      </w:r>
      <w:r w:rsidRPr="00E94EAD">
        <w:rPr>
          <w:color w:val="000000"/>
        </w:rPr>
        <w:t xml:space="preserve"> million was lost to gambling machines in </w:t>
      </w:r>
      <w:r>
        <w:rPr>
          <w:color w:val="000000"/>
        </w:rPr>
        <w:t>venues across</w:t>
      </w:r>
      <w:r w:rsidRPr="00E94EAD">
        <w:rPr>
          <w:color w:val="000000"/>
        </w:rPr>
        <w:t xml:space="preserve"> Greater Dandenong, equivalent to $</w:t>
      </w:r>
      <w:r>
        <w:rPr>
          <w:color w:val="000000"/>
        </w:rPr>
        <w:t>801</w:t>
      </w:r>
      <w:r w:rsidRPr="00E94EAD">
        <w:rPr>
          <w:color w:val="000000"/>
        </w:rPr>
        <w:t xml:space="preserve"> per adult – the</w:t>
      </w:r>
      <w:r>
        <w:rPr>
          <w:color w:val="000000"/>
        </w:rPr>
        <w:t xml:space="preserve"> second</w:t>
      </w:r>
      <w:r w:rsidRPr="00E94EAD">
        <w:rPr>
          <w:color w:val="000000"/>
        </w:rPr>
        <w:t xml:space="preserve"> highest rate of losses per adult in Victoria, and nearly twice the metropolitan level of $</w:t>
      </w:r>
      <w:r>
        <w:rPr>
          <w:color w:val="000000"/>
        </w:rPr>
        <w:t>432</w:t>
      </w:r>
      <w:r w:rsidRPr="00E94EAD">
        <w:rPr>
          <w:color w:val="000000"/>
        </w:rPr>
        <w:t xml:space="preserve"> per adult.</w:t>
      </w:r>
      <w:r>
        <w:rPr>
          <w:color w:val="000000"/>
        </w:rPr>
        <w:t xml:space="preserve"> Local gambling losses are further aggravated by the rise of on-line and sports betting.</w:t>
      </w:r>
    </w:p>
    <w:p w14:paraId="33BE913A" w14:textId="1F7227F1" w:rsidR="00955663" w:rsidRPr="00E514B6" w:rsidRDefault="00955663" w:rsidP="00955663">
      <w:pPr>
        <w:spacing w:after="0" w:line="360" w:lineRule="auto"/>
        <w:jc w:val="both"/>
        <w:rPr>
          <w:b/>
          <w:color w:val="17365D"/>
        </w:rPr>
      </w:pPr>
      <w:r w:rsidRPr="00381A9A">
        <w:rPr>
          <w:b/>
          <w:color w:val="FFFFFF" w:themeColor="background1"/>
        </w:rPr>
        <w:t xml:space="preserve">                   </w:t>
      </w:r>
      <w:r w:rsidRPr="00E514B6">
        <w:rPr>
          <w:b/>
          <w:color w:val="17365D"/>
        </w:rPr>
        <w:t>Housing</w:t>
      </w:r>
    </w:p>
    <w:p w14:paraId="30D63690" w14:textId="77777777" w:rsidR="00955663" w:rsidRPr="00A728B5" w:rsidRDefault="00955663" w:rsidP="00955663">
      <w:pPr>
        <w:tabs>
          <w:tab w:val="num" w:pos="720"/>
        </w:tabs>
        <w:spacing w:after="0" w:line="360" w:lineRule="auto"/>
        <w:jc w:val="both"/>
        <w:rPr>
          <w:color w:val="000000"/>
        </w:rPr>
      </w:pPr>
      <w:r w:rsidRPr="00A728B5">
        <w:rPr>
          <w:color w:val="000000"/>
        </w:rPr>
        <w:t xml:space="preserve">Local house purchase prices rose by </w:t>
      </w:r>
      <w:r>
        <w:rPr>
          <w:color w:val="000000"/>
        </w:rPr>
        <w:t>61</w:t>
      </w:r>
      <w:r w:rsidRPr="00A728B5">
        <w:rPr>
          <w:color w:val="000000"/>
        </w:rPr>
        <w:t>% (after inflation) in the decade to 20</w:t>
      </w:r>
      <w:r>
        <w:rPr>
          <w:color w:val="000000"/>
        </w:rPr>
        <w:t>22</w:t>
      </w:r>
      <w:r w:rsidRPr="00A728B5">
        <w:rPr>
          <w:color w:val="000000"/>
        </w:rPr>
        <w:t xml:space="preserve">, compared with </w:t>
      </w:r>
      <w:r>
        <w:rPr>
          <w:color w:val="000000"/>
        </w:rPr>
        <w:t>34</w:t>
      </w:r>
      <w:r w:rsidRPr="00A728B5">
        <w:rPr>
          <w:color w:val="000000"/>
        </w:rPr>
        <w:t xml:space="preserve">% across metropolitan Melbourne. </w:t>
      </w:r>
      <w:bookmarkStart w:id="10" w:name="_Hlk67317843"/>
      <w:r>
        <w:rPr>
          <w:color w:val="000000"/>
        </w:rPr>
        <w:t>In</w:t>
      </w:r>
      <w:r w:rsidRPr="00A728B5">
        <w:rPr>
          <w:color w:val="000000"/>
        </w:rPr>
        <w:t xml:space="preserve"> the 30 years to 20</w:t>
      </w:r>
      <w:r>
        <w:rPr>
          <w:color w:val="000000"/>
        </w:rPr>
        <w:t>22</w:t>
      </w:r>
      <w:r w:rsidRPr="00A728B5">
        <w:rPr>
          <w:color w:val="000000"/>
        </w:rPr>
        <w:t xml:space="preserve">, median housing costs in Greater Dandenong have </w:t>
      </w:r>
      <w:r>
        <w:rPr>
          <w:color w:val="000000"/>
        </w:rPr>
        <w:t>almost quadrupled</w:t>
      </w:r>
      <w:r w:rsidRPr="00A728B5">
        <w:rPr>
          <w:color w:val="000000"/>
        </w:rPr>
        <w:t xml:space="preserve"> in real terms.</w:t>
      </w:r>
      <w:bookmarkEnd w:id="10"/>
      <w:r>
        <w:rPr>
          <w:color w:val="000000"/>
        </w:rPr>
        <w:t xml:space="preserve"> </w:t>
      </w:r>
      <w:r w:rsidRPr="00A728B5">
        <w:rPr>
          <w:color w:val="000000"/>
        </w:rPr>
        <w:t xml:space="preserve">Local price increases have outstripped growth in incomes, with the median cost of houses in Greater Dandenong </w:t>
      </w:r>
      <w:r>
        <w:rPr>
          <w:color w:val="000000"/>
        </w:rPr>
        <w:t>trebling</w:t>
      </w:r>
      <w:r w:rsidRPr="00A728B5">
        <w:rPr>
          <w:color w:val="000000"/>
        </w:rPr>
        <w:t xml:space="preserve"> from 3.2 years of average household income in 1996, to </w:t>
      </w:r>
      <w:r>
        <w:rPr>
          <w:color w:val="000000"/>
        </w:rPr>
        <w:t>10.3</w:t>
      </w:r>
      <w:r w:rsidRPr="00A728B5">
        <w:rPr>
          <w:color w:val="000000"/>
        </w:rPr>
        <w:t xml:space="preserve"> years in </w:t>
      </w:r>
      <w:r>
        <w:rPr>
          <w:color w:val="000000"/>
        </w:rPr>
        <w:t>2021</w:t>
      </w:r>
      <w:r w:rsidRPr="00A728B5">
        <w:rPr>
          <w:color w:val="000000"/>
        </w:rPr>
        <w:t xml:space="preserve">. </w:t>
      </w:r>
    </w:p>
    <w:p w14:paraId="24F7F9A5" w14:textId="77777777" w:rsidR="00955663" w:rsidRDefault="00955663" w:rsidP="00955663">
      <w:pPr>
        <w:tabs>
          <w:tab w:val="num" w:pos="720"/>
        </w:tabs>
        <w:spacing w:after="0" w:line="360" w:lineRule="auto"/>
        <w:jc w:val="both"/>
        <w:rPr>
          <w:color w:val="000000"/>
        </w:rPr>
      </w:pPr>
      <w:r w:rsidRPr="00E514B6">
        <w:rPr>
          <w:color w:val="000000"/>
        </w:rPr>
        <w:t xml:space="preserve">The cost of renting </w:t>
      </w:r>
      <w:r>
        <w:rPr>
          <w:color w:val="000000"/>
        </w:rPr>
        <w:t>has also risen, with t</w:t>
      </w:r>
      <w:r w:rsidRPr="00392B84">
        <w:rPr>
          <w:color w:val="000000"/>
        </w:rPr>
        <w:t xml:space="preserve">he proportion of rental properties affordable to Centrelink recipients in Greater Dandenong </w:t>
      </w:r>
      <w:r>
        <w:rPr>
          <w:color w:val="000000"/>
        </w:rPr>
        <w:t>falling</w:t>
      </w:r>
      <w:r w:rsidRPr="00392B84">
        <w:rPr>
          <w:color w:val="000000"/>
        </w:rPr>
        <w:t xml:space="preserve"> from </w:t>
      </w:r>
      <w:r>
        <w:rPr>
          <w:color w:val="000000"/>
        </w:rPr>
        <w:t>83</w:t>
      </w:r>
      <w:r w:rsidRPr="00392B84">
        <w:rPr>
          <w:color w:val="000000"/>
        </w:rPr>
        <w:t xml:space="preserve">% in 2001, to </w:t>
      </w:r>
      <w:r>
        <w:rPr>
          <w:color w:val="000000"/>
        </w:rPr>
        <w:t>9</w:t>
      </w:r>
      <w:r w:rsidRPr="00392B84">
        <w:rPr>
          <w:color w:val="000000"/>
        </w:rPr>
        <w:t>% in 20</w:t>
      </w:r>
      <w:r>
        <w:rPr>
          <w:color w:val="000000"/>
        </w:rPr>
        <w:t>22</w:t>
      </w:r>
      <w:r w:rsidRPr="00392B84">
        <w:rPr>
          <w:color w:val="000000"/>
        </w:rPr>
        <w:t>, thereby aggravating the financial difficulties faced by many renting households.</w:t>
      </w:r>
      <w:r>
        <w:rPr>
          <w:color w:val="000000"/>
        </w:rPr>
        <w:t xml:space="preserve"> Estimates based on the findings of  the 2021 Census reveal that approximately 21% of renting family households and 42% of renting lone person households are living in poverty.</w:t>
      </w:r>
    </w:p>
    <w:p w14:paraId="583105C8" w14:textId="77777777" w:rsidR="00955663" w:rsidRPr="00133374" w:rsidRDefault="00955663" w:rsidP="00955663">
      <w:pPr>
        <w:pStyle w:val="IntroParagraphtoeachChapter"/>
        <w:pBdr>
          <w:bottom w:val="none" w:sz="0" w:space="0" w:color="auto"/>
        </w:pBdr>
        <w:tabs>
          <w:tab w:val="left" w:pos="6521"/>
        </w:tabs>
        <w:spacing w:before="0" w:line="360" w:lineRule="auto"/>
        <w:rPr>
          <w:rFonts w:ascii="Calibri" w:hAnsi="Calibri"/>
          <w:color w:val="000000" w:themeColor="text1"/>
        </w:rPr>
      </w:pPr>
      <w:r>
        <w:rPr>
          <w:rFonts w:ascii="Calibri" w:hAnsi="Calibri"/>
        </w:rPr>
        <w:t xml:space="preserve">As a measure of the prevalence of rent-related financial stress, 20.1% of households received rental assistance in Greater Dandenong in 2022 – the second highest level in Victoria, and nearly twice the </w:t>
      </w:r>
      <w:r w:rsidRPr="00133374">
        <w:rPr>
          <w:rFonts w:ascii="Calibri" w:hAnsi="Calibri"/>
          <w:color w:val="000000" w:themeColor="text1"/>
        </w:rPr>
        <w:t>metropolitan level of 11.3%.</w:t>
      </w:r>
    </w:p>
    <w:p w14:paraId="6BB7B780" w14:textId="1BADD42C" w:rsidR="00955663" w:rsidRPr="00133374" w:rsidRDefault="00955663" w:rsidP="00955663">
      <w:pPr>
        <w:pStyle w:val="IntroParagraphtoeachChapter"/>
        <w:pBdr>
          <w:bottom w:val="none" w:sz="0" w:space="0" w:color="auto"/>
        </w:pBdr>
        <w:tabs>
          <w:tab w:val="left" w:pos="6521"/>
        </w:tabs>
        <w:spacing w:before="0" w:line="360" w:lineRule="auto"/>
        <w:rPr>
          <w:rFonts w:ascii="Calibri" w:hAnsi="Calibri"/>
          <w:color w:val="000000" w:themeColor="text1"/>
        </w:rPr>
      </w:pPr>
      <w:r w:rsidRPr="00133374">
        <w:rPr>
          <w:rFonts w:ascii="Calibri" w:hAnsi="Calibri"/>
          <w:color w:val="000000" w:themeColor="text1"/>
        </w:rPr>
        <w:t xml:space="preserve">According to the Australian Bureau of Statistics, </w:t>
      </w:r>
      <w:r w:rsidR="00E943DA">
        <w:rPr>
          <w:rFonts w:ascii="Calibri" w:hAnsi="Calibri"/>
          <w:color w:val="000000" w:themeColor="text1"/>
        </w:rPr>
        <w:t>2,366</w:t>
      </w:r>
      <w:r w:rsidRPr="00133374">
        <w:rPr>
          <w:rFonts w:ascii="Calibri" w:hAnsi="Calibri"/>
          <w:color w:val="000000" w:themeColor="text1"/>
        </w:rPr>
        <w:t xml:space="preserve"> persons in Greater Dandenong were homeless in 20</w:t>
      </w:r>
      <w:r w:rsidR="00E943DA">
        <w:rPr>
          <w:rFonts w:ascii="Calibri" w:hAnsi="Calibri"/>
          <w:color w:val="000000" w:themeColor="text1"/>
        </w:rPr>
        <w:t>21</w:t>
      </w:r>
      <w:r w:rsidRPr="00133374">
        <w:rPr>
          <w:rFonts w:ascii="Calibri" w:hAnsi="Calibri"/>
          <w:color w:val="000000" w:themeColor="text1"/>
        </w:rPr>
        <w:t>, representing 1.</w:t>
      </w:r>
      <w:r w:rsidR="00E943DA">
        <w:rPr>
          <w:rFonts w:ascii="Calibri" w:hAnsi="Calibri"/>
          <w:color w:val="000000" w:themeColor="text1"/>
        </w:rPr>
        <w:t>5</w:t>
      </w:r>
      <w:r w:rsidRPr="00133374">
        <w:rPr>
          <w:rFonts w:ascii="Calibri" w:hAnsi="Calibri"/>
          <w:color w:val="000000" w:themeColor="text1"/>
        </w:rPr>
        <w:t xml:space="preserve">% of residents. The number and percentage of homeless persons in Greater Dandenong were the highest in Victoria. </w:t>
      </w:r>
    </w:p>
    <w:p w14:paraId="02078E48" w14:textId="77777777" w:rsidR="00955663" w:rsidRPr="00E514B6" w:rsidRDefault="00955663" w:rsidP="00955663">
      <w:pPr>
        <w:spacing w:after="0" w:line="360" w:lineRule="auto"/>
        <w:jc w:val="both"/>
        <w:rPr>
          <w:b/>
          <w:color w:val="17365D"/>
        </w:rPr>
      </w:pPr>
      <w:r w:rsidRPr="00381A9A">
        <w:rPr>
          <w:noProof/>
          <w:color w:val="FFFFFF" w:themeColor="background1"/>
        </w:rPr>
        <w:lastRenderedPageBreak/>
        <w:drawing>
          <wp:anchor distT="0" distB="0" distL="114300" distR="114300" simplePos="0" relativeHeight="251820032" behindDoc="0" locked="0" layoutInCell="1" allowOverlap="1" wp14:anchorId="3C584716" wp14:editId="21ABF135">
            <wp:simplePos x="0" y="0"/>
            <wp:positionH relativeFrom="column">
              <wp:posOffset>3810</wp:posOffset>
            </wp:positionH>
            <wp:positionV relativeFrom="paragraph">
              <wp:posOffset>13335</wp:posOffset>
            </wp:positionV>
            <wp:extent cx="539750" cy="359410"/>
            <wp:effectExtent l="171450" t="171450" r="374650" b="364490"/>
            <wp:wrapNone/>
            <wp:docPr id="197" name="Picture 15" descr="1075968_young_family_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5" descr="1075968_young_family_2.jpg"/>
                    <pic:cNvPicPr>
                      <a:picLocks/>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381A9A">
        <w:rPr>
          <w:b/>
          <w:color w:val="FFFFFF" w:themeColor="background1"/>
        </w:rPr>
        <w:t xml:space="preserve">                   </w:t>
      </w:r>
      <w:r w:rsidRPr="00E514B6">
        <w:rPr>
          <w:b/>
          <w:color w:val="17365D"/>
        </w:rPr>
        <w:t>Families</w:t>
      </w:r>
    </w:p>
    <w:p w14:paraId="76EA1F78" w14:textId="77777777" w:rsidR="00955663" w:rsidRDefault="00955663" w:rsidP="00955663">
      <w:pPr>
        <w:tabs>
          <w:tab w:val="num" w:pos="720"/>
        </w:tabs>
        <w:spacing w:after="0" w:line="360" w:lineRule="auto"/>
        <w:jc w:val="both"/>
        <w:rPr>
          <w:color w:val="000000"/>
        </w:rPr>
      </w:pPr>
      <w:r>
        <w:rPr>
          <w:color w:val="000000"/>
        </w:rPr>
        <w:t xml:space="preserve">                    In 2021, 7.4% of women aged 20-24 had given birth, nearly twice the metropolitan proportion of 5.4%.</w:t>
      </w:r>
    </w:p>
    <w:p w14:paraId="0EC62B18" w14:textId="77777777" w:rsidR="00955663" w:rsidRPr="00E514B6" w:rsidRDefault="00955663" w:rsidP="00955663">
      <w:pPr>
        <w:tabs>
          <w:tab w:val="num" w:pos="720"/>
        </w:tabs>
        <w:spacing w:after="0" w:line="360" w:lineRule="auto"/>
        <w:jc w:val="both"/>
        <w:rPr>
          <w:color w:val="000000"/>
        </w:rPr>
      </w:pPr>
      <w:r>
        <w:rPr>
          <w:rFonts w:ascii="Calibri" w:hAnsi="Calibri"/>
        </w:rPr>
        <w:t>More than four-fifths (82</w:t>
      </w:r>
      <w:r w:rsidRPr="0021241A">
        <w:rPr>
          <w:rFonts w:ascii="Calibri" w:hAnsi="Calibri"/>
        </w:rPr>
        <w:t>%) of residents who gave birth in 201</w:t>
      </w:r>
      <w:r>
        <w:rPr>
          <w:rFonts w:ascii="Calibri" w:hAnsi="Calibri"/>
        </w:rPr>
        <w:t>4</w:t>
      </w:r>
      <w:r w:rsidRPr="0021241A">
        <w:rPr>
          <w:rFonts w:ascii="Calibri" w:hAnsi="Calibri"/>
        </w:rPr>
        <w:t>/1</w:t>
      </w:r>
      <w:r>
        <w:rPr>
          <w:rFonts w:ascii="Calibri" w:hAnsi="Calibri"/>
        </w:rPr>
        <w:t>5</w:t>
      </w:r>
      <w:r w:rsidRPr="0021241A">
        <w:rPr>
          <w:rFonts w:ascii="Calibri" w:hAnsi="Calibri"/>
        </w:rPr>
        <w:t xml:space="preserve"> were born overseas</w:t>
      </w:r>
      <w:r>
        <w:rPr>
          <w:rFonts w:ascii="Calibri" w:hAnsi="Calibri"/>
        </w:rPr>
        <w:t>.</w:t>
      </w:r>
    </w:p>
    <w:p w14:paraId="637002DF" w14:textId="2DD786ED" w:rsidR="00955663" w:rsidRDefault="00955663" w:rsidP="00955663">
      <w:pPr>
        <w:tabs>
          <w:tab w:val="num" w:pos="720"/>
        </w:tabs>
        <w:spacing w:after="0" w:line="360" w:lineRule="auto"/>
        <w:jc w:val="both"/>
        <w:rPr>
          <w:color w:val="000000"/>
        </w:rPr>
      </w:pPr>
      <w:r w:rsidRPr="00381A9A">
        <w:rPr>
          <w:b/>
          <w:noProof/>
          <w:color w:val="FFFFFF" w:themeColor="background1"/>
        </w:rPr>
        <w:drawing>
          <wp:anchor distT="0" distB="0" distL="114300" distR="114300" simplePos="0" relativeHeight="251824128" behindDoc="0" locked="0" layoutInCell="1" allowOverlap="1" wp14:anchorId="5C514C67" wp14:editId="0FC14B23">
            <wp:simplePos x="0" y="0"/>
            <wp:positionH relativeFrom="column">
              <wp:posOffset>3810</wp:posOffset>
            </wp:positionH>
            <wp:positionV relativeFrom="paragraph">
              <wp:posOffset>417381</wp:posOffset>
            </wp:positionV>
            <wp:extent cx="539750" cy="359410"/>
            <wp:effectExtent l="152400" t="152400" r="355600" b="364490"/>
            <wp:wrapNone/>
            <wp:docPr id="198" name="Pictur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Health Suicide 1.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514B6">
        <w:rPr>
          <w:color w:val="000000"/>
        </w:rPr>
        <w:t>One-parent households account</w:t>
      </w:r>
      <w:r>
        <w:rPr>
          <w:color w:val="000000"/>
        </w:rPr>
        <w:t>ed</w:t>
      </w:r>
      <w:r w:rsidRPr="00E514B6">
        <w:rPr>
          <w:color w:val="000000"/>
        </w:rPr>
        <w:t xml:space="preserve"> for </w:t>
      </w:r>
      <w:r>
        <w:rPr>
          <w:color w:val="000000"/>
        </w:rPr>
        <w:t>28</w:t>
      </w:r>
      <w:r w:rsidRPr="00E514B6">
        <w:rPr>
          <w:color w:val="000000"/>
        </w:rPr>
        <w:t xml:space="preserve">% of </w:t>
      </w:r>
      <w:r>
        <w:rPr>
          <w:color w:val="000000"/>
        </w:rPr>
        <w:t>families with dependent children in 2021, compared with 24% across Melbourne</w:t>
      </w:r>
      <w:r w:rsidRPr="00E514B6">
        <w:rPr>
          <w:color w:val="000000"/>
        </w:rPr>
        <w:t xml:space="preserve">. </w:t>
      </w:r>
    </w:p>
    <w:p w14:paraId="5B2B05F8" w14:textId="3475FF7F" w:rsidR="00955663" w:rsidRPr="00E514B6" w:rsidRDefault="00955663" w:rsidP="00955663">
      <w:pPr>
        <w:spacing w:after="0" w:line="360" w:lineRule="auto"/>
        <w:jc w:val="both"/>
        <w:rPr>
          <w:b/>
          <w:color w:val="17365D"/>
        </w:rPr>
      </w:pPr>
      <w:r w:rsidRPr="00381A9A">
        <w:rPr>
          <w:b/>
          <w:color w:val="FFFFFF" w:themeColor="background1"/>
        </w:rPr>
        <w:t xml:space="preserve">                   </w:t>
      </w:r>
      <w:r w:rsidRPr="00E514B6">
        <w:rPr>
          <w:b/>
          <w:color w:val="17365D"/>
        </w:rPr>
        <w:t>Mental Health</w:t>
      </w:r>
    </w:p>
    <w:p w14:paraId="1C90D695" w14:textId="3FBD6F0F" w:rsidR="00955663" w:rsidRPr="00E514B6" w:rsidRDefault="00955663" w:rsidP="00955663">
      <w:pPr>
        <w:spacing w:after="0" w:line="360" w:lineRule="auto"/>
        <w:jc w:val="both"/>
        <w:rPr>
          <w:color w:val="000000"/>
        </w:rPr>
      </w:pPr>
      <w:r w:rsidRPr="00381A9A">
        <w:rPr>
          <w:b/>
          <w:noProof/>
          <w:color w:val="FFFFFF" w:themeColor="background1"/>
          <w:sz w:val="8"/>
          <w:szCs w:val="8"/>
        </w:rPr>
        <w:drawing>
          <wp:anchor distT="0" distB="0" distL="114300" distR="114300" simplePos="0" relativeHeight="251821056" behindDoc="0" locked="0" layoutInCell="1" allowOverlap="1" wp14:anchorId="5EBBE8C6" wp14:editId="6997F95E">
            <wp:simplePos x="0" y="0"/>
            <wp:positionH relativeFrom="column">
              <wp:posOffset>-6458</wp:posOffset>
            </wp:positionH>
            <wp:positionV relativeFrom="paragraph">
              <wp:posOffset>1239242</wp:posOffset>
            </wp:positionV>
            <wp:extent cx="539750" cy="359410"/>
            <wp:effectExtent l="171450" t="171450" r="374650" b="36449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 Food 7.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514B6">
        <w:rPr>
          <w:color w:val="000000"/>
        </w:rPr>
        <w:t xml:space="preserve">The 2015 VicHealth Indicators Survey measured </w:t>
      </w:r>
      <w:r>
        <w:rPr>
          <w:color w:val="000000"/>
        </w:rPr>
        <w:t>‘</w:t>
      </w:r>
      <w:r w:rsidRPr="00E514B6">
        <w:rPr>
          <w:color w:val="000000"/>
        </w:rPr>
        <w:t>wellbeing</w:t>
      </w:r>
      <w:r>
        <w:rPr>
          <w:color w:val="000000"/>
        </w:rPr>
        <w:t>’</w:t>
      </w:r>
      <w:r w:rsidRPr="00E514B6">
        <w:rPr>
          <w:color w:val="000000"/>
        </w:rPr>
        <w:t xml:space="preserve"> through responses to questions </w:t>
      </w:r>
      <w:r>
        <w:rPr>
          <w:color w:val="000000"/>
        </w:rPr>
        <w:t>about</w:t>
      </w:r>
      <w:r w:rsidRPr="00E514B6">
        <w:rPr>
          <w:color w:val="000000"/>
        </w:rPr>
        <w:t xml:space="preserve"> standard of living, achievements in life, community connection, personal relationships, safety and future security. The </w:t>
      </w:r>
      <w:r>
        <w:rPr>
          <w:color w:val="000000"/>
        </w:rPr>
        <w:t>result for Greater Dandenong residents was</w:t>
      </w:r>
      <w:r w:rsidRPr="00E514B6">
        <w:rPr>
          <w:color w:val="000000"/>
        </w:rPr>
        <w:t xml:space="preserve"> the third lowest level in Victoria. Personal resilience was also measured in the survey, with residents of Greater Dandenong scoring at 5.5 out of 10 – the lowest score in </w:t>
      </w:r>
      <w:r>
        <w:rPr>
          <w:color w:val="000000"/>
        </w:rPr>
        <w:t>the State</w:t>
      </w:r>
      <w:r w:rsidRPr="00E514B6">
        <w:rPr>
          <w:color w:val="000000"/>
        </w:rPr>
        <w:t>.</w:t>
      </w:r>
    </w:p>
    <w:p w14:paraId="7B84E3A6" w14:textId="7980F820" w:rsidR="00955663" w:rsidRPr="00EC3D2B" w:rsidRDefault="00955663" w:rsidP="00955663">
      <w:pPr>
        <w:spacing w:after="0" w:line="360" w:lineRule="auto"/>
        <w:jc w:val="both"/>
        <w:rPr>
          <w:b/>
          <w:color w:val="17365D"/>
          <w:sz w:val="8"/>
          <w:szCs w:val="8"/>
        </w:rPr>
      </w:pPr>
    </w:p>
    <w:p w14:paraId="341E491F" w14:textId="673D8FAB" w:rsidR="00955663" w:rsidRPr="00E514B6" w:rsidRDefault="00955663" w:rsidP="00955663">
      <w:pPr>
        <w:spacing w:after="0" w:line="360" w:lineRule="auto"/>
        <w:jc w:val="both"/>
        <w:rPr>
          <w:b/>
          <w:color w:val="17365D"/>
        </w:rPr>
      </w:pPr>
      <w:r w:rsidRPr="00381A9A">
        <w:rPr>
          <w:b/>
          <w:color w:val="FFFFFF" w:themeColor="background1"/>
        </w:rPr>
        <w:t xml:space="preserve">                   </w:t>
      </w:r>
      <w:r w:rsidRPr="00E514B6">
        <w:rPr>
          <w:b/>
          <w:color w:val="17365D"/>
        </w:rPr>
        <w:t>Health</w:t>
      </w:r>
    </w:p>
    <w:p w14:paraId="08E800CF" w14:textId="77777777" w:rsidR="00955663" w:rsidRPr="00E514B6" w:rsidRDefault="00955663" w:rsidP="00955663">
      <w:pPr>
        <w:tabs>
          <w:tab w:val="num" w:pos="720"/>
        </w:tabs>
        <w:spacing w:after="0" w:line="360" w:lineRule="auto"/>
        <w:jc w:val="both"/>
        <w:rPr>
          <w:color w:val="000000"/>
        </w:rPr>
      </w:pPr>
      <w:r w:rsidRPr="00E514B6">
        <w:rPr>
          <w:color w:val="000000"/>
        </w:rPr>
        <w:t>Adjusted for differences in age structure among Victorian municipalities, the disability rate in Greater Dandenong</w:t>
      </w:r>
      <w:r>
        <w:rPr>
          <w:color w:val="000000"/>
        </w:rPr>
        <w:t xml:space="preserve"> in 2021</w:t>
      </w:r>
      <w:r w:rsidRPr="00E514B6">
        <w:rPr>
          <w:color w:val="000000"/>
        </w:rPr>
        <w:t xml:space="preserve"> </w:t>
      </w:r>
      <w:r>
        <w:rPr>
          <w:color w:val="000000"/>
        </w:rPr>
        <w:t>was</w:t>
      </w:r>
      <w:r w:rsidRPr="00E514B6">
        <w:rPr>
          <w:color w:val="000000"/>
        </w:rPr>
        <w:t xml:space="preserve"> </w:t>
      </w:r>
      <w:r>
        <w:rPr>
          <w:color w:val="000000"/>
        </w:rPr>
        <w:t>7.9</w:t>
      </w:r>
      <w:r w:rsidRPr="00E514B6">
        <w:rPr>
          <w:color w:val="000000"/>
        </w:rPr>
        <w:t xml:space="preserve">% - the </w:t>
      </w:r>
      <w:r>
        <w:rPr>
          <w:color w:val="000000"/>
        </w:rPr>
        <w:t>seventh</w:t>
      </w:r>
      <w:r w:rsidRPr="00E514B6">
        <w:rPr>
          <w:color w:val="000000"/>
        </w:rPr>
        <w:t xml:space="preserve"> highest in the state, and substantially more than the corresponding Victorian rate of </w:t>
      </w:r>
      <w:r>
        <w:rPr>
          <w:color w:val="000000"/>
        </w:rPr>
        <w:t>6.2</w:t>
      </w:r>
      <w:r w:rsidRPr="00E514B6">
        <w:rPr>
          <w:color w:val="000000"/>
        </w:rPr>
        <w:t>%.</w:t>
      </w:r>
    </w:p>
    <w:p w14:paraId="4773B0CF" w14:textId="77777777" w:rsidR="00955663" w:rsidRDefault="00955663" w:rsidP="00955663">
      <w:pPr>
        <w:spacing w:after="0" w:line="360" w:lineRule="auto"/>
        <w:jc w:val="both"/>
        <w:rPr>
          <w:color w:val="000000"/>
        </w:rPr>
      </w:pPr>
      <w:r w:rsidRPr="00E514B6">
        <w:rPr>
          <w:color w:val="000000"/>
        </w:rPr>
        <w:t xml:space="preserve">The 2015 VicHealth Indicators Survey found that residents of Greater Dandenong consumed an average of 1.7 serves of vegetables each day, substantially less than the metropolitan average of 2.3 and the lowest level in Victoria. The survey also disclosed that 15% of Greater Dandenong residents consumed take-away meals at least once per week - the third highest in Victoria. </w:t>
      </w:r>
    </w:p>
    <w:p w14:paraId="3C52C419" w14:textId="77777777" w:rsidR="00955663" w:rsidRPr="00381A9A" w:rsidRDefault="00955663" w:rsidP="00955663">
      <w:pPr>
        <w:tabs>
          <w:tab w:val="num" w:pos="720"/>
        </w:tabs>
        <w:spacing w:after="0" w:line="360" w:lineRule="auto"/>
        <w:jc w:val="both"/>
      </w:pPr>
      <w:r>
        <w:t>The 2020 Victorian Health Survey recorded that 13% of residents of Greater Dandenong had run out of money to purchase food at some time during the previous 12 months – the second highest level of food insecurity in the state.</w:t>
      </w:r>
    </w:p>
    <w:p w14:paraId="4E39D730" w14:textId="357FB037" w:rsidR="00955663" w:rsidRPr="00E514B6" w:rsidRDefault="00955663" w:rsidP="00955663">
      <w:pPr>
        <w:spacing w:after="0" w:line="360" w:lineRule="auto"/>
        <w:jc w:val="both"/>
        <w:rPr>
          <w:b/>
          <w:color w:val="000000"/>
        </w:rPr>
      </w:pPr>
      <w:r w:rsidRPr="00381A9A">
        <w:rPr>
          <w:b/>
          <w:noProof/>
          <w:color w:val="FFFFFF" w:themeColor="background1"/>
        </w:rPr>
        <w:drawing>
          <wp:anchor distT="0" distB="0" distL="114300" distR="114300" simplePos="0" relativeHeight="251822080" behindDoc="0" locked="0" layoutInCell="1" allowOverlap="1" wp14:anchorId="7E2BA4BA" wp14:editId="679DC72F">
            <wp:simplePos x="0" y="0"/>
            <wp:positionH relativeFrom="column">
              <wp:posOffset>6350</wp:posOffset>
            </wp:positionH>
            <wp:positionV relativeFrom="paragraph">
              <wp:posOffset>416374</wp:posOffset>
            </wp:positionV>
            <wp:extent cx="539750" cy="359410"/>
            <wp:effectExtent l="38100" t="95250" r="88900" b="40640"/>
            <wp:wrapNone/>
            <wp:docPr id="200" name="Pictur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mmunity Older 4.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50800" dist="38100" dir="18900000" algn="b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E514B6">
        <w:rPr>
          <w:color w:val="000000"/>
        </w:rPr>
        <w:t xml:space="preserve">The </w:t>
      </w:r>
      <w:r>
        <w:rPr>
          <w:color w:val="000000"/>
        </w:rPr>
        <w:t>s</w:t>
      </w:r>
      <w:r w:rsidRPr="00E514B6">
        <w:rPr>
          <w:color w:val="000000"/>
        </w:rPr>
        <w:t xml:space="preserve">urvey </w:t>
      </w:r>
      <w:r>
        <w:rPr>
          <w:color w:val="000000"/>
        </w:rPr>
        <w:t>results also showed that</w:t>
      </w:r>
      <w:r w:rsidRPr="00E514B6">
        <w:rPr>
          <w:color w:val="000000"/>
        </w:rPr>
        <w:t xml:space="preserve"> 30% of residents participated in 30 minutes or more of physical activity on four or more days each week - the second lowest proportion in the State.</w:t>
      </w:r>
    </w:p>
    <w:p w14:paraId="1C0119B1" w14:textId="19BAFCC4" w:rsidR="00955663" w:rsidRPr="00E514B6" w:rsidRDefault="00955663" w:rsidP="00955663">
      <w:pPr>
        <w:spacing w:after="0" w:line="360" w:lineRule="auto"/>
        <w:jc w:val="both"/>
        <w:rPr>
          <w:b/>
          <w:color w:val="17365D"/>
        </w:rPr>
      </w:pPr>
      <w:r w:rsidRPr="00381A9A">
        <w:rPr>
          <w:b/>
          <w:color w:val="FFFFFF" w:themeColor="background1"/>
        </w:rPr>
        <w:t xml:space="preserve">                   </w:t>
      </w:r>
      <w:r w:rsidRPr="00E514B6">
        <w:rPr>
          <w:b/>
          <w:color w:val="17365D"/>
        </w:rPr>
        <w:t>Gender Equity</w:t>
      </w:r>
    </w:p>
    <w:p w14:paraId="71435930" w14:textId="77777777" w:rsidR="00955663" w:rsidRDefault="00955663" w:rsidP="00955663">
      <w:pPr>
        <w:spacing w:after="0" w:line="360" w:lineRule="auto"/>
        <w:jc w:val="both"/>
        <w:rPr>
          <w:color w:val="000000"/>
        </w:rPr>
      </w:pPr>
      <w:r>
        <w:rPr>
          <w:color w:val="000000"/>
        </w:rPr>
        <w:t>W</w:t>
      </w:r>
      <w:r w:rsidRPr="00A412BB">
        <w:rPr>
          <w:color w:val="000000"/>
        </w:rPr>
        <w:t>omen in Greater Dandenong experience higher rates of limited English fluency</w:t>
      </w:r>
      <w:r>
        <w:rPr>
          <w:color w:val="000000"/>
        </w:rPr>
        <w:t>,</w:t>
      </w:r>
      <w:r w:rsidRPr="00A412BB">
        <w:rPr>
          <w:color w:val="000000"/>
        </w:rPr>
        <w:t xml:space="preserve"> are less often in paid work and receive lower incomes in employment than men. They account for six in seven sole parents, experience higher rates of mental illness, are more often assaulted in the home than males, and </w:t>
      </w:r>
      <w:r>
        <w:rPr>
          <w:color w:val="000000"/>
        </w:rPr>
        <w:t>are twice as likely to</w:t>
      </w:r>
      <w:r w:rsidRPr="00A412BB">
        <w:rPr>
          <w:color w:val="000000"/>
        </w:rPr>
        <w:t xml:space="preserve"> feel concerned for their per</w:t>
      </w:r>
      <w:r>
        <w:rPr>
          <w:color w:val="000000"/>
        </w:rPr>
        <w:t>sonal safety at night than men.</w:t>
      </w:r>
    </w:p>
    <w:p w14:paraId="3FC187FD" w14:textId="77777777" w:rsidR="00955663" w:rsidRDefault="00955663" w:rsidP="00955663">
      <w:pPr>
        <w:spacing w:after="0" w:line="360" w:lineRule="auto"/>
        <w:jc w:val="both"/>
        <w:rPr>
          <w:color w:val="000000"/>
        </w:rPr>
      </w:pPr>
      <w:r w:rsidRPr="00E514B6">
        <w:rPr>
          <w:color w:val="000000"/>
        </w:rPr>
        <w:t xml:space="preserve">The 2015 VicHealth Indicators Survey sought to measure support for gender equality, recording the level of agreement </w:t>
      </w:r>
      <w:r>
        <w:rPr>
          <w:color w:val="000000"/>
        </w:rPr>
        <w:t>that m</w:t>
      </w:r>
      <w:r w:rsidRPr="00E514B6">
        <w:rPr>
          <w:color w:val="000000"/>
        </w:rPr>
        <w:t>en should take control in relationsh</w:t>
      </w:r>
      <w:r>
        <w:rPr>
          <w:color w:val="000000"/>
        </w:rPr>
        <w:t>ips and be head of the household and that w</w:t>
      </w:r>
      <w:r w:rsidRPr="00380965">
        <w:rPr>
          <w:color w:val="000000"/>
        </w:rPr>
        <w:t xml:space="preserve">omen prefer a </w:t>
      </w:r>
      <w:r>
        <w:rPr>
          <w:color w:val="000000"/>
        </w:rPr>
        <w:t>man</w:t>
      </w:r>
      <w:r w:rsidRPr="00380965">
        <w:rPr>
          <w:color w:val="000000"/>
        </w:rPr>
        <w:t xml:space="preserve"> to be in charge in a relationship</w:t>
      </w:r>
      <w:r>
        <w:rPr>
          <w:color w:val="000000"/>
        </w:rPr>
        <w:t xml:space="preserve">. </w:t>
      </w:r>
      <w:r w:rsidRPr="00E514B6">
        <w:rPr>
          <w:color w:val="000000"/>
        </w:rPr>
        <w:t xml:space="preserve">The percentage of </w:t>
      </w:r>
      <w:r>
        <w:rPr>
          <w:color w:val="000000"/>
        </w:rPr>
        <w:t>surveyed participants who expressed</w:t>
      </w:r>
      <w:r w:rsidRPr="00E514B6">
        <w:rPr>
          <w:color w:val="000000"/>
        </w:rPr>
        <w:t xml:space="preserve"> opposition to gender equity, stood at 36% across Melbourne </w:t>
      </w:r>
      <w:r>
        <w:rPr>
          <w:color w:val="000000"/>
        </w:rPr>
        <w:t>compared with</w:t>
      </w:r>
      <w:r w:rsidRPr="00E514B6">
        <w:rPr>
          <w:color w:val="000000"/>
        </w:rPr>
        <w:t xml:space="preserve"> 58% in Greater Dandenong – the highest level in Victoria.</w:t>
      </w:r>
    </w:p>
    <w:p w14:paraId="7E8AD0FE" w14:textId="0539A5B6" w:rsidR="00955663" w:rsidRPr="007912C8" w:rsidRDefault="00955663" w:rsidP="00955663">
      <w:pPr>
        <w:spacing w:after="0" w:line="360" w:lineRule="auto"/>
        <w:jc w:val="both"/>
        <w:rPr>
          <w:color w:val="000000" w:themeColor="text1"/>
        </w:rPr>
      </w:pPr>
      <w:r w:rsidRPr="00381A9A">
        <w:rPr>
          <w:b/>
          <w:noProof/>
          <w:color w:val="FFFFFF" w:themeColor="background1"/>
        </w:rPr>
        <w:lastRenderedPageBreak/>
        <w:drawing>
          <wp:anchor distT="0" distB="0" distL="114300" distR="114300" simplePos="0" relativeHeight="251823104" behindDoc="0" locked="0" layoutInCell="1" allowOverlap="1" wp14:anchorId="2B2B0AA5" wp14:editId="5F394007">
            <wp:simplePos x="0" y="0"/>
            <wp:positionH relativeFrom="column">
              <wp:posOffset>14605</wp:posOffset>
            </wp:positionH>
            <wp:positionV relativeFrom="paragraph">
              <wp:posOffset>425636</wp:posOffset>
            </wp:positionV>
            <wp:extent cx="539750" cy="359410"/>
            <wp:effectExtent l="19050" t="57150" r="88900" b="59690"/>
            <wp:wrapNone/>
            <wp:docPr id="201" name="Pictur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rime 1.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50800" dist="38100" algn="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7912C8">
        <w:rPr>
          <w:color w:val="000000" w:themeColor="text1"/>
        </w:rPr>
        <w:t>In 2021/22, the rate of incidents of alleged violence within families, recorded by police in Greater Dandenong, was 20% higher than the State level and the third highest rate in Melbourne.</w:t>
      </w:r>
    </w:p>
    <w:p w14:paraId="2E80A98B" w14:textId="0D014827" w:rsidR="00955663" w:rsidRPr="00E514B6" w:rsidRDefault="00955663" w:rsidP="00955663">
      <w:pPr>
        <w:spacing w:after="0" w:line="360" w:lineRule="auto"/>
        <w:jc w:val="both"/>
        <w:rPr>
          <w:b/>
          <w:color w:val="17365D"/>
        </w:rPr>
      </w:pPr>
      <w:r w:rsidRPr="00381A9A">
        <w:rPr>
          <w:b/>
          <w:color w:val="FFFFFF" w:themeColor="background1"/>
        </w:rPr>
        <w:t xml:space="preserve">                   </w:t>
      </w:r>
      <w:r w:rsidRPr="00E514B6">
        <w:rPr>
          <w:b/>
          <w:color w:val="17365D"/>
        </w:rPr>
        <w:t>Crime and Safety</w:t>
      </w:r>
    </w:p>
    <w:p w14:paraId="18F50A59" w14:textId="77777777" w:rsidR="00955663" w:rsidRPr="00E514B6" w:rsidRDefault="00955663" w:rsidP="00955663">
      <w:pPr>
        <w:spacing w:after="0" w:line="360" w:lineRule="auto"/>
        <w:jc w:val="both"/>
      </w:pPr>
      <w:r w:rsidRPr="00E514B6">
        <w:t xml:space="preserve">In </w:t>
      </w:r>
      <w:bookmarkStart w:id="11" w:name="_Hlk29228993"/>
      <w:r w:rsidRPr="00E514B6">
        <w:t xml:space="preserve">the </w:t>
      </w:r>
      <w:r>
        <w:t>17 years</w:t>
      </w:r>
      <w:r w:rsidRPr="00E514B6">
        <w:t xml:space="preserve"> from 200</w:t>
      </w:r>
      <w:r>
        <w:t>4</w:t>
      </w:r>
      <w:r w:rsidRPr="00E514B6">
        <w:t>/</w:t>
      </w:r>
      <w:r>
        <w:t>5</w:t>
      </w:r>
      <w:r w:rsidRPr="00E514B6">
        <w:t xml:space="preserve"> to </w:t>
      </w:r>
      <w:r>
        <w:t>2021/22</w:t>
      </w:r>
      <w:r w:rsidRPr="00E514B6">
        <w:t xml:space="preserve">, the rate of violent offences in Greater Dandenong </w:t>
      </w:r>
      <w:r>
        <w:t>rose by 64%</w:t>
      </w:r>
      <w:r w:rsidRPr="00E514B6">
        <w:t xml:space="preserve"> to a level </w:t>
      </w:r>
      <w:r>
        <w:t>50</w:t>
      </w:r>
      <w:r w:rsidRPr="00E514B6">
        <w:t>% higher than the metropolitan average and the</w:t>
      </w:r>
      <w:r>
        <w:t xml:space="preserve"> second</w:t>
      </w:r>
      <w:r w:rsidRPr="00E514B6">
        <w:t xml:space="preserve"> highest in Melbourne</w:t>
      </w:r>
      <w:r>
        <w:t xml:space="preserve"> </w:t>
      </w:r>
      <w:r w:rsidRPr="009F5B64">
        <w:rPr>
          <w:sz w:val="18"/>
          <w:szCs w:val="18"/>
        </w:rPr>
        <w:t>(outside the CBD.</w:t>
      </w:r>
      <w:bookmarkEnd w:id="11"/>
      <w:r>
        <w:rPr>
          <w:sz w:val="18"/>
          <w:szCs w:val="18"/>
        </w:rPr>
        <w:t>)</w:t>
      </w:r>
    </w:p>
    <w:p w14:paraId="0B9AAB70" w14:textId="77777777" w:rsidR="00955663" w:rsidRDefault="00955663" w:rsidP="00955663">
      <w:pPr>
        <w:spacing w:after="0" w:line="360" w:lineRule="auto"/>
        <w:jc w:val="both"/>
        <w:rPr>
          <w:color w:val="000000"/>
        </w:rPr>
      </w:pPr>
      <w:r w:rsidRPr="00E514B6">
        <w:t xml:space="preserve">The 2015 VicHealth Indicators Survey found that 36% of Greater Dandenong residents felt safe walking alone in their neighbourhoods at night – substantially less than the metropolitan level of 56% and the </w:t>
      </w:r>
      <w:r w:rsidRPr="00971D89">
        <w:rPr>
          <w:color w:val="000000"/>
        </w:rPr>
        <w:t xml:space="preserve">lowest level in Victoria. </w:t>
      </w:r>
    </w:p>
    <w:p w14:paraId="47AF9684" w14:textId="77777777" w:rsidR="00955663" w:rsidRDefault="00955663" w:rsidP="00955663">
      <w:pPr>
        <w:spacing w:after="0" w:line="360" w:lineRule="auto"/>
        <w:jc w:val="both"/>
        <w:rPr>
          <w:color w:val="000000"/>
        </w:rPr>
      </w:pPr>
      <w:r>
        <w:rPr>
          <w:b/>
          <w:noProof/>
          <w:color w:val="17365D"/>
        </w:rPr>
        <w:drawing>
          <wp:anchor distT="0" distB="0" distL="114300" distR="114300" simplePos="0" relativeHeight="251811840" behindDoc="0" locked="0" layoutInCell="1" allowOverlap="1" wp14:anchorId="2BD316B6" wp14:editId="5C1B0886">
            <wp:simplePos x="0" y="0"/>
            <wp:positionH relativeFrom="column">
              <wp:posOffset>11430</wp:posOffset>
            </wp:positionH>
            <wp:positionV relativeFrom="paragraph">
              <wp:posOffset>53022</wp:posOffset>
            </wp:positionV>
            <wp:extent cx="552450" cy="396240"/>
            <wp:effectExtent l="38100" t="95250" r="95250" b="41910"/>
            <wp:wrapNone/>
            <wp:docPr id="202" name="Picture 202" descr="Two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wo people posing for a photo&#10;&#10;Description automatically generated"/>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52450" cy="396240"/>
                    </a:xfrm>
                    <a:prstGeom prst="rect">
                      <a:avLst/>
                    </a:prstGeom>
                    <a:effectLst>
                      <a:outerShdw blurRad="50800" dist="38100" dir="18900000" algn="b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362E33F3" w14:textId="77777777" w:rsidR="00955663" w:rsidRPr="00E514B6" w:rsidRDefault="00955663" w:rsidP="00955663">
      <w:pPr>
        <w:spacing w:after="0" w:line="360" w:lineRule="auto"/>
        <w:jc w:val="both"/>
        <w:rPr>
          <w:b/>
          <w:color w:val="17365D"/>
        </w:rPr>
      </w:pPr>
      <w:r w:rsidRPr="00381A9A">
        <w:rPr>
          <w:b/>
          <w:color w:val="FFFFFF" w:themeColor="background1"/>
        </w:rPr>
        <w:t xml:space="preserve">                   </w:t>
      </w:r>
      <w:r>
        <w:rPr>
          <w:b/>
          <w:color w:val="17365D"/>
        </w:rPr>
        <w:t>Young People</w:t>
      </w:r>
    </w:p>
    <w:p w14:paraId="258BBDA2" w14:textId="77777777" w:rsidR="00955663" w:rsidRPr="001A1746" w:rsidRDefault="00955663" w:rsidP="00955663">
      <w:pPr>
        <w:tabs>
          <w:tab w:val="num" w:pos="720"/>
        </w:tabs>
        <w:spacing w:after="0" w:line="360" w:lineRule="auto"/>
        <w:jc w:val="both"/>
        <w:rPr>
          <w:color w:val="000000" w:themeColor="text1"/>
        </w:rPr>
      </w:pPr>
      <w:r w:rsidRPr="001A1746">
        <w:rPr>
          <w:color w:val="000000" w:themeColor="text1"/>
        </w:rPr>
        <w:t>Sixty-six per cent of 12 to 24 year-olds speak languages other than English at home, compared with 25% across Victoria.</w:t>
      </w:r>
    </w:p>
    <w:p w14:paraId="7CF6A6D8" w14:textId="77777777" w:rsidR="00955663" w:rsidRPr="001A1746" w:rsidRDefault="00955663" w:rsidP="00955663">
      <w:pPr>
        <w:tabs>
          <w:tab w:val="num" w:pos="720"/>
        </w:tabs>
        <w:spacing w:after="0" w:line="360" w:lineRule="auto"/>
        <w:jc w:val="both"/>
        <w:rPr>
          <w:color w:val="000000" w:themeColor="text1"/>
        </w:rPr>
      </w:pPr>
      <w:r w:rsidRPr="001A1746">
        <w:rPr>
          <w:color w:val="000000" w:themeColor="text1"/>
        </w:rPr>
        <w:t>In 2021, 7.2% of residents aged 15 to 24 had limited fluency in the use of spoken English, compared with 3.8% of people of the same age, across metropolitan Melbourne.</w:t>
      </w:r>
    </w:p>
    <w:p w14:paraId="1D6BB91D" w14:textId="77777777" w:rsidR="00955663" w:rsidRPr="001A1746" w:rsidRDefault="00955663" w:rsidP="00955663">
      <w:pPr>
        <w:tabs>
          <w:tab w:val="num" w:pos="720"/>
        </w:tabs>
        <w:spacing w:after="0" w:line="360" w:lineRule="auto"/>
        <w:jc w:val="both"/>
        <w:rPr>
          <w:color w:val="000000" w:themeColor="text1"/>
        </w:rPr>
      </w:pPr>
      <w:r w:rsidRPr="001A1746">
        <w:rPr>
          <w:color w:val="000000" w:themeColor="text1"/>
        </w:rPr>
        <w:t xml:space="preserve">8.1% of 20 to 24 year-olds in Greater Dandenong had left school before completing year 11 (‘left school early’) - compared with 6.3% across Melbourne. </w:t>
      </w:r>
    </w:p>
    <w:p w14:paraId="48A93EC3" w14:textId="77777777" w:rsidR="00955663" w:rsidRPr="001A1746" w:rsidRDefault="00955663" w:rsidP="00955663">
      <w:pPr>
        <w:tabs>
          <w:tab w:val="num" w:pos="720"/>
        </w:tabs>
        <w:spacing w:after="0" w:line="360" w:lineRule="auto"/>
        <w:jc w:val="both"/>
        <w:rPr>
          <w:color w:val="000000" w:themeColor="text1"/>
        </w:rPr>
      </w:pPr>
      <w:r w:rsidRPr="001A1746">
        <w:rPr>
          <w:color w:val="000000" w:themeColor="text1"/>
        </w:rPr>
        <w:t>In 2021, 1,900 15-24 year-olds are neither employed nor enrolled in education</w:t>
      </w:r>
      <w:r>
        <w:rPr>
          <w:color w:val="000000" w:themeColor="text1"/>
        </w:rPr>
        <w:t xml:space="preserve"> – termed ‘disengagement’</w:t>
      </w:r>
      <w:r w:rsidRPr="001A1746">
        <w:rPr>
          <w:color w:val="000000" w:themeColor="text1"/>
        </w:rPr>
        <w:t xml:space="preserve">. Local disengagement rates </w:t>
      </w:r>
      <w:r>
        <w:rPr>
          <w:color w:val="000000" w:themeColor="text1"/>
        </w:rPr>
        <w:t>rose</w:t>
      </w:r>
      <w:r w:rsidRPr="001A1746">
        <w:rPr>
          <w:color w:val="000000" w:themeColor="text1"/>
        </w:rPr>
        <w:t xml:space="preserve"> with age, from 6.9% among 15-19 year-olds, to 13.2% among those aged 20-24 years. </w:t>
      </w:r>
    </w:p>
    <w:p w14:paraId="1FD9A5A5" w14:textId="77777777" w:rsidR="00955663" w:rsidRDefault="00955663" w:rsidP="00955663">
      <w:pPr>
        <w:tabs>
          <w:tab w:val="num" w:pos="720"/>
        </w:tabs>
        <w:spacing w:after="0" w:line="360" w:lineRule="auto"/>
        <w:jc w:val="both"/>
        <w:rPr>
          <w:color w:val="000000"/>
        </w:rPr>
      </w:pPr>
      <w:r w:rsidRPr="001A1746">
        <w:rPr>
          <w:b/>
          <w:noProof/>
          <w:color w:val="000000" w:themeColor="text1"/>
        </w:rPr>
        <w:drawing>
          <wp:anchor distT="0" distB="0" distL="114300" distR="114300" simplePos="0" relativeHeight="251817984" behindDoc="0" locked="0" layoutInCell="1" allowOverlap="1" wp14:anchorId="1422F6AA" wp14:editId="1C5DA683">
            <wp:simplePos x="0" y="0"/>
            <wp:positionH relativeFrom="margin">
              <wp:posOffset>4762</wp:posOffset>
            </wp:positionH>
            <wp:positionV relativeFrom="paragraph">
              <wp:posOffset>432435</wp:posOffset>
            </wp:positionV>
            <wp:extent cx="419100" cy="595630"/>
            <wp:effectExtent l="38100" t="95250" r="95250" b="33020"/>
            <wp:wrapNone/>
            <wp:docPr id="203" name="Picture 203" descr="A person look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looking at the camera&#10;&#10;Description automatically generated"/>
                    <pic:cNvPicPr/>
                  </pic:nvPicPr>
                  <pic:blipFill>
                    <a:blip r:embed="rId163" cstate="print">
                      <a:extLst>
                        <a:ext uri="{28A0092B-C50C-407E-A947-70E740481C1C}">
                          <a14:useLocalDpi xmlns:a14="http://schemas.microsoft.com/office/drawing/2010/main" val="0"/>
                        </a:ext>
                      </a:extLst>
                    </a:blip>
                    <a:stretch>
                      <a:fillRect/>
                    </a:stretch>
                  </pic:blipFill>
                  <pic:spPr>
                    <a:xfrm flipH="1">
                      <a:off x="0" y="0"/>
                      <a:ext cx="419100" cy="595630"/>
                    </a:xfrm>
                    <a:prstGeom prst="rect">
                      <a:avLst/>
                    </a:prstGeom>
                    <a:effectLst>
                      <a:outerShdw blurRad="50800" dist="38100" dir="18900000" algn="b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1A1746">
        <w:rPr>
          <w:color w:val="000000" w:themeColor="text1"/>
        </w:rPr>
        <w:t xml:space="preserve">In 2021, 7.8% of women aged 20 to 24 years had given birth, nearly twice the corresponding proportion of </w:t>
      </w:r>
      <w:r>
        <w:rPr>
          <w:color w:val="000000"/>
        </w:rPr>
        <w:t>4.1%, for metropolitan Melbourne.</w:t>
      </w:r>
    </w:p>
    <w:p w14:paraId="7BB46682" w14:textId="77777777" w:rsidR="00955663" w:rsidRPr="00F341DD" w:rsidRDefault="00955663" w:rsidP="00955663">
      <w:pPr>
        <w:tabs>
          <w:tab w:val="num" w:pos="720"/>
        </w:tabs>
        <w:spacing w:after="0" w:line="360" w:lineRule="auto"/>
        <w:jc w:val="both"/>
        <w:rPr>
          <w:color w:val="000000"/>
          <w:sz w:val="10"/>
          <w:szCs w:val="10"/>
        </w:rPr>
      </w:pPr>
    </w:p>
    <w:p w14:paraId="52CD7293" w14:textId="77777777" w:rsidR="00955663" w:rsidRDefault="00955663" w:rsidP="00955663">
      <w:pPr>
        <w:tabs>
          <w:tab w:val="num" w:pos="720"/>
        </w:tabs>
        <w:spacing w:after="0" w:line="360" w:lineRule="auto"/>
        <w:jc w:val="both"/>
        <w:rPr>
          <w:color w:val="000000"/>
        </w:rPr>
      </w:pPr>
    </w:p>
    <w:p w14:paraId="2EB15A3A" w14:textId="77777777" w:rsidR="00955663" w:rsidRPr="004A3B61" w:rsidRDefault="00955663" w:rsidP="00955663">
      <w:pPr>
        <w:spacing w:after="0" w:line="360" w:lineRule="auto"/>
        <w:jc w:val="both"/>
        <w:rPr>
          <w:b/>
          <w:color w:val="17365D"/>
        </w:rPr>
      </w:pPr>
      <w:r w:rsidRPr="00381A9A">
        <w:rPr>
          <w:b/>
          <w:color w:val="FFFFFF" w:themeColor="background1"/>
        </w:rPr>
        <w:t xml:space="preserve">                   </w:t>
      </w:r>
      <w:r>
        <w:rPr>
          <w:b/>
          <w:color w:val="17365D"/>
        </w:rPr>
        <w:t>Older Residents</w:t>
      </w:r>
    </w:p>
    <w:p w14:paraId="64DF4154" w14:textId="77777777" w:rsidR="00955663" w:rsidRPr="000F7A23" w:rsidRDefault="00955663" w:rsidP="00955663">
      <w:pPr>
        <w:tabs>
          <w:tab w:val="num" w:pos="720"/>
        </w:tabs>
        <w:spacing w:after="0" w:line="360" w:lineRule="auto"/>
        <w:jc w:val="both"/>
        <w:rPr>
          <w:color w:val="000000"/>
        </w:rPr>
      </w:pPr>
      <w:r>
        <w:rPr>
          <w:color w:val="000000"/>
        </w:rPr>
        <w:t xml:space="preserve">In 2021, 16% of residents were aged 65 years or more. </w:t>
      </w:r>
      <w:r w:rsidRPr="00DF32D9">
        <w:rPr>
          <w:color w:val="000000" w:themeColor="text1"/>
        </w:rPr>
        <w:t xml:space="preserve">76% of </w:t>
      </w:r>
      <w:r>
        <w:rPr>
          <w:color w:val="000000" w:themeColor="text1"/>
        </w:rPr>
        <w:t>these residents</w:t>
      </w:r>
      <w:r w:rsidRPr="00DF32D9">
        <w:rPr>
          <w:color w:val="000000" w:themeColor="text1"/>
        </w:rPr>
        <w:t xml:space="preserve"> were born overseas, compared with 41% across Victoria –</w:t>
      </w:r>
      <w:r>
        <w:rPr>
          <w:color w:val="000000" w:themeColor="text1"/>
        </w:rPr>
        <w:t xml:space="preserve"> </w:t>
      </w:r>
      <w:r w:rsidRPr="00DF32D9">
        <w:rPr>
          <w:color w:val="000000" w:themeColor="text1"/>
        </w:rPr>
        <w:t xml:space="preserve">the largest proportion in the State </w:t>
      </w:r>
    </w:p>
    <w:p w14:paraId="63DA20AF" w14:textId="77777777" w:rsidR="00955663" w:rsidRPr="00660453" w:rsidRDefault="00955663" w:rsidP="00955663">
      <w:pPr>
        <w:tabs>
          <w:tab w:val="num" w:pos="720"/>
        </w:tabs>
        <w:spacing w:after="0" w:line="360" w:lineRule="auto"/>
        <w:jc w:val="both"/>
        <w:rPr>
          <w:color w:val="C00000"/>
        </w:rPr>
      </w:pPr>
      <w:r w:rsidRPr="00660453">
        <w:rPr>
          <w:color w:val="000000" w:themeColor="text1"/>
        </w:rPr>
        <w:t xml:space="preserve">In 2021, sixty per cent of residents aged 65 or more spoke languages other than English at home, and 39% of </w:t>
      </w:r>
      <w:r>
        <w:rPr>
          <w:color w:val="000000"/>
        </w:rPr>
        <w:t>residents aged 65 or more had limited fluency in the use of spoken English, compared with 20% of older people across Victoria.</w:t>
      </w:r>
    </w:p>
    <w:p w14:paraId="4224CC5D" w14:textId="77777777" w:rsidR="00955663" w:rsidRPr="004A3B61" w:rsidRDefault="00955663" w:rsidP="00955663">
      <w:pPr>
        <w:tabs>
          <w:tab w:val="num" w:pos="720"/>
        </w:tabs>
        <w:spacing w:after="0" w:line="360" w:lineRule="auto"/>
        <w:jc w:val="both"/>
        <w:rPr>
          <w:color w:val="000000"/>
        </w:rPr>
      </w:pPr>
      <w:r w:rsidRPr="004A3B61">
        <w:rPr>
          <w:color w:val="000000"/>
        </w:rPr>
        <w:t>At $</w:t>
      </w:r>
      <w:r>
        <w:rPr>
          <w:color w:val="000000"/>
        </w:rPr>
        <w:t>707</w:t>
      </w:r>
      <w:r w:rsidRPr="004A3B61">
        <w:rPr>
          <w:color w:val="000000"/>
        </w:rPr>
        <w:t>, the median income among Greater Dandenong residents aged 55-</w:t>
      </w:r>
      <w:r>
        <w:rPr>
          <w:color w:val="000000"/>
        </w:rPr>
        <w:t>59 – many approaching their retirement - was substantially lower than the corresponding figure of $1,017 across Victoria.</w:t>
      </w:r>
    </w:p>
    <w:p w14:paraId="18C0F01E" w14:textId="77777777" w:rsidR="00955663" w:rsidRPr="004A3B61" w:rsidRDefault="00955663" w:rsidP="00955663">
      <w:pPr>
        <w:tabs>
          <w:tab w:val="num" w:pos="720"/>
        </w:tabs>
        <w:spacing w:after="0" w:line="360" w:lineRule="auto"/>
        <w:jc w:val="both"/>
        <w:rPr>
          <w:color w:val="000000"/>
        </w:rPr>
      </w:pPr>
      <w:r w:rsidRPr="004A3B61">
        <w:rPr>
          <w:color w:val="000000"/>
        </w:rPr>
        <w:t xml:space="preserve">The ratio of </w:t>
      </w:r>
      <w:r>
        <w:rPr>
          <w:color w:val="000000"/>
        </w:rPr>
        <w:t>a</w:t>
      </w:r>
      <w:r w:rsidRPr="004A3B61">
        <w:rPr>
          <w:color w:val="000000"/>
        </w:rPr>
        <w:t xml:space="preserve">ged </w:t>
      </w:r>
      <w:r>
        <w:rPr>
          <w:color w:val="000000"/>
        </w:rPr>
        <w:t>p</w:t>
      </w:r>
      <w:r w:rsidRPr="004A3B61">
        <w:rPr>
          <w:color w:val="000000"/>
        </w:rPr>
        <w:t xml:space="preserve">ension recipients to persons aged 65 years or more in Greater Dandenong was </w:t>
      </w:r>
      <w:r>
        <w:rPr>
          <w:color w:val="000000"/>
        </w:rPr>
        <w:t>68</w:t>
      </w:r>
      <w:r w:rsidRPr="004A3B61">
        <w:rPr>
          <w:color w:val="000000"/>
        </w:rPr>
        <w:t xml:space="preserve">% </w:t>
      </w:r>
      <w:r>
        <w:rPr>
          <w:color w:val="000000"/>
        </w:rPr>
        <w:t xml:space="preserve">in June 2022 </w:t>
      </w:r>
      <w:r w:rsidRPr="004A3B61">
        <w:rPr>
          <w:color w:val="000000"/>
        </w:rPr>
        <w:t>- the highest in Melbourne</w:t>
      </w:r>
      <w:r>
        <w:rPr>
          <w:color w:val="000000"/>
        </w:rPr>
        <w:t>, and 52% across metropolitan Melbourne,</w:t>
      </w:r>
      <w:r w:rsidRPr="004A3B61">
        <w:rPr>
          <w:color w:val="000000"/>
        </w:rPr>
        <w:t xml:space="preserve"> reflecting a </w:t>
      </w:r>
      <w:r>
        <w:rPr>
          <w:color w:val="000000"/>
        </w:rPr>
        <w:t>substantial</w:t>
      </w:r>
      <w:r w:rsidRPr="004A3B61">
        <w:rPr>
          <w:color w:val="000000"/>
        </w:rPr>
        <w:t xml:space="preserve"> dependency upon the pension for income support among these residents. </w:t>
      </w:r>
    </w:p>
    <w:p w14:paraId="3CC86AB1" w14:textId="77777777" w:rsidR="00955663" w:rsidRPr="00E514B6" w:rsidRDefault="00955663" w:rsidP="00955663">
      <w:pPr>
        <w:spacing w:after="0" w:line="360" w:lineRule="auto"/>
        <w:jc w:val="both"/>
        <w:rPr>
          <w:b/>
          <w:color w:val="17365D"/>
        </w:rPr>
      </w:pPr>
      <w:r w:rsidRPr="00381A9A">
        <w:rPr>
          <w:rFonts w:ascii="Calibri" w:hAnsi="Calibri"/>
          <w:b/>
          <w:noProof/>
          <w:color w:val="FFFFFF" w:themeColor="background1"/>
        </w:rPr>
        <w:drawing>
          <wp:anchor distT="0" distB="0" distL="114300" distR="114300" simplePos="0" relativeHeight="251825152" behindDoc="0" locked="0" layoutInCell="1" allowOverlap="1" wp14:anchorId="4FC99F65" wp14:editId="59C80E9A">
            <wp:simplePos x="0" y="0"/>
            <wp:positionH relativeFrom="margin">
              <wp:posOffset>38100</wp:posOffset>
            </wp:positionH>
            <wp:positionV relativeFrom="paragraph">
              <wp:posOffset>30031</wp:posOffset>
            </wp:positionV>
            <wp:extent cx="539750" cy="359410"/>
            <wp:effectExtent l="38100" t="95250" r="88900" b="40640"/>
            <wp:wrapNone/>
            <wp:docPr id="204" name="Picture 16" descr="Ch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Child 1"/>
                    <pic:cNvPicPr>
                      <a:picLocks noChangeAspect="1" noChangeArrowheads="1"/>
                    </pic:cNvPicPr>
                  </pic:nvPicPr>
                  <pic:blipFill>
                    <a:blip r:embed="rId72" cstate="print"/>
                    <a:srcRect/>
                    <a:stretch>
                      <a:fillRect/>
                    </a:stretch>
                  </pic:blipFill>
                  <pic:spPr bwMode="auto">
                    <a:xfrm>
                      <a:off x="0" y="0"/>
                      <a:ext cx="539750" cy="359410"/>
                    </a:xfrm>
                    <a:prstGeom prst="rect">
                      <a:avLst/>
                    </a:prstGeom>
                    <a:ln>
                      <a:noFill/>
                    </a:ln>
                    <a:effectLst>
                      <a:outerShdw blurRad="50800" dist="38100" dir="18900000" algn="b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381A9A">
        <w:rPr>
          <w:b/>
          <w:color w:val="FFFFFF" w:themeColor="background1"/>
        </w:rPr>
        <w:t xml:space="preserve">                   </w:t>
      </w:r>
      <w:r>
        <w:rPr>
          <w:b/>
          <w:color w:val="17365D"/>
        </w:rPr>
        <w:t>Indigenous Residents</w:t>
      </w:r>
    </w:p>
    <w:p w14:paraId="6FB1E030" w14:textId="77777777" w:rsidR="00955663" w:rsidRPr="00DE7548" w:rsidRDefault="00955663" w:rsidP="00955663">
      <w:pPr>
        <w:spacing w:after="0" w:line="360" w:lineRule="auto"/>
        <w:jc w:val="both"/>
        <w:rPr>
          <w:color w:val="000000" w:themeColor="text1"/>
        </w:rPr>
      </w:pPr>
      <w:r>
        <w:rPr>
          <w:color w:val="000000" w:themeColor="text1"/>
        </w:rPr>
        <w:t xml:space="preserve">                    </w:t>
      </w:r>
      <w:r w:rsidRPr="003A10F1">
        <w:rPr>
          <w:color w:val="000000" w:themeColor="text1"/>
        </w:rPr>
        <w:t xml:space="preserve">In 2021, nearly two-thirds (63%) of </w:t>
      </w:r>
      <w:r>
        <w:rPr>
          <w:color w:val="000000" w:themeColor="text1"/>
        </w:rPr>
        <w:t>I</w:t>
      </w:r>
      <w:r w:rsidRPr="003A10F1">
        <w:rPr>
          <w:color w:val="000000" w:themeColor="text1"/>
        </w:rPr>
        <w:t>ndigenous families with children in Greater Dandenong were one-parent families – over twice the level of 28% among the general population</w:t>
      </w:r>
      <w:r w:rsidRPr="00DE7548">
        <w:rPr>
          <w:color w:val="000000" w:themeColor="text1"/>
        </w:rPr>
        <w:t xml:space="preserve">. Early birth rates were </w:t>
      </w:r>
      <w:r w:rsidRPr="00DE7548">
        <w:rPr>
          <w:color w:val="000000" w:themeColor="text1"/>
        </w:rPr>
        <w:lastRenderedPageBreak/>
        <w:t xml:space="preserve">relatively high, with </w:t>
      </w:r>
      <w:r>
        <w:rPr>
          <w:color w:val="000000" w:themeColor="text1"/>
        </w:rPr>
        <w:t>7.1</w:t>
      </w:r>
      <w:r w:rsidRPr="00DE7548">
        <w:rPr>
          <w:color w:val="000000" w:themeColor="text1"/>
        </w:rPr>
        <w:t xml:space="preserve">% of 15-24 year-old </w:t>
      </w:r>
      <w:r>
        <w:rPr>
          <w:color w:val="000000" w:themeColor="text1"/>
        </w:rPr>
        <w:t>I</w:t>
      </w:r>
      <w:r w:rsidRPr="00DE7548">
        <w:rPr>
          <w:color w:val="000000" w:themeColor="text1"/>
        </w:rPr>
        <w:t xml:space="preserve">ndigenous women in Greater Dandenong having </w:t>
      </w:r>
      <w:r>
        <w:rPr>
          <w:color w:val="000000" w:themeColor="text1"/>
        </w:rPr>
        <w:t>given birth</w:t>
      </w:r>
      <w:r w:rsidRPr="00DE7548">
        <w:rPr>
          <w:color w:val="000000" w:themeColor="text1"/>
        </w:rPr>
        <w:t xml:space="preserve">, compared with </w:t>
      </w:r>
      <w:r>
        <w:rPr>
          <w:color w:val="000000" w:themeColor="text1"/>
        </w:rPr>
        <w:t>5</w:t>
      </w:r>
      <w:r w:rsidRPr="00DE7548">
        <w:rPr>
          <w:color w:val="000000" w:themeColor="text1"/>
        </w:rPr>
        <w:t>% of non-</w:t>
      </w:r>
      <w:r>
        <w:rPr>
          <w:color w:val="000000" w:themeColor="text1"/>
        </w:rPr>
        <w:t>I</w:t>
      </w:r>
      <w:r w:rsidRPr="00DE7548">
        <w:rPr>
          <w:color w:val="000000" w:themeColor="text1"/>
        </w:rPr>
        <w:t>ndigenous women of that age.</w:t>
      </w:r>
    </w:p>
    <w:p w14:paraId="15F2941E" w14:textId="77777777" w:rsidR="00955663" w:rsidRPr="00F14426" w:rsidRDefault="00955663" w:rsidP="00955663">
      <w:pPr>
        <w:spacing w:after="0" w:line="360" w:lineRule="auto"/>
        <w:jc w:val="both"/>
        <w:rPr>
          <w:color w:val="000000" w:themeColor="text1"/>
        </w:rPr>
      </w:pPr>
      <w:r w:rsidRPr="00F14426">
        <w:rPr>
          <w:color w:val="000000" w:themeColor="text1"/>
        </w:rPr>
        <w:t>In the same year, 44% of Indigenous residents in Greater Dandenong had left school early – more than the corresponding level of 29% among non-</w:t>
      </w:r>
      <w:r>
        <w:rPr>
          <w:color w:val="000000" w:themeColor="text1"/>
        </w:rPr>
        <w:t>I</w:t>
      </w:r>
      <w:r w:rsidRPr="00F14426">
        <w:rPr>
          <w:color w:val="000000" w:themeColor="text1"/>
        </w:rPr>
        <w:t>ndigenous young adults, while 3.3% of</w:t>
      </w:r>
      <w:r>
        <w:rPr>
          <w:color w:val="000000" w:themeColor="text1"/>
        </w:rPr>
        <w:t xml:space="preserve"> Indigenous</w:t>
      </w:r>
      <w:r w:rsidRPr="00F14426">
        <w:rPr>
          <w:color w:val="000000" w:themeColor="text1"/>
        </w:rPr>
        <w:t xml:space="preserve"> 25 to 44 year-olds held a degree</w:t>
      </w:r>
      <w:r>
        <w:rPr>
          <w:color w:val="000000" w:themeColor="text1"/>
        </w:rPr>
        <w:t>,</w:t>
      </w:r>
      <w:r w:rsidRPr="00F14426">
        <w:rPr>
          <w:color w:val="000000" w:themeColor="text1"/>
        </w:rPr>
        <w:t xml:space="preserve"> compared with 18% of non-Indigenous residents.</w:t>
      </w:r>
    </w:p>
    <w:p w14:paraId="1628EDFC" w14:textId="77777777" w:rsidR="00955663" w:rsidRPr="00F14426" w:rsidRDefault="00955663" w:rsidP="00955663">
      <w:pPr>
        <w:spacing w:after="0" w:line="360" w:lineRule="auto"/>
        <w:jc w:val="both"/>
        <w:rPr>
          <w:color w:val="000000" w:themeColor="text1"/>
        </w:rPr>
      </w:pPr>
      <w:r w:rsidRPr="00F14426">
        <w:rPr>
          <w:color w:val="000000" w:themeColor="text1"/>
        </w:rPr>
        <w:t xml:space="preserve">The </w:t>
      </w:r>
      <w:r>
        <w:rPr>
          <w:color w:val="000000" w:themeColor="text1"/>
        </w:rPr>
        <w:t>2021</w:t>
      </w:r>
      <w:r w:rsidRPr="00F14426">
        <w:rPr>
          <w:color w:val="000000" w:themeColor="text1"/>
        </w:rPr>
        <w:t xml:space="preserve"> Census recorded an unemployment rate of 15% among </w:t>
      </w:r>
      <w:r>
        <w:rPr>
          <w:color w:val="000000" w:themeColor="text1"/>
        </w:rPr>
        <w:t>I</w:t>
      </w:r>
      <w:r w:rsidRPr="00F14426">
        <w:rPr>
          <w:color w:val="000000" w:themeColor="text1"/>
        </w:rPr>
        <w:t xml:space="preserve">ndigenous residents, compared with 7% among the general population. </w:t>
      </w:r>
    </w:p>
    <w:p w14:paraId="3B3EA108" w14:textId="77777777" w:rsidR="00955663" w:rsidRDefault="00955663" w:rsidP="00955663">
      <w:pPr>
        <w:spacing w:after="0" w:line="360" w:lineRule="auto"/>
        <w:jc w:val="both"/>
        <w:rPr>
          <w:color w:val="000000" w:themeColor="text1"/>
        </w:rPr>
      </w:pPr>
      <w:r>
        <w:rPr>
          <w:color w:val="000000" w:themeColor="text1"/>
        </w:rPr>
        <w:t>Median personal weekly incomes among Indigenous residents of Greater Dandenong in 2021 were approximately four-fifths of those among the general population – at $489 and $619 respectively.</w:t>
      </w:r>
    </w:p>
    <w:p w14:paraId="6CB48A7E" w14:textId="77777777" w:rsidR="00955663" w:rsidRPr="003A10F1" w:rsidRDefault="00955663" w:rsidP="00955663">
      <w:pPr>
        <w:spacing w:after="0" w:line="360" w:lineRule="auto"/>
        <w:jc w:val="both"/>
        <w:rPr>
          <w:color w:val="000000" w:themeColor="text1"/>
        </w:rPr>
      </w:pPr>
      <w:r w:rsidRPr="003A10F1">
        <w:rPr>
          <w:color w:val="000000" w:themeColor="text1"/>
        </w:rPr>
        <w:t>The Census revealed that the prevalence of disability</w:t>
      </w:r>
      <w:r>
        <w:rPr>
          <w:color w:val="000000" w:themeColor="text1"/>
        </w:rPr>
        <w:t xml:space="preserve"> requiring daily assistance with self-care, mobility or communication,</w:t>
      </w:r>
      <w:r w:rsidRPr="003A10F1">
        <w:rPr>
          <w:color w:val="000000" w:themeColor="text1"/>
        </w:rPr>
        <w:t xml:space="preserve"> among Indigenous people in Greater Dandenong was 14.4% - nearly twice the corresponding rate of 7.7% among the general population. </w:t>
      </w:r>
      <w:r>
        <w:rPr>
          <w:color w:val="000000" w:themeColor="text1"/>
        </w:rPr>
        <w:t>In a relevant trend, long-term health conditions were experienced by 62% of Indigenous residents, compared with 28% of the general population.</w:t>
      </w:r>
    </w:p>
    <w:p w14:paraId="6531F4C3" w14:textId="77777777" w:rsidR="00955663" w:rsidRPr="00955663" w:rsidRDefault="00955663" w:rsidP="00955663">
      <w:pPr>
        <w:spacing w:after="0" w:line="360" w:lineRule="auto"/>
        <w:jc w:val="both"/>
        <w:rPr>
          <w:color w:val="000000"/>
          <w:sz w:val="8"/>
          <w:szCs w:val="8"/>
        </w:rPr>
      </w:pPr>
    </w:p>
    <w:p w14:paraId="4887D9BF" w14:textId="77777777" w:rsidR="00955663" w:rsidRPr="00E514B6" w:rsidRDefault="00955663" w:rsidP="00955663">
      <w:pPr>
        <w:spacing w:after="0" w:line="360" w:lineRule="auto"/>
        <w:jc w:val="both"/>
        <w:rPr>
          <w:b/>
          <w:color w:val="17365D"/>
        </w:rPr>
      </w:pPr>
      <w:r w:rsidRPr="00E514B6">
        <w:rPr>
          <w:b/>
          <w:color w:val="17365D"/>
        </w:rPr>
        <w:t>Overall Disadvantage</w:t>
      </w:r>
    </w:p>
    <w:p w14:paraId="1EB9465C" w14:textId="77777777" w:rsidR="00955663" w:rsidRDefault="00955663" w:rsidP="00955663">
      <w:pPr>
        <w:tabs>
          <w:tab w:val="num" w:pos="720"/>
        </w:tabs>
        <w:spacing w:after="0" w:line="360" w:lineRule="auto"/>
        <w:jc w:val="both"/>
      </w:pPr>
      <w:r w:rsidRPr="00E514B6">
        <w:t>The 201</w:t>
      </w:r>
      <w:r>
        <w:t>6</w:t>
      </w:r>
      <w:r w:rsidRPr="00E514B6">
        <w:t xml:space="preserve"> Index of Relative Socio-economic Disadvantage</w:t>
      </w:r>
      <w:r>
        <w:t xml:space="preserve">, </w:t>
      </w:r>
      <w:r w:rsidRPr="00E514B6">
        <w:t>based on the findings of the 201</w:t>
      </w:r>
      <w:r>
        <w:t>6</w:t>
      </w:r>
      <w:r w:rsidRPr="00E514B6">
        <w:t xml:space="preserve"> Census, </w:t>
      </w:r>
      <w:r>
        <w:t>ranked</w:t>
      </w:r>
      <w:r w:rsidRPr="00E514B6">
        <w:t xml:space="preserve"> Greater Dandenong as the</w:t>
      </w:r>
      <w:r>
        <w:t xml:space="preserve"> second</w:t>
      </w:r>
      <w:r w:rsidRPr="00E514B6">
        <w:t xml:space="preserve"> most disadvantaged municipality in Victoria</w:t>
      </w:r>
      <w:r>
        <w:t>, after Central Goldfields This is the same ranking as for 1996, 20 years ago</w:t>
      </w:r>
      <w:r w:rsidRPr="00E514B6">
        <w:t xml:space="preserve">. </w:t>
      </w:r>
      <w:r>
        <w:t>(An updated Index, based on the findings of the 2021 Census, has not yet been published by the Australian Bureau of Statistics).</w:t>
      </w:r>
    </w:p>
    <w:p w14:paraId="5BBF9028" w14:textId="6AE509DA" w:rsidR="00955663" w:rsidRDefault="00955663">
      <w:pPr>
        <w:rPr>
          <w:rFonts w:ascii="Calibri" w:hAnsi="Calibri"/>
          <w:color w:val="000000"/>
        </w:rPr>
      </w:pPr>
      <w:r>
        <w:rPr>
          <w:rFonts w:ascii="Calibri" w:hAnsi="Calibri"/>
          <w:color w:val="000000"/>
        </w:rPr>
        <w:br w:type="page"/>
      </w:r>
    </w:p>
    <w:p w14:paraId="5B1749FA" w14:textId="77777777" w:rsidR="00B53C77" w:rsidRPr="00AD1DAC" w:rsidRDefault="00B53C77" w:rsidP="00B53C77">
      <w:pPr>
        <w:pBdr>
          <w:top w:val="single" w:sz="4" w:space="1" w:color="auto"/>
          <w:bottom w:val="single" w:sz="4" w:space="1" w:color="auto"/>
        </w:pBdr>
        <w:tabs>
          <w:tab w:val="center" w:pos="4678"/>
        </w:tabs>
        <w:jc w:val="center"/>
        <w:rPr>
          <w:rFonts w:ascii="Calibri" w:eastAsia="Times New Roman" w:hAnsi="Calibri"/>
          <w:noProof/>
          <w:sz w:val="32"/>
          <w:szCs w:val="32"/>
          <w:lang w:val="en-US"/>
        </w:rPr>
      </w:pPr>
      <w:r w:rsidRPr="00AD1DAC">
        <w:rPr>
          <w:rFonts w:ascii="Calibri" w:eastAsia="Times New Roman" w:hAnsi="Calibri"/>
          <w:noProof/>
          <w:sz w:val="32"/>
          <w:szCs w:val="32"/>
          <w:lang w:val="en-US"/>
        </w:rPr>
        <w:lastRenderedPageBreak/>
        <w:t>Social Inclusion</w:t>
      </w:r>
      <w:r>
        <w:rPr>
          <w:rFonts w:ascii="Calibri" w:eastAsia="Times New Roman" w:hAnsi="Calibri"/>
          <w:noProof/>
          <w:sz w:val="32"/>
          <w:szCs w:val="32"/>
          <w:lang w:val="en-US"/>
        </w:rPr>
        <w:t xml:space="preserve"> and Personal Wellbeing</w:t>
      </w:r>
    </w:p>
    <w:p w14:paraId="277DE8B1" w14:textId="77777777" w:rsidR="00B53C77" w:rsidRDefault="00B53C77" w:rsidP="00B53C77">
      <w:pPr>
        <w:spacing w:after="0" w:line="360" w:lineRule="auto"/>
        <w:jc w:val="both"/>
        <w:rPr>
          <w:rFonts w:ascii="Calibri" w:hAnsi="Calibri"/>
        </w:rPr>
      </w:pPr>
      <w:r>
        <w:rPr>
          <w:rFonts w:ascii="Calibri" w:hAnsi="Calibri"/>
          <w:noProof/>
          <w:lang w:eastAsia="en-AU"/>
        </w:rPr>
        <w:drawing>
          <wp:anchor distT="0" distB="0" distL="114300" distR="114300" simplePos="0" relativeHeight="251830272" behindDoc="1" locked="0" layoutInCell="1" allowOverlap="1" wp14:anchorId="39479BAE" wp14:editId="0B2C3B14">
            <wp:simplePos x="0" y="0"/>
            <wp:positionH relativeFrom="column">
              <wp:posOffset>4907280</wp:posOffset>
            </wp:positionH>
            <wp:positionV relativeFrom="paragraph">
              <wp:posOffset>646430</wp:posOffset>
            </wp:positionV>
            <wp:extent cx="1287780" cy="810895"/>
            <wp:effectExtent l="0" t="0" r="7620" b="8255"/>
            <wp:wrapTight wrapText="bothSides">
              <wp:wrapPolygon edited="0">
                <wp:start x="320" y="0"/>
                <wp:lineTo x="0" y="2537"/>
                <wp:lineTo x="0" y="17253"/>
                <wp:lineTo x="320" y="21312"/>
                <wp:lineTo x="21089" y="21312"/>
                <wp:lineTo x="21408" y="18775"/>
                <wp:lineTo x="21408" y="2030"/>
                <wp:lineTo x="21089" y="0"/>
                <wp:lineTo x="320" y="0"/>
              </wp:wrapPolygon>
            </wp:wrapTight>
            <wp:docPr id="123" name="Picture 1" descr="F:\~ Photograph Database\Community Life\women in garde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 Photograph Database\Community Life\women in garden.jpg"/>
                    <pic:cNvPicPr>
                      <a:picLocks noChangeArrowheads="1"/>
                    </pic:cNvPicPr>
                  </pic:nvPicPr>
                  <pic:blipFill rotWithShape="1">
                    <a:blip r:embed="rId164" cstate="print"/>
                    <a:srcRect l="3319" t="2805" r="9996" b="13155"/>
                    <a:stretch/>
                  </pic:blipFill>
                  <pic:spPr bwMode="auto">
                    <a:xfrm>
                      <a:off x="0" y="0"/>
                      <a:ext cx="1287780" cy="81089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hAnsi="Calibri"/>
        </w:rPr>
        <w:t>A number of surveys have been conducted about general levels of satisfaction with life, connection with family and friends, affiliation with the community, feelings of trust in others, multiculturalism, and being heard or able exert an influence upon events of importance to them. Some surveys are conducted at a local level, supplying insights into local conditions. Others are undertaken at a state-wide or national level, but owing to their larger number of participants, still shed light upon variations in perceptions and experiences among people of different age, sex and socioeconomic circumstances.</w:t>
      </w:r>
    </w:p>
    <w:p w14:paraId="2454A538" w14:textId="77777777" w:rsidR="00B53C77" w:rsidRDefault="00B53C77" w:rsidP="00B53C77">
      <w:pPr>
        <w:spacing w:after="0" w:line="360" w:lineRule="auto"/>
        <w:jc w:val="both"/>
        <w:rPr>
          <w:rFonts w:ascii="Calibri" w:hAnsi="Calibri"/>
        </w:rPr>
      </w:pPr>
      <w:r>
        <w:rPr>
          <w:rFonts w:ascii="Calibri" w:hAnsi="Calibri"/>
        </w:rPr>
        <w:t>Some of these findings, and their relation to conditions in Greater Dandenong, are recounted here.</w:t>
      </w:r>
    </w:p>
    <w:p w14:paraId="5E5323CB" w14:textId="77777777" w:rsidR="00B53C77" w:rsidRPr="00E53FC0" w:rsidRDefault="00B53C77" w:rsidP="00B53C77">
      <w:pPr>
        <w:spacing w:after="0" w:line="360" w:lineRule="auto"/>
        <w:jc w:val="both"/>
        <w:rPr>
          <w:rFonts w:ascii="Calibri" w:hAnsi="Calibri"/>
          <w:b/>
        </w:rPr>
      </w:pPr>
      <w:r>
        <w:rPr>
          <w:rFonts w:ascii="Calibri" w:hAnsi="Calibri"/>
          <w:b/>
        </w:rPr>
        <w:t>Satisfaction with Life</w:t>
      </w:r>
    </w:p>
    <w:p w14:paraId="36910368" w14:textId="77777777" w:rsidR="00B53C77" w:rsidRPr="00744ED1" w:rsidRDefault="00B53C77" w:rsidP="00B53C77">
      <w:pPr>
        <w:spacing w:after="0" w:line="360" w:lineRule="auto"/>
        <w:jc w:val="both"/>
        <w:rPr>
          <w:rFonts w:ascii="Calibri" w:hAnsi="Calibri"/>
          <w:lang w:val="en-US"/>
        </w:rPr>
      </w:pPr>
      <w:r w:rsidRPr="00744ED1">
        <w:rPr>
          <w:rFonts w:ascii="Calibri" w:hAnsi="Calibri"/>
          <w:lang w:val="en-US"/>
        </w:rPr>
        <w:t>The</w:t>
      </w:r>
      <w:r>
        <w:rPr>
          <w:rFonts w:ascii="Calibri" w:hAnsi="Calibri"/>
          <w:lang w:val="en-US"/>
        </w:rPr>
        <w:t xml:space="preserve"> 2020</w:t>
      </w:r>
      <w:r w:rsidRPr="00744ED1">
        <w:rPr>
          <w:rFonts w:ascii="Calibri" w:hAnsi="Calibri"/>
          <w:lang w:val="en-US"/>
        </w:rPr>
        <w:t xml:space="preserve"> Victorian Population Health Survey found that 26.3% of Greater Dandenong residents felt a 'fair' or 'poor' level of satisfaction with life - the eight highest level in Victoria. Across metropolitan municipalities, low levels of satisfaction with life among residents of these municipalities were strongly associated with feelings that people could not be trusted, dissatisfaction with levels of contact with families or friends, limited contact with family</w:t>
      </w:r>
      <w:r>
        <w:rPr>
          <w:rFonts w:ascii="Calibri" w:hAnsi="Calibri"/>
          <w:lang w:val="en-US"/>
        </w:rPr>
        <w:t xml:space="preserve">, </w:t>
      </w:r>
      <w:r w:rsidRPr="00744ED1">
        <w:rPr>
          <w:rFonts w:ascii="Calibri" w:hAnsi="Calibri"/>
          <w:lang w:val="en-US"/>
        </w:rPr>
        <w:t>perceptions of not being valued by society</w:t>
      </w:r>
      <w:r>
        <w:rPr>
          <w:rFonts w:ascii="Calibri" w:hAnsi="Calibri"/>
          <w:lang w:val="en-US"/>
        </w:rPr>
        <w:t xml:space="preserve"> and</w:t>
      </w:r>
      <w:r w:rsidRPr="00744ED1">
        <w:rPr>
          <w:rFonts w:ascii="Calibri" w:hAnsi="Calibri"/>
          <w:lang w:val="en-US"/>
        </w:rPr>
        <w:t xml:space="preserve"> single parenthood</w:t>
      </w:r>
      <w:r>
        <w:rPr>
          <w:rFonts w:ascii="Calibri" w:hAnsi="Calibri"/>
          <w:lang w:val="en-US"/>
        </w:rPr>
        <w:t>.</w:t>
      </w:r>
    </w:p>
    <w:p w14:paraId="743C6C64" w14:textId="77777777" w:rsidR="00B53C77" w:rsidRPr="00202EA1" w:rsidRDefault="00B53C77" w:rsidP="00B53C77">
      <w:pPr>
        <w:spacing w:after="0" w:line="360" w:lineRule="auto"/>
        <w:jc w:val="both"/>
        <w:rPr>
          <w:rFonts w:ascii="Calibri" w:hAnsi="Calibri"/>
          <w:sz w:val="12"/>
          <w:szCs w:val="12"/>
          <w:lang w:val="en-US"/>
        </w:rPr>
      </w:pPr>
    </w:p>
    <w:p w14:paraId="4D1740B2" w14:textId="77777777" w:rsidR="00B53C77" w:rsidRPr="00202EA1" w:rsidRDefault="00B53C77" w:rsidP="00B53C77">
      <w:pPr>
        <w:spacing w:after="0" w:line="360" w:lineRule="auto"/>
        <w:jc w:val="both"/>
        <w:rPr>
          <w:rFonts w:ascii="Calibri" w:hAnsi="Calibri"/>
          <w:lang w:val="en-US"/>
        </w:rPr>
      </w:pPr>
      <w:r>
        <w:rPr>
          <w:rFonts w:ascii="Calibri" w:hAnsi="Calibri"/>
          <w:lang w:val="en-US"/>
        </w:rPr>
        <w:t>T</w:t>
      </w:r>
      <w:r w:rsidRPr="00202EA1">
        <w:rPr>
          <w:rFonts w:ascii="Calibri" w:hAnsi="Calibri"/>
          <w:lang w:val="en-US"/>
        </w:rPr>
        <w:t>he earlier</w:t>
      </w:r>
      <w:r>
        <w:rPr>
          <w:rFonts w:ascii="Calibri" w:hAnsi="Calibri"/>
          <w:lang w:val="en-US"/>
        </w:rPr>
        <w:t>,</w:t>
      </w:r>
      <w:r w:rsidRPr="00202EA1">
        <w:rPr>
          <w:rFonts w:ascii="Calibri" w:hAnsi="Calibri"/>
          <w:lang w:val="en-US"/>
        </w:rPr>
        <w:t xml:space="preserve"> 2015 VicHealth Indicators Survey</w:t>
      </w:r>
      <w:r>
        <w:rPr>
          <w:rFonts w:ascii="Calibri" w:hAnsi="Calibri"/>
          <w:lang w:val="en-US"/>
        </w:rPr>
        <w:t>,</w:t>
      </w:r>
      <w:r w:rsidRPr="00202EA1">
        <w:rPr>
          <w:rFonts w:ascii="Calibri" w:hAnsi="Calibri"/>
          <w:lang w:val="en-US"/>
        </w:rPr>
        <w:t xml:space="preserve"> </w:t>
      </w:r>
      <w:r>
        <w:rPr>
          <w:rFonts w:ascii="Calibri" w:hAnsi="Calibri"/>
          <w:lang w:val="en-US"/>
        </w:rPr>
        <w:t>sought to measure personal</w:t>
      </w:r>
      <w:r w:rsidRPr="00202EA1">
        <w:rPr>
          <w:rFonts w:ascii="Calibri" w:hAnsi="Calibri"/>
          <w:lang w:val="en-US"/>
        </w:rPr>
        <w:t xml:space="preserve"> wellbeing through responses to a sequence of questions concerning standard of living, achievements in life, community connection, personal relationships, safety and future security. The survey recorded an index of wellbeing of 75 for Greater Dandenong residents - the third lowest level in Victoria.</w:t>
      </w:r>
    </w:p>
    <w:p w14:paraId="1019DCFC" w14:textId="77777777" w:rsidR="00B53C77" w:rsidRPr="00202EA1" w:rsidRDefault="00B53C77" w:rsidP="00B53C77">
      <w:pPr>
        <w:spacing w:after="0" w:line="360" w:lineRule="auto"/>
        <w:jc w:val="both"/>
        <w:rPr>
          <w:rFonts w:ascii="Calibri" w:hAnsi="Calibri"/>
          <w:b/>
        </w:rPr>
      </w:pPr>
      <w:r w:rsidRPr="00202EA1">
        <w:rPr>
          <w:rFonts w:ascii="Calibri" w:hAnsi="Calibri"/>
          <w:b/>
        </w:rPr>
        <w:t>Wellbeing</w:t>
      </w:r>
    </w:p>
    <w:p w14:paraId="4B3F6DBD" w14:textId="501017BC" w:rsidR="00B53C77" w:rsidRPr="00744ED1" w:rsidRDefault="00B53C77" w:rsidP="00B53C77">
      <w:pPr>
        <w:spacing w:after="0" w:line="360" w:lineRule="auto"/>
        <w:jc w:val="both"/>
        <w:rPr>
          <w:rFonts w:ascii="Calibri" w:hAnsi="Calibri"/>
          <w:lang w:val="en-US"/>
        </w:rPr>
      </w:pPr>
      <w:r w:rsidRPr="00744ED1">
        <w:rPr>
          <w:rFonts w:ascii="Calibri" w:hAnsi="Calibri"/>
          <w:lang w:val="en-US"/>
        </w:rPr>
        <w:t xml:space="preserve">The </w:t>
      </w:r>
      <w:r>
        <w:rPr>
          <w:rFonts w:ascii="Calibri" w:hAnsi="Calibri"/>
          <w:lang w:val="en-US"/>
        </w:rPr>
        <w:t xml:space="preserve">2020 </w:t>
      </w:r>
      <w:r w:rsidRPr="00744ED1">
        <w:rPr>
          <w:rFonts w:ascii="Calibri" w:hAnsi="Calibri"/>
          <w:lang w:val="en-US"/>
        </w:rPr>
        <w:t xml:space="preserve">Victorian Population Health Survey also found that residents of Greater Dandenong scored relatively low </w:t>
      </w:r>
      <w:r>
        <w:rPr>
          <w:rFonts w:ascii="Calibri" w:hAnsi="Calibri"/>
          <w:lang w:val="en-US"/>
        </w:rPr>
        <w:t>in their perceptions of</w:t>
      </w:r>
      <w:r w:rsidRPr="00744ED1">
        <w:rPr>
          <w:rFonts w:ascii="Calibri" w:hAnsi="Calibri"/>
          <w:lang w:val="en-US"/>
        </w:rPr>
        <w:t xml:space="preserve"> trust, feeling valued by society and contact with friends an</w:t>
      </w:r>
      <w:r>
        <w:rPr>
          <w:rFonts w:ascii="Calibri" w:hAnsi="Calibri"/>
          <w:lang w:val="en-US"/>
        </w:rPr>
        <w:t xml:space="preserve">d </w:t>
      </w:r>
      <w:r w:rsidRPr="00744ED1">
        <w:rPr>
          <w:rFonts w:ascii="Calibri" w:hAnsi="Calibri"/>
          <w:lang w:val="en-US"/>
        </w:rPr>
        <w:t>family. These are set out in the accompanying table</w:t>
      </w:r>
      <w:r w:rsidR="00E87888">
        <w:rPr>
          <w:rFonts w:ascii="Calibri" w:hAnsi="Calibri"/>
          <w:lang w:val="en-US"/>
        </w:rPr>
        <w:t>.</w:t>
      </w:r>
    </w:p>
    <w:tbl>
      <w:tblPr>
        <w:tblW w:w="9639" w:type="dxa"/>
        <w:tblInd w:w="108" w:type="dxa"/>
        <w:tblLook w:val="04A0" w:firstRow="1" w:lastRow="0" w:firstColumn="1" w:lastColumn="0" w:noHBand="0" w:noVBand="1"/>
      </w:tblPr>
      <w:tblGrid>
        <w:gridCol w:w="3969"/>
        <w:gridCol w:w="5670"/>
      </w:tblGrid>
      <w:tr w:rsidR="00B53C77" w:rsidRPr="00744ED1" w14:paraId="1159A7B7" w14:textId="77777777" w:rsidTr="00B53C77">
        <w:trPr>
          <w:trHeight w:val="340"/>
        </w:trPr>
        <w:tc>
          <w:tcPr>
            <w:tcW w:w="3969" w:type="dxa"/>
            <w:tcBorders>
              <w:top w:val="single" w:sz="4" w:space="0" w:color="auto"/>
              <w:left w:val="nil"/>
              <w:bottom w:val="single" w:sz="4" w:space="0" w:color="auto"/>
              <w:right w:val="nil"/>
            </w:tcBorders>
            <w:shd w:val="clear" w:color="auto" w:fill="auto"/>
            <w:vAlign w:val="center"/>
            <w:hideMark/>
          </w:tcPr>
          <w:p w14:paraId="5B61BC5B" w14:textId="77777777" w:rsidR="00B53C77" w:rsidRPr="00744ED1" w:rsidRDefault="00B53C77" w:rsidP="00B53C77">
            <w:pPr>
              <w:spacing w:after="0" w:line="360" w:lineRule="auto"/>
              <w:rPr>
                <w:rFonts w:ascii="Calibri" w:eastAsia="Times New Roman" w:hAnsi="Calibri" w:cs="Calibri"/>
                <w:b/>
                <w:bCs/>
                <w:color w:val="203764"/>
                <w:sz w:val="18"/>
                <w:szCs w:val="18"/>
                <w:lang w:val="en-US"/>
              </w:rPr>
            </w:pPr>
            <w:r w:rsidRPr="00744ED1">
              <w:rPr>
                <w:rFonts w:ascii="Calibri" w:eastAsia="Times New Roman" w:hAnsi="Calibri" w:cs="Calibri"/>
                <w:b/>
                <w:bCs/>
                <w:color w:val="203764"/>
                <w:sz w:val="18"/>
                <w:szCs w:val="18"/>
                <w:lang w:val="en-US"/>
              </w:rPr>
              <w:t>Low/Medium Life Satisfaction</w:t>
            </w:r>
          </w:p>
        </w:tc>
        <w:tc>
          <w:tcPr>
            <w:tcW w:w="5670" w:type="dxa"/>
            <w:tcBorders>
              <w:top w:val="single" w:sz="4" w:space="0" w:color="auto"/>
              <w:left w:val="nil"/>
              <w:bottom w:val="single" w:sz="4" w:space="0" w:color="auto"/>
              <w:right w:val="nil"/>
            </w:tcBorders>
            <w:shd w:val="clear" w:color="auto" w:fill="auto"/>
            <w:vAlign w:val="center"/>
            <w:hideMark/>
          </w:tcPr>
          <w:p w14:paraId="4F83E0F3" w14:textId="77777777" w:rsidR="00B53C77" w:rsidRPr="00744ED1" w:rsidRDefault="00B53C77" w:rsidP="00B53C77">
            <w:pPr>
              <w:spacing w:after="0" w:line="360" w:lineRule="auto"/>
              <w:rPr>
                <w:rFonts w:ascii="Calibri" w:eastAsia="Times New Roman" w:hAnsi="Calibri" w:cs="Calibri"/>
                <w:color w:val="000000"/>
                <w:sz w:val="18"/>
                <w:szCs w:val="18"/>
                <w:lang w:val="en-US"/>
              </w:rPr>
            </w:pPr>
            <w:r w:rsidRPr="00744ED1">
              <w:rPr>
                <w:rFonts w:ascii="Calibri" w:eastAsia="Times New Roman" w:hAnsi="Calibri" w:cs="Calibri"/>
                <w:color w:val="000000"/>
                <w:sz w:val="18"/>
                <w:szCs w:val="18"/>
                <w:lang w:val="en-US"/>
              </w:rPr>
              <w:t xml:space="preserve"> 8th highest in Vic at 26.3%, and slightly higher than Vic level of 22.3</w:t>
            </w:r>
          </w:p>
        </w:tc>
      </w:tr>
      <w:tr w:rsidR="00B53C77" w:rsidRPr="00744ED1" w14:paraId="002DE9EC" w14:textId="77777777" w:rsidTr="00B53C77">
        <w:trPr>
          <w:trHeight w:val="340"/>
        </w:trPr>
        <w:tc>
          <w:tcPr>
            <w:tcW w:w="3969" w:type="dxa"/>
            <w:tcBorders>
              <w:top w:val="nil"/>
              <w:left w:val="nil"/>
              <w:bottom w:val="single" w:sz="4" w:space="0" w:color="auto"/>
              <w:right w:val="nil"/>
            </w:tcBorders>
            <w:shd w:val="clear" w:color="auto" w:fill="auto"/>
            <w:vAlign w:val="center"/>
            <w:hideMark/>
          </w:tcPr>
          <w:p w14:paraId="3783DE5D" w14:textId="77777777" w:rsidR="00B53C77" w:rsidRPr="00744ED1" w:rsidRDefault="00B53C77" w:rsidP="00B53C77">
            <w:pPr>
              <w:spacing w:after="0" w:line="360" w:lineRule="auto"/>
              <w:rPr>
                <w:rFonts w:ascii="Calibri" w:eastAsia="Times New Roman" w:hAnsi="Calibri" w:cs="Calibri"/>
                <w:b/>
                <w:bCs/>
                <w:color w:val="203764"/>
                <w:sz w:val="18"/>
                <w:szCs w:val="18"/>
                <w:lang w:val="en-US"/>
              </w:rPr>
            </w:pPr>
            <w:r w:rsidRPr="00744ED1">
              <w:rPr>
                <w:rFonts w:ascii="Calibri" w:eastAsia="Times New Roman" w:hAnsi="Calibri" w:cs="Calibri"/>
                <w:b/>
                <w:bCs/>
                <w:color w:val="203764"/>
                <w:sz w:val="18"/>
                <w:szCs w:val="18"/>
                <w:lang w:val="en-US"/>
              </w:rPr>
              <w:t>Feeling of Trust: most people could be trusted 'never' or 'not often'</w:t>
            </w:r>
          </w:p>
        </w:tc>
        <w:tc>
          <w:tcPr>
            <w:tcW w:w="5670" w:type="dxa"/>
            <w:tcBorders>
              <w:top w:val="nil"/>
              <w:left w:val="nil"/>
              <w:bottom w:val="single" w:sz="4" w:space="0" w:color="auto"/>
              <w:right w:val="nil"/>
            </w:tcBorders>
            <w:shd w:val="clear" w:color="auto" w:fill="auto"/>
            <w:vAlign w:val="center"/>
            <w:hideMark/>
          </w:tcPr>
          <w:p w14:paraId="58F6692E" w14:textId="77777777" w:rsidR="00B53C77" w:rsidRPr="00744ED1" w:rsidRDefault="00B53C77" w:rsidP="00B53C77">
            <w:pPr>
              <w:spacing w:after="0" w:line="360" w:lineRule="auto"/>
              <w:rPr>
                <w:rFonts w:ascii="Calibri" w:eastAsia="Times New Roman" w:hAnsi="Calibri" w:cs="Calibri"/>
                <w:color w:val="000000"/>
                <w:sz w:val="18"/>
                <w:szCs w:val="18"/>
                <w:lang w:val="en-US"/>
              </w:rPr>
            </w:pPr>
            <w:r w:rsidRPr="00744ED1">
              <w:rPr>
                <w:rFonts w:ascii="Calibri" w:eastAsia="Times New Roman" w:hAnsi="Calibri" w:cs="Calibri"/>
                <w:color w:val="000000"/>
                <w:sz w:val="18"/>
                <w:szCs w:val="18"/>
                <w:lang w:val="en-US"/>
              </w:rPr>
              <w:t>3rd highest in Vic at 22.2% and substantially higher than Victorian average (14.2%)</w:t>
            </w:r>
          </w:p>
        </w:tc>
      </w:tr>
      <w:tr w:rsidR="00B53C77" w:rsidRPr="00744ED1" w14:paraId="726684F9" w14:textId="77777777" w:rsidTr="00B53C77">
        <w:trPr>
          <w:trHeight w:val="340"/>
        </w:trPr>
        <w:tc>
          <w:tcPr>
            <w:tcW w:w="3969" w:type="dxa"/>
            <w:tcBorders>
              <w:top w:val="nil"/>
              <w:left w:val="nil"/>
              <w:bottom w:val="single" w:sz="4" w:space="0" w:color="auto"/>
              <w:right w:val="nil"/>
            </w:tcBorders>
            <w:shd w:val="clear" w:color="auto" w:fill="auto"/>
            <w:vAlign w:val="center"/>
            <w:hideMark/>
          </w:tcPr>
          <w:p w14:paraId="7C73BEE6" w14:textId="77777777" w:rsidR="00B53C77" w:rsidRPr="00744ED1" w:rsidRDefault="00B53C77" w:rsidP="00B53C77">
            <w:pPr>
              <w:spacing w:after="0" w:line="360" w:lineRule="auto"/>
              <w:rPr>
                <w:rFonts w:ascii="Calibri" w:eastAsia="Times New Roman" w:hAnsi="Calibri" w:cs="Calibri"/>
                <w:b/>
                <w:bCs/>
                <w:color w:val="203764"/>
                <w:sz w:val="18"/>
                <w:szCs w:val="18"/>
                <w:lang w:val="en-US"/>
              </w:rPr>
            </w:pPr>
            <w:r w:rsidRPr="00744ED1">
              <w:rPr>
                <w:rFonts w:ascii="Calibri" w:eastAsia="Times New Roman" w:hAnsi="Calibri" w:cs="Calibri"/>
                <w:b/>
                <w:bCs/>
                <w:color w:val="203764"/>
                <w:sz w:val="18"/>
                <w:szCs w:val="18"/>
                <w:lang w:val="en-US"/>
              </w:rPr>
              <w:t>I feel valued by society: 'never' or 'not often'</w:t>
            </w:r>
          </w:p>
        </w:tc>
        <w:tc>
          <w:tcPr>
            <w:tcW w:w="5670" w:type="dxa"/>
            <w:tcBorders>
              <w:top w:val="nil"/>
              <w:left w:val="nil"/>
              <w:bottom w:val="single" w:sz="4" w:space="0" w:color="auto"/>
              <w:right w:val="nil"/>
            </w:tcBorders>
            <w:shd w:val="clear" w:color="auto" w:fill="auto"/>
            <w:vAlign w:val="center"/>
            <w:hideMark/>
          </w:tcPr>
          <w:p w14:paraId="7F6F7849" w14:textId="77777777" w:rsidR="00B53C77" w:rsidRPr="00744ED1" w:rsidRDefault="00B53C77" w:rsidP="00B53C77">
            <w:pPr>
              <w:spacing w:after="0" w:line="360" w:lineRule="auto"/>
              <w:rPr>
                <w:rFonts w:ascii="Calibri" w:eastAsia="Times New Roman" w:hAnsi="Calibri" w:cs="Calibri"/>
                <w:color w:val="000000"/>
                <w:sz w:val="18"/>
                <w:szCs w:val="18"/>
                <w:lang w:val="en-US"/>
              </w:rPr>
            </w:pPr>
            <w:r w:rsidRPr="00744ED1">
              <w:rPr>
                <w:rFonts w:ascii="Calibri" w:eastAsia="Times New Roman" w:hAnsi="Calibri" w:cs="Calibri"/>
                <w:color w:val="000000"/>
                <w:sz w:val="18"/>
                <w:szCs w:val="18"/>
                <w:lang w:val="en-US"/>
              </w:rPr>
              <w:t>third highest in Victoria, at 17.1%, third highest in Victoria (11%)</w:t>
            </w:r>
          </w:p>
        </w:tc>
      </w:tr>
      <w:tr w:rsidR="00B53C77" w:rsidRPr="00744ED1" w14:paraId="52DB0ED6" w14:textId="77777777" w:rsidTr="00B53C77">
        <w:trPr>
          <w:trHeight w:val="340"/>
        </w:trPr>
        <w:tc>
          <w:tcPr>
            <w:tcW w:w="3969" w:type="dxa"/>
            <w:tcBorders>
              <w:top w:val="nil"/>
              <w:left w:val="nil"/>
              <w:bottom w:val="single" w:sz="4" w:space="0" w:color="auto"/>
              <w:right w:val="nil"/>
            </w:tcBorders>
            <w:shd w:val="clear" w:color="auto" w:fill="auto"/>
            <w:vAlign w:val="center"/>
            <w:hideMark/>
          </w:tcPr>
          <w:p w14:paraId="6208396B" w14:textId="77777777" w:rsidR="00B53C77" w:rsidRPr="00744ED1" w:rsidRDefault="00B53C77" w:rsidP="00B53C77">
            <w:pPr>
              <w:spacing w:after="0" w:line="360" w:lineRule="auto"/>
              <w:rPr>
                <w:rFonts w:ascii="Calibri" w:eastAsia="Times New Roman" w:hAnsi="Calibri" w:cs="Calibri"/>
                <w:b/>
                <w:bCs/>
                <w:color w:val="203764"/>
                <w:sz w:val="18"/>
                <w:szCs w:val="18"/>
                <w:lang w:val="en-US"/>
              </w:rPr>
            </w:pPr>
            <w:r w:rsidRPr="00744ED1">
              <w:rPr>
                <w:rFonts w:ascii="Calibri" w:eastAsia="Times New Roman" w:hAnsi="Calibri" w:cs="Calibri"/>
                <w:b/>
                <w:bCs/>
                <w:color w:val="203764"/>
                <w:sz w:val="18"/>
                <w:szCs w:val="18"/>
                <w:lang w:val="en-US"/>
              </w:rPr>
              <w:t>Has no close friends or family that they talk to regularly</w:t>
            </w:r>
          </w:p>
        </w:tc>
        <w:tc>
          <w:tcPr>
            <w:tcW w:w="5670" w:type="dxa"/>
            <w:tcBorders>
              <w:top w:val="nil"/>
              <w:left w:val="nil"/>
              <w:bottom w:val="single" w:sz="4" w:space="0" w:color="auto"/>
              <w:right w:val="nil"/>
            </w:tcBorders>
            <w:shd w:val="clear" w:color="auto" w:fill="auto"/>
            <w:vAlign w:val="center"/>
            <w:hideMark/>
          </w:tcPr>
          <w:p w14:paraId="708FAC8A" w14:textId="77777777" w:rsidR="00B53C77" w:rsidRPr="00744ED1" w:rsidRDefault="00B53C77" w:rsidP="00B53C77">
            <w:pPr>
              <w:spacing w:after="0" w:line="360" w:lineRule="auto"/>
              <w:rPr>
                <w:rFonts w:ascii="Calibri" w:eastAsia="Times New Roman" w:hAnsi="Calibri" w:cs="Calibri"/>
                <w:color w:val="000000"/>
                <w:sz w:val="18"/>
                <w:szCs w:val="18"/>
                <w:lang w:val="en-US"/>
              </w:rPr>
            </w:pPr>
            <w:r w:rsidRPr="00744ED1">
              <w:rPr>
                <w:rFonts w:ascii="Calibri" w:eastAsia="Times New Roman" w:hAnsi="Calibri" w:cs="Calibri"/>
                <w:color w:val="000000"/>
                <w:sz w:val="18"/>
                <w:szCs w:val="18"/>
                <w:lang w:val="en-US"/>
              </w:rPr>
              <w:t>highest in Vic at 9.3%, third highest in Victoria and about double the Victorian average (4.3%)</w:t>
            </w:r>
          </w:p>
        </w:tc>
      </w:tr>
    </w:tbl>
    <w:p w14:paraId="38D50661" w14:textId="77777777" w:rsidR="00B53C77" w:rsidRDefault="00B53C77" w:rsidP="00B53C77">
      <w:pPr>
        <w:spacing w:after="0" w:line="360" w:lineRule="auto"/>
        <w:jc w:val="both"/>
        <w:rPr>
          <w:rFonts w:ascii="Calibri" w:hAnsi="Calibri"/>
        </w:rPr>
      </w:pPr>
    </w:p>
    <w:p w14:paraId="5F627A86" w14:textId="77777777" w:rsidR="00B53C77" w:rsidRPr="00202EA1" w:rsidRDefault="00B53C77" w:rsidP="00B53C77">
      <w:pPr>
        <w:spacing w:after="0" w:line="360" w:lineRule="auto"/>
        <w:jc w:val="both"/>
        <w:rPr>
          <w:rFonts w:ascii="Calibri" w:hAnsi="Calibri"/>
          <w:b/>
        </w:rPr>
      </w:pPr>
      <w:r w:rsidRPr="00202EA1">
        <w:rPr>
          <w:rFonts w:ascii="Calibri" w:hAnsi="Calibri"/>
          <w:b/>
        </w:rPr>
        <w:t>Wellbeing</w:t>
      </w:r>
      <w:r>
        <w:rPr>
          <w:rFonts w:ascii="Calibri" w:hAnsi="Calibri"/>
          <w:b/>
        </w:rPr>
        <w:t>: Social Disadvantage, age and sex</w:t>
      </w:r>
    </w:p>
    <w:p w14:paraId="600344DD" w14:textId="77777777" w:rsidR="00B53C77" w:rsidRPr="00202EA1" w:rsidRDefault="00B53C77" w:rsidP="00B53C77">
      <w:pPr>
        <w:spacing w:after="0" w:line="360" w:lineRule="auto"/>
        <w:jc w:val="both"/>
        <w:rPr>
          <w:rFonts w:ascii="Calibri" w:hAnsi="Calibri"/>
          <w:lang w:val="en-US"/>
        </w:rPr>
      </w:pPr>
      <w:r w:rsidRPr="00202EA1">
        <w:rPr>
          <w:rFonts w:ascii="Calibri" w:hAnsi="Calibri"/>
          <w:lang w:val="en-US"/>
        </w:rPr>
        <w:t>Responses to inquiries featured in the 2015 VicHealth Survey showed that Victorians living in circumstances of disadvantage - among them, those</w:t>
      </w:r>
      <w:r>
        <w:rPr>
          <w:rFonts w:ascii="Calibri" w:hAnsi="Calibri"/>
          <w:lang w:val="en-US"/>
        </w:rPr>
        <w:t xml:space="preserve"> on</w:t>
      </w:r>
      <w:r w:rsidRPr="00202EA1">
        <w:rPr>
          <w:rFonts w:ascii="Calibri" w:hAnsi="Calibri"/>
          <w:lang w:val="en-US"/>
        </w:rPr>
        <w:t xml:space="preserve"> lower incomes, unemployed people, disabled residents,</w:t>
      </w:r>
      <w:r>
        <w:rPr>
          <w:rFonts w:ascii="Calibri" w:hAnsi="Calibri"/>
          <w:lang w:val="en-US"/>
        </w:rPr>
        <w:t xml:space="preserve"> members of</w:t>
      </w:r>
      <w:r w:rsidRPr="00202EA1">
        <w:rPr>
          <w:rFonts w:ascii="Calibri" w:hAnsi="Calibri"/>
          <w:lang w:val="en-US"/>
        </w:rPr>
        <w:t xml:space="preserve"> LGBTI</w:t>
      </w:r>
      <w:r>
        <w:rPr>
          <w:rFonts w:ascii="Calibri" w:hAnsi="Calibri"/>
          <w:lang w:val="en-US"/>
        </w:rPr>
        <w:t xml:space="preserve"> communities</w:t>
      </w:r>
      <w:r w:rsidRPr="00202EA1">
        <w:rPr>
          <w:rFonts w:ascii="Calibri" w:hAnsi="Calibri"/>
          <w:lang w:val="en-US"/>
        </w:rPr>
        <w:t xml:space="preserve">, or </w:t>
      </w:r>
      <w:r>
        <w:rPr>
          <w:rFonts w:ascii="Calibri" w:hAnsi="Calibri"/>
          <w:lang w:val="en-US"/>
        </w:rPr>
        <w:t>people</w:t>
      </w:r>
      <w:r w:rsidRPr="00202EA1">
        <w:rPr>
          <w:rFonts w:ascii="Calibri" w:hAnsi="Calibri"/>
          <w:lang w:val="en-US"/>
        </w:rPr>
        <w:t xml:space="preserve"> from non-English-speaking countries - tended to register less confidence in other</w:t>
      </w:r>
      <w:r>
        <w:rPr>
          <w:rFonts w:ascii="Calibri" w:hAnsi="Calibri"/>
          <w:lang w:val="en-US"/>
        </w:rPr>
        <w:t xml:space="preserve">s </w:t>
      </w:r>
      <w:r w:rsidRPr="00202EA1">
        <w:rPr>
          <w:rFonts w:ascii="Calibri" w:hAnsi="Calibri"/>
          <w:lang w:val="en-US"/>
        </w:rPr>
        <w:t xml:space="preserve">and satisfaction with life, than others. </w:t>
      </w:r>
    </w:p>
    <w:p w14:paraId="7875B87C" w14:textId="77777777" w:rsidR="00B53C77" w:rsidRPr="00202EA1" w:rsidRDefault="00B53C77" w:rsidP="00B53C77">
      <w:pPr>
        <w:spacing w:after="0" w:line="360" w:lineRule="auto"/>
        <w:jc w:val="both"/>
        <w:rPr>
          <w:rFonts w:ascii="Calibri" w:hAnsi="Calibri"/>
          <w:lang w:val="en-US"/>
        </w:rPr>
      </w:pPr>
      <w:r>
        <w:rPr>
          <w:rFonts w:ascii="Calibri" w:hAnsi="Calibri"/>
          <w:noProof/>
        </w:rPr>
        <w:lastRenderedPageBreak/>
        <w:drawing>
          <wp:anchor distT="0" distB="0" distL="114300" distR="114300" simplePos="0" relativeHeight="251827200" behindDoc="0" locked="0" layoutInCell="1" allowOverlap="1" wp14:anchorId="3AE33214" wp14:editId="3904EB81">
            <wp:simplePos x="0" y="0"/>
            <wp:positionH relativeFrom="column">
              <wp:posOffset>-1270</wp:posOffset>
            </wp:positionH>
            <wp:positionV relativeFrom="paragraph">
              <wp:posOffset>861060</wp:posOffset>
            </wp:positionV>
            <wp:extent cx="3695700" cy="2312670"/>
            <wp:effectExtent l="0" t="0" r="0" b="0"/>
            <wp:wrapSquare wrapText="bothSides"/>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695700" cy="2312670"/>
                    </a:xfrm>
                    <a:prstGeom prst="rect">
                      <a:avLst/>
                    </a:prstGeom>
                    <a:noFill/>
                  </pic:spPr>
                </pic:pic>
              </a:graphicData>
            </a:graphic>
            <wp14:sizeRelH relativeFrom="page">
              <wp14:pctWidth>0</wp14:pctWidth>
            </wp14:sizeRelH>
            <wp14:sizeRelV relativeFrom="page">
              <wp14:pctHeight>0</wp14:pctHeight>
            </wp14:sizeRelV>
          </wp:anchor>
        </w:drawing>
      </w:r>
      <w:r w:rsidRPr="00202EA1">
        <w:rPr>
          <w:rFonts w:ascii="Calibri" w:hAnsi="Calibri"/>
          <w:lang w:val="en-US"/>
        </w:rPr>
        <w:t xml:space="preserve">The 2020/21 National Study of Mental Health and Wellbeing </w:t>
      </w:r>
      <w:r>
        <w:rPr>
          <w:rFonts w:ascii="Calibri" w:hAnsi="Calibri"/>
          <w:lang w:val="en-US"/>
        </w:rPr>
        <w:t>provides</w:t>
      </w:r>
      <w:r w:rsidRPr="00202EA1">
        <w:rPr>
          <w:rFonts w:ascii="Calibri" w:hAnsi="Calibri"/>
          <w:lang w:val="en-US"/>
        </w:rPr>
        <w:t xml:space="preserve"> some suggestion of how measures of social connection vary with age and sex, which may hold some relevance here.</w:t>
      </w:r>
      <w:r>
        <w:rPr>
          <w:rFonts w:ascii="Calibri" w:hAnsi="Calibri"/>
          <w:lang w:val="en-US"/>
        </w:rPr>
        <w:t xml:space="preserve"> It</w:t>
      </w:r>
      <w:r w:rsidRPr="00202EA1">
        <w:rPr>
          <w:rFonts w:ascii="Calibri" w:hAnsi="Calibri"/>
          <w:lang w:val="en-US"/>
        </w:rPr>
        <w:t xml:space="preserve"> found that 6.3% of people aged 16-85 years - including similar proportions of women and men - felt that they received 'fair' or 'poor' support from friends or family. Notably, among those aged 16-34 years, the prevalence of such limited perceived support was twice as high among women, at 9.8%, as among men, at 5.1%.</w:t>
      </w:r>
    </w:p>
    <w:p w14:paraId="573363F5" w14:textId="77777777" w:rsidR="00B53C77" w:rsidRDefault="00B53C77" w:rsidP="00B53C77">
      <w:pPr>
        <w:spacing w:after="0" w:line="360" w:lineRule="auto"/>
        <w:jc w:val="both"/>
        <w:rPr>
          <w:rFonts w:ascii="Calibri" w:hAnsi="Calibri"/>
        </w:rPr>
      </w:pPr>
    </w:p>
    <w:p w14:paraId="698E9208" w14:textId="77777777" w:rsidR="00B53C77" w:rsidRPr="00202EA1" w:rsidRDefault="00B53C77" w:rsidP="00B53C77">
      <w:pPr>
        <w:spacing w:after="0" w:line="240" w:lineRule="auto"/>
        <w:jc w:val="both"/>
        <w:rPr>
          <w:rFonts w:ascii="Calibri" w:hAnsi="Calibri"/>
          <w:color w:val="7F7F7F" w:themeColor="text1" w:themeTint="80"/>
          <w:sz w:val="20"/>
          <w:szCs w:val="20"/>
        </w:rPr>
      </w:pPr>
      <w:r w:rsidRPr="00202EA1">
        <w:rPr>
          <w:rFonts w:ascii="Calibri" w:hAnsi="Calibri"/>
          <w:color w:val="7F7F7F" w:themeColor="text1" w:themeTint="80"/>
          <w:sz w:val="20"/>
          <w:szCs w:val="20"/>
        </w:rPr>
        <w:t>Perceptions of limited support from families, by sex and age: Australia, 2020</w:t>
      </w:r>
    </w:p>
    <w:p w14:paraId="1D85298E" w14:textId="77777777" w:rsidR="00B53C77" w:rsidRDefault="00B53C77" w:rsidP="00B53C77">
      <w:pPr>
        <w:spacing w:after="0" w:line="360" w:lineRule="auto"/>
        <w:jc w:val="both"/>
        <w:rPr>
          <w:rFonts w:ascii="Calibri" w:hAnsi="Calibri"/>
        </w:rPr>
      </w:pPr>
    </w:p>
    <w:p w14:paraId="1897EE9A" w14:textId="6303930F" w:rsidR="00B53C77" w:rsidRDefault="00B53C77" w:rsidP="00B53C77">
      <w:pPr>
        <w:spacing w:after="0" w:line="360" w:lineRule="auto"/>
        <w:jc w:val="both"/>
        <w:rPr>
          <w:rFonts w:ascii="Calibri" w:hAnsi="Calibri"/>
        </w:rPr>
      </w:pPr>
    </w:p>
    <w:p w14:paraId="1B2D9785" w14:textId="3F1A8077" w:rsidR="00B53C77" w:rsidRDefault="00B53C77" w:rsidP="00B53C77">
      <w:pPr>
        <w:spacing w:after="0" w:line="360" w:lineRule="auto"/>
        <w:jc w:val="both"/>
        <w:rPr>
          <w:rFonts w:ascii="Calibri" w:hAnsi="Calibri"/>
        </w:rPr>
      </w:pPr>
    </w:p>
    <w:p w14:paraId="76BF2314" w14:textId="77777777" w:rsidR="00B53C77" w:rsidRDefault="00B53C77" w:rsidP="00B53C77">
      <w:pPr>
        <w:spacing w:after="0" w:line="360" w:lineRule="auto"/>
        <w:jc w:val="both"/>
        <w:rPr>
          <w:rFonts w:ascii="Calibri" w:hAnsi="Calibri"/>
        </w:rPr>
      </w:pPr>
    </w:p>
    <w:p w14:paraId="17A93E66" w14:textId="77777777" w:rsidR="00B53C77" w:rsidRPr="00202EA1" w:rsidRDefault="00B53C77" w:rsidP="00B53C77">
      <w:pPr>
        <w:spacing w:after="0" w:line="360" w:lineRule="auto"/>
        <w:jc w:val="both"/>
        <w:rPr>
          <w:rFonts w:ascii="Calibri" w:hAnsi="Calibri"/>
          <w:lang w:val="en-US"/>
        </w:rPr>
      </w:pPr>
      <w:r>
        <w:rPr>
          <w:rFonts w:ascii="Calibri" w:hAnsi="Calibri"/>
          <w:noProof/>
        </w:rPr>
        <w:drawing>
          <wp:anchor distT="0" distB="0" distL="114300" distR="114300" simplePos="0" relativeHeight="251828224" behindDoc="0" locked="0" layoutInCell="1" allowOverlap="1" wp14:anchorId="0CCB7D39" wp14:editId="758FA083">
            <wp:simplePos x="0" y="0"/>
            <wp:positionH relativeFrom="column">
              <wp:posOffset>2365375</wp:posOffset>
            </wp:positionH>
            <wp:positionV relativeFrom="paragraph">
              <wp:posOffset>10160</wp:posOffset>
            </wp:positionV>
            <wp:extent cx="3711575" cy="2357120"/>
            <wp:effectExtent l="0" t="0" r="3175" b="5080"/>
            <wp:wrapSquare wrapText="bothSides"/>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711575" cy="2357120"/>
                    </a:xfrm>
                    <a:prstGeom prst="rect">
                      <a:avLst/>
                    </a:prstGeom>
                    <a:noFill/>
                  </pic:spPr>
                </pic:pic>
              </a:graphicData>
            </a:graphic>
            <wp14:sizeRelH relativeFrom="page">
              <wp14:pctWidth>0</wp14:pctWidth>
            </wp14:sizeRelH>
            <wp14:sizeRelV relativeFrom="page">
              <wp14:pctHeight>0</wp14:pctHeight>
            </wp14:sizeRelV>
          </wp:anchor>
        </w:drawing>
      </w:r>
      <w:r w:rsidRPr="00202EA1">
        <w:rPr>
          <w:rFonts w:ascii="Calibri" w:hAnsi="Calibri"/>
          <w:lang w:val="en-US"/>
        </w:rPr>
        <w:t xml:space="preserve">The survey </w:t>
      </w:r>
      <w:r>
        <w:rPr>
          <w:rFonts w:ascii="Calibri" w:hAnsi="Calibri"/>
          <w:lang w:val="en-US"/>
        </w:rPr>
        <w:t>also determined</w:t>
      </w:r>
      <w:r w:rsidRPr="00202EA1">
        <w:rPr>
          <w:rFonts w:ascii="Calibri" w:hAnsi="Calibri"/>
          <w:lang w:val="en-US"/>
        </w:rPr>
        <w:t xml:space="preserve"> that 6.3% of participants felt 'fair' or 'poor' confidence in having their say about social issues. The prevalence of such concerns was similar for males and females, and highest among younger people, at 8.</w:t>
      </w:r>
      <w:r>
        <w:rPr>
          <w:rFonts w:ascii="Calibri" w:hAnsi="Calibri"/>
          <w:lang w:val="en-US"/>
        </w:rPr>
        <w:t>4</w:t>
      </w:r>
      <w:r w:rsidRPr="00202EA1">
        <w:rPr>
          <w:rFonts w:ascii="Calibri" w:hAnsi="Calibri"/>
          <w:lang w:val="en-US"/>
        </w:rPr>
        <w:t>%.</w:t>
      </w:r>
    </w:p>
    <w:p w14:paraId="52CB8839" w14:textId="77777777" w:rsidR="00B53C77" w:rsidRPr="00202EA1" w:rsidRDefault="00B53C77" w:rsidP="00B53C77">
      <w:pPr>
        <w:spacing w:after="0" w:line="360" w:lineRule="auto"/>
        <w:jc w:val="both"/>
        <w:rPr>
          <w:rFonts w:ascii="Calibri" w:hAnsi="Calibri"/>
          <w:sz w:val="12"/>
          <w:szCs w:val="12"/>
        </w:rPr>
      </w:pPr>
    </w:p>
    <w:p w14:paraId="6535E33F" w14:textId="77777777" w:rsidR="00B53C77" w:rsidRPr="00202EA1" w:rsidRDefault="00B53C77" w:rsidP="00B53C77">
      <w:pPr>
        <w:spacing w:after="0" w:line="240" w:lineRule="auto"/>
        <w:jc w:val="both"/>
        <w:rPr>
          <w:rFonts w:ascii="Calibri" w:hAnsi="Calibri"/>
          <w:color w:val="7F7F7F" w:themeColor="text1" w:themeTint="80"/>
          <w:sz w:val="20"/>
          <w:szCs w:val="20"/>
        </w:rPr>
      </w:pPr>
      <w:r w:rsidRPr="00202EA1">
        <w:rPr>
          <w:rFonts w:ascii="Calibri" w:hAnsi="Calibri"/>
          <w:color w:val="7F7F7F" w:themeColor="text1" w:themeTint="80"/>
          <w:sz w:val="20"/>
          <w:szCs w:val="20"/>
        </w:rPr>
        <w:t xml:space="preserve">Perceptions of </w:t>
      </w:r>
      <w:r>
        <w:rPr>
          <w:rFonts w:ascii="Calibri" w:hAnsi="Calibri"/>
          <w:color w:val="7F7F7F" w:themeColor="text1" w:themeTint="80"/>
          <w:sz w:val="20"/>
          <w:szCs w:val="20"/>
        </w:rPr>
        <w:t>‘fair’ or ‘poor’ confidence in having your say about social issues</w:t>
      </w:r>
      <w:r w:rsidRPr="00202EA1">
        <w:rPr>
          <w:rFonts w:ascii="Calibri" w:hAnsi="Calibri"/>
          <w:color w:val="7F7F7F" w:themeColor="text1" w:themeTint="80"/>
          <w:sz w:val="20"/>
          <w:szCs w:val="20"/>
        </w:rPr>
        <w:t>: Australia, 2020</w:t>
      </w:r>
    </w:p>
    <w:p w14:paraId="5F5BE158" w14:textId="77777777" w:rsidR="00B53C77" w:rsidRDefault="00B53C77" w:rsidP="00B53C77">
      <w:pPr>
        <w:spacing w:after="0" w:line="360" w:lineRule="auto"/>
        <w:jc w:val="both"/>
        <w:rPr>
          <w:rFonts w:ascii="Calibri" w:hAnsi="Calibri"/>
        </w:rPr>
      </w:pPr>
    </w:p>
    <w:p w14:paraId="62E0D7AA" w14:textId="77777777" w:rsidR="00B53C77" w:rsidRDefault="00B53C77" w:rsidP="00B53C77">
      <w:pPr>
        <w:spacing w:after="0" w:line="360" w:lineRule="auto"/>
        <w:jc w:val="both"/>
        <w:rPr>
          <w:rFonts w:ascii="Calibri" w:hAnsi="Calibri"/>
          <w:lang w:val="en-US"/>
        </w:rPr>
      </w:pPr>
      <w:r>
        <w:rPr>
          <w:rFonts w:ascii="Calibri" w:hAnsi="Calibri"/>
          <w:noProof/>
        </w:rPr>
        <w:drawing>
          <wp:anchor distT="0" distB="0" distL="114300" distR="114300" simplePos="0" relativeHeight="251831296" behindDoc="0" locked="0" layoutInCell="1" allowOverlap="1" wp14:anchorId="220DB342" wp14:editId="02A2B396">
            <wp:simplePos x="0" y="0"/>
            <wp:positionH relativeFrom="column">
              <wp:posOffset>-635</wp:posOffset>
            </wp:positionH>
            <wp:positionV relativeFrom="paragraph">
              <wp:posOffset>18097</wp:posOffset>
            </wp:positionV>
            <wp:extent cx="3943350" cy="2368635"/>
            <wp:effectExtent l="0" t="0" r="0" b="0"/>
            <wp:wrapSquare wrapText="bothSides"/>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943350" cy="2368635"/>
                    </a:xfrm>
                    <a:prstGeom prst="rect">
                      <a:avLst/>
                    </a:prstGeom>
                    <a:noFill/>
                  </pic:spPr>
                </pic:pic>
              </a:graphicData>
            </a:graphic>
            <wp14:sizeRelH relativeFrom="page">
              <wp14:pctWidth>0</wp14:pctWidth>
            </wp14:sizeRelH>
            <wp14:sizeRelV relativeFrom="page">
              <wp14:pctHeight>0</wp14:pctHeight>
            </wp14:sizeRelV>
          </wp:anchor>
        </w:drawing>
      </w:r>
      <w:r w:rsidRPr="0077777E">
        <w:rPr>
          <w:rFonts w:ascii="Calibri" w:hAnsi="Calibri"/>
          <w:lang w:val="en-US"/>
        </w:rPr>
        <w:t xml:space="preserve">Finally, the </w:t>
      </w:r>
      <w:r>
        <w:rPr>
          <w:rFonts w:ascii="Calibri" w:hAnsi="Calibri"/>
          <w:lang w:val="en-US"/>
        </w:rPr>
        <w:t>Study</w:t>
      </w:r>
      <w:r w:rsidRPr="0077777E">
        <w:rPr>
          <w:rFonts w:ascii="Calibri" w:hAnsi="Calibri"/>
          <w:lang w:val="en-US"/>
        </w:rPr>
        <w:t xml:space="preserve"> inquired about participants' perceptions of connection with the community, finding that 12.9% of Australians aged 16-85 years felt a 'fair' or 'poor' sense of being part of a community. </w:t>
      </w:r>
    </w:p>
    <w:p w14:paraId="66BE87C5" w14:textId="77777777" w:rsidR="00B53C77" w:rsidRPr="0077777E" w:rsidRDefault="00B53C77" w:rsidP="00B53C77">
      <w:pPr>
        <w:spacing w:after="0" w:line="360" w:lineRule="auto"/>
        <w:jc w:val="both"/>
        <w:rPr>
          <w:rFonts w:ascii="Calibri" w:hAnsi="Calibri"/>
          <w:sz w:val="10"/>
          <w:szCs w:val="10"/>
          <w:lang w:val="en-US"/>
        </w:rPr>
      </w:pPr>
    </w:p>
    <w:p w14:paraId="366B89CD" w14:textId="77777777" w:rsidR="00B53C77" w:rsidRPr="00202EA1" w:rsidRDefault="00B53C77" w:rsidP="00B53C77">
      <w:pPr>
        <w:spacing w:after="0" w:line="240" w:lineRule="auto"/>
        <w:jc w:val="both"/>
        <w:rPr>
          <w:rFonts w:ascii="Calibri" w:hAnsi="Calibri"/>
          <w:color w:val="7F7F7F" w:themeColor="text1" w:themeTint="80"/>
          <w:sz w:val="20"/>
          <w:szCs w:val="20"/>
        </w:rPr>
      </w:pPr>
      <w:r w:rsidRPr="00202EA1">
        <w:rPr>
          <w:rFonts w:ascii="Calibri" w:hAnsi="Calibri"/>
          <w:color w:val="7F7F7F" w:themeColor="text1" w:themeTint="80"/>
          <w:sz w:val="20"/>
          <w:szCs w:val="20"/>
        </w:rPr>
        <w:t xml:space="preserve">Perceptions of </w:t>
      </w:r>
      <w:r>
        <w:rPr>
          <w:rFonts w:ascii="Calibri" w:hAnsi="Calibri"/>
          <w:color w:val="7F7F7F" w:themeColor="text1" w:themeTint="80"/>
          <w:sz w:val="20"/>
          <w:szCs w:val="20"/>
        </w:rPr>
        <w:t>‘fair’ or ‘poor’ connection with the community</w:t>
      </w:r>
      <w:r w:rsidRPr="00202EA1">
        <w:rPr>
          <w:rFonts w:ascii="Calibri" w:hAnsi="Calibri"/>
          <w:color w:val="7F7F7F" w:themeColor="text1" w:themeTint="80"/>
          <w:sz w:val="20"/>
          <w:szCs w:val="20"/>
        </w:rPr>
        <w:t>: Australia, 2020</w:t>
      </w:r>
    </w:p>
    <w:p w14:paraId="56925344" w14:textId="0B8733FC" w:rsidR="00B53C77" w:rsidRDefault="00B53C77" w:rsidP="00B53C77">
      <w:pPr>
        <w:spacing w:after="0" w:line="360" w:lineRule="auto"/>
        <w:jc w:val="both"/>
        <w:rPr>
          <w:rFonts w:ascii="Calibri" w:hAnsi="Calibri"/>
          <w:lang w:val="en-US"/>
        </w:rPr>
      </w:pPr>
    </w:p>
    <w:p w14:paraId="5CE1F1BC" w14:textId="77777777" w:rsidR="00B53C77" w:rsidRDefault="00B53C77" w:rsidP="00B53C77">
      <w:pPr>
        <w:spacing w:after="0" w:line="360" w:lineRule="auto"/>
        <w:jc w:val="both"/>
        <w:rPr>
          <w:rFonts w:ascii="Calibri" w:hAnsi="Calibri"/>
          <w:lang w:val="en-US"/>
        </w:rPr>
      </w:pPr>
    </w:p>
    <w:p w14:paraId="469130B8" w14:textId="77777777" w:rsidR="00B53C77" w:rsidRPr="0077777E" w:rsidRDefault="00B53C77" w:rsidP="00B53C77">
      <w:pPr>
        <w:spacing w:after="0" w:line="360" w:lineRule="auto"/>
        <w:jc w:val="both"/>
        <w:rPr>
          <w:rFonts w:ascii="Calibri" w:hAnsi="Calibri"/>
          <w:lang w:val="en-US"/>
        </w:rPr>
      </w:pPr>
      <w:r>
        <w:rPr>
          <w:rFonts w:ascii="Calibri" w:hAnsi="Calibri"/>
          <w:lang w:val="en-US"/>
        </w:rPr>
        <w:t>T</w:t>
      </w:r>
      <w:r w:rsidRPr="0077777E">
        <w:rPr>
          <w:rFonts w:ascii="Calibri" w:hAnsi="Calibri"/>
          <w:lang w:val="en-US"/>
        </w:rPr>
        <w:t>he results differed little with age and sex, with the exception that, among people aged 16-34 years, nearly 15% of women</w:t>
      </w:r>
      <w:r>
        <w:rPr>
          <w:rFonts w:ascii="Calibri" w:hAnsi="Calibri"/>
          <w:lang w:val="en-US"/>
        </w:rPr>
        <w:t>,</w:t>
      </w:r>
      <w:r w:rsidRPr="0077777E">
        <w:rPr>
          <w:rFonts w:ascii="Calibri" w:hAnsi="Calibri"/>
          <w:lang w:val="en-US"/>
        </w:rPr>
        <w:t xml:space="preserve"> </w:t>
      </w:r>
      <w:r>
        <w:rPr>
          <w:rFonts w:ascii="Calibri" w:hAnsi="Calibri"/>
          <w:lang w:val="en-US"/>
        </w:rPr>
        <w:t>compared with</w:t>
      </w:r>
      <w:r w:rsidRPr="0077777E">
        <w:rPr>
          <w:rFonts w:ascii="Calibri" w:hAnsi="Calibri"/>
          <w:lang w:val="en-US"/>
        </w:rPr>
        <w:t xml:space="preserve"> 9.5% of men</w:t>
      </w:r>
      <w:r>
        <w:rPr>
          <w:rFonts w:ascii="Calibri" w:hAnsi="Calibri"/>
          <w:lang w:val="en-US"/>
        </w:rPr>
        <w:t>,</w:t>
      </w:r>
      <w:r w:rsidRPr="0077777E">
        <w:rPr>
          <w:rFonts w:ascii="Calibri" w:hAnsi="Calibri"/>
          <w:lang w:val="en-US"/>
        </w:rPr>
        <w:t xml:space="preserve"> felt such limited connection with a wider community.</w:t>
      </w:r>
    </w:p>
    <w:p w14:paraId="4B06D497" w14:textId="77777777" w:rsidR="00B53C77" w:rsidRPr="009957B7" w:rsidRDefault="00B53C77" w:rsidP="00B53C77">
      <w:pPr>
        <w:spacing w:after="0" w:line="360" w:lineRule="auto"/>
        <w:jc w:val="both"/>
        <w:rPr>
          <w:rFonts w:ascii="Calibri" w:hAnsi="Calibri"/>
          <w:b/>
        </w:rPr>
      </w:pPr>
      <w:r w:rsidRPr="009957B7">
        <w:rPr>
          <w:rFonts w:ascii="Calibri" w:hAnsi="Calibri"/>
          <w:b/>
        </w:rPr>
        <w:lastRenderedPageBreak/>
        <w:t>Acceptance of Cultural Diversity</w:t>
      </w:r>
    </w:p>
    <w:p w14:paraId="60168536" w14:textId="77777777" w:rsidR="00B53C77" w:rsidRPr="0023442E" w:rsidRDefault="00B53C77" w:rsidP="00B53C77">
      <w:pPr>
        <w:spacing w:after="0" w:line="360" w:lineRule="auto"/>
        <w:jc w:val="both"/>
        <w:rPr>
          <w:rFonts w:ascii="Calibri" w:hAnsi="Calibri"/>
        </w:rPr>
      </w:pPr>
      <w:r w:rsidRPr="0023442E">
        <w:rPr>
          <w:rFonts w:ascii="Calibri" w:hAnsi="Calibri"/>
        </w:rPr>
        <w:t xml:space="preserve">The 2020 Population Health Survey found that 9% of Greater Dandenong residents felt that multiculturalism ‘never’ or ‘not often’ made life in their area better, </w:t>
      </w:r>
      <w:r>
        <w:rPr>
          <w:rFonts w:ascii="Calibri" w:hAnsi="Calibri"/>
        </w:rPr>
        <w:t>slightly higher than</w:t>
      </w:r>
      <w:r w:rsidRPr="0023442E">
        <w:rPr>
          <w:rFonts w:ascii="Calibri" w:hAnsi="Calibri"/>
        </w:rPr>
        <w:t xml:space="preserve"> the state-wide figure of 7%. Such misgivings about multiculturalism were most prevalent in Yarriambiack, with 14% of residents surveyed offering this assessment, and least prevalent in Yarra, where 2.4% of residents echoed this sentiment.</w:t>
      </w:r>
    </w:p>
    <w:p w14:paraId="5B015915" w14:textId="77777777" w:rsidR="00B53C77" w:rsidRDefault="00B53C77" w:rsidP="00B53C77">
      <w:pPr>
        <w:spacing w:after="0" w:line="360" w:lineRule="auto"/>
        <w:jc w:val="both"/>
        <w:rPr>
          <w:rFonts w:ascii="Calibri" w:hAnsi="Calibri"/>
        </w:rPr>
      </w:pPr>
      <w:r w:rsidRPr="0023442E">
        <w:rPr>
          <w:rFonts w:ascii="Calibri" w:hAnsi="Calibri"/>
        </w:rPr>
        <w:t>The proportion of Victorian residents who held such views about multiculturalism rose with age, and was higher among men than women</w:t>
      </w:r>
      <w:r>
        <w:rPr>
          <w:rFonts w:ascii="Calibri" w:hAnsi="Calibri"/>
        </w:rPr>
        <w:t xml:space="preserve"> (corresponding findings are not available for individual municipalities)</w:t>
      </w:r>
      <w:r w:rsidRPr="0023442E">
        <w:rPr>
          <w:rFonts w:ascii="Calibri" w:hAnsi="Calibri"/>
        </w:rPr>
        <w:t>.</w:t>
      </w:r>
    </w:p>
    <w:p w14:paraId="5DC36D1E" w14:textId="77777777" w:rsidR="00B53C77" w:rsidRPr="007C7AD3" w:rsidRDefault="00B53C77" w:rsidP="00B53C77">
      <w:pPr>
        <w:spacing w:after="0" w:line="360" w:lineRule="auto"/>
        <w:rPr>
          <w:rFonts w:cstheme="minorHAnsi"/>
          <w:lang w:val="en-GB"/>
        </w:rPr>
      </w:pPr>
      <w:r>
        <w:rPr>
          <w:rFonts w:ascii="Calibri" w:hAnsi="Calibri"/>
        </w:rPr>
        <w:t xml:space="preserve">At a national level, the 2021 Scanlon </w:t>
      </w:r>
      <w:r w:rsidRPr="007C7AD3">
        <w:rPr>
          <w:rFonts w:cstheme="minorHAnsi"/>
        </w:rPr>
        <w:t>Cohesion survey found that 23% of respondents disagreed with the proposition that: ‘accepting immigrants from many different countries makes Australia stronger’.</w:t>
      </w:r>
    </w:p>
    <w:p w14:paraId="2D3E06B8" w14:textId="77777777" w:rsidR="00B53C77" w:rsidRDefault="00B53C77" w:rsidP="00B53C77">
      <w:pPr>
        <w:spacing w:after="0" w:line="360" w:lineRule="auto"/>
        <w:jc w:val="both"/>
        <w:rPr>
          <w:rFonts w:ascii="Calibri" w:hAnsi="Calibri"/>
        </w:rPr>
      </w:pPr>
    </w:p>
    <w:p w14:paraId="3F948D1F" w14:textId="77777777" w:rsidR="00B53C77" w:rsidRPr="00C03D7C" w:rsidRDefault="00B53C77" w:rsidP="00B53C77">
      <w:pPr>
        <w:spacing w:after="0" w:line="360" w:lineRule="auto"/>
        <w:jc w:val="both"/>
        <w:rPr>
          <w:rFonts w:ascii="Calibri" w:hAnsi="Calibri"/>
          <w:b/>
        </w:rPr>
      </w:pPr>
      <w:r w:rsidRPr="00C03D7C">
        <w:rPr>
          <w:rFonts w:ascii="Calibri" w:hAnsi="Calibri"/>
          <w:b/>
        </w:rPr>
        <w:t>Discrimination</w:t>
      </w:r>
      <w:r>
        <w:rPr>
          <w:rFonts w:ascii="Calibri" w:hAnsi="Calibri"/>
          <w:b/>
        </w:rPr>
        <w:t xml:space="preserve"> and Attitudes to Birthplace and Religious Groups</w:t>
      </w:r>
    </w:p>
    <w:p w14:paraId="40F6B4A8" w14:textId="77777777" w:rsidR="00B53C77" w:rsidRDefault="00B53C77" w:rsidP="00B53C77">
      <w:pPr>
        <w:spacing w:after="0" w:line="360" w:lineRule="auto"/>
        <w:jc w:val="both"/>
        <w:rPr>
          <w:rFonts w:ascii="Calibri" w:hAnsi="Calibri"/>
        </w:rPr>
      </w:pPr>
      <w:r>
        <w:rPr>
          <w:rFonts w:ascii="Calibri" w:hAnsi="Calibri"/>
        </w:rPr>
        <w:t>Successive national surveys conducted by the Scanlon Foundation, show that the proportion of Australians who have</w:t>
      </w:r>
      <w:r w:rsidRPr="00605517">
        <w:rPr>
          <w:rFonts w:ascii="Calibri" w:hAnsi="Calibri"/>
        </w:rPr>
        <w:t xml:space="preserve"> experience</w:t>
      </w:r>
      <w:r>
        <w:rPr>
          <w:rFonts w:ascii="Calibri" w:hAnsi="Calibri"/>
        </w:rPr>
        <w:t>d</w:t>
      </w:r>
      <w:r w:rsidRPr="00605517">
        <w:rPr>
          <w:rFonts w:ascii="Calibri" w:hAnsi="Calibri"/>
        </w:rPr>
        <w:t xml:space="preserve"> of discrimination due to skin colour, ethnic origin or religion</w:t>
      </w:r>
      <w:r>
        <w:rPr>
          <w:rFonts w:ascii="Calibri" w:hAnsi="Calibri"/>
        </w:rPr>
        <w:t xml:space="preserve"> during the previous 12 months, rose</w:t>
      </w:r>
      <w:r w:rsidRPr="00605517">
        <w:rPr>
          <w:rFonts w:ascii="Calibri" w:hAnsi="Calibri"/>
        </w:rPr>
        <w:t xml:space="preserve"> </w:t>
      </w:r>
      <w:r>
        <w:rPr>
          <w:rFonts w:ascii="Calibri" w:hAnsi="Calibri"/>
        </w:rPr>
        <w:t xml:space="preserve">in Australia </w:t>
      </w:r>
      <w:r w:rsidRPr="00605517">
        <w:rPr>
          <w:rFonts w:ascii="Calibri" w:hAnsi="Calibri"/>
        </w:rPr>
        <w:t>from 9% in 2007 to 19% in 2018</w:t>
      </w:r>
      <w:r>
        <w:rPr>
          <w:rFonts w:ascii="Calibri" w:hAnsi="Calibri"/>
        </w:rPr>
        <w:t>/</w:t>
      </w:r>
      <w:r w:rsidRPr="00605517">
        <w:rPr>
          <w:rFonts w:ascii="Calibri" w:hAnsi="Calibri"/>
        </w:rPr>
        <w:t>19</w:t>
      </w:r>
      <w:r>
        <w:rPr>
          <w:rFonts w:ascii="Calibri" w:hAnsi="Calibri"/>
        </w:rPr>
        <w:t>, before declining to 14% by 2021</w:t>
      </w:r>
      <w:r w:rsidRPr="00605517">
        <w:rPr>
          <w:rFonts w:ascii="Calibri" w:hAnsi="Calibri"/>
        </w:rPr>
        <w:t xml:space="preserve">. </w:t>
      </w:r>
    </w:p>
    <w:p w14:paraId="537D5511" w14:textId="77777777" w:rsidR="00B53C77" w:rsidRDefault="00B53C77" w:rsidP="00B53C77">
      <w:pPr>
        <w:spacing w:after="0" w:line="360" w:lineRule="auto"/>
        <w:jc w:val="both"/>
        <w:rPr>
          <w:rFonts w:ascii="Calibri" w:hAnsi="Calibri"/>
        </w:rPr>
      </w:pPr>
      <w:r>
        <w:rPr>
          <w:rFonts w:ascii="Calibri" w:hAnsi="Calibri"/>
        </w:rPr>
        <w:t>Asked about their perceptions of people from different countries in the 2021 survey, negative feelings towards people from the United Kingdom and Germany were expressed by 6% of respondents to this survey, toward people born in India, 27%; Lebanese, 38%; China, 43%; and Sudan, 46%.</w:t>
      </w:r>
    </w:p>
    <w:p w14:paraId="0760D708" w14:textId="77777777" w:rsidR="00B53C77" w:rsidRDefault="00B53C77" w:rsidP="00B53C77">
      <w:pPr>
        <w:spacing w:after="0" w:line="360" w:lineRule="auto"/>
        <w:jc w:val="both"/>
        <w:rPr>
          <w:rFonts w:ascii="Calibri" w:hAnsi="Calibri"/>
        </w:rPr>
      </w:pPr>
    </w:p>
    <w:p w14:paraId="0A354452" w14:textId="09D6900C" w:rsidR="00B53C77" w:rsidRDefault="00B53C77" w:rsidP="00B53C77">
      <w:pPr>
        <w:spacing w:after="0" w:line="360" w:lineRule="auto"/>
        <w:jc w:val="both"/>
        <w:rPr>
          <w:rFonts w:ascii="Calibri" w:hAnsi="Calibri"/>
        </w:rPr>
      </w:pPr>
      <w:r>
        <w:rPr>
          <w:rFonts w:ascii="Calibri" w:hAnsi="Calibri"/>
          <w:noProof/>
        </w:rPr>
        <w:drawing>
          <wp:anchor distT="0" distB="0" distL="114300" distR="114300" simplePos="0" relativeHeight="251829248" behindDoc="0" locked="0" layoutInCell="1" allowOverlap="1" wp14:anchorId="36D03558" wp14:editId="6C9B3F1E">
            <wp:simplePos x="0" y="0"/>
            <wp:positionH relativeFrom="column">
              <wp:posOffset>13335</wp:posOffset>
            </wp:positionH>
            <wp:positionV relativeFrom="paragraph">
              <wp:posOffset>19685</wp:posOffset>
            </wp:positionV>
            <wp:extent cx="3547745" cy="2257425"/>
            <wp:effectExtent l="0" t="0" r="0" b="9525"/>
            <wp:wrapSquare wrapText="bothSides"/>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547745" cy="2257425"/>
                    </a:xfrm>
                    <a:prstGeom prst="rect">
                      <a:avLst/>
                    </a:prstGeom>
                    <a:noFill/>
                  </pic:spPr>
                </pic:pic>
              </a:graphicData>
            </a:graphic>
            <wp14:sizeRelH relativeFrom="page">
              <wp14:pctWidth>0</wp14:pctWidth>
            </wp14:sizeRelH>
            <wp14:sizeRelV relativeFrom="page">
              <wp14:pctHeight>0</wp14:pctHeight>
            </wp14:sizeRelV>
          </wp:anchor>
        </w:drawing>
      </w:r>
    </w:p>
    <w:p w14:paraId="388ABAC8" w14:textId="77777777" w:rsidR="00B53C77" w:rsidRDefault="00B53C77" w:rsidP="00B53C77">
      <w:pPr>
        <w:spacing w:after="0" w:line="360" w:lineRule="auto"/>
        <w:jc w:val="both"/>
        <w:rPr>
          <w:rFonts w:ascii="Calibri" w:hAnsi="Calibri"/>
        </w:rPr>
      </w:pPr>
      <w:r>
        <w:rPr>
          <w:rFonts w:ascii="Calibri" w:hAnsi="Calibri"/>
        </w:rPr>
        <w:t>The proportion of Australians who registered similarly negative feelings toward faith groups ranged from 4% toward Buddhists, to 32% toward Muslims.</w:t>
      </w:r>
    </w:p>
    <w:p w14:paraId="3D2C5EF3" w14:textId="77777777" w:rsidR="00B53C77" w:rsidRDefault="00B53C77" w:rsidP="00B53C77">
      <w:pPr>
        <w:spacing w:after="0" w:line="360" w:lineRule="auto"/>
        <w:jc w:val="both"/>
        <w:rPr>
          <w:rFonts w:ascii="Calibri" w:hAnsi="Calibri"/>
        </w:rPr>
      </w:pPr>
    </w:p>
    <w:p w14:paraId="6A437760" w14:textId="77777777" w:rsidR="00B53C77" w:rsidRPr="0059096E" w:rsidRDefault="00B53C77" w:rsidP="00B53C77">
      <w:pPr>
        <w:spacing w:after="0" w:line="240" w:lineRule="auto"/>
        <w:jc w:val="both"/>
        <w:rPr>
          <w:rFonts w:ascii="Calibri" w:hAnsi="Calibri"/>
          <w:color w:val="7F7F7F" w:themeColor="text1" w:themeTint="80"/>
          <w:sz w:val="20"/>
          <w:szCs w:val="20"/>
        </w:rPr>
      </w:pPr>
      <w:r w:rsidRPr="0059096E">
        <w:rPr>
          <w:rFonts w:ascii="Calibri" w:hAnsi="Calibri"/>
          <w:color w:val="7F7F7F" w:themeColor="text1" w:themeTint="80"/>
          <w:sz w:val="20"/>
          <w:szCs w:val="20"/>
        </w:rPr>
        <w:t>Proportion of survey respondents who held a negative attitude toward religious groups, by religion: Australia, 2021</w:t>
      </w:r>
    </w:p>
    <w:p w14:paraId="23DB34C3" w14:textId="2B83EF43" w:rsidR="00554FF3" w:rsidRDefault="00554FF3" w:rsidP="00B53C77">
      <w:pPr>
        <w:spacing w:after="0" w:line="360" w:lineRule="auto"/>
      </w:pPr>
    </w:p>
    <w:p w14:paraId="0C0DD9D6" w14:textId="0A6A9D25" w:rsidR="00B53C77" w:rsidRDefault="00B53C77" w:rsidP="0051666C">
      <w:pPr>
        <w:spacing w:after="0" w:line="360" w:lineRule="auto"/>
      </w:pPr>
    </w:p>
    <w:p w14:paraId="0F86369B" w14:textId="5EE99465" w:rsidR="00B53C77" w:rsidRDefault="00B53C77">
      <w:r>
        <w:br w:type="page"/>
      </w:r>
    </w:p>
    <w:p w14:paraId="00D6A2DB" w14:textId="77777777" w:rsidR="00C86361" w:rsidRPr="00A26F54" w:rsidRDefault="00C86361" w:rsidP="00A26F54">
      <w:pPr>
        <w:pBdr>
          <w:top w:val="single" w:sz="4" w:space="1" w:color="auto"/>
          <w:bottom w:val="single" w:sz="4" w:space="1" w:color="auto"/>
        </w:pBdr>
        <w:tabs>
          <w:tab w:val="center" w:pos="4678"/>
        </w:tabs>
        <w:jc w:val="center"/>
        <w:rPr>
          <w:rFonts w:ascii="Calibri" w:hAnsi="Calibri"/>
          <w:noProof/>
          <w:sz w:val="32"/>
          <w:szCs w:val="32"/>
        </w:rPr>
      </w:pPr>
      <w:r w:rsidRPr="00A26F54">
        <w:rPr>
          <w:rFonts w:ascii="Calibri" w:hAnsi="Calibri"/>
          <w:noProof/>
          <w:sz w:val="32"/>
          <w:szCs w:val="32"/>
        </w:rPr>
        <w:lastRenderedPageBreak/>
        <w:t>Volunteering</w:t>
      </w:r>
    </w:p>
    <w:p w14:paraId="45326208" w14:textId="77777777" w:rsidR="00C86361" w:rsidRPr="00C86361" w:rsidRDefault="00C86361" w:rsidP="00C86361">
      <w:pPr>
        <w:spacing w:after="0" w:line="360" w:lineRule="auto"/>
        <w:jc w:val="both"/>
        <w:rPr>
          <w:rFonts w:ascii="Calibri" w:hAnsi="Calibri"/>
          <w:sz w:val="8"/>
          <w:szCs w:val="8"/>
        </w:rPr>
      </w:pPr>
      <w:r w:rsidRPr="00C86361">
        <w:rPr>
          <w:rFonts w:ascii="Calibri" w:hAnsi="Calibri"/>
          <w:i/>
          <w:noProof/>
          <w:sz w:val="8"/>
          <w:szCs w:val="8"/>
          <w:lang w:eastAsia="en-AU"/>
        </w:rPr>
        <w:drawing>
          <wp:anchor distT="0" distB="0" distL="114300" distR="114300" simplePos="0" relativeHeight="251834368" behindDoc="1" locked="0" layoutInCell="1" allowOverlap="1" wp14:anchorId="11B0D59E" wp14:editId="47FFD7D4">
            <wp:simplePos x="0" y="0"/>
            <wp:positionH relativeFrom="column">
              <wp:posOffset>4072255</wp:posOffset>
            </wp:positionH>
            <wp:positionV relativeFrom="paragraph">
              <wp:posOffset>12700</wp:posOffset>
            </wp:positionV>
            <wp:extent cx="2085975" cy="1504950"/>
            <wp:effectExtent l="0" t="0" r="9525" b="0"/>
            <wp:wrapTight wrapText="bothSides">
              <wp:wrapPolygon edited="0">
                <wp:start x="789" y="0"/>
                <wp:lineTo x="0" y="547"/>
                <wp:lineTo x="0" y="21053"/>
                <wp:lineTo x="789" y="21327"/>
                <wp:lineTo x="20712" y="21327"/>
                <wp:lineTo x="21501" y="21053"/>
                <wp:lineTo x="21501" y="547"/>
                <wp:lineTo x="20712" y="0"/>
                <wp:lineTo x="789" y="0"/>
              </wp:wrapPolygon>
            </wp:wrapTight>
            <wp:docPr id="136" name="Picture 16" descr="Volunteers.png"/>
            <wp:cNvGraphicFramePr/>
            <a:graphic xmlns:a="http://schemas.openxmlformats.org/drawingml/2006/main">
              <a:graphicData uri="http://schemas.openxmlformats.org/drawingml/2006/picture">
                <pic:pic xmlns:pic="http://schemas.openxmlformats.org/drawingml/2006/picture">
                  <pic:nvPicPr>
                    <pic:cNvPr id="25" name="Picture 24" descr="Volunteers.png"/>
                    <pic:cNvPicPr>
                      <a:picLocks/>
                    </pic:cNvPicPr>
                  </pic:nvPicPr>
                  <pic:blipFill>
                    <a:blip r:embed="rId169" cstate="print"/>
                    <a:stretch>
                      <a:fillRect/>
                    </a:stretch>
                  </pic:blipFill>
                  <pic:spPr>
                    <a:xfrm>
                      <a:off x="0" y="0"/>
                      <a:ext cx="2085975" cy="1504950"/>
                    </a:xfrm>
                    <a:prstGeom prst="rect">
                      <a:avLst/>
                    </a:prstGeom>
                    <a:ln>
                      <a:noFill/>
                    </a:ln>
                    <a:effectLst>
                      <a:softEdge rad="112500"/>
                    </a:effectLst>
                  </pic:spPr>
                </pic:pic>
              </a:graphicData>
            </a:graphic>
          </wp:anchor>
        </w:drawing>
      </w:r>
    </w:p>
    <w:p w14:paraId="38E7A8C5" w14:textId="52C6AB72" w:rsidR="00C86361" w:rsidRDefault="00C86361" w:rsidP="00C86361">
      <w:pPr>
        <w:spacing w:line="360" w:lineRule="auto"/>
        <w:jc w:val="both"/>
        <w:rPr>
          <w:rFonts w:ascii="Calibri" w:hAnsi="Calibri"/>
        </w:rPr>
      </w:pPr>
      <w:r>
        <w:rPr>
          <w:rFonts w:ascii="Calibri" w:hAnsi="Calibri"/>
          <w:noProof/>
          <w:lang w:eastAsia="en-AU"/>
        </w:rPr>
        <w:drawing>
          <wp:anchor distT="0" distB="0" distL="114300" distR="114300" simplePos="0" relativeHeight="251833344" behindDoc="0" locked="0" layoutInCell="1" allowOverlap="1" wp14:anchorId="3D07BA28" wp14:editId="2AAC252F">
            <wp:simplePos x="0" y="0"/>
            <wp:positionH relativeFrom="margin">
              <wp:align>left</wp:align>
            </wp:positionH>
            <wp:positionV relativeFrom="paragraph">
              <wp:posOffset>1539302</wp:posOffset>
            </wp:positionV>
            <wp:extent cx="4119880" cy="3005455"/>
            <wp:effectExtent l="0" t="0" r="0" b="4445"/>
            <wp:wrapSquare wrapText="bothSides"/>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119880" cy="300545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The 2021 Census found that 7.6% of Greater Dandenong residents – numbering 9,300 people - had volunteered at some time in the previous 12 months – the second lowest rate in Victoria, and half the State average of 14.2%. The proportion of residents who volunteered is highest among young people, those of middle age, and residents in their early older age.</w:t>
      </w:r>
    </w:p>
    <w:p w14:paraId="2A426708" w14:textId="3A00FBBF" w:rsidR="00C86361" w:rsidRDefault="00C86361" w:rsidP="00C86361">
      <w:pPr>
        <w:spacing w:line="360" w:lineRule="auto"/>
        <w:jc w:val="both"/>
        <w:rPr>
          <w:rFonts w:ascii="Calibri" w:hAnsi="Calibri"/>
        </w:rPr>
      </w:pPr>
    </w:p>
    <w:p w14:paraId="50777319" w14:textId="77777777" w:rsidR="00C86361" w:rsidRDefault="00C86361" w:rsidP="00C86361">
      <w:pPr>
        <w:spacing w:line="360" w:lineRule="auto"/>
        <w:jc w:val="both"/>
        <w:rPr>
          <w:rFonts w:ascii="Calibri" w:hAnsi="Calibri"/>
        </w:rPr>
      </w:pPr>
    </w:p>
    <w:p w14:paraId="11877414" w14:textId="77777777" w:rsidR="00C86361" w:rsidRPr="00F81779" w:rsidRDefault="00C86361" w:rsidP="00C86361">
      <w:pPr>
        <w:jc w:val="both"/>
        <w:rPr>
          <w:rFonts w:ascii="Calibri" w:hAnsi="Calibri"/>
          <w:color w:val="7F7F7F" w:themeColor="text1" w:themeTint="80"/>
          <w:sz w:val="20"/>
          <w:szCs w:val="20"/>
        </w:rPr>
      </w:pPr>
      <w:r>
        <w:rPr>
          <w:rFonts w:ascii="Calibri" w:hAnsi="Calibri"/>
          <w:color w:val="7F7F7F" w:themeColor="text1" w:themeTint="80"/>
          <w:sz w:val="20"/>
          <w:szCs w:val="20"/>
        </w:rPr>
        <w:t>Percentage</w:t>
      </w:r>
      <w:r w:rsidRPr="00F81779">
        <w:rPr>
          <w:rFonts w:ascii="Calibri" w:hAnsi="Calibri"/>
          <w:color w:val="7F7F7F" w:themeColor="text1" w:themeTint="80"/>
          <w:sz w:val="20"/>
          <w:szCs w:val="20"/>
        </w:rPr>
        <w:t xml:space="preserve"> of residents who volunteered in the previous year, by age and gender: Greater Dandenong and Victoria, 20</w:t>
      </w:r>
      <w:r>
        <w:rPr>
          <w:rFonts w:ascii="Calibri" w:hAnsi="Calibri"/>
          <w:color w:val="7F7F7F" w:themeColor="text1" w:themeTint="80"/>
          <w:sz w:val="20"/>
          <w:szCs w:val="20"/>
        </w:rPr>
        <w:t>21</w:t>
      </w:r>
    </w:p>
    <w:p w14:paraId="147CEF9F" w14:textId="77777777" w:rsidR="00C86361" w:rsidRDefault="00C86361" w:rsidP="00C86361">
      <w:pPr>
        <w:spacing w:line="360" w:lineRule="auto"/>
        <w:jc w:val="both"/>
        <w:rPr>
          <w:rFonts w:ascii="Calibri" w:hAnsi="Calibri"/>
        </w:rPr>
      </w:pPr>
    </w:p>
    <w:p w14:paraId="18015DC3" w14:textId="77777777" w:rsidR="00C86361" w:rsidRDefault="00C86361" w:rsidP="00C86361">
      <w:pPr>
        <w:spacing w:line="360" w:lineRule="auto"/>
        <w:jc w:val="both"/>
        <w:rPr>
          <w:rFonts w:ascii="Calibri" w:hAnsi="Calibri"/>
        </w:rPr>
      </w:pPr>
    </w:p>
    <w:p w14:paraId="0776C1C2" w14:textId="77777777" w:rsidR="00C86361" w:rsidRDefault="00C86361" w:rsidP="00C86361">
      <w:pPr>
        <w:spacing w:line="360" w:lineRule="auto"/>
        <w:jc w:val="both"/>
        <w:rPr>
          <w:rFonts w:ascii="Calibri" w:hAnsi="Calibri"/>
        </w:rPr>
      </w:pPr>
    </w:p>
    <w:p w14:paraId="71F3E0A0" w14:textId="1E6DC4A4" w:rsidR="00C86361" w:rsidRDefault="00FE4009" w:rsidP="00C86361">
      <w:pPr>
        <w:spacing w:line="360" w:lineRule="auto"/>
        <w:jc w:val="both"/>
        <w:rPr>
          <w:rFonts w:ascii="Calibri" w:hAnsi="Calibri"/>
        </w:rPr>
      </w:pPr>
      <w:r>
        <w:rPr>
          <w:rFonts w:ascii="Calibri" w:hAnsi="Calibri"/>
          <w:noProof/>
          <w:sz w:val="8"/>
          <w:szCs w:val="8"/>
        </w:rPr>
        <w:drawing>
          <wp:anchor distT="0" distB="0" distL="114300" distR="114300" simplePos="0" relativeHeight="251835392" behindDoc="0" locked="0" layoutInCell="1" allowOverlap="1" wp14:anchorId="1F9AD063" wp14:editId="7682288F">
            <wp:simplePos x="0" y="0"/>
            <wp:positionH relativeFrom="column">
              <wp:posOffset>2313305</wp:posOffset>
            </wp:positionH>
            <wp:positionV relativeFrom="paragraph">
              <wp:posOffset>303530</wp:posOffset>
            </wp:positionV>
            <wp:extent cx="3751580" cy="3771900"/>
            <wp:effectExtent l="0" t="0" r="1270" b="0"/>
            <wp:wrapSquare wrapText="bothSides"/>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1">
                      <a:extLst>
                        <a:ext uri="{28A0092B-C50C-407E-A947-70E740481C1C}">
                          <a14:useLocalDpi xmlns:a14="http://schemas.microsoft.com/office/drawing/2010/main" val="0"/>
                        </a:ext>
                      </a:extLst>
                    </a:blip>
                    <a:srcRect l="5686" r="6830" b="11942"/>
                    <a:stretch/>
                  </pic:blipFill>
                  <pic:spPr bwMode="auto">
                    <a:xfrm>
                      <a:off x="0" y="0"/>
                      <a:ext cx="3751580" cy="3771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9276FF" w14:textId="4B2D283F" w:rsidR="00C86361" w:rsidRDefault="00C86361" w:rsidP="00C86361">
      <w:pPr>
        <w:spacing w:line="360" w:lineRule="auto"/>
        <w:jc w:val="both"/>
        <w:rPr>
          <w:rFonts w:ascii="Calibri" w:hAnsi="Calibri"/>
        </w:rPr>
      </w:pPr>
      <w:r>
        <w:rPr>
          <w:rFonts w:ascii="Calibri" w:hAnsi="Calibri"/>
        </w:rPr>
        <w:t xml:space="preserve">Australian-born residents account for nearly a third of volunteers in Greater Dandenong. Others are from countries such as India, Vietnam, Sri Lanka, Cambodia and Afghanistan. </w:t>
      </w:r>
    </w:p>
    <w:p w14:paraId="6CEC04A7" w14:textId="77777777" w:rsidR="00C86361" w:rsidRPr="00867EB7" w:rsidRDefault="00C86361" w:rsidP="00C86361">
      <w:pPr>
        <w:spacing w:after="0" w:line="240" w:lineRule="auto"/>
        <w:jc w:val="both"/>
        <w:rPr>
          <w:rFonts w:ascii="Calibri" w:hAnsi="Calibri"/>
          <w:sz w:val="8"/>
          <w:szCs w:val="8"/>
        </w:rPr>
      </w:pPr>
    </w:p>
    <w:p w14:paraId="357B69CA" w14:textId="77777777" w:rsidR="00C86361" w:rsidRDefault="00C86361" w:rsidP="00C86361">
      <w:pPr>
        <w:jc w:val="both"/>
        <w:rPr>
          <w:rFonts w:ascii="Calibri" w:hAnsi="Calibri"/>
          <w:color w:val="7F7F7F" w:themeColor="text1" w:themeTint="80"/>
          <w:sz w:val="20"/>
          <w:szCs w:val="20"/>
        </w:rPr>
      </w:pPr>
      <w:r>
        <w:rPr>
          <w:rFonts w:ascii="Calibri" w:hAnsi="Calibri"/>
          <w:color w:val="7F7F7F" w:themeColor="text1" w:themeTint="80"/>
          <w:sz w:val="20"/>
          <w:szCs w:val="20"/>
        </w:rPr>
        <w:t>Number</w:t>
      </w:r>
      <w:r w:rsidRPr="00F81779">
        <w:rPr>
          <w:rFonts w:ascii="Calibri" w:hAnsi="Calibri"/>
          <w:color w:val="7F7F7F" w:themeColor="text1" w:themeTint="80"/>
          <w:sz w:val="20"/>
          <w:szCs w:val="20"/>
        </w:rPr>
        <w:t xml:space="preserve"> of residents who volunteered in the previous year, by </w:t>
      </w:r>
      <w:r>
        <w:rPr>
          <w:rFonts w:ascii="Calibri" w:hAnsi="Calibri"/>
          <w:color w:val="7F7F7F" w:themeColor="text1" w:themeTint="80"/>
          <w:sz w:val="20"/>
          <w:szCs w:val="20"/>
        </w:rPr>
        <w:t>birthplace</w:t>
      </w:r>
      <w:r w:rsidRPr="00F81779">
        <w:rPr>
          <w:rFonts w:ascii="Calibri" w:hAnsi="Calibri"/>
          <w:color w:val="7F7F7F" w:themeColor="text1" w:themeTint="80"/>
          <w:sz w:val="20"/>
          <w:szCs w:val="20"/>
        </w:rPr>
        <w:t>: Greater Dandenong and Victoria, 20</w:t>
      </w:r>
      <w:r>
        <w:rPr>
          <w:rFonts w:ascii="Calibri" w:hAnsi="Calibri"/>
          <w:color w:val="7F7F7F" w:themeColor="text1" w:themeTint="80"/>
          <w:sz w:val="20"/>
          <w:szCs w:val="20"/>
        </w:rPr>
        <w:t>21</w:t>
      </w:r>
    </w:p>
    <w:p w14:paraId="5A962C3E" w14:textId="77777777" w:rsidR="00C86361" w:rsidRPr="00867EB7" w:rsidRDefault="00C86361" w:rsidP="00C86361">
      <w:pPr>
        <w:spacing w:after="0" w:line="240" w:lineRule="auto"/>
        <w:jc w:val="both"/>
        <w:rPr>
          <w:rFonts w:ascii="Calibri" w:hAnsi="Calibri"/>
          <w:sz w:val="8"/>
          <w:szCs w:val="8"/>
        </w:rPr>
      </w:pPr>
    </w:p>
    <w:p w14:paraId="4E2C39C3" w14:textId="77777777" w:rsidR="00C86361" w:rsidRDefault="00C86361" w:rsidP="00C86361">
      <w:pPr>
        <w:spacing w:line="360" w:lineRule="auto"/>
        <w:jc w:val="both"/>
        <w:rPr>
          <w:rFonts w:ascii="Calibri" w:hAnsi="Calibri"/>
        </w:rPr>
      </w:pPr>
      <w:r>
        <w:rPr>
          <w:rFonts w:ascii="Calibri" w:hAnsi="Calibri"/>
          <w:noProof/>
          <w:lang w:eastAsia="en-AU"/>
        </w:rPr>
        <w:drawing>
          <wp:anchor distT="0" distB="0" distL="114300" distR="114300" simplePos="0" relativeHeight="251836416" behindDoc="0" locked="0" layoutInCell="1" allowOverlap="1" wp14:anchorId="5AD064D6" wp14:editId="2A42BC69">
            <wp:simplePos x="0" y="0"/>
            <wp:positionH relativeFrom="column">
              <wp:posOffset>4255367</wp:posOffset>
            </wp:positionH>
            <wp:positionV relativeFrom="paragraph">
              <wp:posOffset>61502</wp:posOffset>
            </wp:positionV>
            <wp:extent cx="1761038" cy="1172037"/>
            <wp:effectExtent l="0" t="0" r="0" b="9525"/>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Ethnic 20.jpg"/>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761038" cy="117203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rPr>
        <w:t>Educational attainment is associated with the likelihood of volunteering, with 8.7% of residents with at least year 11 or 12 education having volunteered in the previous 12 months, compared with 5.3% of those who completed year 10 or less, echoing a similar trend across Victoria.</w:t>
      </w:r>
    </w:p>
    <w:p w14:paraId="6B0BE363" w14:textId="77777777" w:rsidR="00697485" w:rsidRPr="00A26F54" w:rsidRDefault="00697485" w:rsidP="00A26F54">
      <w:pPr>
        <w:pBdr>
          <w:top w:val="single" w:sz="4" w:space="1" w:color="auto"/>
          <w:bottom w:val="single" w:sz="4" w:space="1" w:color="auto"/>
        </w:pBdr>
        <w:tabs>
          <w:tab w:val="center" w:pos="4678"/>
        </w:tabs>
        <w:jc w:val="center"/>
        <w:rPr>
          <w:rFonts w:ascii="Calibri" w:hAnsi="Calibri"/>
          <w:noProof/>
          <w:sz w:val="32"/>
          <w:szCs w:val="32"/>
        </w:rPr>
      </w:pPr>
      <w:r w:rsidRPr="00A26F54">
        <w:rPr>
          <w:rFonts w:ascii="Calibri" w:hAnsi="Calibri"/>
          <w:noProof/>
          <w:sz w:val="32"/>
          <w:szCs w:val="32"/>
        </w:rPr>
        <w:lastRenderedPageBreak/>
        <w:t>Arts and Culture</w:t>
      </w:r>
    </w:p>
    <w:p w14:paraId="421F4DFE" w14:textId="77777777" w:rsidR="00697485" w:rsidRPr="00FE7400" w:rsidRDefault="00697485" w:rsidP="00697485">
      <w:pPr>
        <w:spacing w:after="0" w:line="360" w:lineRule="auto"/>
        <w:jc w:val="both"/>
        <w:rPr>
          <w:rFonts w:ascii="Calibri" w:hAnsi="Calibri"/>
          <w:b/>
        </w:rPr>
      </w:pPr>
      <w:r>
        <w:rPr>
          <w:rFonts w:ascii="Calibri" w:hAnsi="Calibri"/>
          <w:b/>
          <w:noProof/>
          <w:lang w:eastAsia="en-AU"/>
        </w:rPr>
        <w:drawing>
          <wp:anchor distT="0" distB="0" distL="114300" distR="114300" simplePos="0" relativeHeight="251838464" behindDoc="1" locked="0" layoutInCell="1" allowOverlap="1" wp14:anchorId="212C2BCC" wp14:editId="3698F49F">
            <wp:simplePos x="0" y="0"/>
            <wp:positionH relativeFrom="column">
              <wp:posOffset>4732655</wp:posOffset>
            </wp:positionH>
            <wp:positionV relativeFrom="paragraph">
              <wp:posOffset>46355</wp:posOffset>
            </wp:positionV>
            <wp:extent cx="1496695" cy="1041400"/>
            <wp:effectExtent l="0" t="0" r="8255" b="6350"/>
            <wp:wrapTight wrapText="bothSides">
              <wp:wrapPolygon edited="0">
                <wp:start x="1100" y="0"/>
                <wp:lineTo x="0" y="790"/>
                <wp:lineTo x="0" y="20941"/>
                <wp:lineTo x="1100" y="21337"/>
                <wp:lineTo x="20345" y="21337"/>
                <wp:lineTo x="21444" y="20941"/>
                <wp:lineTo x="21444" y="790"/>
                <wp:lineTo x="20345" y="0"/>
                <wp:lineTo x="1100" y="0"/>
              </wp:wrapPolygon>
            </wp:wrapTight>
            <wp:docPr id="138" name="Picture 127" descr="C:\art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arts 5.jpg"/>
                    <pic:cNvPicPr>
                      <a:picLocks noChangeAspect="1" noChangeArrowheads="1"/>
                    </pic:cNvPicPr>
                  </pic:nvPicPr>
                  <pic:blipFill>
                    <a:blip r:embed="rId173" cstate="print"/>
                    <a:srcRect/>
                    <a:stretch>
                      <a:fillRect/>
                    </a:stretch>
                  </pic:blipFill>
                  <pic:spPr bwMode="auto">
                    <a:xfrm>
                      <a:off x="0" y="0"/>
                      <a:ext cx="1496695" cy="10414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E7400">
        <w:rPr>
          <w:rFonts w:ascii="Calibri" w:hAnsi="Calibri"/>
          <w:b/>
        </w:rPr>
        <w:t>National Participation Trends</w:t>
      </w:r>
      <w:r>
        <w:rPr>
          <w:rFonts w:ascii="Calibri" w:hAnsi="Calibri"/>
          <w:b/>
        </w:rPr>
        <w:t xml:space="preserve"> </w:t>
      </w:r>
    </w:p>
    <w:p w14:paraId="45FFDB05" w14:textId="77777777" w:rsidR="00697485" w:rsidRPr="00530D97" w:rsidRDefault="00697485" w:rsidP="00697485">
      <w:pPr>
        <w:spacing w:after="0" w:line="360" w:lineRule="auto"/>
        <w:jc w:val="both"/>
        <w:rPr>
          <w:rFonts w:ascii="Calibri" w:hAnsi="Calibri"/>
        </w:rPr>
      </w:pPr>
      <w:r>
        <w:rPr>
          <w:rFonts w:ascii="Calibri" w:hAnsi="Calibri"/>
        </w:rPr>
        <w:t xml:space="preserve">The </w:t>
      </w:r>
      <w:r w:rsidRPr="00530D97">
        <w:rPr>
          <w:rFonts w:ascii="Calibri" w:hAnsi="Calibri"/>
        </w:rPr>
        <w:t>Attendance at Selected Cultural Venues and Events</w:t>
      </w:r>
      <w:r>
        <w:rPr>
          <w:rFonts w:ascii="Calibri" w:hAnsi="Calibri"/>
        </w:rPr>
        <w:t xml:space="preserve"> Survey (the latest available) found that c</w:t>
      </w:r>
      <w:r w:rsidRPr="00530D97">
        <w:rPr>
          <w:rFonts w:ascii="Calibri" w:hAnsi="Calibri"/>
        </w:rPr>
        <w:t>inemas and live music performances were among the more popular events, attracting over half of Australians aged 14 years or more during the previous 12 months. By contrast, fewer than 20% of Australians had attended musicals, operas, dance and theatre performances.</w:t>
      </w:r>
    </w:p>
    <w:p w14:paraId="03822F2E" w14:textId="77777777" w:rsidR="00697485" w:rsidRPr="00530D97" w:rsidRDefault="00697485" w:rsidP="00697485">
      <w:pPr>
        <w:spacing w:after="0" w:line="360" w:lineRule="auto"/>
        <w:jc w:val="both"/>
        <w:rPr>
          <w:rFonts w:ascii="Calibri" w:hAnsi="Calibri"/>
        </w:rPr>
      </w:pPr>
      <w:r>
        <w:rPr>
          <w:rFonts w:ascii="Calibri" w:hAnsi="Calibri"/>
          <w:noProof/>
        </w:rPr>
        <w:drawing>
          <wp:anchor distT="0" distB="0" distL="114300" distR="114300" simplePos="0" relativeHeight="251841536" behindDoc="0" locked="0" layoutInCell="1" allowOverlap="1" wp14:anchorId="24ED447E" wp14:editId="3D694940">
            <wp:simplePos x="0" y="0"/>
            <wp:positionH relativeFrom="margin">
              <wp:posOffset>1270</wp:posOffset>
            </wp:positionH>
            <wp:positionV relativeFrom="paragraph">
              <wp:posOffset>356870</wp:posOffset>
            </wp:positionV>
            <wp:extent cx="3747135" cy="2440940"/>
            <wp:effectExtent l="0" t="0" r="5715" b="0"/>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747135" cy="2440940"/>
                    </a:xfrm>
                    <a:prstGeom prst="rect">
                      <a:avLst/>
                    </a:prstGeom>
                    <a:noFill/>
                  </pic:spPr>
                </pic:pic>
              </a:graphicData>
            </a:graphic>
            <wp14:sizeRelH relativeFrom="page">
              <wp14:pctWidth>0</wp14:pctWidth>
            </wp14:sizeRelH>
            <wp14:sizeRelV relativeFrom="page">
              <wp14:pctHeight>0</wp14:pctHeight>
            </wp14:sizeRelV>
          </wp:anchor>
        </w:drawing>
      </w:r>
      <w:r w:rsidRPr="00530D97">
        <w:rPr>
          <w:rFonts w:ascii="Calibri" w:hAnsi="Calibri"/>
        </w:rPr>
        <w:t xml:space="preserve">Women were more likely to have attended arts events and performances than men, with 85% of </w:t>
      </w:r>
      <w:r>
        <w:rPr>
          <w:rFonts w:ascii="Calibri" w:hAnsi="Calibri"/>
        </w:rPr>
        <w:t>those</w:t>
      </w:r>
      <w:r w:rsidRPr="00530D97">
        <w:rPr>
          <w:rFonts w:ascii="Calibri" w:hAnsi="Calibri"/>
        </w:rPr>
        <w:t xml:space="preserve"> aged 14 years or more attending at least one venue or event in the previous year, compared with 78% of males</w:t>
      </w:r>
      <w:r>
        <w:rPr>
          <w:rFonts w:ascii="Calibri" w:hAnsi="Calibri"/>
        </w:rPr>
        <w:t>. Moreover, women</w:t>
      </w:r>
      <w:r w:rsidRPr="00530D97">
        <w:rPr>
          <w:rFonts w:ascii="Calibri" w:hAnsi="Calibri"/>
        </w:rPr>
        <w:t xml:space="preserve"> were decisively more likely to have attended lib</w:t>
      </w:r>
      <w:r>
        <w:rPr>
          <w:rFonts w:ascii="Calibri" w:hAnsi="Calibri"/>
        </w:rPr>
        <w:t>r</w:t>
      </w:r>
      <w:r w:rsidRPr="00530D97">
        <w:rPr>
          <w:rFonts w:ascii="Calibri" w:hAnsi="Calibri"/>
        </w:rPr>
        <w:t>aries (37% vs. 25% of males), and musicals (20% vs. 12%)</w:t>
      </w:r>
      <w:r>
        <w:rPr>
          <w:rFonts w:ascii="Calibri" w:hAnsi="Calibri"/>
        </w:rPr>
        <w:t>.</w:t>
      </w:r>
    </w:p>
    <w:p w14:paraId="34589B74" w14:textId="77777777" w:rsidR="00697485" w:rsidRPr="003C265B" w:rsidRDefault="00697485" w:rsidP="00697485">
      <w:pPr>
        <w:spacing w:after="0" w:line="240" w:lineRule="auto"/>
        <w:jc w:val="both"/>
        <w:rPr>
          <w:rFonts w:ascii="Calibri" w:hAnsi="Calibri"/>
        </w:rPr>
      </w:pPr>
      <w:r w:rsidRPr="00D851ED">
        <w:rPr>
          <w:rFonts w:ascii="Calibri" w:hAnsi="Calibri"/>
          <w:color w:val="7F7F7F"/>
          <w:sz w:val="20"/>
          <w:szCs w:val="20"/>
        </w:rPr>
        <w:t xml:space="preserve">Per cent of </w:t>
      </w:r>
      <w:r>
        <w:rPr>
          <w:rFonts w:ascii="Calibri" w:hAnsi="Calibri"/>
          <w:color w:val="7F7F7F"/>
          <w:sz w:val="20"/>
          <w:szCs w:val="20"/>
        </w:rPr>
        <w:t>p</w:t>
      </w:r>
      <w:r w:rsidRPr="00D851ED">
        <w:rPr>
          <w:rFonts w:ascii="Calibri" w:hAnsi="Calibri"/>
          <w:color w:val="7F7F7F"/>
          <w:sz w:val="20"/>
          <w:szCs w:val="20"/>
        </w:rPr>
        <w:t xml:space="preserve">ersons who </w:t>
      </w:r>
      <w:r>
        <w:rPr>
          <w:rFonts w:ascii="Calibri" w:hAnsi="Calibri"/>
          <w:color w:val="7F7F7F"/>
          <w:sz w:val="20"/>
          <w:szCs w:val="20"/>
        </w:rPr>
        <w:t>a</w:t>
      </w:r>
      <w:r w:rsidRPr="00D851ED">
        <w:rPr>
          <w:rFonts w:ascii="Calibri" w:hAnsi="Calibri"/>
          <w:color w:val="7F7F7F"/>
          <w:sz w:val="20"/>
          <w:szCs w:val="20"/>
        </w:rPr>
        <w:t xml:space="preserve">ttended </w:t>
      </w:r>
      <w:r>
        <w:rPr>
          <w:rFonts w:ascii="Calibri" w:hAnsi="Calibri"/>
          <w:color w:val="7F7F7F"/>
          <w:sz w:val="20"/>
          <w:szCs w:val="20"/>
        </w:rPr>
        <w:t>s</w:t>
      </w:r>
      <w:r w:rsidRPr="00D851ED">
        <w:rPr>
          <w:rFonts w:ascii="Calibri" w:hAnsi="Calibri"/>
          <w:color w:val="7F7F7F"/>
          <w:sz w:val="20"/>
          <w:szCs w:val="20"/>
        </w:rPr>
        <w:t xml:space="preserve">elected </w:t>
      </w:r>
      <w:r>
        <w:rPr>
          <w:rFonts w:ascii="Calibri" w:hAnsi="Calibri"/>
          <w:color w:val="7F7F7F"/>
          <w:sz w:val="20"/>
          <w:szCs w:val="20"/>
        </w:rPr>
        <w:t>e</w:t>
      </w:r>
      <w:r w:rsidRPr="00D851ED">
        <w:rPr>
          <w:rFonts w:ascii="Calibri" w:hAnsi="Calibri"/>
          <w:color w:val="7F7F7F"/>
          <w:sz w:val="20"/>
          <w:szCs w:val="20"/>
        </w:rPr>
        <w:t xml:space="preserve">vents </w:t>
      </w:r>
      <w:r>
        <w:rPr>
          <w:rFonts w:ascii="Calibri" w:hAnsi="Calibri"/>
          <w:color w:val="7F7F7F"/>
          <w:sz w:val="20"/>
          <w:szCs w:val="20"/>
        </w:rPr>
        <w:t>d</w:t>
      </w:r>
      <w:r w:rsidRPr="00D851ED">
        <w:rPr>
          <w:rFonts w:ascii="Calibri" w:hAnsi="Calibri"/>
          <w:color w:val="7F7F7F"/>
          <w:sz w:val="20"/>
          <w:szCs w:val="20"/>
        </w:rPr>
        <w:t xml:space="preserve">uring the </w:t>
      </w:r>
      <w:r>
        <w:rPr>
          <w:rFonts w:ascii="Calibri" w:hAnsi="Calibri"/>
          <w:color w:val="7F7F7F"/>
          <w:sz w:val="20"/>
          <w:szCs w:val="20"/>
        </w:rPr>
        <w:t>p</w:t>
      </w:r>
      <w:r w:rsidRPr="00D851ED">
        <w:rPr>
          <w:rFonts w:ascii="Calibri" w:hAnsi="Calibri"/>
          <w:color w:val="7F7F7F"/>
          <w:sz w:val="20"/>
          <w:szCs w:val="20"/>
        </w:rPr>
        <w:t xml:space="preserve">revious </w:t>
      </w:r>
      <w:r>
        <w:rPr>
          <w:rFonts w:ascii="Calibri" w:hAnsi="Calibri"/>
          <w:color w:val="7F7F7F"/>
          <w:sz w:val="20"/>
          <w:szCs w:val="20"/>
        </w:rPr>
        <w:t>y</w:t>
      </w:r>
      <w:r w:rsidRPr="00D851ED">
        <w:rPr>
          <w:rFonts w:ascii="Calibri" w:hAnsi="Calibri"/>
          <w:color w:val="7F7F7F"/>
          <w:sz w:val="20"/>
          <w:szCs w:val="20"/>
        </w:rPr>
        <w:t xml:space="preserve">ear, by </w:t>
      </w:r>
      <w:r>
        <w:rPr>
          <w:rFonts w:ascii="Calibri" w:hAnsi="Calibri"/>
          <w:color w:val="7F7F7F"/>
          <w:sz w:val="20"/>
          <w:szCs w:val="20"/>
        </w:rPr>
        <w:t>s</w:t>
      </w:r>
      <w:r w:rsidRPr="00D851ED">
        <w:rPr>
          <w:rFonts w:ascii="Calibri" w:hAnsi="Calibri"/>
          <w:color w:val="7F7F7F"/>
          <w:sz w:val="20"/>
          <w:szCs w:val="20"/>
        </w:rPr>
        <w:t>ex: Australia, 201</w:t>
      </w:r>
      <w:r>
        <w:rPr>
          <w:rFonts w:ascii="Calibri" w:hAnsi="Calibri"/>
          <w:color w:val="7F7F7F"/>
          <w:sz w:val="20"/>
          <w:szCs w:val="20"/>
        </w:rPr>
        <w:t>7</w:t>
      </w:r>
      <w:r w:rsidRPr="00D851ED">
        <w:rPr>
          <w:rFonts w:ascii="Calibri" w:hAnsi="Calibri"/>
          <w:color w:val="7F7F7F"/>
          <w:sz w:val="20"/>
          <w:szCs w:val="20"/>
        </w:rPr>
        <w:t>/1</w:t>
      </w:r>
      <w:r>
        <w:rPr>
          <w:rFonts w:ascii="Calibri" w:hAnsi="Calibri"/>
          <w:color w:val="7F7F7F"/>
          <w:sz w:val="20"/>
          <w:szCs w:val="20"/>
        </w:rPr>
        <w:t>8</w:t>
      </w:r>
    </w:p>
    <w:p w14:paraId="46507D45" w14:textId="77777777" w:rsidR="00697485" w:rsidRDefault="00697485" w:rsidP="00697485">
      <w:pPr>
        <w:spacing w:after="0" w:line="360" w:lineRule="auto"/>
        <w:jc w:val="both"/>
        <w:rPr>
          <w:rFonts w:ascii="Calibri" w:hAnsi="Calibri"/>
          <w:sz w:val="10"/>
          <w:szCs w:val="10"/>
        </w:rPr>
      </w:pPr>
    </w:p>
    <w:p w14:paraId="18E28886" w14:textId="77777777" w:rsidR="00697485" w:rsidRPr="00530D97" w:rsidRDefault="00697485" w:rsidP="00697485">
      <w:pPr>
        <w:spacing w:after="0" w:line="360" w:lineRule="auto"/>
        <w:jc w:val="both"/>
        <w:rPr>
          <w:rFonts w:ascii="Calibri" w:hAnsi="Calibri"/>
        </w:rPr>
      </w:pPr>
      <w:r>
        <w:rPr>
          <w:rFonts w:ascii="Calibri" w:hAnsi="Calibri"/>
          <w:noProof/>
        </w:rPr>
        <w:drawing>
          <wp:anchor distT="0" distB="0" distL="114300" distR="114300" simplePos="0" relativeHeight="251842560" behindDoc="0" locked="0" layoutInCell="1" allowOverlap="1" wp14:anchorId="0B2BEDED" wp14:editId="2F535020">
            <wp:simplePos x="0" y="0"/>
            <wp:positionH relativeFrom="margin">
              <wp:posOffset>2299335</wp:posOffset>
            </wp:positionH>
            <wp:positionV relativeFrom="paragraph">
              <wp:posOffset>1009650</wp:posOffset>
            </wp:positionV>
            <wp:extent cx="3819525" cy="2541270"/>
            <wp:effectExtent l="0" t="0" r="9525" b="0"/>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819525" cy="2541270"/>
                    </a:xfrm>
                    <a:prstGeom prst="rect">
                      <a:avLst/>
                    </a:prstGeom>
                    <a:noFill/>
                  </pic:spPr>
                </pic:pic>
              </a:graphicData>
            </a:graphic>
            <wp14:sizeRelH relativeFrom="page">
              <wp14:pctWidth>0</wp14:pctWidth>
            </wp14:sizeRelH>
            <wp14:sizeRelV relativeFrom="page">
              <wp14:pctHeight>0</wp14:pctHeight>
            </wp14:sizeRelV>
          </wp:anchor>
        </w:drawing>
      </w:r>
      <w:r w:rsidRPr="00530D97">
        <w:rPr>
          <w:rFonts w:ascii="Calibri" w:hAnsi="Calibri"/>
        </w:rPr>
        <w:t xml:space="preserve">Levels of attendance </w:t>
      </w:r>
      <w:r>
        <w:rPr>
          <w:rFonts w:ascii="Calibri" w:hAnsi="Calibri"/>
        </w:rPr>
        <w:t>were relatively</w:t>
      </w:r>
      <w:r w:rsidRPr="00530D97">
        <w:rPr>
          <w:rFonts w:ascii="Calibri" w:hAnsi="Calibri"/>
        </w:rPr>
        <w:t xml:space="preserve"> stable throughout the lifespan, declining only among people aged 65 years or more. For example, the proportion of people attending at least one event declined gradually, from 95% among those aged 15 to 17, to 88% among 35-44 year-olds, and 56% of people aged over 75 years.</w:t>
      </w:r>
    </w:p>
    <w:p w14:paraId="459C48F5" w14:textId="77777777" w:rsidR="00697485" w:rsidRDefault="00697485" w:rsidP="00697485">
      <w:pPr>
        <w:spacing w:after="0" w:line="360" w:lineRule="auto"/>
        <w:jc w:val="both"/>
        <w:rPr>
          <w:rFonts w:ascii="Calibri" w:hAnsi="Calibri"/>
        </w:rPr>
      </w:pPr>
      <w:r w:rsidRPr="00530D97">
        <w:rPr>
          <w:rFonts w:ascii="Calibri" w:hAnsi="Calibri"/>
        </w:rPr>
        <w:t xml:space="preserve">Education levels </w:t>
      </w:r>
      <w:r>
        <w:rPr>
          <w:rFonts w:ascii="Calibri" w:hAnsi="Calibri"/>
        </w:rPr>
        <w:t>influenced</w:t>
      </w:r>
      <w:r w:rsidRPr="00530D97">
        <w:rPr>
          <w:rFonts w:ascii="Calibri" w:hAnsi="Calibri"/>
        </w:rPr>
        <w:t xml:space="preserve"> arts attendance, with 93% of people w</w:t>
      </w:r>
      <w:r>
        <w:rPr>
          <w:rFonts w:ascii="Calibri" w:hAnsi="Calibri"/>
        </w:rPr>
        <w:t>ith</w:t>
      </w:r>
      <w:r w:rsidRPr="00530D97">
        <w:rPr>
          <w:rFonts w:ascii="Calibri" w:hAnsi="Calibri"/>
        </w:rPr>
        <w:t xml:space="preserve"> university degrees attending an event in the previous year, compared with 65% of those with year 10 or less. </w:t>
      </w:r>
    </w:p>
    <w:p w14:paraId="17A7B566" w14:textId="77777777" w:rsidR="00697485" w:rsidRPr="00530D97" w:rsidRDefault="00697485" w:rsidP="00697485">
      <w:pPr>
        <w:spacing w:after="0" w:line="360" w:lineRule="auto"/>
        <w:jc w:val="both"/>
        <w:rPr>
          <w:rFonts w:ascii="Calibri" w:hAnsi="Calibri"/>
          <w:sz w:val="8"/>
          <w:szCs w:val="8"/>
        </w:rPr>
      </w:pPr>
    </w:p>
    <w:p w14:paraId="17E6CE18" w14:textId="77777777" w:rsidR="00697485" w:rsidRPr="003C265B" w:rsidRDefault="00697485" w:rsidP="00697485">
      <w:pPr>
        <w:spacing w:after="0" w:line="240" w:lineRule="auto"/>
        <w:jc w:val="both"/>
        <w:rPr>
          <w:rFonts w:ascii="Calibri" w:hAnsi="Calibri"/>
        </w:rPr>
      </w:pPr>
      <w:r w:rsidRPr="00D851ED">
        <w:rPr>
          <w:rFonts w:ascii="Calibri" w:hAnsi="Calibri"/>
          <w:color w:val="7F7F7F"/>
          <w:sz w:val="20"/>
          <w:szCs w:val="20"/>
        </w:rPr>
        <w:t xml:space="preserve">Per cent of </w:t>
      </w:r>
      <w:r>
        <w:rPr>
          <w:rFonts w:ascii="Calibri" w:hAnsi="Calibri"/>
          <w:color w:val="7F7F7F"/>
          <w:sz w:val="20"/>
          <w:szCs w:val="20"/>
        </w:rPr>
        <w:t>p</w:t>
      </w:r>
      <w:r w:rsidRPr="00D851ED">
        <w:rPr>
          <w:rFonts w:ascii="Calibri" w:hAnsi="Calibri"/>
          <w:color w:val="7F7F7F"/>
          <w:sz w:val="20"/>
          <w:szCs w:val="20"/>
        </w:rPr>
        <w:t xml:space="preserve">ersons who </w:t>
      </w:r>
      <w:r>
        <w:rPr>
          <w:rFonts w:ascii="Calibri" w:hAnsi="Calibri"/>
          <w:color w:val="7F7F7F"/>
          <w:sz w:val="20"/>
          <w:szCs w:val="20"/>
        </w:rPr>
        <w:t>a</w:t>
      </w:r>
      <w:r w:rsidRPr="00D851ED">
        <w:rPr>
          <w:rFonts w:ascii="Calibri" w:hAnsi="Calibri"/>
          <w:color w:val="7F7F7F"/>
          <w:sz w:val="20"/>
          <w:szCs w:val="20"/>
        </w:rPr>
        <w:t xml:space="preserve">ttended </w:t>
      </w:r>
      <w:r>
        <w:rPr>
          <w:rFonts w:ascii="Calibri" w:hAnsi="Calibri"/>
          <w:color w:val="7F7F7F"/>
          <w:sz w:val="20"/>
          <w:szCs w:val="20"/>
        </w:rPr>
        <w:t>s</w:t>
      </w:r>
      <w:r w:rsidRPr="00D851ED">
        <w:rPr>
          <w:rFonts w:ascii="Calibri" w:hAnsi="Calibri"/>
          <w:color w:val="7F7F7F"/>
          <w:sz w:val="20"/>
          <w:szCs w:val="20"/>
        </w:rPr>
        <w:t xml:space="preserve">elected </w:t>
      </w:r>
      <w:r>
        <w:rPr>
          <w:rFonts w:ascii="Calibri" w:hAnsi="Calibri"/>
          <w:color w:val="7F7F7F"/>
          <w:sz w:val="20"/>
          <w:szCs w:val="20"/>
        </w:rPr>
        <w:t>e</w:t>
      </w:r>
      <w:r w:rsidRPr="00D851ED">
        <w:rPr>
          <w:rFonts w:ascii="Calibri" w:hAnsi="Calibri"/>
          <w:color w:val="7F7F7F"/>
          <w:sz w:val="20"/>
          <w:szCs w:val="20"/>
        </w:rPr>
        <w:t xml:space="preserve">vents </w:t>
      </w:r>
      <w:r>
        <w:rPr>
          <w:rFonts w:ascii="Calibri" w:hAnsi="Calibri"/>
          <w:color w:val="7F7F7F"/>
          <w:sz w:val="20"/>
          <w:szCs w:val="20"/>
        </w:rPr>
        <w:t>d</w:t>
      </w:r>
      <w:r w:rsidRPr="00D851ED">
        <w:rPr>
          <w:rFonts w:ascii="Calibri" w:hAnsi="Calibri"/>
          <w:color w:val="7F7F7F"/>
          <w:sz w:val="20"/>
          <w:szCs w:val="20"/>
        </w:rPr>
        <w:t xml:space="preserve">uring the </w:t>
      </w:r>
      <w:r>
        <w:rPr>
          <w:rFonts w:ascii="Calibri" w:hAnsi="Calibri"/>
          <w:color w:val="7F7F7F"/>
          <w:sz w:val="20"/>
          <w:szCs w:val="20"/>
        </w:rPr>
        <w:t>p</w:t>
      </w:r>
      <w:r w:rsidRPr="00D851ED">
        <w:rPr>
          <w:rFonts w:ascii="Calibri" w:hAnsi="Calibri"/>
          <w:color w:val="7F7F7F"/>
          <w:sz w:val="20"/>
          <w:szCs w:val="20"/>
        </w:rPr>
        <w:t xml:space="preserve">revious </w:t>
      </w:r>
      <w:r>
        <w:rPr>
          <w:rFonts w:ascii="Calibri" w:hAnsi="Calibri"/>
          <w:color w:val="7F7F7F"/>
          <w:sz w:val="20"/>
          <w:szCs w:val="20"/>
        </w:rPr>
        <w:t>y</w:t>
      </w:r>
      <w:r w:rsidRPr="00D851ED">
        <w:rPr>
          <w:rFonts w:ascii="Calibri" w:hAnsi="Calibri"/>
          <w:color w:val="7F7F7F"/>
          <w:sz w:val="20"/>
          <w:szCs w:val="20"/>
        </w:rPr>
        <w:t xml:space="preserve">ear, by </w:t>
      </w:r>
      <w:r>
        <w:rPr>
          <w:rFonts w:ascii="Calibri" w:hAnsi="Calibri"/>
          <w:color w:val="7F7F7F"/>
          <w:sz w:val="20"/>
          <w:szCs w:val="20"/>
        </w:rPr>
        <w:t>education level</w:t>
      </w:r>
      <w:r w:rsidRPr="00D851ED">
        <w:rPr>
          <w:rFonts w:ascii="Calibri" w:hAnsi="Calibri"/>
          <w:color w:val="7F7F7F"/>
          <w:sz w:val="20"/>
          <w:szCs w:val="20"/>
        </w:rPr>
        <w:t>: Australia, 201</w:t>
      </w:r>
      <w:r>
        <w:rPr>
          <w:rFonts w:ascii="Calibri" w:hAnsi="Calibri"/>
          <w:color w:val="7F7F7F"/>
          <w:sz w:val="20"/>
          <w:szCs w:val="20"/>
        </w:rPr>
        <w:t>7</w:t>
      </w:r>
      <w:r w:rsidRPr="00D851ED">
        <w:rPr>
          <w:rFonts w:ascii="Calibri" w:hAnsi="Calibri"/>
          <w:color w:val="7F7F7F"/>
          <w:sz w:val="20"/>
          <w:szCs w:val="20"/>
        </w:rPr>
        <w:t>/1</w:t>
      </w:r>
      <w:r>
        <w:rPr>
          <w:rFonts w:ascii="Calibri" w:hAnsi="Calibri"/>
          <w:color w:val="7F7F7F"/>
          <w:sz w:val="20"/>
          <w:szCs w:val="20"/>
        </w:rPr>
        <w:t>8</w:t>
      </w:r>
    </w:p>
    <w:p w14:paraId="0C7D1F80" w14:textId="77777777" w:rsidR="00697485" w:rsidRPr="00530D97" w:rsidRDefault="00697485" w:rsidP="00697485">
      <w:pPr>
        <w:spacing w:after="0" w:line="360" w:lineRule="auto"/>
        <w:jc w:val="both"/>
        <w:rPr>
          <w:rFonts w:ascii="Calibri" w:hAnsi="Calibri"/>
          <w:sz w:val="8"/>
          <w:szCs w:val="8"/>
        </w:rPr>
      </w:pPr>
    </w:p>
    <w:p w14:paraId="372E2E7E" w14:textId="77777777" w:rsidR="00697485" w:rsidRPr="00530D97" w:rsidRDefault="00697485" w:rsidP="00697485">
      <w:pPr>
        <w:spacing w:after="0" w:line="360" w:lineRule="auto"/>
        <w:jc w:val="both"/>
        <w:rPr>
          <w:rFonts w:ascii="Calibri" w:hAnsi="Calibri"/>
        </w:rPr>
      </w:pPr>
      <w:r>
        <w:rPr>
          <w:rFonts w:ascii="Calibri" w:hAnsi="Calibri"/>
        </w:rPr>
        <w:t>Moreover, d</w:t>
      </w:r>
      <w:r w:rsidRPr="00530D97">
        <w:rPr>
          <w:rFonts w:ascii="Calibri" w:hAnsi="Calibri"/>
        </w:rPr>
        <w:t>egree holders were three times more likely than those with year 10 schooling only, to attend art galleries, museums and musicals, and twice as likely to attend other events.</w:t>
      </w:r>
    </w:p>
    <w:p w14:paraId="01BA6C12" w14:textId="77777777" w:rsidR="00697485" w:rsidRDefault="00697485" w:rsidP="00697485">
      <w:pPr>
        <w:spacing w:after="0" w:line="360" w:lineRule="auto"/>
        <w:jc w:val="both"/>
        <w:rPr>
          <w:rFonts w:ascii="Calibri" w:hAnsi="Calibri"/>
        </w:rPr>
      </w:pPr>
      <w:r w:rsidRPr="00530D97">
        <w:rPr>
          <w:rFonts w:ascii="Calibri" w:hAnsi="Calibri"/>
        </w:rPr>
        <w:t xml:space="preserve">Attendance </w:t>
      </w:r>
      <w:r>
        <w:rPr>
          <w:rFonts w:ascii="Calibri" w:hAnsi="Calibri"/>
        </w:rPr>
        <w:t>was also associated</w:t>
      </w:r>
      <w:r w:rsidRPr="00530D97">
        <w:rPr>
          <w:rFonts w:ascii="Calibri" w:hAnsi="Calibri"/>
        </w:rPr>
        <w:t xml:space="preserve"> with income, </w:t>
      </w:r>
      <w:r>
        <w:rPr>
          <w:rFonts w:ascii="Calibri" w:hAnsi="Calibri"/>
        </w:rPr>
        <w:t>with households among the highest fifth in incomes,</w:t>
      </w:r>
      <w:r w:rsidRPr="00530D97">
        <w:rPr>
          <w:rFonts w:ascii="Calibri" w:hAnsi="Calibri"/>
        </w:rPr>
        <w:t xml:space="preserve"> three times more likely to ha</w:t>
      </w:r>
      <w:r>
        <w:rPr>
          <w:rFonts w:ascii="Calibri" w:hAnsi="Calibri"/>
        </w:rPr>
        <w:t>v</w:t>
      </w:r>
      <w:r w:rsidRPr="00530D97">
        <w:rPr>
          <w:rFonts w:ascii="Calibri" w:hAnsi="Calibri"/>
        </w:rPr>
        <w:t>e attended live music, dance, musicals and operas as those on the lowest fifth of incomes.</w:t>
      </w:r>
    </w:p>
    <w:p w14:paraId="67D0AF46" w14:textId="77777777" w:rsidR="00697485" w:rsidRPr="00473C87" w:rsidRDefault="00697485" w:rsidP="00697485">
      <w:pPr>
        <w:spacing w:after="0" w:line="360" w:lineRule="auto"/>
        <w:jc w:val="both"/>
        <w:rPr>
          <w:rFonts w:ascii="Calibri" w:hAnsi="Calibri"/>
          <w:b/>
          <w:bCs/>
        </w:rPr>
      </w:pPr>
      <w:r w:rsidRPr="00473C87">
        <w:rPr>
          <w:rFonts w:ascii="Calibri" w:hAnsi="Calibri"/>
          <w:b/>
          <w:bCs/>
        </w:rPr>
        <w:lastRenderedPageBreak/>
        <w:t>Reasons for Non-Participation in Arts and Culture</w:t>
      </w:r>
    </w:p>
    <w:p w14:paraId="4BE10E3C" w14:textId="77777777" w:rsidR="00697485" w:rsidRDefault="00697485" w:rsidP="00697485">
      <w:pPr>
        <w:spacing w:after="0" w:line="360" w:lineRule="auto"/>
        <w:jc w:val="both"/>
        <w:rPr>
          <w:rFonts w:ascii="Calibri" w:hAnsi="Calibri"/>
          <w:lang w:val="en-US"/>
        </w:rPr>
      </w:pPr>
      <w:r w:rsidRPr="009D3399">
        <w:rPr>
          <w:rFonts w:ascii="Calibri" w:hAnsi="Calibri"/>
          <w:lang w:val="en-US"/>
        </w:rPr>
        <w:t>A</w:t>
      </w:r>
      <w:r>
        <w:rPr>
          <w:rFonts w:ascii="Calibri" w:hAnsi="Calibri"/>
          <w:lang w:val="en-US"/>
        </w:rPr>
        <w:t xml:space="preserve"> further</w:t>
      </w:r>
      <w:r w:rsidRPr="009D3399">
        <w:rPr>
          <w:rFonts w:ascii="Calibri" w:hAnsi="Calibri"/>
          <w:lang w:val="en-US"/>
        </w:rPr>
        <w:t xml:space="preserve"> national survey of participation in the arts, conducted in 2016, </w:t>
      </w:r>
      <w:r>
        <w:rPr>
          <w:rFonts w:ascii="Calibri" w:hAnsi="Calibri"/>
          <w:lang w:val="en-US"/>
        </w:rPr>
        <w:t>investigated</w:t>
      </w:r>
      <w:r w:rsidRPr="009D3399">
        <w:rPr>
          <w:rFonts w:ascii="Calibri" w:hAnsi="Calibri"/>
          <w:lang w:val="en-US"/>
        </w:rPr>
        <w:t xml:space="preserve"> levels of participation of people of various ages and genders. </w:t>
      </w:r>
      <w:r>
        <w:rPr>
          <w:rFonts w:ascii="Calibri" w:hAnsi="Calibri"/>
          <w:lang w:val="en-US"/>
        </w:rPr>
        <w:t>Reasons for not participating in the arts included</w:t>
      </w:r>
      <w:r w:rsidRPr="009D3399">
        <w:rPr>
          <w:rFonts w:ascii="Calibri" w:hAnsi="Calibri"/>
          <w:lang w:val="en-US"/>
        </w:rPr>
        <w:t xml:space="preserve"> difficulty finding time and lack of interest common reasons for lack of engagement. Travel limitations and having no-one to participate in such activities with them, were more prevalent reasons among women, whereas lack of interest was </w:t>
      </w:r>
      <w:r>
        <w:rPr>
          <w:rFonts w:ascii="Calibri" w:hAnsi="Calibri"/>
          <w:lang w:val="en-US"/>
        </w:rPr>
        <w:t>more often cited by</w:t>
      </w:r>
      <w:r w:rsidRPr="009D3399">
        <w:rPr>
          <w:rFonts w:ascii="Calibri" w:hAnsi="Calibri"/>
          <w:lang w:val="en-US"/>
        </w:rPr>
        <w:t xml:space="preserve"> men.</w:t>
      </w:r>
    </w:p>
    <w:p w14:paraId="13EC03AB" w14:textId="77777777" w:rsidR="00697485" w:rsidRPr="00473C87" w:rsidRDefault="00697485" w:rsidP="00697485">
      <w:pPr>
        <w:spacing w:after="0" w:line="240" w:lineRule="auto"/>
        <w:jc w:val="both"/>
        <w:rPr>
          <w:rFonts w:ascii="Calibri" w:hAnsi="Calibri"/>
          <w:color w:val="7F7F7F" w:themeColor="text1" w:themeTint="80"/>
          <w:sz w:val="20"/>
          <w:szCs w:val="20"/>
          <w:lang w:val="en-US"/>
        </w:rPr>
      </w:pPr>
      <w:r w:rsidRPr="00473C87">
        <w:rPr>
          <w:rFonts w:ascii="Calibri" w:hAnsi="Calibri"/>
          <w:color w:val="7F7F7F" w:themeColor="text1" w:themeTint="80"/>
          <w:sz w:val="20"/>
          <w:szCs w:val="20"/>
          <w:lang w:val="en-US"/>
        </w:rPr>
        <w:t>Reasons for not participating in arts or cultural activities: Australia, 2016</w:t>
      </w:r>
    </w:p>
    <w:p w14:paraId="605571DD" w14:textId="77777777" w:rsidR="00697485" w:rsidRDefault="00697485" w:rsidP="00697485">
      <w:pPr>
        <w:spacing w:after="0" w:line="360" w:lineRule="auto"/>
        <w:jc w:val="both"/>
        <w:rPr>
          <w:rFonts w:ascii="Calibri" w:hAnsi="Calibri"/>
        </w:rPr>
      </w:pPr>
      <w:r>
        <w:rPr>
          <w:rFonts w:ascii="Calibri" w:hAnsi="Calibri"/>
          <w:noProof/>
        </w:rPr>
        <w:drawing>
          <wp:inline distT="0" distB="0" distL="0" distR="0" wp14:anchorId="2A35A9DA" wp14:editId="67C1DBF2">
            <wp:extent cx="4495800" cy="2445487"/>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511819" cy="2454200"/>
                    </a:xfrm>
                    <a:prstGeom prst="rect">
                      <a:avLst/>
                    </a:prstGeom>
                    <a:noFill/>
                  </pic:spPr>
                </pic:pic>
              </a:graphicData>
            </a:graphic>
          </wp:inline>
        </w:drawing>
      </w:r>
    </w:p>
    <w:p w14:paraId="48FE14B6" w14:textId="77777777" w:rsidR="00697485" w:rsidRPr="009D3399" w:rsidRDefault="00697485" w:rsidP="00697485">
      <w:pPr>
        <w:spacing w:after="0" w:line="360" w:lineRule="auto"/>
        <w:jc w:val="both"/>
        <w:rPr>
          <w:rFonts w:ascii="Calibri" w:hAnsi="Calibri"/>
          <w:b/>
          <w:sz w:val="10"/>
          <w:szCs w:val="10"/>
        </w:rPr>
      </w:pPr>
    </w:p>
    <w:p w14:paraId="566D5365" w14:textId="77777777" w:rsidR="00697485" w:rsidRDefault="00697485" w:rsidP="00697485">
      <w:pPr>
        <w:spacing w:after="0" w:line="360" w:lineRule="auto"/>
        <w:jc w:val="both"/>
        <w:rPr>
          <w:rFonts w:ascii="Calibri" w:hAnsi="Calibri"/>
          <w:b/>
        </w:rPr>
      </w:pPr>
      <w:r w:rsidRPr="00FE7400">
        <w:rPr>
          <w:rFonts w:ascii="Calibri" w:hAnsi="Calibri"/>
          <w:b/>
        </w:rPr>
        <w:t>Local Trends</w:t>
      </w:r>
    </w:p>
    <w:p w14:paraId="3B253C42" w14:textId="77777777" w:rsidR="00697485" w:rsidRPr="00923BF8" w:rsidRDefault="00697485" w:rsidP="00697485">
      <w:pPr>
        <w:spacing w:after="0" w:line="360" w:lineRule="auto"/>
        <w:jc w:val="both"/>
      </w:pPr>
      <w:r w:rsidRPr="00923BF8">
        <w:t>Of those who purchased tickets to performances at the Drum theatre in 2016/17, approximately 1,000 were residents of Greater Dandenong, representing approximately 0.6% of the population of this municipality.</w:t>
      </w:r>
    </w:p>
    <w:p w14:paraId="1E857F67" w14:textId="77777777" w:rsidR="00697485" w:rsidRPr="00B95518" w:rsidRDefault="00697485" w:rsidP="00697485">
      <w:pPr>
        <w:spacing w:after="0" w:line="240" w:lineRule="auto"/>
        <w:ind w:left="709"/>
        <w:jc w:val="both"/>
        <w:rPr>
          <w:rFonts w:ascii="Calibri" w:hAnsi="Calibri"/>
          <w:color w:val="7F7F7F"/>
          <w:sz w:val="20"/>
          <w:szCs w:val="20"/>
        </w:rPr>
      </w:pPr>
      <w:r w:rsidRPr="00B95518">
        <w:rPr>
          <w:rFonts w:ascii="Calibri" w:hAnsi="Calibri"/>
          <w:color w:val="7F7F7F"/>
          <w:sz w:val="20"/>
          <w:szCs w:val="20"/>
        </w:rPr>
        <w:t xml:space="preserve">Per cent of </w:t>
      </w:r>
      <w:r>
        <w:rPr>
          <w:rFonts w:ascii="Calibri" w:hAnsi="Calibri"/>
          <w:color w:val="7F7F7F"/>
          <w:sz w:val="20"/>
          <w:szCs w:val="20"/>
        </w:rPr>
        <w:t>r</w:t>
      </w:r>
      <w:r w:rsidRPr="00B95518">
        <w:rPr>
          <w:rFonts w:ascii="Calibri" w:hAnsi="Calibri"/>
          <w:color w:val="7F7F7F"/>
          <w:sz w:val="20"/>
          <w:szCs w:val="20"/>
        </w:rPr>
        <w:t xml:space="preserve">esidents who had </w:t>
      </w:r>
      <w:r>
        <w:rPr>
          <w:rFonts w:ascii="Calibri" w:hAnsi="Calibri"/>
          <w:color w:val="7F7F7F"/>
          <w:sz w:val="20"/>
          <w:szCs w:val="20"/>
        </w:rPr>
        <w:t>p</w:t>
      </w:r>
      <w:r w:rsidRPr="00B95518">
        <w:rPr>
          <w:rFonts w:ascii="Calibri" w:hAnsi="Calibri"/>
          <w:color w:val="7F7F7F"/>
          <w:sz w:val="20"/>
          <w:szCs w:val="20"/>
        </w:rPr>
        <w:t xml:space="preserve">articipated in an </w:t>
      </w:r>
    </w:p>
    <w:p w14:paraId="02755A94" w14:textId="77777777" w:rsidR="00697485" w:rsidRPr="00B95518" w:rsidRDefault="00697485" w:rsidP="00697485">
      <w:pPr>
        <w:spacing w:after="0" w:line="240" w:lineRule="auto"/>
        <w:ind w:left="709"/>
        <w:jc w:val="both"/>
        <w:rPr>
          <w:rFonts w:ascii="Calibri" w:hAnsi="Calibri"/>
          <w:color w:val="7F7F7F"/>
          <w:sz w:val="20"/>
          <w:szCs w:val="20"/>
        </w:rPr>
      </w:pPr>
      <w:r>
        <w:rPr>
          <w:rFonts w:ascii="Calibri" w:hAnsi="Calibri"/>
          <w:color w:val="7F7F7F"/>
          <w:sz w:val="20"/>
          <w:szCs w:val="20"/>
        </w:rPr>
        <w:t>a</w:t>
      </w:r>
      <w:r w:rsidRPr="00B95518">
        <w:rPr>
          <w:rFonts w:ascii="Calibri" w:hAnsi="Calibri"/>
          <w:color w:val="7F7F7F"/>
          <w:sz w:val="20"/>
          <w:szCs w:val="20"/>
        </w:rPr>
        <w:t xml:space="preserve">rts </w:t>
      </w:r>
      <w:r>
        <w:rPr>
          <w:rFonts w:ascii="Calibri" w:hAnsi="Calibri"/>
          <w:color w:val="7F7F7F"/>
          <w:sz w:val="20"/>
          <w:szCs w:val="20"/>
        </w:rPr>
        <w:t>event</w:t>
      </w:r>
      <w:r w:rsidRPr="00B95518">
        <w:rPr>
          <w:rFonts w:ascii="Calibri" w:hAnsi="Calibri"/>
          <w:color w:val="7F7F7F"/>
          <w:sz w:val="20"/>
          <w:szCs w:val="20"/>
        </w:rPr>
        <w:t xml:space="preserve"> during the </w:t>
      </w:r>
      <w:r>
        <w:rPr>
          <w:rFonts w:ascii="Calibri" w:hAnsi="Calibri"/>
          <w:color w:val="7F7F7F"/>
          <w:sz w:val="20"/>
          <w:szCs w:val="20"/>
        </w:rPr>
        <w:t>p</w:t>
      </w:r>
      <w:r w:rsidRPr="00B95518">
        <w:rPr>
          <w:rFonts w:ascii="Calibri" w:hAnsi="Calibri"/>
          <w:color w:val="7F7F7F"/>
          <w:sz w:val="20"/>
          <w:szCs w:val="20"/>
        </w:rPr>
        <w:t xml:space="preserve">revious </w:t>
      </w:r>
      <w:r>
        <w:rPr>
          <w:rFonts w:ascii="Calibri" w:hAnsi="Calibri"/>
          <w:color w:val="7F7F7F"/>
          <w:sz w:val="20"/>
          <w:szCs w:val="20"/>
        </w:rPr>
        <w:t>three months</w:t>
      </w:r>
      <w:r w:rsidRPr="00B95518">
        <w:rPr>
          <w:rFonts w:ascii="Calibri" w:hAnsi="Calibri"/>
          <w:color w:val="7F7F7F"/>
          <w:sz w:val="20"/>
          <w:szCs w:val="20"/>
        </w:rPr>
        <w:t>, 2012</w:t>
      </w:r>
    </w:p>
    <w:p w14:paraId="5B47A880" w14:textId="5614ADDE" w:rsidR="00697485" w:rsidRPr="00697485" w:rsidRDefault="00697485" w:rsidP="00697485">
      <w:pPr>
        <w:spacing w:after="0" w:line="360" w:lineRule="auto"/>
        <w:jc w:val="both"/>
        <w:rPr>
          <w:rFonts w:ascii="Calibri" w:hAnsi="Calibri"/>
        </w:rPr>
      </w:pPr>
      <w:r>
        <w:rPr>
          <w:noProof/>
          <w:lang w:eastAsia="en-AU"/>
        </w:rPr>
        <w:drawing>
          <wp:anchor distT="0" distB="0" distL="114300" distR="114300" simplePos="0" relativeHeight="251839488" behindDoc="1" locked="0" layoutInCell="1" allowOverlap="1" wp14:anchorId="131FC542" wp14:editId="44DF2F7F">
            <wp:simplePos x="0" y="0"/>
            <wp:positionH relativeFrom="column">
              <wp:posOffset>60960</wp:posOffset>
            </wp:positionH>
            <wp:positionV relativeFrom="paragraph">
              <wp:posOffset>64135</wp:posOffset>
            </wp:positionV>
            <wp:extent cx="3098800" cy="3696970"/>
            <wp:effectExtent l="0" t="0" r="6350" b="0"/>
            <wp:wrapTight wrapText="bothSides">
              <wp:wrapPolygon edited="0">
                <wp:start x="0" y="0"/>
                <wp:lineTo x="0" y="21481"/>
                <wp:lineTo x="21511" y="21481"/>
                <wp:lineTo x="21511" y="0"/>
                <wp:lineTo x="0" y="0"/>
              </wp:wrapPolygon>
            </wp:wrapTight>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7">
                      <a:extLst>
                        <a:ext uri="{28A0092B-C50C-407E-A947-70E740481C1C}">
                          <a14:useLocalDpi xmlns:a14="http://schemas.microsoft.com/office/drawing/2010/main" val="0"/>
                        </a:ext>
                      </a:extLst>
                    </a:blip>
                    <a:srcRect l="2733" r="9338"/>
                    <a:stretch>
                      <a:fillRect/>
                    </a:stretch>
                  </pic:blipFill>
                  <pic:spPr bwMode="auto">
                    <a:xfrm>
                      <a:off x="0" y="0"/>
                      <a:ext cx="3098800" cy="36969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rPr>
        <w:t>Locally, the 2012 VicHealth Indicators Survey (the more recent local survey of this kind, at the time of writing) found that local levels of participation in arts activities or events were relatively low, with 50% of residents attending arts activities or events during the previous 3 months, compared with 66% of Victorian residents. More broadly, participation levels were highest in the more affluent metropolitan localities, and lowest in rural communities and disadvantaged metropolitan areas.</w:t>
      </w:r>
    </w:p>
    <w:p w14:paraId="6718100A" w14:textId="51491680" w:rsidR="00697485" w:rsidRPr="00D851ED" w:rsidRDefault="00697485" w:rsidP="00697485">
      <w:pPr>
        <w:spacing w:after="0" w:line="240" w:lineRule="auto"/>
        <w:ind w:left="5387"/>
        <w:jc w:val="both"/>
        <w:rPr>
          <w:rFonts w:ascii="Calibri" w:hAnsi="Calibri"/>
          <w:color w:val="7F7F7F"/>
          <w:sz w:val="20"/>
          <w:szCs w:val="20"/>
        </w:rPr>
      </w:pPr>
      <w:r w:rsidRPr="00D851ED">
        <w:rPr>
          <w:rFonts w:ascii="Calibri" w:hAnsi="Calibri"/>
          <w:color w:val="7F7F7F"/>
          <w:sz w:val="20"/>
          <w:szCs w:val="20"/>
        </w:rPr>
        <w:t xml:space="preserve">Per cent of </w:t>
      </w:r>
      <w:r>
        <w:rPr>
          <w:rFonts w:ascii="Calibri" w:hAnsi="Calibri"/>
          <w:color w:val="7F7F7F"/>
          <w:sz w:val="20"/>
          <w:szCs w:val="20"/>
        </w:rPr>
        <w:t>r</w:t>
      </w:r>
      <w:r w:rsidRPr="00D851ED">
        <w:rPr>
          <w:rFonts w:ascii="Calibri" w:hAnsi="Calibri"/>
          <w:color w:val="7F7F7F"/>
          <w:sz w:val="20"/>
          <w:szCs w:val="20"/>
        </w:rPr>
        <w:t xml:space="preserve">esidents who </w:t>
      </w:r>
      <w:r>
        <w:rPr>
          <w:rFonts w:ascii="Calibri" w:hAnsi="Calibri"/>
          <w:color w:val="7F7F7F"/>
          <w:sz w:val="20"/>
          <w:szCs w:val="20"/>
        </w:rPr>
        <w:t xml:space="preserve">created art or craft </w:t>
      </w:r>
      <w:r w:rsidRPr="00D851ED">
        <w:rPr>
          <w:rFonts w:ascii="Calibri" w:hAnsi="Calibri"/>
          <w:color w:val="7F7F7F"/>
          <w:sz w:val="20"/>
          <w:szCs w:val="20"/>
        </w:rPr>
        <w:t xml:space="preserve">during the </w:t>
      </w:r>
      <w:r>
        <w:rPr>
          <w:rFonts w:ascii="Calibri" w:hAnsi="Calibri"/>
          <w:color w:val="7F7F7F"/>
          <w:sz w:val="20"/>
          <w:szCs w:val="20"/>
        </w:rPr>
        <w:t>p</w:t>
      </w:r>
      <w:r w:rsidRPr="00D851ED">
        <w:rPr>
          <w:rFonts w:ascii="Calibri" w:hAnsi="Calibri"/>
          <w:color w:val="7F7F7F"/>
          <w:sz w:val="20"/>
          <w:szCs w:val="20"/>
        </w:rPr>
        <w:t xml:space="preserve">revious </w:t>
      </w:r>
      <w:r>
        <w:rPr>
          <w:rFonts w:ascii="Calibri" w:hAnsi="Calibri"/>
          <w:color w:val="7F7F7F"/>
          <w:sz w:val="20"/>
          <w:szCs w:val="20"/>
        </w:rPr>
        <w:t>three months</w:t>
      </w:r>
      <w:r w:rsidRPr="00D851ED">
        <w:rPr>
          <w:rFonts w:ascii="Calibri" w:hAnsi="Calibri"/>
          <w:color w:val="7F7F7F"/>
          <w:sz w:val="20"/>
          <w:szCs w:val="20"/>
        </w:rPr>
        <w:t>, 2012</w:t>
      </w:r>
    </w:p>
    <w:p w14:paraId="41EED2BD" w14:textId="7BF11E76" w:rsidR="00B53C77" w:rsidRDefault="00697485" w:rsidP="00697485">
      <w:pPr>
        <w:spacing w:after="0" w:line="360" w:lineRule="auto"/>
      </w:pPr>
      <w:r>
        <w:rPr>
          <w:rFonts w:ascii="Calibri" w:hAnsi="Calibri"/>
          <w:noProof/>
          <w:sz w:val="20"/>
          <w:szCs w:val="20"/>
          <w:lang w:eastAsia="en-AU"/>
        </w:rPr>
        <w:drawing>
          <wp:anchor distT="0" distB="0" distL="114300" distR="114300" simplePos="0" relativeHeight="251840512" behindDoc="0" locked="0" layoutInCell="1" allowOverlap="1" wp14:anchorId="412DEFA8" wp14:editId="2CE589E8">
            <wp:simplePos x="0" y="0"/>
            <wp:positionH relativeFrom="column">
              <wp:posOffset>4592908</wp:posOffset>
            </wp:positionH>
            <wp:positionV relativeFrom="paragraph">
              <wp:posOffset>5715</wp:posOffset>
            </wp:positionV>
            <wp:extent cx="1590040" cy="1046480"/>
            <wp:effectExtent l="0" t="0" r="0" b="127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Ethnic 13.JP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590040" cy="1046480"/>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p>
    <w:p w14:paraId="5CF20C33" w14:textId="4CCADDBD" w:rsidR="00B53C77" w:rsidRDefault="00B53C77" w:rsidP="00697485">
      <w:pPr>
        <w:spacing w:after="0" w:line="360" w:lineRule="auto"/>
      </w:pPr>
    </w:p>
    <w:p w14:paraId="1DA97401" w14:textId="08D403C3" w:rsidR="00B53C77" w:rsidRDefault="00B53C77" w:rsidP="0051666C">
      <w:pPr>
        <w:spacing w:after="0" w:line="360" w:lineRule="auto"/>
      </w:pPr>
    </w:p>
    <w:p w14:paraId="7AECC43D" w14:textId="77777777" w:rsidR="00E82E66" w:rsidRPr="004630B1" w:rsidRDefault="00E82E66" w:rsidP="00A26F54">
      <w:pPr>
        <w:pBdr>
          <w:top w:val="single" w:sz="4" w:space="1" w:color="auto"/>
          <w:bottom w:val="single" w:sz="4" w:space="1" w:color="auto"/>
        </w:pBdr>
        <w:tabs>
          <w:tab w:val="center" w:pos="4678"/>
        </w:tabs>
        <w:jc w:val="center"/>
        <w:rPr>
          <w:rFonts w:ascii="Calibri" w:hAnsi="Calibri"/>
          <w:noProof/>
          <w:sz w:val="32"/>
          <w:szCs w:val="32"/>
        </w:rPr>
      </w:pPr>
      <w:r>
        <w:rPr>
          <w:rFonts w:ascii="Calibri" w:hAnsi="Calibri"/>
          <w:noProof/>
          <w:sz w:val="32"/>
          <w:szCs w:val="32"/>
        </w:rPr>
        <w:lastRenderedPageBreak/>
        <w:t>Gender Differences in Social Conditions and Outcomes</w:t>
      </w:r>
    </w:p>
    <w:p w14:paraId="67586689" w14:textId="77777777" w:rsidR="00E82E66" w:rsidRPr="005D37BE" w:rsidRDefault="00E82E66" w:rsidP="00E82E66">
      <w:pPr>
        <w:spacing w:after="0" w:line="360" w:lineRule="auto"/>
        <w:rPr>
          <w:b/>
          <w:color w:val="222A35" w:themeColor="text2" w:themeShade="80"/>
          <w:sz w:val="26"/>
          <w:szCs w:val="26"/>
        </w:rPr>
      </w:pPr>
      <w:r w:rsidRPr="005D37BE">
        <w:rPr>
          <w:b/>
          <w:color w:val="222A35" w:themeColor="text2" w:themeShade="80"/>
          <w:sz w:val="26"/>
          <w:szCs w:val="26"/>
        </w:rPr>
        <w:t>Early Child</w:t>
      </w:r>
      <w:r>
        <w:rPr>
          <w:b/>
          <w:color w:val="222A35" w:themeColor="text2" w:themeShade="80"/>
          <w:sz w:val="26"/>
          <w:szCs w:val="26"/>
        </w:rPr>
        <w:t>b</w:t>
      </w:r>
      <w:r w:rsidRPr="005D37BE">
        <w:rPr>
          <w:b/>
          <w:color w:val="222A35" w:themeColor="text2" w:themeShade="80"/>
          <w:sz w:val="26"/>
          <w:szCs w:val="26"/>
        </w:rPr>
        <w:t>irth</w:t>
      </w:r>
    </w:p>
    <w:p w14:paraId="456273CE" w14:textId="77777777" w:rsidR="00E82E66" w:rsidRDefault="00E82E66" w:rsidP="00E82E66">
      <w:pPr>
        <w:spacing w:after="0" w:line="360" w:lineRule="auto"/>
        <w:rPr>
          <w:color w:val="7F7F7F" w:themeColor="text1" w:themeTint="80"/>
          <w:sz w:val="20"/>
          <w:szCs w:val="20"/>
        </w:rPr>
      </w:pPr>
      <w:r>
        <w:rPr>
          <w:noProof/>
          <w:color w:val="7F7F7F" w:themeColor="text1" w:themeTint="80"/>
          <w:sz w:val="20"/>
          <w:szCs w:val="20"/>
        </w:rPr>
        <w:drawing>
          <wp:anchor distT="0" distB="0" distL="114300" distR="114300" simplePos="0" relativeHeight="251876352" behindDoc="0" locked="0" layoutInCell="1" allowOverlap="1" wp14:anchorId="3155A570" wp14:editId="3DB877BB">
            <wp:simplePos x="0" y="0"/>
            <wp:positionH relativeFrom="column">
              <wp:posOffset>32068</wp:posOffset>
            </wp:positionH>
            <wp:positionV relativeFrom="paragraph">
              <wp:posOffset>80328</wp:posOffset>
            </wp:positionV>
            <wp:extent cx="4109720" cy="2637790"/>
            <wp:effectExtent l="0" t="0" r="5080" b="0"/>
            <wp:wrapSquare wrapText="bothSides"/>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109720" cy="2637790"/>
                    </a:xfrm>
                    <a:prstGeom prst="rect">
                      <a:avLst/>
                    </a:prstGeom>
                    <a:noFill/>
                  </pic:spPr>
                </pic:pic>
              </a:graphicData>
            </a:graphic>
            <wp14:sizeRelH relativeFrom="page">
              <wp14:pctWidth>0</wp14:pctWidth>
            </wp14:sizeRelH>
            <wp14:sizeRelV relativeFrom="page">
              <wp14:pctHeight>0</wp14:pctHeight>
            </wp14:sizeRelV>
          </wp:anchor>
        </w:drawing>
      </w:r>
    </w:p>
    <w:p w14:paraId="6D017E19" w14:textId="77777777" w:rsidR="00E82E66" w:rsidRPr="005D37BE" w:rsidRDefault="00E82E66" w:rsidP="00E82E66">
      <w:pPr>
        <w:spacing w:after="0" w:line="240" w:lineRule="auto"/>
        <w:rPr>
          <w:color w:val="7F7F7F" w:themeColor="text1" w:themeTint="80"/>
          <w:sz w:val="20"/>
          <w:szCs w:val="20"/>
        </w:rPr>
      </w:pPr>
      <w:r>
        <w:rPr>
          <w:color w:val="7F7F7F" w:themeColor="text1" w:themeTint="80"/>
          <w:sz w:val="20"/>
          <w:szCs w:val="20"/>
        </w:rPr>
        <w:t>Per cent of women who had given birth, by age</w:t>
      </w:r>
      <w:r w:rsidRPr="005D37BE">
        <w:rPr>
          <w:color w:val="7F7F7F" w:themeColor="text1" w:themeTint="80"/>
          <w:sz w:val="20"/>
          <w:szCs w:val="20"/>
        </w:rPr>
        <w:t xml:space="preserve">: Metropolitan Melbourne and Greater Dandenong, </w:t>
      </w:r>
      <w:r>
        <w:rPr>
          <w:color w:val="7F7F7F" w:themeColor="text1" w:themeTint="80"/>
          <w:sz w:val="20"/>
          <w:szCs w:val="20"/>
        </w:rPr>
        <w:t>2021</w:t>
      </w:r>
    </w:p>
    <w:p w14:paraId="6D4F843C" w14:textId="77777777" w:rsidR="00E82E66" w:rsidRPr="005D37BE" w:rsidRDefault="00E82E66" w:rsidP="00E82E66">
      <w:pPr>
        <w:spacing w:after="0" w:line="360" w:lineRule="auto"/>
      </w:pPr>
      <w:r>
        <w:rPr>
          <w:noProof/>
          <w:lang w:eastAsia="en-AU"/>
        </w:rPr>
        <w:drawing>
          <wp:anchor distT="0" distB="0" distL="114300" distR="114300" simplePos="0" relativeHeight="251882496" behindDoc="0" locked="0" layoutInCell="1" allowOverlap="1" wp14:anchorId="68D603B1" wp14:editId="7558976E">
            <wp:simplePos x="0" y="0"/>
            <wp:positionH relativeFrom="column">
              <wp:posOffset>-3758565</wp:posOffset>
            </wp:positionH>
            <wp:positionV relativeFrom="paragraph">
              <wp:posOffset>4763</wp:posOffset>
            </wp:positionV>
            <wp:extent cx="923925" cy="923925"/>
            <wp:effectExtent l="0" t="0" r="9525" b="9525"/>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 6.jp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E90D514" w14:textId="77777777" w:rsidR="00E82E66" w:rsidRPr="005D37BE" w:rsidRDefault="00E82E66" w:rsidP="00E82E66">
      <w:pPr>
        <w:spacing w:after="0" w:line="360" w:lineRule="auto"/>
      </w:pPr>
      <w:r w:rsidRPr="005D37BE">
        <w:rPr>
          <w:noProof/>
          <w:lang w:eastAsia="en-AU"/>
        </w:rPr>
        <mc:AlternateContent>
          <mc:Choice Requires="wps">
            <w:drawing>
              <wp:anchor distT="0" distB="0" distL="114300" distR="114300" simplePos="0" relativeHeight="251868160" behindDoc="0" locked="0" layoutInCell="1" allowOverlap="1" wp14:anchorId="62B65A02" wp14:editId="08A7F318">
                <wp:simplePos x="0" y="0"/>
                <wp:positionH relativeFrom="column">
                  <wp:posOffset>43498</wp:posOffset>
                </wp:positionH>
                <wp:positionV relativeFrom="paragraph">
                  <wp:posOffset>52705</wp:posOffset>
                </wp:positionV>
                <wp:extent cx="1924050" cy="16764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676400"/>
                        </a:xfrm>
                        <a:prstGeom prst="rect">
                          <a:avLst/>
                        </a:prstGeom>
                        <a:noFill/>
                        <a:ln w="9525">
                          <a:noFill/>
                          <a:miter lim="800000"/>
                          <a:headEnd/>
                          <a:tailEnd/>
                        </a:ln>
                      </wps:spPr>
                      <wps:txbx>
                        <w:txbxContent>
                          <w:p w14:paraId="004C9648" w14:textId="77777777" w:rsidR="00E82E66" w:rsidRDefault="00E82E66" w:rsidP="00E82E66">
                            <w:pPr>
                              <w:jc w:val="both"/>
                              <w:rPr>
                                <w:sz w:val="20"/>
                                <w:szCs w:val="20"/>
                              </w:rPr>
                            </w:pPr>
                            <w:r>
                              <w:rPr>
                                <w:sz w:val="20"/>
                                <w:szCs w:val="20"/>
                              </w:rPr>
                              <w:t xml:space="preserve">The proportion of younger women </w:t>
                            </w:r>
                            <w:r w:rsidRPr="009D25F7">
                              <w:rPr>
                                <w:sz w:val="20"/>
                                <w:szCs w:val="20"/>
                              </w:rPr>
                              <w:t xml:space="preserve">in </w:t>
                            </w:r>
                            <w:r>
                              <w:rPr>
                                <w:sz w:val="20"/>
                                <w:szCs w:val="20"/>
                              </w:rPr>
                              <w:t>Greater Dandenong who had given birth is more than twice the corresponding rate in Melbourne.</w:t>
                            </w:r>
                          </w:p>
                          <w:p w14:paraId="152DEF7F" w14:textId="77777777" w:rsidR="00E82E66" w:rsidRPr="009D25F7" w:rsidRDefault="00E82E66" w:rsidP="00E82E66">
                            <w:pPr>
                              <w:jc w:val="both"/>
                              <w:rPr>
                                <w:sz w:val="20"/>
                                <w:szCs w:val="20"/>
                              </w:rPr>
                            </w:pPr>
                            <w:r>
                              <w:rPr>
                                <w:sz w:val="20"/>
                                <w:szCs w:val="20"/>
                              </w:rPr>
                              <w:t>For some young women, e</w:t>
                            </w:r>
                            <w:r w:rsidRPr="009D25F7">
                              <w:rPr>
                                <w:sz w:val="20"/>
                                <w:szCs w:val="20"/>
                              </w:rPr>
                              <w:t xml:space="preserve">arly childbirth is </w:t>
                            </w:r>
                            <w:r>
                              <w:rPr>
                                <w:sz w:val="20"/>
                                <w:szCs w:val="20"/>
                              </w:rPr>
                              <w:t>either</w:t>
                            </w:r>
                            <w:r w:rsidRPr="009D25F7">
                              <w:rPr>
                                <w:sz w:val="20"/>
                                <w:szCs w:val="20"/>
                              </w:rPr>
                              <w:t xml:space="preserve"> a consequence </w:t>
                            </w:r>
                            <w:r>
                              <w:rPr>
                                <w:sz w:val="20"/>
                                <w:szCs w:val="20"/>
                              </w:rPr>
                              <w:t>or a</w:t>
                            </w:r>
                            <w:r w:rsidRPr="009D25F7">
                              <w:rPr>
                                <w:sz w:val="20"/>
                                <w:szCs w:val="20"/>
                              </w:rPr>
                              <w:t xml:space="preserve"> cause of limited educational and vocational </w:t>
                            </w:r>
                            <w:r>
                              <w:rPr>
                                <w:sz w:val="20"/>
                                <w:szCs w:val="20"/>
                              </w:rPr>
                              <w:t>opportunities</w:t>
                            </w:r>
                            <w:r w:rsidRPr="009D25F7">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62B65A02" id="_x0000_t202" coordsize="21600,21600" o:spt="202" path="m,l,21600r21600,l21600,xe">
                <v:stroke joinstyle="miter"/>
                <v:path gradientshapeok="t" o:connecttype="rect"/>
              </v:shapetype>
              <v:shape id="Text Box 2" o:spid="_x0000_s1026" type="#_x0000_t202" style="position:absolute;margin-left:3.45pt;margin-top:4.15pt;width:151.5pt;height:132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ac+AEAAM4DAAAOAAAAZHJzL2Uyb0RvYy54bWysU1Fv0zAQfkfiP1h+p0mrtlujptPYGEIa&#10;A2nwA66O01jYPmO7Tcqv5+x0XQVviDxYvpz93X3ffV7fDEazg/RBoa35dFJyJq3ARtldzb9/e3h3&#10;zVmIYBvQaGXNjzLwm83bN+veVXKGHepGekYgNlS9q3kXo6uKIohOGggTdNJSskVvIFLod0XjoSd0&#10;o4tZWS6LHn3jPAoZAv29H5N8k/HbVor4pW2DjEzXnHqLefV53aa12Kyh2nlwnRKnNuAfujCgLBU9&#10;Q91DBLb36i8oo4THgG2cCDQFtq0SMnMgNtPyDzbPHTiZuZA4wZ1lCv8PVjwdnt1Xz+LwHgcaYCYR&#10;3COKH4FZvOvA7uSt99h3EhoqPE2SFb0L1elqkjpUIYFs+8/Y0JBhHzEDDa03SRXiyQidBnA8iy6H&#10;yEQquZrNywWlBOWmy6vlvMxjKaB6ue58iB8lGpY2Nfc01QwPh8cQUztQvRxJ1Sw+KK3zZLVlfc1X&#10;i9kiX7jIGBXJeFqZml+X6RutkFh+sE2+HEHpcU8FtD3RTkxHznHYDnQw0d9icyQBPI4GowdBmw79&#10;L856MlfNw889eMmZ/mRJxNV0Pk9uzMF8cTWjwF9mtpcZsIKgah45G7d3MTt45HpLYrcqy/DayalX&#10;Mk1W52Tw5MrLOJ96fYab3wAAAP//AwBQSwMEFAAGAAgAAAAhAOyE4OnaAAAABwEAAA8AAABkcnMv&#10;ZG93bnJldi54bWxMjsFOwzAQRO9I/IO1SNyoTQJtE7KpEIgriEKRuLnJNomI11HsNuHvWU5wHM3o&#10;zSs2s+vVicbQeUa4XhhQxJWvO24Q3t+ertagQrRc294zIXxTgE15flbYvPYTv9JpGxslEA65RWhj&#10;HHKtQ9WSs2HhB2LpDn50NkocG12PdhK463VizFI727E8tHagh5aqr+3RIeyeD58fN+aleXS3w+Rn&#10;o9llGvHyYr6/AxVpjn9j+NUXdSjFae+PXAfVIywzGSKsU1DSpiaTvEdIVkkKuiz0f//yBwAA//8D&#10;AFBLAQItABQABgAIAAAAIQC2gziS/gAAAOEBAAATAAAAAAAAAAAAAAAAAAAAAABbQ29udGVudF9U&#10;eXBlc10ueG1sUEsBAi0AFAAGAAgAAAAhADj9If/WAAAAlAEAAAsAAAAAAAAAAAAAAAAALwEAAF9y&#10;ZWxzLy5yZWxzUEsBAi0AFAAGAAgAAAAhAL8SBpz4AQAAzgMAAA4AAAAAAAAAAAAAAAAALgIAAGRy&#10;cy9lMm9Eb2MueG1sUEsBAi0AFAAGAAgAAAAhAOyE4OnaAAAABwEAAA8AAAAAAAAAAAAAAAAAUgQA&#10;AGRycy9kb3ducmV2LnhtbFBLBQYAAAAABAAEAPMAAABZBQAAAAA=&#10;" filled="f" stroked="f">
                <v:textbox>
                  <w:txbxContent>
                    <w:p w14:paraId="004C9648" w14:textId="77777777" w:rsidR="00E82E66" w:rsidRDefault="00E82E66" w:rsidP="00E82E66">
                      <w:pPr>
                        <w:jc w:val="both"/>
                        <w:rPr>
                          <w:sz w:val="20"/>
                          <w:szCs w:val="20"/>
                        </w:rPr>
                      </w:pPr>
                      <w:r>
                        <w:rPr>
                          <w:sz w:val="20"/>
                          <w:szCs w:val="20"/>
                        </w:rPr>
                        <w:t xml:space="preserve">The proportion of younger women </w:t>
                      </w:r>
                      <w:r w:rsidRPr="009D25F7">
                        <w:rPr>
                          <w:sz w:val="20"/>
                          <w:szCs w:val="20"/>
                        </w:rPr>
                        <w:t xml:space="preserve">in </w:t>
                      </w:r>
                      <w:r>
                        <w:rPr>
                          <w:sz w:val="20"/>
                          <w:szCs w:val="20"/>
                        </w:rPr>
                        <w:t>Greater Dandenong who had given birth is more than twice the corresponding rate in Melbourne.</w:t>
                      </w:r>
                    </w:p>
                    <w:p w14:paraId="152DEF7F" w14:textId="77777777" w:rsidR="00E82E66" w:rsidRPr="009D25F7" w:rsidRDefault="00E82E66" w:rsidP="00E82E66">
                      <w:pPr>
                        <w:jc w:val="both"/>
                        <w:rPr>
                          <w:sz w:val="20"/>
                          <w:szCs w:val="20"/>
                        </w:rPr>
                      </w:pPr>
                      <w:r>
                        <w:rPr>
                          <w:sz w:val="20"/>
                          <w:szCs w:val="20"/>
                        </w:rPr>
                        <w:t>For some young women, e</w:t>
                      </w:r>
                      <w:r w:rsidRPr="009D25F7">
                        <w:rPr>
                          <w:sz w:val="20"/>
                          <w:szCs w:val="20"/>
                        </w:rPr>
                        <w:t xml:space="preserve">arly childbirth is </w:t>
                      </w:r>
                      <w:r>
                        <w:rPr>
                          <w:sz w:val="20"/>
                          <w:szCs w:val="20"/>
                        </w:rPr>
                        <w:t>either</w:t>
                      </w:r>
                      <w:r w:rsidRPr="009D25F7">
                        <w:rPr>
                          <w:sz w:val="20"/>
                          <w:szCs w:val="20"/>
                        </w:rPr>
                        <w:t xml:space="preserve"> a consequence </w:t>
                      </w:r>
                      <w:r>
                        <w:rPr>
                          <w:sz w:val="20"/>
                          <w:szCs w:val="20"/>
                        </w:rPr>
                        <w:t>or a</w:t>
                      </w:r>
                      <w:r w:rsidRPr="009D25F7">
                        <w:rPr>
                          <w:sz w:val="20"/>
                          <w:szCs w:val="20"/>
                        </w:rPr>
                        <w:t xml:space="preserve"> cause of limited educational and vocational </w:t>
                      </w:r>
                      <w:r>
                        <w:rPr>
                          <w:sz w:val="20"/>
                          <w:szCs w:val="20"/>
                        </w:rPr>
                        <w:t>opportunities</w:t>
                      </w:r>
                      <w:r w:rsidRPr="009D25F7">
                        <w:rPr>
                          <w:sz w:val="20"/>
                          <w:szCs w:val="20"/>
                        </w:rPr>
                        <w:t>.</w:t>
                      </w:r>
                    </w:p>
                  </w:txbxContent>
                </v:textbox>
              </v:shape>
            </w:pict>
          </mc:Fallback>
        </mc:AlternateContent>
      </w:r>
    </w:p>
    <w:p w14:paraId="354B2DAB" w14:textId="77777777" w:rsidR="00E82E66" w:rsidRPr="005D37BE" w:rsidRDefault="00E82E66" w:rsidP="00E82E66">
      <w:pPr>
        <w:spacing w:after="0" w:line="360" w:lineRule="auto"/>
      </w:pPr>
    </w:p>
    <w:p w14:paraId="2023C4F3" w14:textId="77777777" w:rsidR="00E82E66" w:rsidRPr="005D37BE" w:rsidRDefault="00E82E66" w:rsidP="00E82E66">
      <w:pPr>
        <w:spacing w:after="0" w:line="360" w:lineRule="auto"/>
      </w:pPr>
    </w:p>
    <w:p w14:paraId="1747713A" w14:textId="77777777" w:rsidR="00E82E66" w:rsidRPr="005D37BE" w:rsidRDefault="00E82E66" w:rsidP="00E82E66">
      <w:pPr>
        <w:spacing w:after="0" w:line="360" w:lineRule="auto"/>
      </w:pPr>
    </w:p>
    <w:p w14:paraId="2ACF7478" w14:textId="77777777" w:rsidR="00E82E66" w:rsidRPr="005D37BE" w:rsidRDefault="00E82E66" w:rsidP="00E82E66">
      <w:pPr>
        <w:spacing w:after="0" w:line="360" w:lineRule="auto"/>
      </w:pPr>
    </w:p>
    <w:p w14:paraId="73B3F47C" w14:textId="77777777" w:rsidR="00E82E66" w:rsidRPr="005D37BE" w:rsidRDefault="00E82E66" w:rsidP="00E82E66">
      <w:pPr>
        <w:spacing w:after="0" w:line="360" w:lineRule="auto"/>
      </w:pPr>
    </w:p>
    <w:p w14:paraId="59B73188" w14:textId="77777777" w:rsidR="00E82E66" w:rsidRPr="005D37BE" w:rsidRDefault="00E82E66" w:rsidP="00E82E66">
      <w:pPr>
        <w:spacing w:after="0" w:line="360" w:lineRule="auto"/>
      </w:pPr>
    </w:p>
    <w:p w14:paraId="343C24F1" w14:textId="77777777" w:rsidR="00E82E66" w:rsidRDefault="00E82E66" w:rsidP="00E82E66">
      <w:pPr>
        <w:spacing w:after="0" w:line="360" w:lineRule="auto"/>
      </w:pPr>
      <w:r>
        <w:rPr>
          <w:b/>
          <w:noProof/>
          <w:color w:val="222A35" w:themeColor="text2" w:themeShade="80"/>
          <w:sz w:val="26"/>
          <w:szCs w:val="26"/>
          <w:lang w:eastAsia="en-AU"/>
        </w:rPr>
        <w:drawing>
          <wp:anchor distT="0" distB="0" distL="114300" distR="114300" simplePos="0" relativeHeight="251874304" behindDoc="0" locked="0" layoutInCell="1" allowOverlap="1" wp14:anchorId="2E259691" wp14:editId="730E1103">
            <wp:simplePos x="0" y="0"/>
            <wp:positionH relativeFrom="column">
              <wp:posOffset>4994910</wp:posOffset>
            </wp:positionH>
            <wp:positionV relativeFrom="paragraph">
              <wp:posOffset>34290</wp:posOffset>
            </wp:positionV>
            <wp:extent cx="1066800" cy="1000125"/>
            <wp:effectExtent l="0" t="0" r="0" b="9525"/>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11.jp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1066800" cy="1000125"/>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p>
    <w:p w14:paraId="06224F97" w14:textId="77777777" w:rsidR="00E82E66" w:rsidRPr="005D37BE" w:rsidRDefault="00E82E66" w:rsidP="00E82E66">
      <w:pPr>
        <w:spacing w:after="0" w:line="360" w:lineRule="auto"/>
        <w:rPr>
          <w:b/>
          <w:color w:val="222A35" w:themeColor="text2" w:themeShade="80"/>
          <w:sz w:val="26"/>
          <w:szCs w:val="26"/>
        </w:rPr>
      </w:pPr>
      <w:r>
        <w:rPr>
          <w:noProof/>
          <w:color w:val="7F7F7F" w:themeColor="text1" w:themeTint="80"/>
          <w:sz w:val="20"/>
          <w:szCs w:val="20"/>
        </w:rPr>
        <w:drawing>
          <wp:anchor distT="0" distB="0" distL="114300" distR="114300" simplePos="0" relativeHeight="251865088" behindDoc="0" locked="0" layoutInCell="1" allowOverlap="1" wp14:anchorId="7DAFA635" wp14:editId="568844DA">
            <wp:simplePos x="0" y="0"/>
            <wp:positionH relativeFrom="column">
              <wp:posOffset>3118485</wp:posOffset>
            </wp:positionH>
            <wp:positionV relativeFrom="paragraph">
              <wp:posOffset>6350</wp:posOffset>
            </wp:positionV>
            <wp:extent cx="2999740" cy="2286000"/>
            <wp:effectExtent l="0" t="0" r="0" b="0"/>
            <wp:wrapSquare wrapText="bothSides"/>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2">
                      <a:extLst>
                        <a:ext uri="{28A0092B-C50C-407E-A947-70E740481C1C}">
                          <a14:useLocalDpi xmlns:a14="http://schemas.microsoft.com/office/drawing/2010/main" val="0"/>
                        </a:ext>
                      </a:extLst>
                    </a:blip>
                    <a:srcRect r="4983"/>
                    <a:stretch/>
                  </pic:blipFill>
                  <pic:spPr bwMode="auto">
                    <a:xfrm>
                      <a:off x="0" y="0"/>
                      <a:ext cx="2999740" cy="228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37BE">
        <w:rPr>
          <w:b/>
          <w:color w:val="222A35" w:themeColor="text2" w:themeShade="80"/>
          <w:sz w:val="26"/>
          <w:szCs w:val="26"/>
        </w:rPr>
        <w:t>Early School Leaving</w:t>
      </w:r>
    </w:p>
    <w:p w14:paraId="4C73677E" w14:textId="77777777" w:rsidR="00E82E66" w:rsidRPr="005D37BE" w:rsidRDefault="00E82E66" w:rsidP="00E82E66">
      <w:pPr>
        <w:spacing w:after="0" w:line="240" w:lineRule="auto"/>
        <w:rPr>
          <w:color w:val="7F7F7F" w:themeColor="text1" w:themeTint="80"/>
          <w:sz w:val="20"/>
          <w:szCs w:val="20"/>
        </w:rPr>
      </w:pPr>
      <w:r w:rsidRPr="005D37BE">
        <w:rPr>
          <w:color w:val="7F7F7F" w:themeColor="text1" w:themeTint="80"/>
          <w:sz w:val="20"/>
          <w:szCs w:val="20"/>
        </w:rPr>
        <w:t>Per cent of persons aged 20 to 24 years, who had left school before completing year 11, by gender: Greater Dandenong, 20</w:t>
      </w:r>
      <w:r>
        <w:rPr>
          <w:color w:val="7F7F7F" w:themeColor="text1" w:themeTint="80"/>
          <w:sz w:val="20"/>
          <w:szCs w:val="20"/>
        </w:rPr>
        <w:t>21</w:t>
      </w:r>
    </w:p>
    <w:p w14:paraId="3D22B192" w14:textId="77777777" w:rsidR="00E82E66" w:rsidRPr="005D37BE" w:rsidRDefault="00E82E66" w:rsidP="00E82E66">
      <w:pPr>
        <w:spacing w:after="0" w:line="360" w:lineRule="auto"/>
        <w:ind w:left="4962"/>
        <w:rPr>
          <w:color w:val="7F7F7F" w:themeColor="text1" w:themeTint="80"/>
          <w:sz w:val="20"/>
          <w:szCs w:val="20"/>
        </w:rPr>
      </w:pPr>
    </w:p>
    <w:p w14:paraId="2AC501BA" w14:textId="4FB48D12" w:rsidR="00E82E66" w:rsidRPr="005D37BE" w:rsidRDefault="00E82E66" w:rsidP="00E82E66">
      <w:pPr>
        <w:spacing w:after="0" w:line="360" w:lineRule="auto"/>
        <w:rPr>
          <w:b/>
          <w:color w:val="222A35" w:themeColor="text2" w:themeShade="80"/>
          <w:sz w:val="26"/>
          <w:szCs w:val="26"/>
        </w:rPr>
      </w:pPr>
      <w:r>
        <w:rPr>
          <w:noProof/>
          <w:lang w:eastAsia="en-AU"/>
        </w:rPr>
        <w:drawing>
          <wp:anchor distT="0" distB="0" distL="114300" distR="114300" simplePos="0" relativeHeight="251886592" behindDoc="0" locked="0" layoutInCell="1" allowOverlap="1" wp14:anchorId="42025FF5" wp14:editId="0B633AC6">
            <wp:simplePos x="0" y="0"/>
            <wp:positionH relativeFrom="column">
              <wp:posOffset>3065889</wp:posOffset>
            </wp:positionH>
            <wp:positionV relativeFrom="paragraph">
              <wp:posOffset>266933</wp:posOffset>
            </wp:positionV>
            <wp:extent cx="3095625" cy="2128520"/>
            <wp:effectExtent l="0" t="0" r="9525" b="5080"/>
            <wp:wrapSquare wrapText="bothSides"/>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095625" cy="212852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lang w:eastAsia="en-AU"/>
        </w:rPr>
        <w:drawing>
          <wp:anchor distT="0" distB="0" distL="114300" distR="114300" simplePos="0" relativeHeight="251888640" behindDoc="0" locked="0" layoutInCell="1" allowOverlap="1" wp14:anchorId="1D95D961" wp14:editId="75DE4FE9">
            <wp:simplePos x="0" y="0"/>
            <wp:positionH relativeFrom="column">
              <wp:posOffset>1825920</wp:posOffset>
            </wp:positionH>
            <wp:positionV relativeFrom="paragraph">
              <wp:posOffset>11430</wp:posOffset>
            </wp:positionV>
            <wp:extent cx="1149350" cy="857250"/>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 31.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149350" cy="857250"/>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r>
        <w:rPr>
          <w:b/>
          <w:color w:val="222A35" w:themeColor="text2" w:themeShade="80"/>
          <w:sz w:val="26"/>
          <w:szCs w:val="26"/>
        </w:rPr>
        <w:t>English Literacy</w:t>
      </w:r>
    </w:p>
    <w:p w14:paraId="62E01343" w14:textId="12CCA3CC" w:rsidR="00E82E66" w:rsidRDefault="00E82E66" w:rsidP="00E82E66">
      <w:pPr>
        <w:spacing w:after="0" w:line="360" w:lineRule="auto"/>
      </w:pPr>
    </w:p>
    <w:p w14:paraId="161B4AE9" w14:textId="7DA315E3" w:rsidR="00E82E66" w:rsidRDefault="00E82E66" w:rsidP="00E82E66">
      <w:pPr>
        <w:spacing w:after="0" w:line="360" w:lineRule="auto"/>
      </w:pPr>
    </w:p>
    <w:p w14:paraId="30158B23" w14:textId="3AC2DD0B" w:rsidR="00E82E66" w:rsidRPr="005D37BE" w:rsidRDefault="00E82E66" w:rsidP="00E82E66">
      <w:pPr>
        <w:spacing w:after="0" w:line="240" w:lineRule="auto"/>
        <w:rPr>
          <w:color w:val="7F7F7F" w:themeColor="text1" w:themeTint="80"/>
          <w:sz w:val="20"/>
          <w:szCs w:val="20"/>
        </w:rPr>
      </w:pPr>
      <w:r w:rsidRPr="005D37BE">
        <w:rPr>
          <w:noProof/>
          <w:lang w:eastAsia="en-AU"/>
        </w:rPr>
        <mc:AlternateContent>
          <mc:Choice Requires="wps">
            <w:drawing>
              <wp:anchor distT="0" distB="0" distL="114300" distR="114300" simplePos="0" relativeHeight="251852800" behindDoc="0" locked="0" layoutInCell="1" allowOverlap="1" wp14:anchorId="4C20DC0E" wp14:editId="17A6F3F8">
                <wp:simplePos x="0" y="0"/>
                <wp:positionH relativeFrom="column">
                  <wp:posOffset>-32788</wp:posOffset>
                </wp:positionH>
                <wp:positionV relativeFrom="paragraph">
                  <wp:posOffset>417474</wp:posOffset>
                </wp:positionV>
                <wp:extent cx="3067050" cy="1403985"/>
                <wp:effectExtent l="0" t="0" r="0" b="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403985"/>
                        </a:xfrm>
                        <a:prstGeom prst="rect">
                          <a:avLst/>
                        </a:prstGeom>
                        <a:noFill/>
                        <a:ln w="9525">
                          <a:noFill/>
                          <a:miter lim="800000"/>
                          <a:headEnd/>
                          <a:tailEnd/>
                        </a:ln>
                      </wps:spPr>
                      <wps:txbx>
                        <w:txbxContent>
                          <w:p w14:paraId="0B19387F" w14:textId="77777777" w:rsidR="00E82E66" w:rsidRPr="002757AB" w:rsidRDefault="00E82E66" w:rsidP="00E82E66">
                            <w:pPr>
                              <w:jc w:val="both"/>
                              <w:rPr>
                                <w:sz w:val="20"/>
                                <w:szCs w:val="20"/>
                              </w:rPr>
                            </w:pPr>
                            <w:r w:rsidRPr="002757AB">
                              <w:rPr>
                                <w:rFonts w:ascii="Calibri" w:hAnsi="Calibri"/>
                                <w:sz w:val="20"/>
                                <w:szCs w:val="20"/>
                                <w:lang w:val="en-US"/>
                              </w:rPr>
                              <w:t>The 2011–12 Programme for the International Assessment of Adult Competencies,</w:t>
                            </w:r>
                            <w:r>
                              <w:rPr>
                                <w:rFonts w:ascii="Calibri" w:hAnsi="Calibri"/>
                                <w:sz w:val="20"/>
                                <w:szCs w:val="20"/>
                                <w:lang w:val="en-US"/>
                              </w:rPr>
                              <w:t xml:space="preserve"> found that among Australians aged 20-24 years, 12.8% of males and 7.5% of females were rated as having an English literacy level of or below Level One Literacy, the lowest levels on the scale of literacy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 w14:anchorId="4C20DC0E" id="_x0000_s1027" type="#_x0000_t202" style="position:absolute;margin-left:-2.6pt;margin-top:32.85pt;width:241.5pt;height:110.55pt;z-index:251852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8If/QEAANUDAAAOAAAAZHJzL2Uyb0RvYy54bWysU11v2yAUfZ+0/4B4X+ykcZtYcaquXaZJ&#10;3YfU7QdgjGM04DIgsbNf3wt202h7m+YHxOWac+8597C5HbQiR+G8BFPR+SynRBgOjTT7iv74vnu3&#10;osQHZhqmwIiKnoSnt9u3bza9LcUCOlCNcARBjC97W9EuBFtmmeed0MzPwAqDyRacZgFDt88ax3pE&#10;1ypb5Pl11oNrrAMuvMfThzFJtwm/bQUPX9vWi0BURbG3kFaX1jqu2XbDyr1jtpN8aoP9QxeaSYNF&#10;z1APLDBycPIvKC25Aw9tmHHQGbSt5CJxQDbz/A82Tx2zInFBcbw9y+T/Hyz/cnyy3xwJw3sYcICJ&#10;hLePwH96YuC+Y2Yv7pyDvhOswcLzKFnWW19OV6PUvvQRpO4/Q4NDZocACWhonY6qIE+C6DiA01l0&#10;MQTC8fAqv77JC0xxzM2X+dV6VaQarHy5bp0PHwVoEjcVdTjVBM+Ojz7Edlj58kusZmAnlUqTVYb0&#10;FV0XiyJduMhoGdB4SuqKrvL4jVaILD+YJl0OTKpxjwWUmWhHpiPnMNQDkc2kSVShhuaEOjgYfYbv&#10;AjcduN+U9OixivpfB+YEJeqTQS3X8+UymjIFy+JmgYG7zNSXGWY4QlU0UDJu70MycqTs7R1qvpNJ&#10;jddOppbRO0mkyefRnJdx+uv1NW6fAQAA//8DAFBLAwQUAAYACAAAACEA2Jzq1N4AAAAJAQAADwAA&#10;AGRycy9kb3ducmV2LnhtbEyPwU7DMBBE70j8g7VI3FqHiCZRyKaqUFuOQIk4u7GbRI3Xlu2m4e8x&#10;J3oczWjmTbWe9cgm5fxgCOFpmQBT1Bo5UIfQfO0WBTAfBEkxGlIIP8rDur6/q0QpzZU+1XQIHYsl&#10;5EuB0IdgS8592yst/NJYRdE7GadFiNJ1XDpxjeV65GmSZFyLgeJCL6x67VV7Plw0gg12n7+594/N&#10;djclzfe+SYdui/j4MG9egAU1h/8w/OFHdKgj09FcSHo2IixWaUwiZKscWPSf8zxeOSKkRVYAryt+&#10;+6D+BQAA//8DAFBLAQItABQABgAIAAAAIQC2gziS/gAAAOEBAAATAAAAAAAAAAAAAAAAAAAAAABb&#10;Q29udGVudF9UeXBlc10ueG1sUEsBAi0AFAAGAAgAAAAhADj9If/WAAAAlAEAAAsAAAAAAAAAAAAA&#10;AAAALwEAAF9yZWxzLy5yZWxzUEsBAi0AFAAGAAgAAAAhAHd/wh/9AQAA1QMAAA4AAAAAAAAAAAAA&#10;AAAALgIAAGRycy9lMm9Eb2MueG1sUEsBAi0AFAAGAAgAAAAhANic6tTeAAAACQEAAA8AAAAAAAAA&#10;AAAAAAAAVwQAAGRycy9kb3ducmV2LnhtbFBLBQYAAAAABAAEAPMAAABiBQAAAAA=&#10;" filled="f" stroked="f">
                <v:textbox style="mso-fit-shape-to-text:t">
                  <w:txbxContent>
                    <w:p w14:paraId="0B19387F" w14:textId="77777777" w:rsidR="00E82E66" w:rsidRPr="002757AB" w:rsidRDefault="00E82E66" w:rsidP="00E82E66">
                      <w:pPr>
                        <w:jc w:val="both"/>
                        <w:rPr>
                          <w:sz w:val="20"/>
                          <w:szCs w:val="20"/>
                        </w:rPr>
                      </w:pPr>
                      <w:r w:rsidRPr="002757AB">
                        <w:rPr>
                          <w:rFonts w:ascii="Calibri" w:hAnsi="Calibri"/>
                          <w:sz w:val="20"/>
                          <w:szCs w:val="20"/>
                          <w:lang w:val="en-US"/>
                        </w:rPr>
                        <w:t>The 2011–12 Programme for the International Assessment of Adult Competencies,</w:t>
                      </w:r>
                      <w:r>
                        <w:rPr>
                          <w:rFonts w:ascii="Calibri" w:hAnsi="Calibri"/>
                          <w:sz w:val="20"/>
                          <w:szCs w:val="20"/>
                          <w:lang w:val="en-US"/>
                        </w:rPr>
                        <w:t xml:space="preserve"> found that among Australians aged 20-24 years, 12.8% of males and 7.5% of females were rated as having an English literacy level of or below Level One Literacy, the lowest levels on the scale of literacy</w:t>
                      </w:r>
                    </w:p>
                  </w:txbxContent>
                </v:textbox>
              </v:shape>
            </w:pict>
          </mc:Fallback>
        </mc:AlternateContent>
      </w:r>
      <w:r w:rsidRPr="005D37BE">
        <w:rPr>
          <w:color w:val="7F7F7F" w:themeColor="text1" w:themeTint="80"/>
          <w:sz w:val="20"/>
          <w:szCs w:val="20"/>
        </w:rPr>
        <w:t xml:space="preserve">Per cent of persons aged 20 to 24 years, </w:t>
      </w:r>
      <w:r>
        <w:rPr>
          <w:color w:val="7F7F7F" w:themeColor="text1" w:themeTint="80"/>
          <w:sz w:val="20"/>
          <w:szCs w:val="20"/>
        </w:rPr>
        <w:t>with limited English literacy: Australia, 2011</w:t>
      </w:r>
    </w:p>
    <w:p w14:paraId="458783EC" w14:textId="7E66EF81" w:rsidR="00E82E66" w:rsidRPr="005D37BE" w:rsidRDefault="00E82E66" w:rsidP="00E82E66">
      <w:pPr>
        <w:spacing w:after="0" w:line="360" w:lineRule="auto"/>
        <w:ind w:left="4962"/>
        <w:rPr>
          <w:color w:val="7F7F7F" w:themeColor="text1" w:themeTint="80"/>
          <w:sz w:val="20"/>
          <w:szCs w:val="20"/>
        </w:rPr>
      </w:pPr>
    </w:p>
    <w:p w14:paraId="7ADCD623" w14:textId="3902C817" w:rsidR="00E82E66" w:rsidRPr="005D37BE" w:rsidRDefault="00E82E66" w:rsidP="00E82E66">
      <w:pPr>
        <w:spacing w:after="0" w:line="360" w:lineRule="auto"/>
        <w:ind w:left="4962"/>
        <w:rPr>
          <w:color w:val="7F7F7F" w:themeColor="text1" w:themeTint="80"/>
          <w:sz w:val="20"/>
          <w:szCs w:val="20"/>
        </w:rPr>
      </w:pPr>
    </w:p>
    <w:p w14:paraId="4BE1F89B" w14:textId="77777777" w:rsidR="00E82E66" w:rsidRPr="005D37BE" w:rsidRDefault="00E82E66" w:rsidP="00E82E66">
      <w:pPr>
        <w:spacing w:after="0" w:line="360" w:lineRule="auto"/>
        <w:rPr>
          <w:b/>
          <w:color w:val="222A35" w:themeColor="text2" w:themeShade="80"/>
          <w:sz w:val="26"/>
          <w:szCs w:val="26"/>
        </w:rPr>
      </w:pPr>
      <w:r w:rsidRPr="005D37BE">
        <w:rPr>
          <w:b/>
          <w:color w:val="222A35" w:themeColor="text2" w:themeShade="80"/>
          <w:sz w:val="26"/>
          <w:szCs w:val="26"/>
        </w:rPr>
        <w:lastRenderedPageBreak/>
        <w:t xml:space="preserve">Tertiary Qualifications </w:t>
      </w:r>
    </w:p>
    <w:p w14:paraId="370B209C" w14:textId="77777777" w:rsidR="00E82E66" w:rsidRPr="005D37BE" w:rsidRDefault="00E82E66" w:rsidP="00E82E66">
      <w:pPr>
        <w:spacing w:after="0" w:line="360" w:lineRule="auto"/>
        <w:jc w:val="both"/>
        <w:rPr>
          <w:sz w:val="20"/>
          <w:szCs w:val="20"/>
        </w:rPr>
      </w:pPr>
      <w:r w:rsidRPr="005D37BE">
        <w:rPr>
          <w:sz w:val="20"/>
          <w:szCs w:val="20"/>
        </w:rPr>
        <w:t>The 20</w:t>
      </w:r>
      <w:r>
        <w:rPr>
          <w:sz w:val="20"/>
          <w:szCs w:val="20"/>
        </w:rPr>
        <w:t xml:space="preserve">21 </w:t>
      </w:r>
      <w:r w:rsidRPr="005D37BE">
        <w:rPr>
          <w:sz w:val="20"/>
          <w:szCs w:val="20"/>
        </w:rPr>
        <w:t xml:space="preserve">Census found that, among 25-44 year-old residents, </w:t>
      </w:r>
      <w:r>
        <w:rPr>
          <w:sz w:val="20"/>
          <w:szCs w:val="20"/>
        </w:rPr>
        <w:t>30</w:t>
      </w:r>
      <w:r w:rsidRPr="005D37BE">
        <w:rPr>
          <w:sz w:val="20"/>
          <w:szCs w:val="20"/>
        </w:rPr>
        <w:t xml:space="preserve">% of </w:t>
      </w:r>
      <w:r>
        <w:rPr>
          <w:sz w:val="20"/>
          <w:szCs w:val="20"/>
        </w:rPr>
        <w:t>men</w:t>
      </w:r>
      <w:r w:rsidRPr="005D37BE">
        <w:rPr>
          <w:sz w:val="20"/>
          <w:szCs w:val="20"/>
        </w:rPr>
        <w:t xml:space="preserve"> and </w:t>
      </w:r>
      <w:r>
        <w:rPr>
          <w:sz w:val="20"/>
          <w:szCs w:val="20"/>
        </w:rPr>
        <w:t>37</w:t>
      </w:r>
      <w:r w:rsidRPr="005D37BE">
        <w:rPr>
          <w:sz w:val="20"/>
          <w:szCs w:val="20"/>
        </w:rPr>
        <w:t>% of women had attained a university degree.</w:t>
      </w:r>
    </w:p>
    <w:p w14:paraId="40EED365" w14:textId="77777777" w:rsidR="00E82E66" w:rsidRPr="005D37BE" w:rsidRDefault="00E82E66" w:rsidP="00E82E66">
      <w:pPr>
        <w:spacing w:after="0" w:line="360" w:lineRule="auto"/>
        <w:rPr>
          <w:color w:val="7F7F7F" w:themeColor="text1" w:themeTint="80"/>
          <w:sz w:val="20"/>
          <w:szCs w:val="20"/>
        </w:rPr>
      </w:pPr>
      <w:r>
        <w:rPr>
          <w:noProof/>
          <w:color w:val="7F7F7F" w:themeColor="text1" w:themeTint="80"/>
          <w:sz w:val="20"/>
          <w:szCs w:val="20"/>
        </w:rPr>
        <w:drawing>
          <wp:anchor distT="0" distB="0" distL="114300" distR="114300" simplePos="0" relativeHeight="251858944" behindDoc="0" locked="0" layoutInCell="1" allowOverlap="1" wp14:anchorId="542A771D" wp14:editId="7C287204">
            <wp:simplePos x="0" y="0"/>
            <wp:positionH relativeFrom="column">
              <wp:posOffset>-1270</wp:posOffset>
            </wp:positionH>
            <wp:positionV relativeFrom="paragraph">
              <wp:posOffset>5715</wp:posOffset>
            </wp:positionV>
            <wp:extent cx="4387215" cy="2823845"/>
            <wp:effectExtent l="0" t="0" r="0" b="0"/>
            <wp:wrapSquare wrapText="bothSides"/>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387215" cy="2823845"/>
                    </a:xfrm>
                    <a:prstGeom prst="rect">
                      <a:avLst/>
                    </a:prstGeom>
                    <a:noFill/>
                  </pic:spPr>
                </pic:pic>
              </a:graphicData>
            </a:graphic>
            <wp14:sizeRelH relativeFrom="page">
              <wp14:pctWidth>0</wp14:pctWidth>
            </wp14:sizeRelH>
            <wp14:sizeRelV relativeFrom="page">
              <wp14:pctHeight>0</wp14:pctHeight>
            </wp14:sizeRelV>
          </wp:anchor>
        </w:drawing>
      </w:r>
    </w:p>
    <w:p w14:paraId="2530918D" w14:textId="77777777" w:rsidR="00E82E66" w:rsidRPr="005D37BE" w:rsidRDefault="00E82E66" w:rsidP="00E82E66">
      <w:pPr>
        <w:spacing w:after="0" w:line="240" w:lineRule="auto"/>
        <w:jc w:val="both"/>
        <w:rPr>
          <w:color w:val="7F7F7F" w:themeColor="text1" w:themeTint="80"/>
          <w:sz w:val="20"/>
          <w:szCs w:val="20"/>
        </w:rPr>
      </w:pPr>
      <w:r>
        <w:rPr>
          <w:noProof/>
          <w:lang w:eastAsia="en-AU"/>
        </w:rPr>
        <w:drawing>
          <wp:anchor distT="0" distB="0" distL="114300" distR="114300" simplePos="0" relativeHeight="251862016" behindDoc="0" locked="0" layoutInCell="1" allowOverlap="1" wp14:anchorId="36AB0588" wp14:editId="59FFF278">
            <wp:simplePos x="0" y="0"/>
            <wp:positionH relativeFrom="column">
              <wp:posOffset>-3648075</wp:posOffset>
            </wp:positionH>
            <wp:positionV relativeFrom="paragraph">
              <wp:posOffset>27940</wp:posOffset>
            </wp:positionV>
            <wp:extent cx="1038225" cy="1038225"/>
            <wp:effectExtent l="0" t="0" r="9525" b="9525"/>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3.jpg"/>
                    <pic:cNvPicPr/>
                  </pic:nvPicPr>
                  <pic:blipFill>
                    <a:blip r:embed="rId185">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14:sizeRelH relativeFrom="page">
              <wp14:pctWidth>0</wp14:pctWidth>
            </wp14:sizeRelH>
            <wp14:sizeRelV relativeFrom="page">
              <wp14:pctHeight>0</wp14:pctHeight>
            </wp14:sizeRelV>
          </wp:anchor>
        </w:drawing>
      </w:r>
      <w:r w:rsidRPr="005D37BE">
        <w:rPr>
          <w:color w:val="7F7F7F" w:themeColor="text1" w:themeTint="80"/>
          <w:sz w:val="20"/>
          <w:szCs w:val="20"/>
        </w:rPr>
        <w:t xml:space="preserve">Per cent of persons who hold a tertiary qualification, by gender and </w:t>
      </w:r>
      <w:r>
        <w:rPr>
          <w:color w:val="7F7F7F" w:themeColor="text1" w:themeTint="80"/>
          <w:sz w:val="20"/>
          <w:szCs w:val="20"/>
        </w:rPr>
        <w:t>age</w:t>
      </w:r>
      <w:r w:rsidRPr="005D37BE">
        <w:rPr>
          <w:color w:val="7F7F7F" w:themeColor="text1" w:themeTint="80"/>
          <w:sz w:val="20"/>
          <w:szCs w:val="20"/>
        </w:rPr>
        <w:t xml:space="preserve">: </w:t>
      </w:r>
      <w:r>
        <w:rPr>
          <w:color w:val="7F7F7F" w:themeColor="text1" w:themeTint="80"/>
          <w:sz w:val="20"/>
          <w:szCs w:val="20"/>
        </w:rPr>
        <w:t>Greater Dandenong</w:t>
      </w:r>
      <w:r w:rsidRPr="005D37BE">
        <w:rPr>
          <w:color w:val="7F7F7F" w:themeColor="text1" w:themeTint="80"/>
          <w:sz w:val="20"/>
          <w:szCs w:val="20"/>
        </w:rPr>
        <w:t>, 20</w:t>
      </w:r>
      <w:r>
        <w:rPr>
          <w:color w:val="7F7F7F" w:themeColor="text1" w:themeTint="80"/>
          <w:sz w:val="20"/>
          <w:szCs w:val="20"/>
        </w:rPr>
        <w:t>21</w:t>
      </w:r>
    </w:p>
    <w:p w14:paraId="534C891E" w14:textId="77777777" w:rsidR="00E82E66" w:rsidRPr="005D37BE" w:rsidRDefault="00E82E66" w:rsidP="00E82E66">
      <w:pPr>
        <w:spacing w:after="0" w:line="360" w:lineRule="auto"/>
        <w:rPr>
          <w:sz w:val="20"/>
          <w:szCs w:val="20"/>
        </w:rPr>
      </w:pPr>
      <w:r w:rsidRPr="005D37BE">
        <w:rPr>
          <w:noProof/>
          <w:lang w:eastAsia="en-AU"/>
        </w:rPr>
        <mc:AlternateContent>
          <mc:Choice Requires="wps">
            <w:drawing>
              <wp:anchor distT="0" distB="0" distL="114300" distR="114300" simplePos="0" relativeHeight="251854848" behindDoc="0" locked="0" layoutInCell="1" allowOverlap="1" wp14:anchorId="4B05CB0C" wp14:editId="384B62F4">
                <wp:simplePos x="0" y="0"/>
                <wp:positionH relativeFrom="column">
                  <wp:posOffset>-135379</wp:posOffset>
                </wp:positionH>
                <wp:positionV relativeFrom="paragraph">
                  <wp:posOffset>74961</wp:posOffset>
                </wp:positionV>
                <wp:extent cx="1900237" cy="1390185"/>
                <wp:effectExtent l="0" t="0" r="0" b="635"/>
                <wp:wrapNone/>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0237" cy="1390185"/>
                        </a:xfrm>
                        <a:prstGeom prst="rect">
                          <a:avLst/>
                        </a:prstGeom>
                        <a:noFill/>
                        <a:ln w="9525">
                          <a:noFill/>
                          <a:miter lim="800000"/>
                          <a:headEnd/>
                          <a:tailEnd/>
                        </a:ln>
                      </wps:spPr>
                      <wps:txbx>
                        <w:txbxContent>
                          <w:p w14:paraId="46B2354E" w14:textId="77777777" w:rsidR="00E82E66" w:rsidRDefault="00E82E66" w:rsidP="00E82E66">
                            <w:pPr>
                              <w:jc w:val="both"/>
                              <w:rPr>
                                <w:sz w:val="20"/>
                                <w:szCs w:val="20"/>
                              </w:rPr>
                            </w:pPr>
                            <w:r w:rsidRPr="001176C0">
                              <w:rPr>
                                <w:sz w:val="20"/>
                                <w:szCs w:val="20"/>
                              </w:rPr>
                              <w:t>The 20</w:t>
                            </w:r>
                            <w:r>
                              <w:rPr>
                                <w:sz w:val="20"/>
                                <w:szCs w:val="20"/>
                              </w:rPr>
                              <w:t>211</w:t>
                            </w:r>
                            <w:r w:rsidRPr="001176C0">
                              <w:rPr>
                                <w:sz w:val="20"/>
                                <w:szCs w:val="20"/>
                              </w:rPr>
                              <w:t xml:space="preserve"> Census revealed that </w:t>
                            </w:r>
                            <w:r>
                              <w:rPr>
                                <w:sz w:val="20"/>
                                <w:szCs w:val="20"/>
                              </w:rPr>
                              <w:t>among people</w:t>
                            </w:r>
                            <w:r w:rsidRPr="001176C0">
                              <w:rPr>
                                <w:sz w:val="20"/>
                                <w:szCs w:val="20"/>
                              </w:rPr>
                              <w:t xml:space="preserve"> </w:t>
                            </w:r>
                            <w:r>
                              <w:rPr>
                                <w:sz w:val="20"/>
                                <w:szCs w:val="20"/>
                              </w:rPr>
                              <w:t xml:space="preserve">aged 25-29 years, 46% of women and 38% of men held a degree. </w:t>
                            </w:r>
                          </w:p>
                          <w:p w14:paraId="3DB3C867" w14:textId="77777777" w:rsidR="00E82E66" w:rsidRPr="001176C0" w:rsidRDefault="00E82E66" w:rsidP="00E82E66">
                            <w:pPr>
                              <w:jc w:val="both"/>
                              <w:rPr>
                                <w:sz w:val="20"/>
                                <w:szCs w:val="20"/>
                              </w:rPr>
                            </w:pPr>
                            <w:r>
                              <w:rPr>
                                <w:sz w:val="20"/>
                                <w:szCs w:val="20"/>
                              </w:rPr>
                              <w:t xml:space="preserve">Women aged 25-29 years are about ten times more likely to  hold a degree than those born 60 years earlier.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B05CB0C" id="_x0000_s1028" type="#_x0000_t202" style="position:absolute;margin-left:-10.65pt;margin-top:5.9pt;width:149.6pt;height:109.4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xqs/AEAANUDAAAOAAAAZHJzL2Uyb0RvYy54bWysU9tuGyEQfa/Uf0C813uJ3dgr4yhNmqpS&#10;epHSfgBmWS8qMBSwd92v78A6jtW+Vd0HBDvMmTlnDuub0WhykD4osIxWs5ISaQW0yu4Y/f7t4c2S&#10;khC5bbkGKxk9ykBvNq9frQfXyBp60K30BEFsaAbHaB+ja4oiiF4aHmbgpMVgB97wiEe/K1rPB0Q3&#10;uqjL8m0xgG+dByFDwL/3U5BuMn7XSRG/dF2QkWhGsbeYV5/XbVqLzZo3O89dr8SpDf4PXRiuLBY9&#10;Q93zyMneq7+gjBIeAnRxJsAU0HVKyMwB2VTlH2yeeu5k5oLiBHeWKfw/WPH58OS+ehLHdzDiADOJ&#10;4B5B/AjEwl3P7U7eeg9DL3mLhaskWTG40JxSk9ShCQlkO3yCFofM9xEy0Nh5k1RBngTRcQDHs+hy&#10;jESkkquyrK+uKREYq65WZbVc5Bq8eU53PsQPEgxJG0Y9TjXD88NjiKkd3jxfSdUsPCit82S1JQOj&#10;q0W9yAkXEaMiGk8rw+iyTN9khcTyvW1zcuRKT3ssoO2JdmI6cY7jdiSqZbROuUmFLbRH1MHD5DN8&#10;F7jpwf+iZECPMRp+7rmXlOiPFrVcVfN5MmU+zBfXNR78ZWR7GeFWIBSjkZJpexezkSfKt6h5p7Ia&#10;L52cWkbvZJFOPk/mvDznWy+vcfMbAAD//wMAUEsDBBQABgAIAAAAIQCsWOJe3gAAAAoBAAAPAAAA&#10;ZHJzL2Rvd25yZXYueG1sTI/NTsMwEITvSLyDtZW4tXZSaGgap0IgrqCWH4mbG2+TiHgdxW4T3p7l&#10;RG87mk+zM8V2cp044xBaTxqShQKBVHnbUq3h/e15fg8iREPWdJ5Qww8G2JbXV4XJrR9ph+d9rAWH&#10;UMiNhibGPpcyVA06Exa+R2Lv6AdnIsuhlnYwI4e7TqZKraQzLfGHxvT42GD1vT85DR8vx6/PW/Va&#10;P7m7fvSTkuTWUuub2fSwARFxiv8w/NXn6lByp4M/kQ2i0zBPkyWjbCQ8gYE0y9YgDnwsVQayLOTl&#10;hPIXAAD//wMAUEsBAi0AFAAGAAgAAAAhALaDOJL+AAAA4QEAABMAAAAAAAAAAAAAAAAAAAAAAFtD&#10;b250ZW50X1R5cGVzXS54bWxQSwECLQAUAAYACAAAACEAOP0h/9YAAACUAQAACwAAAAAAAAAAAAAA&#10;AAAvAQAAX3JlbHMvLnJlbHNQSwECLQAUAAYACAAAACEABK8arPwBAADVAwAADgAAAAAAAAAAAAAA&#10;AAAuAgAAZHJzL2Uyb0RvYy54bWxQSwECLQAUAAYACAAAACEArFjiXt4AAAAKAQAADwAAAAAAAAAA&#10;AAAAAABWBAAAZHJzL2Rvd25yZXYueG1sUEsFBgAAAAAEAAQA8wAAAGEFAAAAAA==&#10;" filled="f" stroked="f">
                <v:textbox>
                  <w:txbxContent>
                    <w:p w14:paraId="46B2354E" w14:textId="77777777" w:rsidR="00E82E66" w:rsidRDefault="00E82E66" w:rsidP="00E82E66">
                      <w:pPr>
                        <w:jc w:val="both"/>
                        <w:rPr>
                          <w:sz w:val="20"/>
                          <w:szCs w:val="20"/>
                        </w:rPr>
                      </w:pPr>
                      <w:r w:rsidRPr="001176C0">
                        <w:rPr>
                          <w:sz w:val="20"/>
                          <w:szCs w:val="20"/>
                        </w:rPr>
                        <w:t>The 20</w:t>
                      </w:r>
                      <w:r>
                        <w:rPr>
                          <w:sz w:val="20"/>
                          <w:szCs w:val="20"/>
                        </w:rPr>
                        <w:t>211</w:t>
                      </w:r>
                      <w:r w:rsidRPr="001176C0">
                        <w:rPr>
                          <w:sz w:val="20"/>
                          <w:szCs w:val="20"/>
                        </w:rPr>
                        <w:t xml:space="preserve"> Census revealed that </w:t>
                      </w:r>
                      <w:r>
                        <w:rPr>
                          <w:sz w:val="20"/>
                          <w:szCs w:val="20"/>
                        </w:rPr>
                        <w:t>among people</w:t>
                      </w:r>
                      <w:r w:rsidRPr="001176C0">
                        <w:rPr>
                          <w:sz w:val="20"/>
                          <w:szCs w:val="20"/>
                        </w:rPr>
                        <w:t xml:space="preserve"> </w:t>
                      </w:r>
                      <w:r>
                        <w:rPr>
                          <w:sz w:val="20"/>
                          <w:szCs w:val="20"/>
                        </w:rPr>
                        <w:t xml:space="preserve">aged 25-29 years, 46% of women and 38% of men held a degree. </w:t>
                      </w:r>
                    </w:p>
                    <w:p w14:paraId="3DB3C867" w14:textId="77777777" w:rsidR="00E82E66" w:rsidRPr="001176C0" w:rsidRDefault="00E82E66" w:rsidP="00E82E66">
                      <w:pPr>
                        <w:jc w:val="both"/>
                        <w:rPr>
                          <w:sz w:val="20"/>
                          <w:szCs w:val="20"/>
                        </w:rPr>
                      </w:pPr>
                      <w:r>
                        <w:rPr>
                          <w:sz w:val="20"/>
                          <w:szCs w:val="20"/>
                        </w:rPr>
                        <w:t xml:space="preserve">Women aged 25-29 years are about ten times more likely to  hold a degree than those born 60 years earlier. </w:t>
                      </w:r>
                    </w:p>
                  </w:txbxContent>
                </v:textbox>
              </v:shape>
            </w:pict>
          </mc:Fallback>
        </mc:AlternateContent>
      </w:r>
    </w:p>
    <w:p w14:paraId="3A3514E6" w14:textId="77777777" w:rsidR="00E82E66" w:rsidRPr="005D37BE" w:rsidRDefault="00E82E66" w:rsidP="00E82E66">
      <w:pPr>
        <w:spacing w:after="0" w:line="360" w:lineRule="auto"/>
        <w:rPr>
          <w:sz w:val="20"/>
          <w:szCs w:val="20"/>
        </w:rPr>
      </w:pPr>
    </w:p>
    <w:p w14:paraId="216F7C98" w14:textId="77777777" w:rsidR="00E82E66" w:rsidRPr="005D37BE" w:rsidRDefault="00E82E66" w:rsidP="00E82E66">
      <w:pPr>
        <w:spacing w:after="0" w:line="360" w:lineRule="auto"/>
        <w:rPr>
          <w:sz w:val="20"/>
          <w:szCs w:val="20"/>
        </w:rPr>
      </w:pPr>
    </w:p>
    <w:p w14:paraId="4D0BA02B" w14:textId="77777777" w:rsidR="00E82E66" w:rsidRPr="005D37BE" w:rsidRDefault="00E82E66" w:rsidP="00E82E66">
      <w:pPr>
        <w:spacing w:after="0" w:line="360" w:lineRule="auto"/>
        <w:rPr>
          <w:sz w:val="20"/>
          <w:szCs w:val="20"/>
        </w:rPr>
      </w:pPr>
    </w:p>
    <w:p w14:paraId="520C805D" w14:textId="77777777" w:rsidR="00E82E66" w:rsidRPr="005D37BE" w:rsidRDefault="00E82E66" w:rsidP="00E82E66">
      <w:pPr>
        <w:spacing w:after="0" w:line="360" w:lineRule="auto"/>
        <w:rPr>
          <w:sz w:val="20"/>
          <w:szCs w:val="20"/>
        </w:rPr>
      </w:pPr>
    </w:p>
    <w:p w14:paraId="44A55B75" w14:textId="77777777" w:rsidR="00E82E66" w:rsidRPr="005D37BE" w:rsidRDefault="00E82E66" w:rsidP="00E82E66">
      <w:pPr>
        <w:spacing w:after="0" w:line="360" w:lineRule="auto"/>
        <w:rPr>
          <w:sz w:val="20"/>
          <w:szCs w:val="20"/>
        </w:rPr>
      </w:pPr>
    </w:p>
    <w:p w14:paraId="16B27205" w14:textId="77777777" w:rsidR="00E82E66" w:rsidRPr="005D37BE" w:rsidRDefault="00E82E66" w:rsidP="00E82E66">
      <w:pPr>
        <w:spacing w:after="0" w:line="360" w:lineRule="auto"/>
        <w:rPr>
          <w:sz w:val="20"/>
          <w:szCs w:val="20"/>
        </w:rPr>
      </w:pPr>
    </w:p>
    <w:p w14:paraId="56CCED7A" w14:textId="0D473072" w:rsidR="00E82E66" w:rsidRPr="005D37BE" w:rsidRDefault="00E82E66" w:rsidP="00E82E66">
      <w:pPr>
        <w:spacing w:after="0" w:line="360" w:lineRule="auto"/>
        <w:rPr>
          <w:sz w:val="20"/>
          <w:szCs w:val="20"/>
        </w:rPr>
      </w:pPr>
    </w:p>
    <w:p w14:paraId="0EBF3BFD" w14:textId="395F18AD" w:rsidR="00E82E66" w:rsidRPr="005D37BE" w:rsidRDefault="00E82E66" w:rsidP="00E82E66">
      <w:pPr>
        <w:spacing w:after="0" w:line="360" w:lineRule="auto"/>
        <w:rPr>
          <w:sz w:val="20"/>
          <w:szCs w:val="20"/>
        </w:rPr>
      </w:pPr>
      <w:r>
        <w:rPr>
          <w:noProof/>
          <w:lang w:eastAsia="en-AU"/>
        </w:rPr>
        <w:drawing>
          <wp:anchor distT="0" distB="0" distL="114300" distR="114300" simplePos="0" relativeHeight="251870208" behindDoc="0" locked="0" layoutInCell="1" allowOverlap="1" wp14:anchorId="19284207" wp14:editId="2C16709B">
            <wp:simplePos x="0" y="0"/>
            <wp:positionH relativeFrom="column">
              <wp:posOffset>1793209</wp:posOffset>
            </wp:positionH>
            <wp:positionV relativeFrom="paragraph">
              <wp:posOffset>80088</wp:posOffset>
            </wp:positionV>
            <wp:extent cx="1019175" cy="747395"/>
            <wp:effectExtent l="0" t="0" r="9525"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Unhappy 3.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1019175" cy="7473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F1AB5EF" w14:textId="0AB7CDE1" w:rsidR="00E82E66" w:rsidRPr="00FE4678" w:rsidRDefault="00E82E66" w:rsidP="00E82E66">
      <w:pPr>
        <w:spacing w:after="0" w:line="360" w:lineRule="auto"/>
        <w:rPr>
          <w:b/>
          <w:color w:val="222A35" w:themeColor="text2" w:themeShade="80"/>
          <w:sz w:val="20"/>
          <w:szCs w:val="20"/>
        </w:rPr>
      </w:pPr>
      <w:r>
        <w:rPr>
          <w:b/>
          <w:noProof/>
          <w:color w:val="222A35" w:themeColor="text2" w:themeShade="80"/>
          <w:sz w:val="26"/>
          <w:szCs w:val="26"/>
        </w:rPr>
        <w:drawing>
          <wp:anchor distT="0" distB="0" distL="114300" distR="114300" simplePos="0" relativeHeight="251867136" behindDoc="0" locked="0" layoutInCell="1" allowOverlap="1" wp14:anchorId="3F1FEB14" wp14:editId="468A4032">
            <wp:simplePos x="0" y="0"/>
            <wp:positionH relativeFrom="column">
              <wp:posOffset>2984500</wp:posOffset>
            </wp:positionH>
            <wp:positionV relativeFrom="paragraph">
              <wp:posOffset>5715</wp:posOffset>
            </wp:positionV>
            <wp:extent cx="3231515" cy="2271395"/>
            <wp:effectExtent l="0" t="0" r="6985" b="0"/>
            <wp:wrapSquare wrapText="bothSides"/>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231515" cy="2271395"/>
                    </a:xfrm>
                    <a:prstGeom prst="rect">
                      <a:avLst/>
                    </a:prstGeom>
                    <a:noFill/>
                  </pic:spPr>
                </pic:pic>
              </a:graphicData>
            </a:graphic>
            <wp14:sizeRelH relativeFrom="page">
              <wp14:pctWidth>0</wp14:pctWidth>
            </wp14:sizeRelH>
            <wp14:sizeRelV relativeFrom="page">
              <wp14:pctHeight>0</wp14:pctHeight>
            </wp14:sizeRelV>
          </wp:anchor>
        </w:drawing>
      </w:r>
    </w:p>
    <w:p w14:paraId="2EC260F3" w14:textId="77777777" w:rsidR="00E82E66" w:rsidRPr="005D37BE" w:rsidRDefault="00E82E66" w:rsidP="00E82E66">
      <w:pPr>
        <w:spacing w:after="0" w:line="360" w:lineRule="auto"/>
        <w:rPr>
          <w:b/>
          <w:color w:val="222A35" w:themeColor="text2" w:themeShade="80"/>
          <w:sz w:val="26"/>
          <w:szCs w:val="26"/>
        </w:rPr>
      </w:pPr>
      <w:r w:rsidRPr="005D37BE">
        <w:rPr>
          <w:b/>
          <w:color w:val="222A35" w:themeColor="text2" w:themeShade="80"/>
          <w:sz w:val="26"/>
          <w:szCs w:val="26"/>
        </w:rPr>
        <w:t>Youth Disengagement</w:t>
      </w:r>
    </w:p>
    <w:p w14:paraId="720E1CEC" w14:textId="09D734EA" w:rsidR="00E82E66" w:rsidRPr="00E82E66" w:rsidRDefault="00E82E66" w:rsidP="00E82E66">
      <w:pPr>
        <w:spacing w:after="0" w:line="360" w:lineRule="auto"/>
        <w:rPr>
          <w:sz w:val="12"/>
          <w:szCs w:val="12"/>
        </w:rPr>
      </w:pPr>
    </w:p>
    <w:p w14:paraId="227870FD" w14:textId="200C4375" w:rsidR="00E82E66" w:rsidRPr="005D37BE" w:rsidRDefault="00E82E66" w:rsidP="00E82E66">
      <w:pPr>
        <w:spacing w:after="0" w:line="240" w:lineRule="auto"/>
        <w:rPr>
          <w:color w:val="7F7F7F" w:themeColor="text1" w:themeTint="80"/>
          <w:sz w:val="20"/>
          <w:szCs w:val="20"/>
        </w:rPr>
      </w:pPr>
      <w:r w:rsidRPr="005D37BE">
        <w:rPr>
          <w:color w:val="7F7F7F" w:themeColor="text1" w:themeTint="80"/>
          <w:sz w:val="20"/>
          <w:szCs w:val="20"/>
        </w:rPr>
        <w:t>Per cent of persons aged 20-24 years, who were neither in paid employment nor enrolled in education or job training, by gender: Greater Dandenong, 20</w:t>
      </w:r>
      <w:r>
        <w:rPr>
          <w:color w:val="7F7F7F" w:themeColor="text1" w:themeTint="80"/>
          <w:sz w:val="20"/>
          <w:szCs w:val="20"/>
        </w:rPr>
        <w:t>21</w:t>
      </w:r>
    </w:p>
    <w:p w14:paraId="01935914" w14:textId="70C49F19" w:rsidR="00E82E66" w:rsidRPr="005D37BE" w:rsidRDefault="00E82E66" w:rsidP="00E82E66">
      <w:pPr>
        <w:spacing w:after="0" w:line="360" w:lineRule="auto"/>
      </w:pPr>
      <w:r w:rsidRPr="005D37BE">
        <w:rPr>
          <w:noProof/>
          <w:lang w:eastAsia="en-AU"/>
        </w:rPr>
        <mc:AlternateContent>
          <mc:Choice Requires="wps">
            <w:drawing>
              <wp:anchor distT="0" distB="0" distL="114300" distR="114300" simplePos="0" relativeHeight="251855872" behindDoc="0" locked="0" layoutInCell="1" allowOverlap="1" wp14:anchorId="40CDA783" wp14:editId="2CA03544">
                <wp:simplePos x="0" y="0"/>
                <wp:positionH relativeFrom="column">
                  <wp:posOffset>-100965</wp:posOffset>
                </wp:positionH>
                <wp:positionV relativeFrom="paragraph">
                  <wp:posOffset>69215</wp:posOffset>
                </wp:positionV>
                <wp:extent cx="3000375" cy="1403985"/>
                <wp:effectExtent l="0" t="0" r="0" b="0"/>
                <wp:wrapNone/>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3985"/>
                        </a:xfrm>
                        <a:prstGeom prst="rect">
                          <a:avLst/>
                        </a:prstGeom>
                        <a:noFill/>
                        <a:ln w="9525">
                          <a:noFill/>
                          <a:miter lim="800000"/>
                          <a:headEnd/>
                          <a:tailEnd/>
                        </a:ln>
                      </wps:spPr>
                      <wps:txbx>
                        <w:txbxContent>
                          <w:p w14:paraId="0C64FE41" w14:textId="77777777" w:rsidR="00E82E66" w:rsidRPr="009D25F7" w:rsidRDefault="00E82E66" w:rsidP="00E82E66">
                            <w:pPr>
                              <w:jc w:val="both"/>
                              <w:rPr>
                                <w:sz w:val="20"/>
                                <w:szCs w:val="20"/>
                              </w:rPr>
                            </w:pPr>
                            <w:r>
                              <w:rPr>
                                <w:sz w:val="20"/>
                                <w:szCs w:val="20"/>
                              </w:rPr>
                              <w:t>Despite their higher school retention levels, disengagement levels among young women in Greater Dandenong are higher than for males, due to the fact that most young women with children are not in paid employment or enrolled in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 w14:anchorId="40CDA783" id="_x0000_s1029" type="#_x0000_t202" style="position:absolute;margin-left:-7.95pt;margin-top:5.45pt;width:236.25pt;height:110.55pt;z-index:251855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kx/gEAANUDAAAOAAAAZHJzL2Uyb0RvYy54bWysU9uO2yAQfa/Uf0C8N3Yu7iZWnNV2t6kq&#10;bS/Sth+AMY5RgaFAYqdf3wF7s1H7VvUFDQycmXPmsL0dtCIn4bwEU9H5LKdEGA6NNIeKfv+2f7Om&#10;xAdmGqbAiIqehae3u9evtr0txQI6UI1wBEGML3tb0S4EW2aZ553QzM/ACoPJFpxmAbfukDWO9Yiu&#10;VbbI87dZD66xDrjwHk8fxiTdJfy2FTx8aVsvAlEVxd5CWl1a67hmuy0rD47ZTvKpDfYPXWgmDRa9&#10;QD2wwMjRyb+gtOQOPLRhxkFn0LaSi8QB2czzP9g8dcyKxAXF8fYik/9/sPzz6cl+dSQM72DAASYS&#10;3j4C/+GJgfuOmYO4cw76TrAGC8+jZFlvfTk9jVL70keQuv8EDQ6ZHQMkoKF1OqqCPAmi4wDOF9HF&#10;EAjHw2We58ubghKOufkqX27WRarByufn1vnwQYAmMaiow6kmeHZ69CG2w8rnK7Gagb1UKk1WGdJX&#10;dFMsivTgKqNlQOMpqSu6xg7yyQqR5XvTpMeBSTXGWECZiXZkOnIOQz0Q2SCF2G9UoYbmjDo4GH2G&#10;/wKDDtwvSnr0WEX9zyNzghL10aCWm/lqFU2ZNqviZoEbd52przPMcISqaKBkDO9DMnKk7O0dar6X&#10;SY2XTqaW0TtJpMnn0ZzX+3Tr5TfufgMAAP//AwBQSwMEFAAGAAgAAAAhACm5noDfAAAACgEAAA8A&#10;AABkcnMvZG93bnJldi54bWxMj8FOwzAMhu9IvENkJG5bssI6KE2nCW3jCGwV56wJbUXjREnWlbfH&#10;nOBkWf+n35/L9WQHNpoQe4cSFnMBzGDjdI+thPq4mz0Ai0mhVoNDI+HbRFhX11elKrS74LsZD6ll&#10;VIKxUBK6lHzBeWw6Y1WcO2+Qsk8XrEq0hpbroC5UbgeeCZFzq3qkC53y5rkzzdfhbCX45Perl/D6&#10;ttnuRlF/7Ousb7dS3t5MmydgyUzpD4ZffVKHipxO7ow6skHCbLF8JJQCQZOA+2WeAztJyO4yAbwq&#10;+f8Xqh8AAAD//wMAUEsBAi0AFAAGAAgAAAAhALaDOJL+AAAA4QEAABMAAAAAAAAAAAAAAAAAAAAA&#10;AFtDb250ZW50X1R5cGVzXS54bWxQSwECLQAUAAYACAAAACEAOP0h/9YAAACUAQAACwAAAAAAAAAA&#10;AAAAAAAvAQAAX3JlbHMvLnJlbHNQSwECLQAUAAYACAAAACEA4zf5Mf4BAADVAwAADgAAAAAAAAAA&#10;AAAAAAAuAgAAZHJzL2Uyb0RvYy54bWxQSwECLQAUAAYACAAAACEAKbmegN8AAAAKAQAADwAAAAAA&#10;AAAAAAAAAABYBAAAZHJzL2Rvd25yZXYueG1sUEsFBgAAAAAEAAQA8wAAAGQFAAAAAA==&#10;" filled="f" stroked="f">
                <v:textbox style="mso-fit-shape-to-text:t">
                  <w:txbxContent>
                    <w:p w14:paraId="0C64FE41" w14:textId="77777777" w:rsidR="00E82E66" w:rsidRPr="009D25F7" w:rsidRDefault="00E82E66" w:rsidP="00E82E66">
                      <w:pPr>
                        <w:jc w:val="both"/>
                        <w:rPr>
                          <w:sz w:val="20"/>
                          <w:szCs w:val="20"/>
                        </w:rPr>
                      </w:pPr>
                      <w:r>
                        <w:rPr>
                          <w:sz w:val="20"/>
                          <w:szCs w:val="20"/>
                        </w:rPr>
                        <w:t>Despite their higher school retention levels, disengagement levels among young women in Greater Dandenong are higher than for males, due to the fact that most young women with children are not in paid employment or enrolled in education.</w:t>
                      </w:r>
                    </w:p>
                  </w:txbxContent>
                </v:textbox>
              </v:shape>
            </w:pict>
          </mc:Fallback>
        </mc:AlternateContent>
      </w:r>
    </w:p>
    <w:p w14:paraId="0CCD0C77" w14:textId="5AD731B8" w:rsidR="00E82E66" w:rsidRPr="005D37BE" w:rsidRDefault="00E82E66" w:rsidP="00E82E66">
      <w:pPr>
        <w:spacing w:after="0" w:line="360" w:lineRule="auto"/>
      </w:pPr>
    </w:p>
    <w:p w14:paraId="3163ED8D" w14:textId="77777777" w:rsidR="00E82E66" w:rsidRPr="005D37BE" w:rsidRDefault="00E82E66" w:rsidP="00E82E66">
      <w:pPr>
        <w:spacing w:after="0" w:line="360" w:lineRule="auto"/>
      </w:pPr>
    </w:p>
    <w:p w14:paraId="619D01AA" w14:textId="700F19C8" w:rsidR="00E82E66" w:rsidRPr="005D37BE" w:rsidRDefault="00E82E66" w:rsidP="00E82E66">
      <w:pPr>
        <w:spacing w:after="0" w:line="360" w:lineRule="auto"/>
      </w:pPr>
    </w:p>
    <w:p w14:paraId="69F78D76" w14:textId="77777777" w:rsidR="00E82E66" w:rsidRPr="005D37BE" w:rsidRDefault="00E82E66" w:rsidP="00BE29A1">
      <w:pPr>
        <w:spacing w:before="240" w:after="0" w:line="360" w:lineRule="auto"/>
        <w:rPr>
          <w:b/>
          <w:color w:val="222A35" w:themeColor="text2" w:themeShade="80"/>
          <w:sz w:val="26"/>
          <w:szCs w:val="26"/>
        </w:rPr>
      </w:pPr>
      <w:r w:rsidRPr="005D37BE">
        <w:rPr>
          <w:b/>
          <w:color w:val="222A35" w:themeColor="text2" w:themeShade="80"/>
          <w:sz w:val="26"/>
          <w:szCs w:val="26"/>
        </w:rPr>
        <w:t>Paid Employment</w:t>
      </w:r>
    </w:p>
    <w:p w14:paraId="58FADFC0" w14:textId="77777777" w:rsidR="00E82E66" w:rsidRPr="005D37BE" w:rsidRDefault="00E82E66" w:rsidP="00E82E66">
      <w:pPr>
        <w:spacing w:after="0" w:line="360" w:lineRule="auto"/>
        <w:jc w:val="both"/>
        <w:rPr>
          <w:sz w:val="20"/>
          <w:szCs w:val="20"/>
        </w:rPr>
      </w:pPr>
      <w:r w:rsidRPr="005D37BE">
        <w:rPr>
          <w:sz w:val="20"/>
          <w:szCs w:val="20"/>
        </w:rPr>
        <w:t>The 20</w:t>
      </w:r>
      <w:r>
        <w:rPr>
          <w:sz w:val="20"/>
          <w:szCs w:val="20"/>
        </w:rPr>
        <w:t>21</w:t>
      </w:r>
      <w:r w:rsidRPr="005D37BE">
        <w:rPr>
          <w:sz w:val="20"/>
          <w:szCs w:val="20"/>
        </w:rPr>
        <w:t xml:space="preserve"> Census found that among persons aged </w:t>
      </w:r>
      <w:r>
        <w:rPr>
          <w:sz w:val="20"/>
          <w:szCs w:val="20"/>
        </w:rPr>
        <w:t>1</w:t>
      </w:r>
      <w:r w:rsidRPr="005D37BE">
        <w:rPr>
          <w:sz w:val="20"/>
          <w:szCs w:val="20"/>
        </w:rPr>
        <w:t>5</w:t>
      </w:r>
      <w:r>
        <w:rPr>
          <w:sz w:val="20"/>
          <w:szCs w:val="20"/>
        </w:rPr>
        <w:t xml:space="preserve"> </w:t>
      </w:r>
      <w:r w:rsidRPr="005D37BE">
        <w:rPr>
          <w:sz w:val="20"/>
          <w:szCs w:val="20"/>
        </w:rPr>
        <w:t>year</w:t>
      </w:r>
      <w:r>
        <w:rPr>
          <w:sz w:val="20"/>
          <w:szCs w:val="20"/>
        </w:rPr>
        <w:t>s or more in Greater Dandenong</w:t>
      </w:r>
      <w:r w:rsidRPr="005D37BE">
        <w:rPr>
          <w:sz w:val="20"/>
          <w:szCs w:val="20"/>
        </w:rPr>
        <w:t xml:space="preserve">, </w:t>
      </w:r>
      <w:r>
        <w:rPr>
          <w:sz w:val="20"/>
          <w:szCs w:val="20"/>
        </w:rPr>
        <w:t>61</w:t>
      </w:r>
      <w:r w:rsidRPr="005D37BE">
        <w:rPr>
          <w:sz w:val="20"/>
          <w:szCs w:val="20"/>
        </w:rPr>
        <w:t xml:space="preserve">% of men were in paid employment, compared with </w:t>
      </w:r>
      <w:r>
        <w:rPr>
          <w:sz w:val="20"/>
          <w:szCs w:val="20"/>
        </w:rPr>
        <w:t>49</w:t>
      </w:r>
      <w:r w:rsidRPr="005D37BE">
        <w:rPr>
          <w:sz w:val="20"/>
          <w:szCs w:val="20"/>
        </w:rPr>
        <w:t>% of women.</w:t>
      </w:r>
      <w:r>
        <w:rPr>
          <w:sz w:val="20"/>
          <w:szCs w:val="20"/>
        </w:rPr>
        <w:t xml:space="preserve"> </w:t>
      </w:r>
    </w:p>
    <w:p w14:paraId="2B66BA91" w14:textId="77777777" w:rsidR="00E82E66" w:rsidRPr="005D37BE" w:rsidRDefault="00E82E66" w:rsidP="00E82E66">
      <w:pPr>
        <w:spacing w:after="0" w:line="360" w:lineRule="auto"/>
      </w:pPr>
      <w:r>
        <w:rPr>
          <w:noProof/>
        </w:rPr>
        <w:drawing>
          <wp:anchor distT="0" distB="0" distL="114300" distR="114300" simplePos="0" relativeHeight="251877376" behindDoc="0" locked="0" layoutInCell="1" allowOverlap="1" wp14:anchorId="3503F3E6" wp14:editId="73B08390">
            <wp:simplePos x="0" y="0"/>
            <wp:positionH relativeFrom="column">
              <wp:posOffset>-1270</wp:posOffset>
            </wp:positionH>
            <wp:positionV relativeFrom="paragraph">
              <wp:posOffset>104775</wp:posOffset>
            </wp:positionV>
            <wp:extent cx="3562350" cy="2305685"/>
            <wp:effectExtent l="0" t="0" r="0" b="0"/>
            <wp:wrapSquare wrapText="bothSides"/>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8">
                      <a:extLst>
                        <a:ext uri="{28A0092B-C50C-407E-A947-70E740481C1C}">
                          <a14:useLocalDpi xmlns:a14="http://schemas.microsoft.com/office/drawing/2010/main" val="0"/>
                        </a:ext>
                      </a:extLst>
                    </a:blip>
                    <a:srcRect t="11874" r="10913"/>
                    <a:stretch/>
                  </pic:blipFill>
                  <pic:spPr bwMode="auto">
                    <a:xfrm>
                      <a:off x="0" y="0"/>
                      <a:ext cx="3562350" cy="2305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0DEF">
        <w:rPr>
          <w:noProof/>
          <w:lang w:eastAsia="en-AU"/>
        </w:rPr>
        <w:drawing>
          <wp:anchor distT="0" distB="0" distL="114300" distR="114300" simplePos="0" relativeHeight="251869184" behindDoc="0" locked="0" layoutInCell="1" allowOverlap="1" wp14:anchorId="55B41051" wp14:editId="77E2C791">
            <wp:simplePos x="0" y="0"/>
            <wp:positionH relativeFrom="column">
              <wp:posOffset>-2085975</wp:posOffset>
            </wp:positionH>
            <wp:positionV relativeFrom="paragraph">
              <wp:posOffset>107315</wp:posOffset>
            </wp:positionV>
            <wp:extent cx="1133475" cy="880110"/>
            <wp:effectExtent l="0" t="0" r="9525" b="0"/>
            <wp:wrapNone/>
            <wp:docPr id="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7">
                      <a:extLst>
                        <a:ext uri="{28A0092B-C50C-407E-A947-70E740481C1C}">
                          <a14:useLocalDpi xmlns:a14="http://schemas.microsoft.com/office/drawing/2010/main" val="0"/>
                        </a:ext>
                      </a:extLst>
                    </a:blip>
                    <a:stretch>
                      <a:fillRect/>
                    </a:stretch>
                  </pic:blipFill>
                  <pic:spPr>
                    <a:xfrm>
                      <a:off x="0" y="0"/>
                      <a:ext cx="1133475" cy="880110"/>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856896" behindDoc="0" locked="0" layoutInCell="1" allowOverlap="1" wp14:anchorId="520F0534" wp14:editId="25477BBA">
            <wp:simplePos x="0" y="0"/>
            <wp:positionH relativeFrom="column">
              <wp:posOffset>-3044825</wp:posOffset>
            </wp:positionH>
            <wp:positionV relativeFrom="paragraph">
              <wp:posOffset>106680</wp:posOffset>
            </wp:positionV>
            <wp:extent cx="1247775" cy="968375"/>
            <wp:effectExtent l="0" t="0" r="9525" b="3175"/>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erce Employment 2.jpg"/>
                    <pic:cNvPicPr/>
                  </pic:nvPicPr>
                  <pic:blipFill>
                    <a:blip r:embed="rId117">
                      <a:extLst>
                        <a:ext uri="{28A0092B-C50C-407E-A947-70E740481C1C}">
                          <a14:useLocalDpi xmlns:a14="http://schemas.microsoft.com/office/drawing/2010/main" val="0"/>
                        </a:ext>
                      </a:extLst>
                    </a:blip>
                    <a:stretch>
                      <a:fillRect/>
                    </a:stretch>
                  </pic:blipFill>
                  <pic:spPr>
                    <a:xfrm>
                      <a:off x="0" y="0"/>
                      <a:ext cx="1247775" cy="9683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F102325" w14:textId="77777777" w:rsidR="00E82E66" w:rsidRPr="005D37BE" w:rsidRDefault="00E82E66" w:rsidP="00E82E66">
      <w:pPr>
        <w:spacing w:after="0" w:line="240" w:lineRule="auto"/>
        <w:rPr>
          <w:color w:val="7F7F7F" w:themeColor="text1" w:themeTint="80"/>
          <w:sz w:val="20"/>
          <w:szCs w:val="20"/>
        </w:rPr>
      </w:pPr>
      <w:r w:rsidRPr="005D37BE">
        <w:rPr>
          <w:color w:val="7F7F7F" w:themeColor="text1" w:themeTint="80"/>
          <w:sz w:val="20"/>
          <w:szCs w:val="20"/>
        </w:rPr>
        <w:t>Per cent of persons in paid employment who were employed as managers or professionals, by gender: Greater Dandenong, 20</w:t>
      </w:r>
      <w:r>
        <w:rPr>
          <w:color w:val="7F7F7F" w:themeColor="text1" w:themeTint="80"/>
          <w:sz w:val="20"/>
          <w:szCs w:val="20"/>
        </w:rPr>
        <w:t>21</w:t>
      </w:r>
    </w:p>
    <w:p w14:paraId="49210D72" w14:textId="77777777" w:rsidR="00E82E66" w:rsidRDefault="00E82E66" w:rsidP="00E82E66">
      <w:pPr>
        <w:spacing w:after="0" w:line="360" w:lineRule="auto"/>
      </w:pPr>
    </w:p>
    <w:p w14:paraId="140DA170" w14:textId="77777777" w:rsidR="00E82E66" w:rsidRDefault="00E82E66" w:rsidP="00E82E66">
      <w:pPr>
        <w:spacing w:after="0" w:line="360" w:lineRule="auto"/>
      </w:pPr>
      <w:r w:rsidRPr="005D37BE">
        <w:rPr>
          <w:noProof/>
          <w:lang w:eastAsia="en-AU"/>
        </w:rPr>
        <mc:AlternateContent>
          <mc:Choice Requires="wps">
            <w:drawing>
              <wp:anchor distT="0" distB="0" distL="114300" distR="114300" simplePos="0" relativeHeight="251864064" behindDoc="0" locked="0" layoutInCell="1" allowOverlap="1" wp14:anchorId="42624E42" wp14:editId="506122F3">
                <wp:simplePos x="0" y="0"/>
                <wp:positionH relativeFrom="column">
                  <wp:posOffset>-76231</wp:posOffset>
                </wp:positionH>
                <wp:positionV relativeFrom="paragraph">
                  <wp:posOffset>33903</wp:posOffset>
                </wp:positionV>
                <wp:extent cx="2667000" cy="1256371"/>
                <wp:effectExtent l="0" t="0" r="0" b="127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256371"/>
                        </a:xfrm>
                        <a:prstGeom prst="rect">
                          <a:avLst/>
                        </a:prstGeom>
                        <a:noFill/>
                        <a:ln w="9525">
                          <a:noFill/>
                          <a:miter lim="800000"/>
                          <a:headEnd/>
                          <a:tailEnd/>
                        </a:ln>
                      </wps:spPr>
                      <wps:txbx>
                        <w:txbxContent>
                          <w:p w14:paraId="15BD28C9" w14:textId="77777777" w:rsidR="00E82E66" w:rsidRDefault="00E82E66" w:rsidP="00E82E66">
                            <w:pPr>
                              <w:jc w:val="both"/>
                              <w:rPr>
                                <w:sz w:val="20"/>
                                <w:szCs w:val="20"/>
                              </w:rPr>
                            </w:pPr>
                            <w:r w:rsidRPr="001176C0">
                              <w:rPr>
                                <w:sz w:val="20"/>
                                <w:szCs w:val="20"/>
                              </w:rPr>
                              <w:t xml:space="preserve">The Census </w:t>
                            </w:r>
                            <w:r>
                              <w:rPr>
                                <w:sz w:val="20"/>
                                <w:szCs w:val="20"/>
                              </w:rPr>
                              <w:t xml:space="preserve">also revealed </w:t>
                            </w:r>
                            <w:r w:rsidRPr="001176C0">
                              <w:rPr>
                                <w:sz w:val="20"/>
                                <w:szCs w:val="20"/>
                              </w:rPr>
                              <w:t xml:space="preserve">that </w:t>
                            </w:r>
                            <w:r>
                              <w:rPr>
                                <w:sz w:val="20"/>
                                <w:szCs w:val="20"/>
                              </w:rPr>
                              <w:t>59% of men in paid employment</w:t>
                            </w:r>
                            <w:r w:rsidRPr="001176C0">
                              <w:rPr>
                                <w:sz w:val="20"/>
                                <w:szCs w:val="20"/>
                              </w:rPr>
                              <w:t xml:space="preserve"> worked as tradespersons, labourers or machinery operators, compared with </w:t>
                            </w:r>
                            <w:r>
                              <w:rPr>
                                <w:sz w:val="20"/>
                                <w:szCs w:val="20"/>
                              </w:rPr>
                              <w:t>27</w:t>
                            </w:r>
                            <w:r w:rsidRPr="001176C0">
                              <w:rPr>
                                <w:sz w:val="20"/>
                                <w:szCs w:val="20"/>
                              </w:rPr>
                              <w:t xml:space="preserve">% of women. </w:t>
                            </w:r>
                          </w:p>
                          <w:p w14:paraId="14D26E21" w14:textId="77777777" w:rsidR="00E82E66" w:rsidRPr="001176C0" w:rsidRDefault="00E82E66" w:rsidP="00E82E66">
                            <w:pPr>
                              <w:jc w:val="both"/>
                              <w:rPr>
                                <w:sz w:val="20"/>
                                <w:szCs w:val="20"/>
                              </w:rPr>
                            </w:pPr>
                            <w:r w:rsidRPr="001176C0">
                              <w:rPr>
                                <w:sz w:val="20"/>
                                <w:szCs w:val="20"/>
                              </w:rPr>
                              <w:t xml:space="preserve">Conversely, </w:t>
                            </w:r>
                            <w:r>
                              <w:rPr>
                                <w:sz w:val="20"/>
                                <w:szCs w:val="20"/>
                              </w:rPr>
                              <w:t>over 26</w:t>
                            </w:r>
                            <w:r w:rsidRPr="001176C0">
                              <w:rPr>
                                <w:sz w:val="20"/>
                                <w:szCs w:val="20"/>
                              </w:rPr>
                              <w:t xml:space="preserve">% of women in paid work were employed as managers or professionals, compared with </w:t>
                            </w:r>
                            <w:r>
                              <w:rPr>
                                <w:sz w:val="20"/>
                                <w:szCs w:val="20"/>
                              </w:rPr>
                              <w:t>23</w:t>
                            </w:r>
                            <w:r w:rsidRPr="001176C0">
                              <w:rPr>
                                <w:sz w:val="20"/>
                                <w:szCs w:val="20"/>
                              </w:rPr>
                              <w:t>% of employed 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2624E42" id="_x0000_s1030" type="#_x0000_t202" style="position:absolute;margin-left:-6pt;margin-top:2.65pt;width:210pt;height:98.9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Gga/AEAANUDAAAOAAAAZHJzL2Uyb0RvYy54bWysU9tu2zAMfR+wfxD0vtjxcmmNKEXXrsOA&#10;7gJ0+wBFlmNhkqhJSuzs60fJbhpsb8NeBFIUD3kOqc3NYDQ5Sh8UWEbns5ISaQU0yu4Z/f7t4c0V&#10;JSFy23ANVjJ6koHebF+/2vSulhV0oBvpCYLYUPeO0S5GVxdFEJ00PMzASYvBFrzhEV2/LxrPe0Q3&#10;uqjKclX04BvnQcgQ8PZ+DNJtxm9bKeKXtg0yEs0o9hbz6fO5S2ex3fB677nrlJja4P/QheHKYtEz&#10;1D2PnBy8+gvKKOEhQBtnAkwBbauEzByQzbz8g81Tx53MXFCc4M4yhf8HKz4fn9xXT+LwDgYcYCYR&#10;3COIH4FYuOu43ctb76HvJG+w8DxJVvQu1FNqkjrUIYHs+k/Q4JD5IUIGGlpvkirIkyA6DuB0Fl0O&#10;kQi8rFardVliSGBsXi1Xb9djDV4/pzsf4gcJhiSDUY9TzfD8+BhiaofXz09SNQsPSus8WW1Jz+j1&#10;slrmhIuIUREXTyvD6BWWxwZyQmL53jbZjlzp0cYC2k60E9ORcxx2A1ENo4uUm1TYQXNCHTyMe4b/&#10;Ao0O/C9KetwxRsPPA/eSEv3RopbX88UiLWV2Fst1hY6/jOwuI9wKhGI0UjKadzEv8kj5FjVvVVbj&#10;pZOpZdydLNK052k5L/386uU3bn8DAAD//wMAUEsDBBQABgAIAAAAIQClneLd3QAAAAkBAAAPAAAA&#10;ZHJzL2Rvd25yZXYueG1sTI/NTsMwEITvSLyDtUjcWrtpi0rIpkIgriDKj8TNjbdJRLyOYrcJb89y&#10;osfRjGa+KbaT79SJhtgGRljMDSjiKriWa4T3t6fZBlRMlp3tAhPCD0XYlpcXhc1dGPmVTrtUKynh&#10;mFuEJqU+1zpWDXkb56EnFu8QBm+TyKHWbrCjlPtOZ8bcaG9bloXG9vTQUPW9O3qEj+fD1+fKvNSP&#10;ft2PYTKa/a1GvL6a7u9AJZrSfxj+8AUdSmHahyO7qDqE2SKTLwlhvQQl/spsRO8RMrPMQJeFPn9Q&#10;/gIAAP//AwBQSwECLQAUAAYACAAAACEAtoM4kv4AAADhAQAAEwAAAAAAAAAAAAAAAAAAAAAAW0Nv&#10;bnRlbnRfVHlwZXNdLnhtbFBLAQItABQABgAIAAAAIQA4/SH/1gAAAJQBAAALAAAAAAAAAAAAAAAA&#10;AC8BAABfcmVscy8ucmVsc1BLAQItABQABgAIAAAAIQAUlGga/AEAANUDAAAOAAAAAAAAAAAAAAAA&#10;AC4CAABkcnMvZTJvRG9jLnhtbFBLAQItABQABgAIAAAAIQClneLd3QAAAAkBAAAPAAAAAAAAAAAA&#10;AAAAAFYEAABkcnMvZG93bnJldi54bWxQSwUGAAAAAAQABADzAAAAYAUAAAAA&#10;" filled="f" stroked="f">
                <v:textbox>
                  <w:txbxContent>
                    <w:p w14:paraId="15BD28C9" w14:textId="77777777" w:rsidR="00E82E66" w:rsidRDefault="00E82E66" w:rsidP="00E82E66">
                      <w:pPr>
                        <w:jc w:val="both"/>
                        <w:rPr>
                          <w:sz w:val="20"/>
                          <w:szCs w:val="20"/>
                        </w:rPr>
                      </w:pPr>
                      <w:r w:rsidRPr="001176C0">
                        <w:rPr>
                          <w:sz w:val="20"/>
                          <w:szCs w:val="20"/>
                        </w:rPr>
                        <w:t xml:space="preserve">The Census </w:t>
                      </w:r>
                      <w:r>
                        <w:rPr>
                          <w:sz w:val="20"/>
                          <w:szCs w:val="20"/>
                        </w:rPr>
                        <w:t xml:space="preserve">also revealed </w:t>
                      </w:r>
                      <w:r w:rsidRPr="001176C0">
                        <w:rPr>
                          <w:sz w:val="20"/>
                          <w:szCs w:val="20"/>
                        </w:rPr>
                        <w:t xml:space="preserve">that </w:t>
                      </w:r>
                      <w:r>
                        <w:rPr>
                          <w:sz w:val="20"/>
                          <w:szCs w:val="20"/>
                        </w:rPr>
                        <w:t>59% of men in paid employment</w:t>
                      </w:r>
                      <w:r w:rsidRPr="001176C0">
                        <w:rPr>
                          <w:sz w:val="20"/>
                          <w:szCs w:val="20"/>
                        </w:rPr>
                        <w:t xml:space="preserve"> worked as tradespersons, labourers or machinery operators, compared with </w:t>
                      </w:r>
                      <w:r>
                        <w:rPr>
                          <w:sz w:val="20"/>
                          <w:szCs w:val="20"/>
                        </w:rPr>
                        <w:t>27</w:t>
                      </w:r>
                      <w:r w:rsidRPr="001176C0">
                        <w:rPr>
                          <w:sz w:val="20"/>
                          <w:szCs w:val="20"/>
                        </w:rPr>
                        <w:t xml:space="preserve">% of women. </w:t>
                      </w:r>
                    </w:p>
                    <w:p w14:paraId="14D26E21" w14:textId="77777777" w:rsidR="00E82E66" w:rsidRPr="001176C0" w:rsidRDefault="00E82E66" w:rsidP="00E82E66">
                      <w:pPr>
                        <w:jc w:val="both"/>
                        <w:rPr>
                          <w:sz w:val="20"/>
                          <w:szCs w:val="20"/>
                        </w:rPr>
                      </w:pPr>
                      <w:r w:rsidRPr="001176C0">
                        <w:rPr>
                          <w:sz w:val="20"/>
                          <w:szCs w:val="20"/>
                        </w:rPr>
                        <w:t xml:space="preserve">Conversely, </w:t>
                      </w:r>
                      <w:r>
                        <w:rPr>
                          <w:sz w:val="20"/>
                          <w:szCs w:val="20"/>
                        </w:rPr>
                        <w:t>over 26</w:t>
                      </w:r>
                      <w:r w:rsidRPr="001176C0">
                        <w:rPr>
                          <w:sz w:val="20"/>
                          <w:szCs w:val="20"/>
                        </w:rPr>
                        <w:t xml:space="preserve">% of women in paid work were employed as managers or professionals, compared with </w:t>
                      </w:r>
                      <w:r>
                        <w:rPr>
                          <w:sz w:val="20"/>
                          <w:szCs w:val="20"/>
                        </w:rPr>
                        <w:t>23</w:t>
                      </w:r>
                      <w:r w:rsidRPr="001176C0">
                        <w:rPr>
                          <w:sz w:val="20"/>
                          <w:szCs w:val="20"/>
                        </w:rPr>
                        <w:t>% of employed men.</w:t>
                      </w:r>
                    </w:p>
                  </w:txbxContent>
                </v:textbox>
              </v:shape>
            </w:pict>
          </mc:Fallback>
        </mc:AlternateContent>
      </w:r>
    </w:p>
    <w:p w14:paraId="69F7030D" w14:textId="77777777" w:rsidR="00E82E66" w:rsidRPr="005D37BE" w:rsidRDefault="00E82E66" w:rsidP="00E82E66">
      <w:pPr>
        <w:spacing w:after="0" w:line="360" w:lineRule="auto"/>
      </w:pPr>
    </w:p>
    <w:p w14:paraId="443D00DC" w14:textId="77777777" w:rsidR="00E82E66" w:rsidRPr="005D37BE" w:rsidRDefault="00E82E66" w:rsidP="00E82E66">
      <w:pPr>
        <w:spacing w:after="0" w:line="360" w:lineRule="auto"/>
      </w:pPr>
    </w:p>
    <w:p w14:paraId="7356CA6A" w14:textId="77777777" w:rsidR="00E82E66" w:rsidRPr="005D37BE" w:rsidRDefault="00E82E66" w:rsidP="00E82E66">
      <w:pPr>
        <w:spacing w:after="0" w:line="360" w:lineRule="auto"/>
      </w:pPr>
    </w:p>
    <w:p w14:paraId="63A0442F" w14:textId="77777777" w:rsidR="00E82E66" w:rsidRPr="005D37BE" w:rsidRDefault="00E82E66" w:rsidP="00E82E66">
      <w:pPr>
        <w:spacing w:after="0" w:line="360" w:lineRule="auto"/>
      </w:pPr>
    </w:p>
    <w:p w14:paraId="1664ACB2" w14:textId="77777777" w:rsidR="00E82E66" w:rsidRPr="005D37BE" w:rsidRDefault="00E82E66" w:rsidP="00E82E66">
      <w:pPr>
        <w:spacing w:after="0" w:line="360" w:lineRule="auto"/>
      </w:pPr>
    </w:p>
    <w:p w14:paraId="3A196527" w14:textId="21CD5E82" w:rsidR="00E82E66" w:rsidRPr="005D37BE" w:rsidRDefault="00E82E66" w:rsidP="00E82E66">
      <w:pPr>
        <w:spacing w:after="0" w:line="360" w:lineRule="auto"/>
        <w:rPr>
          <w:b/>
          <w:color w:val="222A35" w:themeColor="text2" w:themeShade="80"/>
          <w:sz w:val="26"/>
          <w:szCs w:val="26"/>
        </w:rPr>
      </w:pPr>
      <w:r>
        <w:rPr>
          <w:b/>
          <w:color w:val="222A35" w:themeColor="text2" w:themeShade="80"/>
          <w:sz w:val="26"/>
          <w:szCs w:val="26"/>
        </w:rPr>
        <w:lastRenderedPageBreak/>
        <w:t>Fields of Qualification</w:t>
      </w:r>
    </w:p>
    <w:p w14:paraId="7B4A5CEF" w14:textId="5EAF6F27" w:rsidR="00E82E66" w:rsidRPr="005D37BE" w:rsidRDefault="00E82E66" w:rsidP="00E82E66">
      <w:pPr>
        <w:spacing w:after="0" w:line="240" w:lineRule="auto"/>
        <w:rPr>
          <w:color w:val="7F7F7F" w:themeColor="text1" w:themeTint="80"/>
          <w:sz w:val="20"/>
          <w:szCs w:val="20"/>
        </w:rPr>
      </w:pPr>
      <w:r>
        <w:rPr>
          <w:noProof/>
          <w:color w:val="7F7F7F" w:themeColor="text1" w:themeTint="80"/>
          <w:sz w:val="20"/>
          <w:szCs w:val="20"/>
        </w:rPr>
        <w:drawing>
          <wp:anchor distT="0" distB="0" distL="114300" distR="114300" simplePos="0" relativeHeight="251881472" behindDoc="0" locked="0" layoutInCell="1" allowOverlap="1" wp14:anchorId="3986B079" wp14:editId="0B48016A">
            <wp:simplePos x="0" y="0"/>
            <wp:positionH relativeFrom="margin">
              <wp:align>left</wp:align>
            </wp:positionH>
            <wp:positionV relativeFrom="paragraph">
              <wp:posOffset>12065</wp:posOffset>
            </wp:positionV>
            <wp:extent cx="4120515" cy="2919095"/>
            <wp:effectExtent l="0" t="0" r="0" b="0"/>
            <wp:wrapSquare wrapText="bothSides"/>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120515" cy="2919095"/>
                    </a:xfrm>
                    <a:prstGeom prst="rect">
                      <a:avLst/>
                    </a:prstGeom>
                    <a:noFill/>
                  </pic:spPr>
                </pic:pic>
              </a:graphicData>
            </a:graphic>
            <wp14:sizeRelH relativeFrom="page">
              <wp14:pctWidth>0</wp14:pctWidth>
            </wp14:sizeRelH>
            <wp14:sizeRelV relativeFrom="page">
              <wp14:pctHeight>0</wp14:pctHeight>
            </wp14:sizeRelV>
          </wp:anchor>
        </w:drawing>
      </w:r>
      <w:r w:rsidRPr="005D37BE">
        <w:rPr>
          <w:color w:val="7F7F7F" w:themeColor="text1" w:themeTint="80"/>
          <w:sz w:val="20"/>
          <w:szCs w:val="20"/>
        </w:rPr>
        <w:t>Women as a percentage of persons with tertiary qualifications in medicine and law</w:t>
      </w:r>
      <w:r>
        <w:rPr>
          <w:color w:val="7F7F7F" w:themeColor="text1" w:themeTint="80"/>
          <w:sz w:val="20"/>
          <w:szCs w:val="20"/>
        </w:rPr>
        <w:t>, by age</w:t>
      </w:r>
      <w:r w:rsidRPr="005D37BE">
        <w:rPr>
          <w:color w:val="7F7F7F" w:themeColor="text1" w:themeTint="80"/>
          <w:sz w:val="20"/>
          <w:szCs w:val="20"/>
        </w:rPr>
        <w:t>: Victoria, 20</w:t>
      </w:r>
      <w:r>
        <w:rPr>
          <w:color w:val="7F7F7F" w:themeColor="text1" w:themeTint="80"/>
          <w:sz w:val="20"/>
          <w:szCs w:val="20"/>
        </w:rPr>
        <w:t>21</w:t>
      </w:r>
    </w:p>
    <w:p w14:paraId="6EDC3FDF" w14:textId="08567E9F" w:rsidR="00E82E66" w:rsidRPr="005D37BE" w:rsidRDefault="00E82E66" w:rsidP="00E82E66">
      <w:pPr>
        <w:spacing w:after="0" w:line="360" w:lineRule="auto"/>
      </w:pPr>
    </w:p>
    <w:p w14:paraId="128B4261" w14:textId="7270012A" w:rsidR="00E82E66" w:rsidRDefault="00E82E66" w:rsidP="00E82E66">
      <w:pPr>
        <w:spacing w:after="0" w:line="360" w:lineRule="auto"/>
      </w:pPr>
      <w:r>
        <w:rPr>
          <w:noProof/>
          <w:lang w:eastAsia="en-AU"/>
        </w:rPr>
        <w:drawing>
          <wp:anchor distT="0" distB="0" distL="114300" distR="114300" simplePos="0" relativeHeight="251883520" behindDoc="0" locked="0" layoutInCell="1" allowOverlap="1" wp14:anchorId="3B8D5469" wp14:editId="642EA6F6">
            <wp:simplePos x="0" y="0"/>
            <wp:positionH relativeFrom="column">
              <wp:posOffset>2368441</wp:posOffset>
            </wp:positionH>
            <wp:positionV relativeFrom="paragraph">
              <wp:posOffset>2943</wp:posOffset>
            </wp:positionV>
            <wp:extent cx="1707515" cy="1162050"/>
            <wp:effectExtent l="0" t="0" r="6985"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10.jpg"/>
                    <pic:cNvPicPr/>
                  </pic:nvPicPr>
                  <pic:blipFill>
                    <a:blip r:embed="rId190">
                      <a:extLst>
                        <a:ext uri="{28A0092B-C50C-407E-A947-70E740481C1C}">
                          <a14:useLocalDpi xmlns:a14="http://schemas.microsoft.com/office/drawing/2010/main" val="0"/>
                        </a:ext>
                      </a:extLst>
                    </a:blip>
                    <a:stretch>
                      <a:fillRect/>
                    </a:stretch>
                  </pic:blipFill>
                  <pic:spPr>
                    <a:xfrm>
                      <a:off x="0" y="0"/>
                      <a:ext cx="1707515" cy="1162050"/>
                    </a:xfrm>
                    <a:prstGeom prst="rect">
                      <a:avLst/>
                    </a:prstGeom>
                    <a:ln>
                      <a:noFill/>
                    </a:ln>
                    <a:effectLst>
                      <a:softEdge rad="317500"/>
                    </a:effectLst>
                  </pic:spPr>
                </pic:pic>
              </a:graphicData>
            </a:graphic>
            <wp14:sizeRelH relativeFrom="page">
              <wp14:pctWidth>0</wp14:pctWidth>
            </wp14:sizeRelH>
            <wp14:sizeRelV relativeFrom="page">
              <wp14:pctHeight>0</wp14:pctHeight>
            </wp14:sizeRelV>
          </wp:anchor>
        </w:drawing>
      </w:r>
      <w:r w:rsidRPr="005D37BE">
        <w:rPr>
          <w:noProof/>
          <w:lang w:eastAsia="en-AU"/>
        </w:rPr>
        <mc:AlternateContent>
          <mc:Choice Requires="wps">
            <w:drawing>
              <wp:anchor distT="0" distB="0" distL="114300" distR="114300" simplePos="0" relativeHeight="251863040" behindDoc="0" locked="0" layoutInCell="1" allowOverlap="1" wp14:anchorId="7B082FA3" wp14:editId="3AE86CCF">
                <wp:simplePos x="0" y="0"/>
                <wp:positionH relativeFrom="column">
                  <wp:posOffset>4137567</wp:posOffset>
                </wp:positionH>
                <wp:positionV relativeFrom="paragraph">
                  <wp:posOffset>11910</wp:posOffset>
                </wp:positionV>
                <wp:extent cx="2019300" cy="19431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943100"/>
                        </a:xfrm>
                        <a:prstGeom prst="rect">
                          <a:avLst/>
                        </a:prstGeom>
                        <a:noFill/>
                        <a:ln w="9525">
                          <a:noFill/>
                          <a:miter lim="800000"/>
                          <a:headEnd/>
                          <a:tailEnd/>
                        </a:ln>
                      </wps:spPr>
                      <wps:txbx>
                        <w:txbxContent>
                          <w:p w14:paraId="579EBCF1" w14:textId="77777777" w:rsidR="00E82E66" w:rsidRDefault="00E82E66" w:rsidP="00E82E66">
                            <w:pPr>
                              <w:jc w:val="both"/>
                              <w:rPr>
                                <w:sz w:val="20"/>
                                <w:szCs w:val="20"/>
                              </w:rPr>
                            </w:pPr>
                            <w:r w:rsidRPr="001176C0">
                              <w:rPr>
                                <w:sz w:val="20"/>
                                <w:szCs w:val="20"/>
                              </w:rPr>
                              <w:t xml:space="preserve">The rising proportion of women with tertiary medical and legal qualifications, with decreasing age, </w:t>
                            </w:r>
                            <w:r>
                              <w:rPr>
                                <w:sz w:val="20"/>
                                <w:szCs w:val="20"/>
                              </w:rPr>
                              <w:t>reflects</w:t>
                            </w:r>
                            <w:r w:rsidRPr="001176C0">
                              <w:rPr>
                                <w:sz w:val="20"/>
                                <w:szCs w:val="20"/>
                              </w:rPr>
                              <w:t xml:space="preserve"> </w:t>
                            </w:r>
                            <w:r>
                              <w:rPr>
                                <w:sz w:val="20"/>
                                <w:szCs w:val="20"/>
                              </w:rPr>
                              <w:t>trends which extend across the previous 75 years.</w:t>
                            </w:r>
                          </w:p>
                          <w:p w14:paraId="7FC34D34" w14:textId="77777777" w:rsidR="00E82E66" w:rsidRPr="001176C0" w:rsidRDefault="00E82E66" w:rsidP="00E82E66">
                            <w:pPr>
                              <w:jc w:val="both"/>
                              <w:rPr>
                                <w:sz w:val="20"/>
                                <w:szCs w:val="20"/>
                              </w:rPr>
                            </w:pPr>
                            <w:r>
                              <w:rPr>
                                <w:sz w:val="20"/>
                                <w:szCs w:val="20"/>
                              </w:rPr>
                              <w:t>Similar increases, though less pronounced, have occurred in the representation of women in scientific, engineering, accounting, management and other fields.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B082FA3" id="_x0000_s1031" type="#_x0000_t202" style="position:absolute;margin-left:325.8pt;margin-top:.95pt;width:159pt;height:153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lD+gEAANUDAAAOAAAAZHJzL2Uyb0RvYy54bWysU11v2yAUfZ+0/4B4X2ynydZYIVXXrtOk&#10;7kNq9wMIxjEacBmQ2Nmv7wW7abS+TfMD4vpyD/ece1hfDUaTg/RBgWW0mpWUSCugUXbH6M/Hu3eX&#10;lITIbcM1WMnoUQZ6tXn7Zt27Ws6hA91ITxDEhrp3jHYxurooguik4WEGTlpMtuANjxj6XdF43iO6&#10;0cW8LN8XPfjGeRAyBPx7OybpJuO3rRTxe9sGGYlmFHuLefV53aa12Kx5vfPcdUpMbfB/6MJwZfHS&#10;E9Qtj5zsvXoFZZTwEKCNMwGmgLZVQmYOyKYq/2Lz0HEnMxcUJ7iTTOH/wYpvhwf3w5M4fIQBB5hJ&#10;BHcP4lcgFm46bnfy2nvoO8kbvLhKkhW9C/VUmqQOdUgg2/4rNDhkvo+QgYbWm6QK8iSIjgM4nkSX&#10;QyQCfyLv1UWJKYG5arW4qDBId/D6udz5ED9LMCRtGPU41QzPD/chjkefj6TbLNwprfNktSU9o6vl&#10;fJkLzjJGRTSeVobRyzJ9oxUSy0+2ycWRKz3usRdtJ9qJ6cg5DtuBqIbRZapNKmyhOaIOHkaf4bvA&#10;TQf+DyU9eozR8HvPvaREf7Go5apaLJIpc7BYfphj4M8z2/MMtwKhGI2UjNubmI08Ur5GzVuV1Xjp&#10;ZGoZvZP1nHyezHke51Mvr3HzBAAA//8DAFBLAwQUAAYACAAAACEA2QUBXtwAAAAJAQAADwAAAGRy&#10;cy9kb3ducmV2LnhtbEyPwU7DMBBE70j8g7WVuFG7QFOcxqkQiCuopSBxc+NtEhGvo9htwt+znOA4&#10;eqPZt8Vm8p044xDbQAYWcwUCqQqupdrA/u35+h5ETJac7QKhgW+MsCkvLwqbuzDSFs+7VAseoZhb&#10;A01KfS5lrBr0Ns5Dj8TsGAZvE8ehlm6wI4/7Tt4olUlvW+ILje3xscHqa3fyBt5fjp8fd+q1fvLL&#10;fgyTkuS1NOZqNj2sQSSc0l8ZfvVZHUp2OoQTuSg6A9lykXGVgQbBXGea88HArVppkGUh/39Q/gAA&#10;AP//AwBQSwECLQAUAAYACAAAACEAtoM4kv4AAADhAQAAEwAAAAAAAAAAAAAAAAAAAAAAW0NvbnRl&#10;bnRfVHlwZXNdLnhtbFBLAQItABQABgAIAAAAIQA4/SH/1gAAAJQBAAALAAAAAAAAAAAAAAAAAC8B&#10;AABfcmVscy8ucmVsc1BLAQItABQABgAIAAAAIQCTvylD+gEAANUDAAAOAAAAAAAAAAAAAAAAAC4C&#10;AABkcnMvZTJvRG9jLnhtbFBLAQItABQABgAIAAAAIQDZBQFe3AAAAAkBAAAPAAAAAAAAAAAAAAAA&#10;AFQEAABkcnMvZG93bnJldi54bWxQSwUGAAAAAAQABADzAAAAXQUAAAAA&#10;" filled="f" stroked="f">
                <v:textbox>
                  <w:txbxContent>
                    <w:p w14:paraId="579EBCF1" w14:textId="77777777" w:rsidR="00E82E66" w:rsidRDefault="00E82E66" w:rsidP="00E82E66">
                      <w:pPr>
                        <w:jc w:val="both"/>
                        <w:rPr>
                          <w:sz w:val="20"/>
                          <w:szCs w:val="20"/>
                        </w:rPr>
                      </w:pPr>
                      <w:r w:rsidRPr="001176C0">
                        <w:rPr>
                          <w:sz w:val="20"/>
                          <w:szCs w:val="20"/>
                        </w:rPr>
                        <w:t xml:space="preserve">The rising proportion of women with tertiary medical and legal qualifications, with decreasing age, </w:t>
                      </w:r>
                      <w:r>
                        <w:rPr>
                          <w:sz w:val="20"/>
                          <w:szCs w:val="20"/>
                        </w:rPr>
                        <w:t>reflects</w:t>
                      </w:r>
                      <w:r w:rsidRPr="001176C0">
                        <w:rPr>
                          <w:sz w:val="20"/>
                          <w:szCs w:val="20"/>
                        </w:rPr>
                        <w:t xml:space="preserve"> </w:t>
                      </w:r>
                      <w:r>
                        <w:rPr>
                          <w:sz w:val="20"/>
                          <w:szCs w:val="20"/>
                        </w:rPr>
                        <w:t>trends which extend across the previous 75 years.</w:t>
                      </w:r>
                    </w:p>
                    <w:p w14:paraId="7FC34D34" w14:textId="77777777" w:rsidR="00E82E66" w:rsidRPr="001176C0" w:rsidRDefault="00E82E66" w:rsidP="00E82E66">
                      <w:pPr>
                        <w:jc w:val="both"/>
                        <w:rPr>
                          <w:sz w:val="20"/>
                          <w:szCs w:val="20"/>
                        </w:rPr>
                      </w:pPr>
                      <w:r>
                        <w:rPr>
                          <w:sz w:val="20"/>
                          <w:szCs w:val="20"/>
                        </w:rPr>
                        <w:t>Similar increases, though less pronounced, have occurred in the representation of women in scientific, engineering, accounting, management and other fields.</w:t>
                      </w:r>
                    </w:p>
                  </w:txbxContent>
                </v:textbox>
              </v:shape>
            </w:pict>
          </mc:Fallback>
        </mc:AlternateContent>
      </w:r>
    </w:p>
    <w:p w14:paraId="037E3A2A" w14:textId="2ABEBD46" w:rsidR="00E82E66" w:rsidRDefault="00E82E66" w:rsidP="00E82E66">
      <w:pPr>
        <w:spacing w:after="0" w:line="360" w:lineRule="auto"/>
      </w:pPr>
    </w:p>
    <w:p w14:paraId="1C8A1635" w14:textId="2A41F48F" w:rsidR="00E82E66" w:rsidRDefault="00E82E66" w:rsidP="00E82E66">
      <w:pPr>
        <w:spacing w:after="0" w:line="360" w:lineRule="auto"/>
      </w:pPr>
    </w:p>
    <w:p w14:paraId="7882A486" w14:textId="77777777" w:rsidR="00E82E66" w:rsidRDefault="00E82E66" w:rsidP="00E82E66">
      <w:pPr>
        <w:spacing w:after="0" w:line="360" w:lineRule="auto"/>
      </w:pPr>
    </w:p>
    <w:p w14:paraId="46EEAE80" w14:textId="77777777" w:rsidR="00E82E66" w:rsidRDefault="00E82E66" w:rsidP="00E82E66">
      <w:pPr>
        <w:spacing w:after="0" w:line="360" w:lineRule="auto"/>
      </w:pPr>
    </w:p>
    <w:p w14:paraId="4DA94E39" w14:textId="77777777" w:rsidR="00E82E66" w:rsidRPr="005D37BE" w:rsidRDefault="00E82E66" w:rsidP="00E82E66">
      <w:pPr>
        <w:spacing w:after="0" w:line="360" w:lineRule="auto"/>
      </w:pPr>
    </w:p>
    <w:p w14:paraId="732AC5DC" w14:textId="77777777" w:rsidR="00E82E66" w:rsidRPr="005D37BE" w:rsidRDefault="00E82E66" w:rsidP="00E82E66">
      <w:pPr>
        <w:spacing w:after="0" w:line="360" w:lineRule="auto"/>
      </w:pPr>
    </w:p>
    <w:p w14:paraId="3D2B2E9C" w14:textId="38113619" w:rsidR="00E82E66" w:rsidRPr="005D37BE" w:rsidRDefault="00E82E66" w:rsidP="00E82E66">
      <w:pPr>
        <w:spacing w:after="0" w:line="360" w:lineRule="auto"/>
      </w:pPr>
    </w:p>
    <w:p w14:paraId="3CA7F143" w14:textId="4B7A7946" w:rsidR="00E82E66" w:rsidRDefault="00E82E66" w:rsidP="00E82E66">
      <w:pPr>
        <w:spacing w:after="0" w:line="360" w:lineRule="auto"/>
        <w:rPr>
          <w:b/>
          <w:color w:val="222A35" w:themeColor="text2" w:themeShade="80"/>
          <w:sz w:val="26"/>
          <w:szCs w:val="26"/>
        </w:rPr>
      </w:pPr>
      <w:r>
        <w:rPr>
          <w:b/>
          <w:noProof/>
          <w:color w:val="222A35" w:themeColor="text2" w:themeShade="80"/>
          <w:sz w:val="26"/>
          <w:szCs w:val="26"/>
        </w:rPr>
        <w:drawing>
          <wp:anchor distT="0" distB="0" distL="114300" distR="114300" simplePos="0" relativeHeight="251889664" behindDoc="0" locked="0" layoutInCell="1" allowOverlap="1" wp14:anchorId="77C1C94F" wp14:editId="348B5D47">
            <wp:simplePos x="0" y="0"/>
            <wp:positionH relativeFrom="margin">
              <wp:align>right</wp:align>
            </wp:positionH>
            <wp:positionV relativeFrom="paragraph">
              <wp:posOffset>255425</wp:posOffset>
            </wp:positionV>
            <wp:extent cx="3260725" cy="2280920"/>
            <wp:effectExtent l="0" t="0" r="0" b="5080"/>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260725" cy="2280920"/>
                    </a:xfrm>
                    <a:prstGeom prst="rect">
                      <a:avLst/>
                    </a:prstGeom>
                    <a:noFill/>
                  </pic:spPr>
                </pic:pic>
              </a:graphicData>
            </a:graphic>
            <wp14:sizeRelH relativeFrom="page">
              <wp14:pctWidth>0</wp14:pctWidth>
            </wp14:sizeRelH>
            <wp14:sizeRelV relativeFrom="page">
              <wp14:pctHeight>0</wp14:pctHeight>
            </wp14:sizeRelV>
          </wp:anchor>
        </w:drawing>
      </w:r>
      <w:r w:rsidRPr="005D37BE">
        <w:rPr>
          <w:b/>
          <w:color w:val="222A35" w:themeColor="text2" w:themeShade="80"/>
          <w:sz w:val="26"/>
          <w:szCs w:val="26"/>
        </w:rPr>
        <w:t>Incomes</w:t>
      </w:r>
    </w:p>
    <w:p w14:paraId="33187DEE" w14:textId="23D03BF9" w:rsidR="00E82E66" w:rsidRPr="005D37BE" w:rsidRDefault="00E82E66" w:rsidP="00E82E66">
      <w:pPr>
        <w:spacing w:after="0" w:line="360" w:lineRule="auto"/>
        <w:rPr>
          <w:b/>
          <w:color w:val="222A35" w:themeColor="text2" w:themeShade="80"/>
          <w:sz w:val="26"/>
          <w:szCs w:val="26"/>
        </w:rPr>
      </w:pPr>
    </w:p>
    <w:p w14:paraId="11DF61F9" w14:textId="3EDD335E" w:rsidR="00E82E66" w:rsidRPr="00E82E66" w:rsidRDefault="00E82E66" w:rsidP="00E82E66">
      <w:pPr>
        <w:spacing w:after="0" w:line="360" w:lineRule="auto"/>
        <w:rPr>
          <w:sz w:val="8"/>
          <w:szCs w:val="8"/>
        </w:rPr>
      </w:pPr>
      <w:r w:rsidRPr="00E82E66">
        <w:rPr>
          <w:noProof/>
          <w:sz w:val="8"/>
          <w:szCs w:val="8"/>
          <w:lang w:eastAsia="en-AU"/>
        </w:rPr>
        <w:drawing>
          <wp:anchor distT="0" distB="0" distL="114300" distR="114300" simplePos="0" relativeHeight="251879424" behindDoc="0" locked="0" layoutInCell="1" allowOverlap="1" wp14:anchorId="33E0CEF1" wp14:editId="671B5DEB">
            <wp:simplePos x="0" y="0"/>
            <wp:positionH relativeFrom="column">
              <wp:posOffset>-1785303</wp:posOffset>
            </wp:positionH>
            <wp:positionV relativeFrom="paragraph">
              <wp:posOffset>1905</wp:posOffset>
            </wp:positionV>
            <wp:extent cx="604837" cy="604837"/>
            <wp:effectExtent l="0" t="0" r="5080" b="508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 Sack of money 1.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604837" cy="604837"/>
                    </a:xfrm>
                    <a:prstGeom prst="rect">
                      <a:avLst/>
                    </a:prstGeom>
                  </pic:spPr>
                </pic:pic>
              </a:graphicData>
            </a:graphic>
            <wp14:sizeRelH relativeFrom="page">
              <wp14:pctWidth>0</wp14:pctWidth>
            </wp14:sizeRelH>
            <wp14:sizeRelV relativeFrom="page">
              <wp14:pctHeight>0</wp14:pctHeight>
            </wp14:sizeRelV>
          </wp:anchor>
        </w:drawing>
      </w:r>
    </w:p>
    <w:p w14:paraId="41BE3DA3" w14:textId="4027A1E4" w:rsidR="00E82E66" w:rsidRPr="005D37BE" w:rsidRDefault="00E82E66" w:rsidP="00E82E66">
      <w:pPr>
        <w:spacing w:after="0" w:line="240" w:lineRule="auto"/>
        <w:rPr>
          <w:color w:val="7F7F7F" w:themeColor="text1" w:themeTint="80"/>
          <w:sz w:val="20"/>
          <w:szCs w:val="20"/>
        </w:rPr>
      </w:pPr>
      <w:r w:rsidRPr="005D37BE">
        <w:rPr>
          <w:color w:val="7F7F7F" w:themeColor="text1" w:themeTint="80"/>
          <w:sz w:val="20"/>
          <w:szCs w:val="20"/>
        </w:rPr>
        <w:t>Median weekly gross individual income among persons aged 15 years or more, by gender: Greater Dandenong, 20</w:t>
      </w:r>
      <w:r>
        <w:rPr>
          <w:color w:val="7F7F7F" w:themeColor="text1" w:themeTint="80"/>
          <w:sz w:val="20"/>
          <w:szCs w:val="20"/>
        </w:rPr>
        <w:t>21</w:t>
      </w:r>
    </w:p>
    <w:p w14:paraId="3A4F6830" w14:textId="77DF07CE" w:rsidR="00E82E66" w:rsidRDefault="00E82E66" w:rsidP="00E82E66">
      <w:pPr>
        <w:spacing w:after="0" w:line="360" w:lineRule="auto"/>
      </w:pPr>
      <w:r w:rsidRPr="005D37BE">
        <w:rPr>
          <w:noProof/>
          <w:lang w:eastAsia="en-AU"/>
        </w:rPr>
        <mc:AlternateContent>
          <mc:Choice Requires="wps">
            <w:drawing>
              <wp:anchor distT="0" distB="0" distL="114300" distR="114300" simplePos="0" relativeHeight="251850752" behindDoc="0" locked="0" layoutInCell="1" allowOverlap="1" wp14:anchorId="2618E7A6" wp14:editId="423B4F24">
                <wp:simplePos x="0" y="0"/>
                <wp:positionH relativeFrom="margin">
                  <wp:align>left</wp:align>
                </wp:positionH>
                <wp:positionV relativeFrom="paragraph">
                  <wp:posOffset>108183</wp:posOffset>
                </wp:positionV>
                <wp:extent cx="2719387" cy="951570"/>
                <wp:effectExtent l="0" t="0" r="0" b="1270"/>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387" cy="951570"/>
                        </a:xfrm>
                        <a:prstGeom prst="rect">
                          <a:avLst/>
                        </a:prstGeom>
                        <a:noFill/>
                        <a:ln w="9525">
                          <a:noFill/>
                          <a:miter lim="800000"/>
                          <a:headEnd/>
                          <a:tailEnd/>
                        </a:ln>
                      </wps:spPr>
                      <wps:txbx>
                        <w:txbxContent>
                          <w:p w14:paraId="78897A23" w14:textId="77777777" w:rsidR="00E82E66" w:rsidRPr="001176C0" w:rsidRDefault="00E82E66" w:rsidP="00E82E66">
                            <w:pPr>
                              <w:jc w:val="both"/>
                              <w:rPr>
                                <w:sz w:val="20"/>
                                <w:szCs w:val="20"/>
                              </w:rPr>
                            </w:pPr>
                            <w:r>
                              <w:rPr>
                                <w:sz w:val="20"/>
                                <w:szCs w:val="20"/>
                              </w:rPr>
                              <w:t>In 2021, m</w:t>
                            </w:r>
                            <w:r w:rsidRPr="001176C0">
                              <w:rPr>
                                <w:sz w:val="20"/>
                                <w:szCs w:val="20"/>
                              </w:rPr>
                              <w:t>edian weekly individual gross incomes stood at $</w:t>
                            </w:r>
                            <w:r>
                              <w:rPr>
                                <w:sz w:val="20"/>
                                <w:szCs w:val="20"/>
                              </w:rPr>
                              <w:t>790</w:t>
                            </w:r>
                            <w:r w:rsidRPr="001176C0">
                              <w:rPr>
                                <w:sz w:val="20"/>
                                <w:szCs w:val="20"/>
                              </w:rPr>
                              <w:t xml:space="preserve"> among male</w:t>
                            </w:r>
                            <w:r>
                              <w:rPr>
                                <w:sz w:val="20"/>
                                <w:szCs w:val="20"/>
                              </w:rPr>
                              <w:t>s</w:t>
                            </w:r>
                            <w:r w:rsidRPr="001176C0">
                              <w:rPr>
                                <w:sz w:val="20"/>
                                <w:szCs w:val="20"/>
                              </w:rPr>
                              <w:t xml:space="preserve"> - </w:t>
                            </w:r>
                            <w:r>
                              <w:rPr>
                                <w:sz w:val="20"/>
                                <w:szCs w:val="20"/>
                              </w:rPr>
                              <w:t>64</w:t>
                            </w:r>
                            <w:r w:rsidRPr="001176C0">
                              <w:rPr>
                                <w:sz w:val="20"/>
                                <w:szCs w:val="20"/>
                              </w:rPr>
                              <w:t xml:space="preserve">% higher than the corresponding </w:t>
                            </w:r>
                            <w:r>
                              <w:rPr>
                                <w:sz w:val="20"/>
                                <w:szCs w:val="20"/>
                              </w:rPr>
                              <w:t>level among women, of $482 p.w. (Median male incomes were 53% higher than those among women in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618E7A6" id="_x0000_s1032" type="#_x0000_t202" style="position:absolute;margin-left:0;margin-top:8.5pt;width:214.1pt;height:74.95pt;z-index:251850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jIX/AEAANQDAAAOAAAAZHJzL2Uyb0RvYy54bWysU8tu2zAQvBfoPxC817JcO7YFy0GaNEWB&#10;9AGk/QCaoiyiJJdd0pbSr++SchyjvRXVgeBytcOd2eHmerCGHRUGDa7m5WTKmXISGu32Nf/+7f7N&#10;irMQhWuEAadq/qQCv96+frXpfaVm0IFpFDICcaHqfc27GH1VFEF2yoowAa8cJVtAKyKFuC8aFD2h&#10;W1PMptOrogdsPIJUIdDp3Zjk24zftkrGL20bVGSm5tRbzCvmdZfWYrsR1R6F77Q8tSH+oQsrtKNL&#10;z1B3Igp2QP0XlNUSIUAbJxJsAW2rpcociE05/YPNYye8ylxInODPMoX/Bys/Hx/9V2RxeAcDDTCT&#10;CP4B5I/AHNx2wu3VDSL0nRINXVwmyYreh+pUmqQOVUggu/4TNDRkcYiQgYYWbVKFeDJCpwE8nUVX&#10;Q2SSDmfLcv12teRMUm69KBfLPJVCVM/VHkP8oMCytKk50lAzujg+hJi6EdXzL+kyB/famDxY41if&#10;QGeLXHCRsTqS74y2NV9N0zc6IZF875pcHIU2454uMO7EOhEdKcdhNzDd1Pwq1SYRdtA8kQwIo83o&#10;WdCmA/zFWU8Wq3n4eRCoODMfHUm5Lufz5MkczBfLGQV4mdldZoSTBFXzyNm4vY3ZxyPlG5K81VmN&#10;l05OLZN1skgnmydvXsb5r5fHuP0NAAD//wMAUEsDBBQABgAIAAAAIQBb5M8m2wAAAAcBAAAPAAAA&#10;ZHJzL2Rvd25yZXYueG1sTI9PT8MwDMXvSHyHyEjcWEI1ylaaTgjEFcT4I3HzGq+taJyqydby7TEn&#10;drL8nvX8e+Vm9r060hi7wBauFwYUcR1cx42F97enqxWomJAd9oHJwg9F2FTnZyUWLkz8SsdtapSE&#10;cCzQQpvSUGgd65Y8xkUYiMXbh9FjknVstBtxknDf68yYXHvsWD60ONBDS/X39uAtfDzvvz6X5qV5&#10;9DfDFGaj2a+1tZcX8/0dqERz+j+GP3xBh0qYduHALqreghRJot7KFHeZrTJQOxHyfA26KvUpf/UL&#10;AAD//wMAUEsBAi0AFAAGAAgAAAAhALaDOJL+AAAA4QEAABMAAAAAAAAAAAAAAAAAAAAAAFtDb250&#10;ZW50X1R5cGVzXS54bWxQSwECLQAUAAYACAAAACEAOP0h/9YAAACUAQAACwAAAAAAAAAAAAAAAAAv&#10;AQAAX3JlbHMvLnJlbHNQSwECLQAUAAYACAAAACEAHoYyF/wBAADUAwAADgAAAAAAAAAAAAAAAAAu&#10;AgAAZHJzL2Uyb0RvYy54bWxQSwECLQAUAAYACAAAACEAW+TPJtsAAAAHAQAADwAAAAAAAAAAAAAA&#10;AABWBAAAZHJzL2Rvd25yZXYueG1sUEsFBgAAAAAEAAQA8wAAAF4FAAAAAA==&#10;" filled="f" stroked="f">
                <v:textbox>
                  <w:txbxContent>
                    <w:p w14:paraId="78897A23" w14:textId="77777777" w:rsidR="00E82E66" w:rsidRPr="001176C0" w:rsidRDefault="00E82E66" w:rsidP="00E82E66">
                      <w:pPr>
                        <w:jc w:val="both"/>
                        <w:rPr>
                          <w:sz w:val="20"/>
                          <w:szCs w:val="20"/>
                        </w:rPr>
                      </w:pPr>
                      <w:r>
                        <w:rPr>
                          <w:sz w:val="20"/>
                          <w:szCs w:val="20"/>
                        </w:rPr>
                        <w:t>In 2021, m</w:t>
                      </w:r>
                      <w:r w:rsidRPr="001176C0">
                        <w:rPr>
                          <w:sz w:val="20"/>
                          <w:szCs w:val="20"/>
                        </w:rPr>
                        <w:t>edian weekly individual gross incomes stood at $</w:t>
                      </w:r>
                      <w:r>
                        <w:rPr>
                          <w:sz w:val="20"/>
                          <w:szCs w:val="20"/>
                        </w:rPr>
                        <w:t>790</w:t>
                      </w:r>
                      <w:r w:rsidRPr="001176C0">
                        <w:rPr>
                          <w:sz w:val="20"/>
                          <w:szCs w:val="20"/>
                        </w:rPr>
                        <w:t xml:space="preserve"> among male</w:t>
                      </w:r>
                      <w:r>
                        <w:rPr>
                          <w:sz w:val="20"/>
                          <w:szCs w:val="20"/>
                        </w:rPr>
                        <w:t>s</w:t>
                      </w:r>
                      <w:r w:rsidRPr="001176C0">
                        <w:rPr>
                          <w:sz w:val="20"/>
                          <w:szCs w:val="20"/>
                        </w:rPr>
                        <w:t xml:space="preserve"> - </w:t>
                      </w:r>
                      <w:r>
                        <w:rPr>
                          <w:sz w:val="20"/>
                          <w:szCs w:val="20"/>
                        </w:rPr>
                        <w:t>64</w:t>
                      </w:r>
                      <w:r w:rsidRPr="001176C0">
                        <w:rPr>
                          <w:sz w:val="20"/>
                          <w:szCs w:val="20"/>
                        </w:rPr>
                        <w:t xml:space="preserve">% higher than the corresponding </w:t>
                      </w:r>
                      <w:r>
                        <w:rPr>
                          <w:sz w:val="20"/>
                          <w:szCs w:val="20"/>
                        </w:rPr>
                        <w:t>level among women, of $482 p.w. (Median male incomes were 53% higher than those among women in 2016.)</w:t>
                      </w:r>
                    </w:p>
                  </w:txbxContent>
                </v:textbox>
                <w10:wrap anchorx="margin"/>
              </v:shape>
            </w:pict>
          </mc:Fallback>
        </mc:AlternateContent>
      </w:r>
    </w:p>
    <w:p w14:paraId="135CC857" w14:textId="4B04749B" w:rsidR="00E82E66" w:rsidRDefault="00E82E66" w:rsidP="00E82E66">
      <w:pPr>
        <w:spacing w:after="0" w:line="360" w:lineRule="auto"/>
      </w:pPr>
    </w:p>
    <w:p w14:paraId="697E6F58" w14:textId="71E21504" w:rsidR="00E82E66" w:rsidRPr="005D37BE" w:rsidRDefault="00E82E66" w:rsidP="00E82E66">
      <w:pPr>
        <w:spacing w:after="0" w:line="360" w:lineRule="auto"/>
      </w:pPr>
    </w:p>
    <w:p w14:paraId="32827696" w14:textId="3ED7CCF7" w:rsidR="00E82E66" w:rsidRPr="005D37BE" w:rsidRDefault="00E82E66" w:rsidP="00E82E66">
      <w:pPr>
        <w:spacing w:after="0" w:line="360" w:lineRule="auto"/>
      </w:pPr>
    </w:p>
    <w:p w14:paraId="520C1662" w14:textId="77777777" w:rsidR="00E82E66" w:rsidRPr="005D37BE" w:rsidRDefault="00E82E66" w:rsidP="00E82E66">
      <w:pPr>
        <w:spacing w:after="0" w:line="360" w:lineRule="auto"/>
      </w:pPr>
    </w:p>
    <w:p w14:paraId="34C388CA" w14:textId="77777777" w:rsidR="00E82E66" w:rsidRPr="005D37BE" w:rsidRDefault="00E82E66" w:rsidP="00E82E66">
      <w:pPr>
        <w:spacing w:after="0" w:line="360" w:lineRule="auto"/>
      </w:pPr>
    </w:p>
    <w:p w14:paraId="15637D99" w14:textId="77777777" w:rsidR="00E82E66" w:rsidRDefault="00E82E66" w:rsidP="00E82E66">
      <w:pPr>
        <w:tabs>
          <w:tab w:val="left" w:pos="7938"/>
        </w:tabs>
        <w:spacing w:after="0" w:line="360" w:lineRule="auto"/>
      </w:pPr>
      <w:r>
        <w:rPr>
          <w:noProof/>
        </w:rPr>
        <w:drawing>
          <wp:anchor distT="0" distB="0" distL="114300" distR="114300" simplePos="0" relativeHeight="251890688" behindDoc="0" locked="0" layoutInCell="1" allowOverlap="1" wp14:anchorId="33C0CD8A" wp14:editId="069A047F">
            <wp:simplePos x="0" y="0"/>
            <wp:positionH relativeFrom="column">
              <wp:posOffset>2121535</wp:posOffset>
            </wp:positionH>
            <wp:positionV relativeFrom="paragraph">
              <wp:posOffset>17780</wp:posOffset>
            </wp:positionV>
            <wp:extent cx="3931920" cy="3057525"/>
            <wp:effectExtent l="0" t="0" r="0" b="9525"/>
            <wp:wrapSquare wrapText="bothSides"/>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3">
                      <a:extLst>
                        <a:ext uri="{28A0092B-C50C-407E-A947-70E740481C1C}">
                          <a14:useLocalDpi xmlns:a14="http://schemas.microsoft.com/office/drawing/2010/main" val="0"/>
                        </a:ext>
                      </a:extLst>
                    </a:blip>
                    <a:srcRect t="4580" r="4775"/>
                    <a:stretch/>
                  </pic:blipFill>
                  <pic:spPr bwMode="auto">
                    <a:xfrm>
                      <a:off x="0" y="0"/>
                      <a:ext cx="3931920" cy="3057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D608F0" w14:textId="77777777" w:rsidR="00E82E66" w:rsidRDefault="00E82E66" w:rsidP="00E82E66">
      <w:pPr>
        <w:spacing w:after="0" w:line="240" w:lineRule="auto"/>
      </w:pPr>
      <w:r w:rsidRPr="005D37BE">
        <w:rPr>
          <w:color w:val="7F7F7F" w:themeColor="text1" w:themeTint="80"/>
          <w:sz w:val="20"/>
          <w:szCs w:val="20"/>
        </w:rPr>
        <w:t>Median income levels by employment status and level, by gender: Greater Dandenong, 20</w:t>
      </w:r>
      <w:r>
        <w:rPr>
          <w:color w:val="7F7F7F" w:themeColor="text1" w:themeTint="80"/>
          <w:sz w:val="20"/>
          <w:szCs w:val="20"/>
        </w:rPr>
        <w:t>21</w:t>
      </w:r>
    </w:p>
    <w:p w14:paraId="42219510" w14:textId="77777777" w:rsidR="00E82E66" w:rsidRDefault="00E82E66" w:rsidP="00E82E66">
      <w:pPr>
        <w:spacing w:after="0" w:line="360" w:lineRule="auto"/>
      </w:pPr>
      <w:r w:rsidRPr="005D37BE">
        <w:rPr>
          <w:noProof/>
          <w:lang w:eastAsia="en-AU"/>
        </w:rPr>
        <mc:AlternateContent>
          <mc:Choice Requires="wps">
            <w:drawing>
              <wp:anchor distT="0" distB="0" distL="114300" distR="114300" simplePos="0" relativeHeight="251851776" behindDoc="0" locked="0" layoutInCell="1" allowOverlap="1" wp14:anchorId="5DAB3C0D" wp14:editId="0D2B963E">
                <wp:simplePos x="0" y="0"/>
                <wp:positionH relativeFrom="column">
                  <wp:posOffset>-58102</wp:posOffset>
                </wp:positionH>
                <wp:positionV relativeFrom="paragraph">
                  <wp:posOffset>24448</wp:posOffset>
                </wp:positionV>
                <wp:extent cx="2209800" cy="2400300"/>
                <wp:effectExtent l="0" t="0" r="0" b="0"/>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2400300"/>
                        </a:xfrm>
                        <a:prstGeom prst="rect">
                          <a:avLst/>
                        </a:prstGeom>
                        <a:noFill/>
                        <a:ln w="9525">
                          <a:noFill/>
                          <a:miter lim="800000"/>
                          <a:headEnd/>
                          <a:tailEnd/>
                        </a:ln>
                      </wps:spPr>
                      <wps:txbx>
                        <w:txbxContent>
                          <w:p w14:paraId="4FF045A5" w14:textId="77777777" w:rsidR="00E82E66" w:rsidRDefault="00E82E66" w:rsidP="00E82E66">
                            <w:pPr>
                              <w:jc w:val="both"/>
                              <w:rPr>
                                <w:sz w:val="20"/>
                                <w:szCs w:val="20"/>
                              </w:rPr>
                            </w:pPr>
                            <w:r>
                              <w:rPr>
                                <w:sz w:val="20"/>
                                <w:szCs w:val="20"/>
                              </w:rPr>
                              <w:t>T</w:t>
                            </w:r>
                            <w:r w:rsidRPr="001176C0">
                              <w:rPr>
                                <w:sz w:val="20"/>
                                <w:szCs w:val="20"/>
                              </w:rPr>
                              <w:t xml:space="preserve">he income gap between women and men was lower among </w:t>
                            </w:r>
                            <w:r>
                              <w:rPr>
                                <w:sz w:val="20"/>
                                <w:szCs w:val="20"/>
                              </w:rPr>
                              <w:t>those</w:t>
                            </w:r>
                            <w:r w:rsidRPr="001176C0">
                              <w:rPr>
                                <w:sz w:val="20"/>
                                <w:szCs w:val="20"/>
                              </w:rPr>
                              <w:t xml:space="preserve"> in paid employment, and </w:t>
                            </w:r>
                            <w:r>
                              <w:rPr>
                                <w:sz w:val="20"/>
                                <w:szCs w:val="20"/>
                              </w:rPr>
                              <w:t>less</w:t>
                            </w:r>
                            <w:r w:rsidRPr="001176C0">
                              <w:rPr>
                                <w:sz w:val="20"/>
                                <w:szCs w:val="20"/>
                              </w:rPr>
                              <w:t xml:space="preserve"> among those in full-time work. The difference between women’s and men’s </w:t>
                            </w:r>
                            <w:r w:rsidRPr="00C87290">
                              <w:rPr>
                                <w:i/>
                                <w:iCs/>
                                <w:sz w:val="20"/>
                                <w:szCs w:val="20"/>
                              </w:rPr>
                              <w:t>hourly</w:t>
                            </w:r>
                            <w:r w:rsidRPr="001176C0">
                              <w:rPr>
                                <w:sz w:val="20"/>
                                <w:szCs w:val="20"/>
                              </w:rPr>
                              <w:t xml:space="preserve"> income was</w:t>
                            </w:r>
                            <w:r>
                              <w:rPr>
                                <w:sz w:val="20"/>
                                <w:szCs w:val="20"/>
                              </w:rPr>
                              <w:t xml:space="preserve"> smaller still, at</w:t>
                            </w:r>
                            <w:r w:rsidRPr="001176C0">
                              <w:rPr>
                                <w:sz w:val="20"/>
                                <w:szCs w:val="20"/>
                              </w:rPr>
                              <w:t xml:space="preserve"> </w:t>
                            </w:r>
                            <w:r>
                              <w:rPr>
                                <w:sz w:val="20"/>
                                <w:szCs w:val="20"/>
                              </w:rPr>
                              <w:t>4.7</w:t>
                            </w:r>
                            <w:r w:rsidRPr="001176C0">
                              <w:rPr>
                                <w:sz w:val="20"/>
                                <w:szCs w:val="20"/>
                              </w:rPr>
                              <w:t xml:space="preserve">%. </w:t>
                            </w:r>
                          </w:p>
                          <w:p w14:paraId="4FACADB2" w14:textId="77777777" w:rsidR="00E82E66" w:rsidRPr="001176C0" w:rsidRDefault="00E82E66" w:rsidP="00E82E66">
                            <w:pPr>
                              <w:jc w:val="both"/>
                              <w:rPr>
                                <w:sz w:val="20"/>
                                <w:szCs w:val="20"/>
                              </w:rPr>
                            </w:pPr>
                            <w:r w:rsidRPr="001176C0">
                              <w:rPr>
                                <w:sz w:val="20"/>
                                <w:szCs w:val="20"/>
                              </w:rPr>
                              <w:t xml:space="preserve">These findings </w:t>
                            </w:r>
                            <w:r>
                              <w:rPr>
                                <w:sz w:val="20"/>
                                <w:szCs w:val="20"/>
                              </w:rPr>
                              <w:t>confirm</w:t>
                            </w:r>
                            <w:r w:rsidRPr="001176C0">
                              <w:rPr>
                                <w:sz w:val="20"/>
                                <w:szCs w:val="20"/>
                              </w:rPr>
                              <w:t xml:space="preserve"> that </w:t>
                            </w:r>
                            <w:r>
                              <w:rPr>
                                <w:sz w:val="20"/>
                                <w:szCs w:val="20"/>
                              </w:rPr>
                              <w:t>income differences between women and men</w:t>
                            </w:r>
                            <w:r w:rsidRPr="001176C0">
                              <w:rPr>
                                <w:sz w:val="20"/>
                                <w:szCs w:val="20"/>
                              </w:rPr>
                              <w:t xml:space="preserve"> are due largely to the lesser proportion of women who hold paid employment, and the lower percentage of those in paid work who are employed full-time</w:t>
                            </w:r>
                            <w:r>
                              <w:rPr>
                                <w:sz w:val="20"/>
                                <w:szCs w:val="20"/>
                              </w:rPr>
                              <w:t xml:space="preserve"> – conditions largely related to child-rearing responsibilities.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DAB3C0D" id="_x0000_s1033" type="#_x0000_t202" style="position:absolute;margin-left:-4.55pt;margin-top:1.95pt;width:174pt;height:189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C+Q+wEAANUDAAAOAAAAZHJzL2Uyb0RvYy54bWysU9tu2zAMfR+wfxD0vtjxkrUxohRduw4D&#10;ugvQ7gMUWY6FSaImKbGzry8lu2mwvg3zg0Ca4iHPIbW+GowmB+mDAsvofFZSIq2ARtkdoz8f795d&#10;UhIitw3XYCWjRxno1ebtm3XvallBB7qRniCIDXXvGO1idHVRBNFJw8MMnLQYbMEbHtH1u6LxvEd0&#10;o4uqLD8UPfjGeRAyBPx7OwbpJuO3rRTxe9sGGYlmFHuL+fT53Kaz2Kx5vfPcdUpMbfB/6MJwZbHo&#10;CeqWR072Xr2CMkp4CNDGmQBTQNsqITMHZDMv/2Lz0HEnMxcUJ7iTTOH/wYpvhwf3w5M4fIQBB5hJ&#10;BHcP4lcgFm46bnfy2nvoO8kbLDxPkhW9C/WUmqQOdUgg2/4rNDhkvo+QgYbWm6QK8iSIjgM4nkSX&#10;QyQCf1ZVubosMSQwVi3K8j06qQavn9OdD/GzBEOSwajHqWZ4frgPcbz6fCVVs3CntM6T1Zb0jK6W&#10;1TInnEWMirh4WhlGsTp+4yoklp9sk5MjV3q0sRdtJ9qJ6cg5DtuBqIbRi5SbVNhCc0QdPIx7hu8C&#10;jQ78H0p63DFGw+8995IS/cWilqv5YpGWMjuL5UWFjj+PbM8j3AqEYjRSMpo3MS/ySPkaNW9VVuOl&#10;k6ll3J2s57TnaTnP/Xzr5TVungAAAP//AwBQSwMEFAAGAAgAAAAhAAn7M1/dAAAACAEAAA8AAABk&#10;cnMvZG93bnJldi54bWxMj81OwzAQhO9IfQdrK3Fr7TSAkhCnqkBcQZQfiZsbb5OIeB3FbhPenuVE&#10;b7Oa0ew35XZ2vTjjGDpPGpK1AoFUe9tRo+H97WmVgQjRkDW9J9TwgwG21eKqNIX1E73ieR8bwSUU&#10;CqOhjXEopAx1i86EtR+Q2Dv60ZnI59hIO5qJy10vN0rdSWc64g+tGfChxfp7f3IaPp6PX5836qV5&#10;dLfD5GclyeVS6+vlvLsHEXGO/2H4w2d0qJjp4E9kg+g1rPKEkxrSHATbaZqxOLDIkhxkVcrLAdUv&#10;AAAA//8DAFBLAQItABQABgAIAAAAIQC2gziS/gAAAOEBAAATAAAAAAAAAAAAAAAAAAAAAABbQ29u&#10;dGVudF9UeXBlc10ueG1sUEsBAi0AFAAGAAgAAAAhADj9If/WAAAAlAEAAAsAAAAAAAAAAAAAAAAA&#10;LwEAAF9yZWxzLy5yZWxzUEsBAi0AFAAGAAgAAAAhAJ1UL5D7AQAA1QMAAA4AAAAAAAAAAAAAAAAA&#10;LgIAAGRycy9lMm9Eb2MueG1sUEsBAi0AFAAGAAgAAAAhAAn7M1/dAAAACAEAAA8AAAAAAAAAAAAA&#10;AAAAVQQAAGRycy9kb3ducmV2LnhtbFBLBQYAAAAABAAEAPMAAABfBQAAAAA=&#10;" filled="f" stroked="f">
                <v:textbox>
                  <w:txbxContent>
                    <w:p w14:paraId="4FF045A5" w14:textId="77777777" w:rsidR="00E82E66" w:rsidRDefault="00E82E66" w:rsidP="00E82E66">
                      <w:pPr>
                        <w:jc w:val="both"/>
                        <w:rPr>
                          <w:sz w:val="20"/>
                          <w:szCs w:val="20"/>
                        </w:rPr>
                      </w:pPr>
                      <w:r>
                        <w:rPr>
                          <w:sz w:val="20"/>
                          <w:szCs w:val="20"/>
                        </w:rPr>
                        <w:t>T</w:t>
                      </w:r>
                      <w:r w:rsidRPr="001176C0">
                        <w:rPr>
                          <w:sz w:val="20"/>
                          <w:szCs w:val="20"/>
                        </w:rPr>
                        <w:t xml:space="preserve">he income gap between women and men was lower among </w:t>
                      </w:r>
                      <w:r>
                        <w:rPr>
                          <w:sz w:val="20"/>
                          <w:szCs w:val="20"/>
                        </w:rPr>
                        <w:t>those</w:t>
                      </w:r>
                      <w:r w:rsidRPr="001176C0">
                        <w:rPr>
                          <w:sz w:val="20"/>
                          <w:szCs w:val="20"/>
                        </w:rPr>
                        <w:t xml:space="preserve"> in paid employment, and </w:t>
                      </w:r>
                      <w:r>
                        <w:rPr>
                          <w:sz w:val="20"/>
                          <w:szCs w:val="20"/>
                        </w:rPr>
                        <w:t>less</w:t>
                      </w:r>
                      <w:r w:rsidRPr="001176C0">
                        <w:rPr>
                          <w:sz w:val="20"/>
                          <w:szCs w:val="20"/>
                        </w:rPr>
                        <w:t xml:space="preserve"> among those in full-time work. The difference between women’s and men’s </w:t>
                      </w:r>
                      <w:r w:rsidRPr="00C87290">
                        <w:rPr>
                          <w:i/>
                          <w:iCs/>
                          <w:sz w:val="20"/>
                          <w:szCs w:val="20"/>
                        </w:rPr>
                        <w:t>hourly</w:t>
                      </w:r>
                      <w:r w:rsidRPr="001176C0">
                        <w:rPr>
                          <w:sz w:val="20"/>
                          <w:szCs w:val="20"/>
                        </w:rPr>
                        <w:t xml:space="preserve"> income was</w:t>
                      </w:r>
                      <w:r>
                        <w:rPr>
                          <w:sz w:val="20"/>
                          <w:szCs w:val="20"/>
                        </w:rPr>
                        <w:t xml:space="preserve"> smaller still, at</w:t>
                      </w:r>
                      <w:r w:rsidRPr="001176C0">
                        <w:rPr>
                          <w:sz w:val="20"/>
                          <w:szCs w:val="20"/>
                        </w:rPr>
                        <w:t xml:space="preserve"> </w:t>
                      </w:r>
                      <w:r>
                        <w:rPr>
                          <w:sz w:val="20"/>
                          <w:szCs w:val="20"/>
                        </w:rPr>
                        <w:t>4.7</w:t>
                      </w:r>
                      <w:r w:rsidRPr="001176C0">
                        <w:rPr>
                          <w:sz w:val="20"/>
                          <w:szCs w:val="20"/>
                        </w:rPr>
                        <w:t xml:space="preserve">%. </w:t>
                      </w:r>
                    </w:p>
                    <w:p w14:paraId="4FACADB2" w14:textId="77777777" w:rsidR="00E82E66" w:rsidRPr="001176C0" w:rsidRDefault="00E82E66" w:rsidP="00E82E66">
                      <w:pPr>
                        <w:jc w:val="both"/>
                        <w:rPr>
                          <w:sz w:val="20"/>
                          <w:szCs w:val="20"/>
                        </w:rPr>
                      </w:pPr>
                      <w:r w:rsidRPr="001176C0">
                        <w:rPr>
                          <w:sz w:val="20"/>
                          <w:szCs w:val="20"/>
                        </w:rPr>
                        <w:t xml:space="preserve">These findings </w:t>
                      </w:r>
                      <w:r>
                        <w:rPr>
                          <w:sz w:val="20"/>
                          <w:szCs w:val="20"/>
                        </w:rPr>
                        <w:t>confirm</w:t>
                      </w:r>
                      <w:r w:rsidRPr="001176C0">
                        <w:rPr>
                          <w:sz w:val="20"/>
                          <w:szCs w:val="20"/>
                        </w:rPr>
                        <w:t xml:space="preserve"> that </w:t>
                      </w:r>
                      <w:r>
                        <w:rPr>
                          <w:sz w:val="20"/>
                          <w:szCs w:val="20"/>
                        </w:rPr>
                        <w:t>income differences between women and men</w:t>
                      </w:r>
                      <w:r w:rsidRPr="001176C0">
                        <w:rPr>
                          <w:sz w:val="20"/>
                          <w:szCs w:val="20"/>
                        </w:rPr>
                        <w:t xml:space="preserve"> are due largely to the lesser proportion of women who hold paid employment, and the lower percentage of those in paid work who are employed full-time</w:t>
                      </w:r>
                      <w:r>
                        <w:rPr>
                          <w:sz w:val="20"/>
                          <w:szCs w:val="20"/>
                        </w:rPr>
                        <w:t xml:space="preserve"> – conditions largely related to child-rearing responsibilities.</w:t>
                      </w:r>
                    </w:p>
                  </w:txbxContent>
                </v:textbox>
              </v:shape>
            </w:pict>
          </mc:Fallback>
        </mc:AlternateContent>
      </w:r>
    </w:p>
    <w:p w14:paraId="1D60514B" w14:textId="77777777" w:rsidR="00E82E66" w:rsidRPr="005D37BE" w:rsidRDefault="00E82E66" w:rsidP="00E82E66">
      <w:pPr>
        <w:spacing w:after="0" w:line="360" w:lineRule="auto"/>
      </w:pPr>
    </w:p>
    <w:p w14:paraId="131B72DB" w14:textId="77777777" w:rsidR="00E82E66" w:rsidRPr="005D37BE" w:rsidRDefault="00E82E66" w:rsidP="00E82E66">
      <w:pPr>
        <w:spacing w:after="0" w:line="360" w:lineRule="auto"/>
      </w:pPr>
    </w:p>
    <w:p w14:paraId="1F11EF69" w14:textId="77777777" w:rsidR="00E82E66" w:rsidRPr="005D37BE" w:rsidRDefault="00E82E66" w:rsidP="00E82E66">
      <w:pPr>
        <w:spacing w:after="0" w:line="360" w:lineRule="auto"/>
        <w:rPr>
          <w:color w:val="7F7F7F" w:themeColor="text1" w:themeTint="80"/>
          <w:sz w:val="20"/>
          <w:szCs w:val="20"/>
        </w:rPr>
      </w:pPr>
      <w:r w:rsidRPr="005D37BE">
        <w:rPr>
          <w:color w:val="7F7F7F" w:themeColor="text1" w:themeTint="80"/>
          <w:sz w:val="20"/>
          <w:szCs w:val="20"/>
        </w:rPr>
        <w:t>.</w:t>
      </w:r>
      <w:r w:rsidRPr="005D37BE">
        <w:rPr>
          <w:noProof/>
          <w:lang w:eastAsia="en-AU"/>
        </w:rPr>
        <w:t xml:space="preserve"> </w:t>
      </w:r>
    </w:p>
    <w:p w14:paraId="0E1A5D4C" w14:textId="77777777" w:rsidR="00E82E66" w:rsidRPr="005D37BE" w:rsidRDefault="00E82E66" w:rsidP="00E82E66">
      <w:pPr>
        <w:spacing w:after="0" w:line="360" w:lineRule="auto"/>
      </w:pPr>
    </w:p>
    <w:p w14:paraId="2479F165" w14:textId="77777777" w:rsidR="00E82E66" w:rsidRPr="005D37BE" w:rsidRDefault="00E82E66" w:rsidP="00E82E66">
      <w:pPr>
        <w:spacing w:after="0" w:line="360" w:lineRule="auto"/>
      </w:pPr>
    </w:p>
    <w:p w14:paraId="752E7FC9" w14:textId="77777777" w:rsidR="00E82E66" w:rsidRPr="005D37BE" w:rsidRDefault="00E82E66" w:rsidP="00E82E66">
      <w:pPr>
        <w:spacing w:after="0" w:line="360" w:lineRule="auto"/>
      </w:pPr>
    </w:p>
    <w:p w14:paraId="13E948E5" w14:textId="77777777" w:rsidR="00E82E66" w:rsidRPr="005D37BE" w:rsidRDefault="00E82E66" w:rsidP="00E82E66">
      <w:pPr>
        <w:spacing w:after="0" w:line="360" w:lineRule="auto"/>
      </w:pPr>
    </w:p>
    <w:p w14:paraId="779E2ADE" w14:textId="77777777" w:rsidR="00E82E66" w:rsidRPr="005D37BE" w:rsidRDefault="00E82E66" w:rsidP="00E82E66">
      <w:pPr>
        <w:spacing w:after="0" w:line="360" w:lineRule="auto"/>
      </w:pPr>
    </w:p>
    <w:p w14:paraId="09DF70E7" w14:textId="77777777" w:rsidR="00E82E66" w:rsidRDefault="00E82E66" w:rsidP="00E82E66">
      <w:pPr>
        <w:spacing w:after="0" w:line="360" w:lineRule="auto"/>
      </w:pPr>
    </w:p>
    <w:p w14:paraId="1CC8363B" w14:textId="77777777" w:rsidR="00E82E66" w:rsidRPr="005D37BE" w:rsidRDefault="00E82E66" w:rsidP="00E82E66">
      <w:pPr>
        <w:spacing w:after="0" w:line="240" w:lineRule="auto"/>
        <w:rPr>
          <w:color w:val="7F7F7F" w:themeColor="text1" w:themeTint="80"/>
          <w:sz w:val="20"/>
          <w:szCs w:val="20"/>
        </w:rPr>
      </w:pPr>
      <w:r>
        <w:rPr>
          <w:rFonts w:ascii="Calibri" w:hAnsi="Calibri"/>
          <w:b/>
          <w:noProof/>
          <w:color w:val="000000" w:themeColor="text1"/>
        </w:rPr>
        <w:lastRenderedPageBreak/>
        <w:drawing>
          <wp:anchor distT="0" distB="0" distL="114300" distR="114300" simplePos="0" relativeHeight="251892736" behindDoc="0" locked="0" layoutInCell="1" allowOverlap="1" wp14:anchorId="5C2F81FE" wp14:editId="259AD354">
            <wp:simplePos x="0" y="0"/>
            <wp:positionH relativeFrom="column">
              <wp:posOffset>-1270</wp:posOffset>
            </wp:positionH>
            <wp:positionV relativeFrom="paragraph">
              <wp:posOffset>3175</wp:posOffset>
            </wp:positionV>
            <wp:extent cx="4173855" cy="2728595"/>
            <wp:effectExtent l="0" t="0" r="0" b="0"/>
            <wp:wrapSquare wrapText="bothSides"/>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173855" cy="2728595"/>
                    </a:xfrm>
                    <a:prstGeom prst="rect">
                      <a:avLst/>
                    </a:prstGeom>
                    <a:noFill/>
                  </pic:spPr>
                </pic:pic>
              </a:graphicData>
            </a:graphic>
            <wp14:sizeRelH relativeFrom="page">
              <wp14:pctWidth>0</wp14:pctWidth>
            </wp14:sizeRelH>
            <wp14:sizeRelV relativeFrom="page">
              <wp14:pctHeight>0</wp14:pctHeight>
            </wp14:sizeRelV>
          </wp:anchor>
        </w:drawing>
      </w:r>
      <w:r w:rsidRPr="005D37BE">
        <w:rPr>
          <w:color w:val="7F7F7F" w:themeColor="text1" w:themeTint="80"/>
          <w:sz w:val="20"/>
          <w:szCs w:val="20"/>
        </w:rPr>
        <w:t xml:space="preserve">Disparity between men’s and women’s </w:t>
      </w:r>
      <w:r>
        <w:rPr>
          <w:color w:val="7F7F7F" w:themeColor="text1" w:themeTint="80"/>
          <w:sz w:val="20"/>
          <w:szCs w:val="20"/>
        </w:rPr>
        <w:t>hourly incomes</w:t>
      </w:r>
      <w:r w:rsidRPr="005D37BE">
        <w:rPr>
          <w:color w:val="7F7F7F" w:themeColor="text1" w:themeTint="80"/>
          <w:sz w:val="20"/>
          <w:szCs w:val="20"/>
        </w:rPr>
        <w:t>, Victoria, 20</w:t>
      </w:r>
      <w:r>
        <w:rPr>
          <w:color w:val="7F7F7F" w:themeColor="text1" w:themeTint="80"/>
          <w:sz w:val="20"/>
          <w:szCs w:val="20"/>
        </w:rPr>
        <w:t>21</w:t>
      </w:r>
    </w:p>
    <w:p w14:paraId="47D53DF7" w14:textId="77777777" w:rsidR="00E82E66" w:rsidRPr="005D37BE" w:rsidRDefault="00E82E66" w:rsidP="00E82E66">
      <w:pPr>
        <w:spacing w:after="0" w:line="360" w:lineRule="auto"/>
      </w:pPr>
    </w:p>
    <w:p w14:paraId="5AB6FFF9" w14:textId="77777777" w:rsidR="00E82E66" w:rsidRPr="005D37BE" w:rsidRDefault="00E82E66" w:rsidP="00E82E66">
      <w:pPr>
        <w:spacing w:after="0" w:line="360" w:lineRule="auto"/>
      </w:pPr>
    </w:p>
    <w:p w14:paraId="3986EC18" w14:textId="77777777" w:rsidR="00E82E66" w:rsidRPr="005D37BE" w:rsidRDefault="00E82E66" w:rsidP="00E82E66">
      <w:pPr>
        <w:spacing w:after="0" w:line="360" w:lineRule="auto"/>
      </w:pPr>
      <w:r w:rsidRPr="005D37BE">
        <w:rPr>
          <w:noProof/>
          <w:lang w:eastAsia="en-AU"/>
        </w:rPr>
        <mc:AlternateContent>
          <mc:Choice Requires="wps">
            <w:drawing>
              <wp:anchor distT="0" distB="0" distL="114300" distR="114300" simplePos="0" relativeHeight="251857920" behindDoc="0" locked="0" layoutInCell="1" allowOverlap="1" wp14:anchorId="3FAA0021" wp14:editId="77D3B7D2">
                <wp:simplePos x="0" y="0"/>
                <wp:positionH relativeFrom="column">
                  <wp:posOffset>26988</wp:posOffset>
                </wp:positionH>
                <wp:positionV relativeFrom="paragraph">
                  <wp:posOffset>38418</wp:posOffset>
                </wp:positionV>
                <wp:extent cx="1905000" cy="1557337"/>
                <wp:effectExtent l="0" t="0" r="0" b="5080"/>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557337"/>
                        </a:xfrm>
                        <a:prstGeom prst="rect">
                          <a:avLst/>
                        </a:prstGeom>
                        <a:noFill/>
                        <a:ln w="9525">
                          <a:noFill/>
                          <a:miter lim="800000"/>
                          <a:headEnd/>
                          <a:tailEnd/>
                        </a:ln>
                      </wps:spPr>
                      <wps:txbx>
                        <w:txbxContent>
                          <w:p w14:paraId="75FCCEE4" w14:textId="77777777" w:rsidR="00E82E66" w:rsidRPr="00C25EFC" w:rsidRDefault="00E82E66" w:rsidP="00E82E66">
                            <w:pPr>
                              <w:jc w:val="both"/>
                              <w:rPr>
                                <w:sz w:val="20"/>
                                <w:szCs w:val="20"/>
                              </w:rPr>
                            </w:pPr>
                            <w:r w:rsidRPr="00C25EFC">
                              <w:rPr>
                                <w:sz w:val="20"/>
                                <w:szCs w:val="20"/>
                              </w:rPr>
                              <w:t>The 20</w:t>
                            </w:r>
                            <w:r>
                              <w:rPr>
                                <w:sz w:val="20"/>
                                <w:szCs w:val="20"/>
                              </w:rPr>
                              <w:t>21</w:t>
                            </w:r>
                            <w:r w:rsidRPr="00C25EFC">
                              <w:rPr>
                                <w:sz w:val="20"/>
                                <w:szCs w:val="20"/>
                              </w:rPr>
                              <w:t xml:space="preserve"> Census also showed that the disparity</w:t>
                            </w:r>
                            <w:r>
                              <w:rPr>
                                <w:sz w:val="20"/>
                                <w:szCs w:val="20"/>
                              </w:rPr>
                              <w:t xml:space="preserve"> in hourly income</w:t>
                            </w:r>
                            <w:r w:rsidRPr="00C25EFC">
                              <w:rPr>
                                <w:sz w:val="20"/>
                                <w:szCs w:val="20"/>
                              </w:rPr>
                              <w:t xml:space="preserve"> between women and men </w:t>
                            </w:r>
                            <w:r>
                              <w:rPr>
                                <w:sz w:val="20"/>
                                <w:szCs w:val="20"/>
                              </w:rPr>
                              <w:t>is</w:t>
                            </w:r>
                            <w:r w:rsidRPr="00C25EFC">
                              <w:rPr>
                                <w:sz w:val="20"/>
                                <w:szCs w:val="20"/>
                              </w:rPr>
                              <w:t xml:space="preserve"> higher </w:t>
                            </w:r>
                            <w:r>
                              <w:rPr>
                                <w:sz w:val="20"/>
                                <w:szCs w:val="20"/>
                              </w:rPr>
                              <w:t>older</w:t>
                            </w:r>
                            <w:r w:rsidRPr="00C25EFC">
                              <w:rPr>
                                <w:sz w:val="20"/>
                                <w:szCs w:val="20"/>
                              </w:rPr>
                              <w:t xml:space="preserve"> women </w:t>
                            </w:r>
                            <w:r>
                              <w:rPr>
                                <w:sz w:val="20"/>
                                <w:szCs w:val="20"/>
                              </w:rPr>
                              <w:t>and lowest among young women – suggesting a trend towards increased pay equity among women who have more recently entered paid employment</w:t>
                            </w:r>
                            <w:r w:rsidRPr="00C25EFC">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FAA0021" id="_x0000_s1034" type="#_x0000_t202" style="position:absolute;margin-left:2.15pt;margin-top:3.05pt;width:150pt;height:122.6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PuV/AEAANUDAAAOAAAAZHJzL2Uyb0RvYy54bWysU8tu2zAQvBfoPxC815Icq44Fy0GaNEWB&#10;9AGk/QCKoiyiJJclaUvu13dJKY7R3opeiKWWO7szO9rejFqRo3BegqlpscgpEYZDK82+pt+/Pby5&#10;psQHZlqmwIianoSnN7vXr7aDrcQSelCtcARBjK8GW9M+BFtlmee90MwvwAqDyQ6cZgGvbp+1jg2I&#10;rlW2zPO32QCutQ648B6/3k9Jukv4XSd4+NJ1XgSiaoqzhXS6dDbxzHZbVu0ds73k8xjsH6bQTBps&#10;eoa6Z4GRg5N/QWnJHXjowoKDzqDrJBeJA7Ip8j/YPPXMisQFxfH2LJP/f7D88/HJfnUkjO9gxAUm&#10;Et4+Av/hiYG7npm9uHUOhl6wFhsXUbJssL6aS6PUvvIRpBk+QYtLZocACWjsnI6qIE+C6LiA01l0&#10;MQbCY8tNXuY5pjjmirJcX12tUw9WPZdb58MHAZrEoKYOt5rg2fHRhzgOq56fxG4GHqRSabPKkKGm&#10;m3JZpoKLjJYBjaekruk1tscBUkFk+d60KQ5MqinGBsrMtCPTiXMYm5HIFgFibVShgfaEOjiYfIb/&#10;BQY9uF+UDOixmvqfB+YEJeqjQS03xWoVTZkuq3K9xIu7zDSXGWY4QtU0UDKFdyEZeaJ8i5p3Mqnx&#10;Msk8MnoniTT7PJrz8p5evfyNu98AAAD//wMAUEsDBBQABgAIAAAAIQC1leGC2wAAAAcBAAAPAAAA&#10;ZHJzL2Rvd25yZXYueG1sTI7BbsIwEETvlfoP1iL1VuwQQG2aDapa9doK2iJxM/GSRMTrKDYk/fua&#10;ExxHM3rz8tVoW3Gm3jeOEZKpAkFcOtNwhfDz/fH4BMIHzUa3jgnhjzysivu7XGfGDbym8yZUIkLY&#10;ZxqhDqHLpPRlTVb7qeuIY3dwvdUhxr6SptdDhNtWzpRaSqsbjg+17uitpvK4OVmE38/DbjtXX9W7&#10;XXSDG5Vk+ywRHybj6wuIQGO4juGiH9WhiE57d2LjRYswT+MQYZmAiG2qLnmPMFskKcgil7f+xT8A&#10;AAD//wMAUEsBAi0AFAAGAAgAAAAhALaDOJL+AAAA4QEAABMAAAAAAAAAAAAAAAAAAAAAAFtDb250&#10;ZW50X1R5cGVzXS54bWxQSwECLQAUAAYACAAAACEAOP0h/9YAAACUAQAACwAAAAAAAAAAAAAAAAAv&#10;AQAAX3JlbHMvLnJlbHNQSwECLQAUAAYACAAAACEAttD7lfwBAADVAwAADgAAAAAAAAAAAAAAAAAu&#10;AgAAZHJzL2Uyb0RvYy54bWxQSwECLQAUAAYACAAAACEAtZXhgtsAAAAHAQAADwAAAAAAAAAAAAAA&#10;AABWBAAAZHJzL2Rvd25yZXYueG1sUEsFBgAAAAAEAAQA8wAAAF4FAAAAAA==&#10;" filled="f" stroked="f">
                <v:textbox>
                  <w:txbxContent>
                    <w:p w14:paraId="75FCCEE4" w14:textId="77777777" w:rsidR="00E82E66" w:rsidRPr="00C25EFC" w:rsidRDefault="00E82E66" w:rsidP="00E82E66">
                      <w:pPr>
                        <w:jc w:val="both"/>
                        <w:rPr>
                          <w:sz w:val="20"/>
                          <w:szCs w:val="20"/>
                        </w:rPr>
                      </w:pPr>
                      <w:r w:rsidRPr="00C25EFC">
                        <w:rPr>
                          <w:sz w:val="20"/>
                          <w:szCs w:val="20"/>
                        </w:rPr>
                        <w:t>The 20</w:t>
                      </w:r>
                      <w:r>
                        <w:rPr>
                          <w:sz w:val="20"/>
                          <w:szCs w:val="20"/>
                        </w:rPr>
                        <w:t>21</w:t>
                      </w:r>
                      <w:r w:rsidRPr="00C25EFC">
                        <w:rPr>
                          <w:sz w:val="20"/>
                          <w:szCs w:val="20"/>
                        </w:rPr>
                        <w:t xml:space="preserve"> Census also showed that the disparity</w:t>
                      </w:r>
                      <w:r>
                        <w:rPr>
                          <w:sz w:val="20"/>
                          <w:szCs w:val="20"/>
                        </w:rPr>
                        <w:t xml:space="preserve"> in hourly income</w:t>
                      </w:r>
                      <w:r w:rsidRPr="00C25EFC">
                        <w:rPr>
                          <w:sz w:val="20"/>
                          <w:szCs w:val="20"/>
                        </w:rPr>
                        <w:t xml:space="preserve"> between women and men </w:t>
                      </w:r>
                      <w:r>
                        <w:rPr>
                          <w:sz w:val="20"/>
                          <w:szCs w:val="20"/>
                        </w:rPr>
                        <w:t>is</w:t>
                      </w:r>
                      <w:r w:rsidRPr="00C25EFC">
                        <w:rPr>
                          <w:sz w:val="20"/>
                          <w:szCs w:val="20"/>
                        </w:rPr>
                        <w:t xml:space="preserve"> higher </w:t>
                      </w:r>
                      <w:r>
                        <w:rPr>
                          <w:sz w:val="20"/>
                          <w:szCs w:val="20"/>
                        </w:rPr>
                        <w:t>older</w:t>
                      </w:r>
                      <w:r w:rsidRPr="00C25EFC">
                        <w:rPr>
                          <w:sz w:val="20"/>
                          <w:szCs w:val="20"/>
                        </w:rPr>
                        <w:t xml:space="preserve"> women </w:t>
                      </w:r>
                      <w:r>
                        <w:rPr>
                          <w:sz w:val="20"/>
                          <w:szCs w:val="20"/>
                        </w:rPr>
                        <w:t>and lowest among young women – suggesting a trend towards increased pay equity among women who have more recently entered paid employment</w:t>
                      </w:r>
                      <w:r w:rsidRPr="00C25EFC">
                        <w:rPr>
                          <w:sz w:val="20"/>
                          <w:szCs w:val="20"/>
                        </w:rPr>
                        <w:t>.</w:t>
                      </w:r>
                    </w:p>
                  </w:txbxContent>
                </v:textbox>
              </v:shape>
            </w:pict>
          </mc:Fallback>
        </mc:AlternateContent>
      </w:r>
    </w:p>
    <w:p w14:paraId="081C1922" w14:textId="77777777" w:rsidR="00E82E66" w:rsidRPr="005D37BE" w:rsidRDefault="00E82E66" w:rsidP="00E82E66">
      <w:pPr>
        <w:spacing w:after="0" w:line="360" w:lineRule="auto"/>
      </w:pPr>
    </w:p>
    <w:p w14:paraId="38FCDA9C" w14:textId="77777777" w:rsidR="00E82E66" w:rsidRPr="005D37BE" w:rsidRDefault="00E82E66" w:rsidP="00E82E66">
      <w:pPr>
        <w:spacing w:after="0" w:line="360" w:lineRule="auto"/>
      </w:pPr>
    </w:p>
    <w:p w14:paraId="575B616C" w14:textId="77777777" w:rsidR="00E82E66" w:rsidRDefault="00E82E66" w:rsidP="00E82E66">
      <w:pPr>
        <w:spacing w:after="0" w:line="360" w:lineRule="auto"/>
      </w:pPr>
    </w:p>
    <w:p w14:paraId="67B54266" w14:textId="77777777" w:rsidR="00E82E66" w:rsidRDefault="00E82E66" w:rsidP="00E82E66">
      <w:pPr>
        <w:spacing w:after="0" w:line="360" w:lineRule="auto"/>
      </w:pPr>
    </w:p>
    <w:p w14:paraId="2FC13EEA" w14:textId="77777777" w:rsidR="00E82E66" w:rsidRDefault="00E82E66" w:rsidP="00E82E66">
      <w:pPr>
        <w:spacing w:after="0" w:line="360" w:lineRule="auto"/>
      </w:pPr>
    </w:p>
    <w:p w14:paraId="23975427" w14:textId="77777777" w:rsidR="00E82E66" w:rsidRDefault="00E82E66" w:rsidP="00E82E66">
      <w:pPr>
        <w:spacing w:after="0" w:line="360" w:lineRule="auto"/>
      </w:pPr>
    </w:p>
    <w:p w14:paraId="6F7D5F65" w14:textId="4CD85CF1" w:rsidR="00E82E66" w:rsidRDefault="00E82E66" w:rsidP="00E82E66">
      <w:pPr>
        <w:spacing w:after="0" w:line="360" w:lineRule="auto"/>
      </w:pPr>
      <w:r>
        <w:rPr>
          <w:b/>
          <w:noProof/>
          <w:color w:val="222A35" w:themeColor="text2" w:themeShade="80"/>
          <w:sz w:val="26"/>
          <w:szCs w:val="26"/>
        </w:rPr>
        <w:drawing>
          <wp:anchor distT="0" distB="0" distL="114300" distR="114300" simplePos="0" relativeHeight="251848704" behindDoc="0" locked="0" layoutInCell="1" allowOverlap="1" wp14:anchorId="103FD839" wp14:editId="7736261C">
            <wp:simplePos x="0" y="0"/>
            <wp:positionH relativeFrom="column">
              <wp:posOffset>2435225</wp:posOffset>
            </wp:positionH>
            <wp:positionV relativeFrom="paragraph">
              <wp:posOffset>145183</wp:posOffset>
            </wp:positionV>
            <wp:extent cx="3644900" cy="2562225"/>
            <wp:effectExtent l="0" t="0" r="0" b="9525"/>
            <wp:wrapSquare wrapText="bothSides"/>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644900" cy="2562225"/>
                    </a:xfrm>
                    <a:prstGeom prst="rect">
                      <a:avLst/>
                    </a:prstGeom>
                    <a:noFill/>
                  </pic:spPr>
                </pic:pic>
              </a:graphicData>
            </a:graphic>
            <wp14:sizeRelH relativeFrom="page">
              <wp14:pctWidth>0</wp14:pctWidth>
            </wp14:sizeRelH>
            <wp14:sizeRelV relativeFrom="page">
              <wp14:pctHeight>0</wp14:pctHeight>
            </wp14:sizeRelV>
          </wp:anchor>
        </w:drawing>
      </w:r>
    </w:p>
    <w:p w14:paraId="37C18E24" w14:textId="77777777" w:rsidR="00E82E66" w:rsidRDefault="00E82E66" w:rsidP="00E82E66">
      <w:pPr>
        <w:spacing w:after="0" w:line="360" w:lineRule="auto"/>
      </w:pPr>
    </w:p>
    <w:p w14:paraId="1776DD03" w14:textId="77777777" w:rsidR="00E82E66" w:rsidRPr="00613C5A" w:rsidRDefault="00E82E66" w:rsidP="00E82E66">
      <w:pPr>
        <w:spacing w:after="0" w:line="360" w:lineRule="auto"/>
      </w:pPr>
      <w:r>
        <w:rPr>
          <w:noProof/>
          <w:color w:val="7F7F7F" w:themeColor="text1" w:themeTint="80"/>
          <w:sz w:val="20"/>
          <w:szCs w:val="20"/>
          <w:lang w:eastAsia="en-AU"/>
        </w:rPr>
        <w:drawing>
          <wp:anchor distT="0" distB="0" distL="114300" distR="114300" simplePos="0" relativeHeight="251891712" behindDoc="0" locked="0" layoutInCell="1" allowOverlap="1" wp14:anchorId="23B5107A" wp14:editId="7445CD4B">
            <wp:simplePos x="0" y="0"/>
            <wp:positionH relativeFrom="column">
              <wp:posOffset>3575685</wp:posOffset>
            </wp:positionH>
            <wp:positionV relativeFrom="paragraph">
              <wp:posOffset>32385</wp:posOffset>
            </wp:positionV>
            <wp:extent cx="1104900" cy="781050"/>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der working at home.png"/>
                    <pic:cNvPicPr/>
                  </pic:nvPicPr>
                  <pic:blipFill rotWithShape="1">
                    <a:blip r:embed="rId194">
                      <a:extLst>
                        <a:ext uri="{28A0092B-C50C-407E-A947-70E740481C1C}">
                          <a14:useLocalDpi xmlns:a14="http://schemas.microsoft.com/office/drawing/2010/main" val="0"/>
                        </a:ext>
                      </a:extLst>
                    </a:blip>
                    <a:srcRect l="17123" r="15069"/>
                    <a:stretch/>
                  </pic:blipFill>
                  <pic:spPr bwMode="auto">
                    <a:xfrm>
                      <a:off x="0" y="0"/>
                      <a:ext cx="1104900" cy="7810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37BE">
        <w:rPr>
          <w:b/>
          <w:color w:val="222A35" w:themeColor="text2" w:themeShade="80"/>
          <w:sz w:val="26"/>
          <w:szCs w:val="26"/>
        </w:rPr>
        <w:t>Unpaid Work at Home</w:t>
      </w:r>
    </w:p>
    <w:p w14:paraId="46097F13" w14:textId="77777777" w:rsidR="00E82E66" w:rsidRPr="005D37BE" w:rsidRDefault="00E82E66" w:rsidP="00E82E66">
      <w:pPr>
        <w:spacing w:after="0" w:line="360" w:lineRule="auto"/>
      </w:pPr>
      <w:r w:rsidRPr="005D37BE">
        <w:rPr>
          <w:noProof/>
          <w:lang w:eastAsia="en-AU"/>
        </w:rPr>
        <mc:AlternateContent>
          <mc:Choice Requires="wps">
            <w:drawing>
              <wp:anchor distT="0" distB="0" distL="114300" distR="114300" simplePos="0" relativeHeight="251859968" behindDoc="0" locked="0" layoutInCell="1" allowOverlap="1" wp14:anchorId="34E1A032" wp14:editId="4ECB7202">
                <wp:simplePos x="0" y="0"/>
                <wp:positionH relativeFrom="column">
                  <wp:posOffset>-88188</wp:posOffset>
                </wp:positionH>
                <wp:positionV relativeFrom="paragraph">
                  <wp:posOffset>97201</wp:posOffset>
                </wp:positionV>
                <wp:extent cx="2609850" cy="795454"/>
                <wp:effectExtent l="0" t="0" r="0" b="5080"/>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795454"/>
                        </a:xfrm>
                        <a:prstGeom prst="rect">
                          <a:avLst/>
                        </a:prstGeom>
                        <a:noFill/>
                        <a:ln w="9525">
                          <a:noFill/>
                          <a:miter lim="800000"/>
                          <a:headEnd/>
                          <a:tailEnd/>
                        </a:ln>
                      </wps:spPr>
                      <wps:txbx>
                        <w:txbxContent>
                          <w:p w14:paraId="74576AF6" w14:textId="77777777" w:rsidR="00E82E66" w:rsidRPr="00C25EFC" w:rsidRDefault="00E82E66" w:rsidP="00E82E66">
                            <w:pPr>
                              <w:jc w:val="both"/>
                              <w:rPr>
                                <w:sz w:val="20"/>
                                <w:szCs w:val="20"/>
                              </w:rPr>
                            </w:pPr>
                            <w:r w:rsidRPr="00C25EFC">
                              <w:rPr>
                                <w:sz w:val="20"/>
                                <w:szCs w:val="20"/>
                              </w:rPr>
                              <w:t>In 20</w:t>
                            </w:r>
                            <w:r>
                              <w:rPr>
                                <w:sz w:val="20"/>
                                <w:szCs w:val="20"/>
                              </w:rPr>
                              <w:t>21</w:t>
                            </w:r>
                            <w:r w:rsidRPr="00C25EFC">
                              <w:rPr>
                                <w:sz w:val="20"/>
                                <w:szCs w:val="20"/>
                              </w:rPr>
                              <w:t xml:space="preserve">, </w:t>
                            </w:r>
                            <w:r>
                              <w:rPr>
                                <w:sz w:val="20"/>
                                <w:szCs w:val="20"/>
                              </w:rPr>
                              <w:t>20-79 year-old males performed an</w:t>
                            </w:r>
                            <w:r w:rsidRPr="00C25EFC">
                              <w:rPr>
                                <w:sz w:val="20"/>
                                <w:szCs w:val="20"/>
                              </w:rPr>
                              <w:t xml:space="preserve"> </w:t>
                            </w:r>
                            <w:r>
                              <w:rPr>
                                <w:sz w:val="20"/>
                                <w:szCs w:val="20"/>
                              </w:rPr>
                              <w:t>average</w:t>
                            </w:r>
                            <w:r w:rsidRPr="00C25EFC">
                              <w:rPr>
                                <w:sz w:val="20"/>
                                <w:szCs w:val="20"/>
                              </w:rPr>
                              <w:t xml:space="preserve"> </w:t>
                            </w:r>
                            <w:r>
                              <w:rPr>
                                <w:sz w:val="20"/>
                                <w:szCs w:val="20"/>
                              </w:rPr>
                              <w:t>of 4.7 hours of unpaid work at home,</w:t>
                            </w:r>
                            <w:r w:rsidRPr="00C25EFC">
                              <w:rPr>
                                <w:sz w:val="20"/>
                                <w:szCs w:val="20"/>
                              </w:rPr>
                              <w:t xml:space="preserve"> </w:t>
                            </w:r>
                            <w:r>
                              <w:rPr>
                                <w:sz w:val="20"/>
                                <w:szCs w:val="20"/>
                              </w:rPr>
                              <w:t>less than half</w:t>
                            </w:r>
                            <w:r w:rsidRPr="00C25EFC">
                              <w:rPr>
                                <w:sz w:val="20"/>
                                <w:szCs w:val="20"/>
                              </w:rPr>
                              <w:t xml:space="preserve"> the corresponding average among women</w:t>
                            </w:r>
                            <w:r>
                              <w:rPr>
                                <w:sz w:val="20"/>
                                <w:szCs w:val="20"/>
                              </w:rPr>
                              <w:t xml:space="preserve">, </w:t>
                            </w:r>
                            <w:r w:rsidRPr="00C25EFC">
                              <w:rPr>
                                <w:sz w:val="20"/>
                                <w:szCs w:val="20"/>
                              </w:rPr>
                              <w:t xml:space="preserve">of </w:t>
                            </w:r>
                            <w:r>
                              <w:rPr>
                                <w:sz w:val="20"/>
                                <w:szCs w:val="20"/>
                              </w:rPr>
                              <w:t>9.8</w:t>
                            </w:r>
                            <w:r w:rsidRPr="00C25EFC">
                              <w:rPr>
                                <w:sz w:val="20"/>
                                <w:szCs w:val="20"/>
                              </w:rPr>
                              <w:t xml:space="preserve"> hours.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4E1A032" id="_x0000_s1035" type="#_x0000_t202" style="position:absolute;margin-left:-6.95pt;margin-top:7.65pt;width:205.5pt;height:62.6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hek+wEAANQDAAAOAAAAZHJzL2Uyb0RvYy54bWysU9Fu2yAUfZ+0f0C8L3asuE2sOFXXrtOk&#10;rpvU7QMwxjEacBmQ2NnX74LdNNrepvkBAdf33HvOPWxvRq3IUTgvwdR0ucgpEYZDK82+pt+/Pbxb&#10;U+IDMy1TYERNT8LTm93bN9vBVqKAHlQrHEEQ46vB1rQPwVZZ5nkvNPMLsMJgsAOnWcCj22etYwOi&#10;a5UVeX6VDeBa64AL7/H2fgrSXcLvOsHDl67zIhBVU+wtpNWltYlrttuyau+Y7SWf22D/0IVm0mDR&#10;M9Q9C4wcnPwLSkvuwEMXFhx0Bl0nuUgckM0y/4PNc8+sSFxQHG/PMvn/B8ufjs/2qyNhfA8jDjCR&#10;8PYR+A9PDNz1zOzFrXMw9IK1WHgZJcsG66s5NUrtKx9BmuEztDhkdgiQgMbO6agK8iSIjgM4nUUX&#10;YyAcL4urfLMuMcQxdr0pV+UqlWDVS7Z1PnwUoEnc1NThUBM6Oz76ELth1csvsZiBB6lUGqwyZKjp&#10;pizKlHAR0TKg75TUNV3n8ZucEEl+MG1KDkyqaY8FlJlZR6IT5TA2I5Et4sfcKEID7QllcDDZDJ8F&#10;bnpwvygZ0GI19T8PzAlK1CeDUm6Wq1X0ZDqsyusCD+4y0lxGmOEIVdNAybS9C8nHE+VblLyTSY3X&#10;TuaW0TpJpNnm0ZuX5/TX62Pc/QYAAP//AwBQSwMEFAAGAAgAAAAhAEblN3LeAAAACgEAAA8AAABk&#10;cnMvZG93bnJldi54bWxMj01PwzAMhu9I+w+RJ3HbktJt0NJ0QiCuQ4wPiVvWeG1F41RNtpZ/j3eC&#10;o/0+ev242E6uE2ccQutJQ7JUIJAqb1uqNby/PS/uQIRoyJrOE2r4wQDbcnZVmNz6kV7xvI+14BIK&#10;udHQxNjnUoaqQWfC0vdInB394EzkcailHczI5a6TN0ptpDMt8YXG9PjYYPW9PzkNH7vj1+dKvdRP&#10;bt2PflKSXCa1vp5PD/cgIk7xD4aLPqtDyU4HfyIbRKdhkaQZoxysUxAMpNltAuLAi5XagCwL+f+F&#10;8hcAAP//AwBQSwECLQAUAAYACAAAACEAtoM4kv4AAADhAQAAEwAAAAAAAAAAAAAAAAAAAAAAW0Nv&#10;bnRlbnRfVHlwZXNdLnhtbFBLAQItABQABgAIAAAAIQA4/SH/1gAAAJQBAAALAAAAAAAAAAAAAAAA&#10;AC8BAABfcmVscy8ucmVsc1BLAQItABQABgAIAAAAIQB6thek+wEAANQDAAAOAAAAAAAAAAAAAAAA&#10;AC4CAABkcnMvZTJvRG9jLnhtbFBLAQItABQABgAIAAAAIQBG5Tdy3gAAAAoBAAAPAAAAAAAAAAAA&#10;AAAAAFUEAABkcnMvZG93bnJldi54bWxQSwUGAAAAAAQABADzAAAAYAUAAAAA&#10;" filled="f" stroked="f">
                <v:textbox>
                  <w:txbxContent>
                    <w:p w14:paraId="74576AF6" w14:textId="77777777" w:rsidR="00E82E66" w:rsidRPr="00C25EFC" w:rsidRDefault="00E82E66" w:rsidP="00E82E66">
                      <w:pPr>
                        <w:jc w:val="both"/>
                        <w:rPr>
                          <w:sz w:val="20"/>
                          <w:szCs w:val="20"/>
                        </w:rPr>
                      </w:pPr>
                      <w:r w:rsidRPr="00C25EFC">
                        <w:rPr>
                          <w:sz w:val="20"/>
                          <w:szCs w:val="20"/>
                        </w:rPr>
                        <w:t>In 20</w:t>
                      </w:r>
                      <w:r>
                        <w:rPr>
                          <w:sz w:val="20"/>
                          <w:szCs w:val="20"/>
                        </w:rPr>
                        <w:t>21</w:t>
                      </w:r>
                      <w:r w:rsidRPr="00C25EFC">
                        <w:rPr>
                          <w:sz w:val="20"/>
                          <w:szCs w:val="20"/>
                        </w:rPr>
                        <w:t xml:space="preserve">, </w:t>
                      </w:r>
                      <w:r>
                        <w:rPr>
                          <w:sz w:val="20"/>
                          <w:szCs w:val="20"/>
                        </w:rPr>
                        <w:t>20-79 year-old males performed an</w:t>
                      </w:r>
                      <w:r w:rsidRPr="00C25EFC">
                        <w:rPr>
                          <w:sz w:val="20"/>
                          <w:szCs w:val="20"/>
                        </w:rPr>
                        <w:t xml:space="preserve"> </w:t>
                      </w:r>
                      <w:r>
                        <w:rPr>
                          <w:sz w:val="20"/>
                          <w:szCs w:val="20"/>
                        </w:rPr>
                        <w:t>average</w:t>
                      </w:r>
                      <w:r w:rsidRPr="00C25EFC">
                        <w:rPr>
                          <w:sz w:val="20"/>
                          <w:szCs w:val="20"/>
                        </w:rPr>
                        <w:t xml:space="preserve"> </w:t>
                      </w:r>
                      <w:r>
                        <w:rPr>
                          <w:sz w:val="20"/>
                          <w:szCs w:val="20"/>
                        </w:rPr>
                        <w:t>of 4.7 hours of unpaid work at home,</w:t>
                      </w:r>
                      <w:r w:rsidRPr="00C25EFC">
                        <w:rPr>
                          <w:sz w:val="20"/>
                          <w:szCs w:val="20"/>
                        </w:rPr>
                        <w:t xml:space="preserve"> </w:t>
                      </w:r>
                      <w:r>
                        <w:rPr>
                          <w:sz w:val="20"/>
                          <w:szCs w:val="20"/>
                        </w:rPr>
                        <w:t>less than half</w:t>
                      </w:r>
                      <w:r w:rsidRPr="00C25EFC">
                        <w:rPr>
                          <w:sz w:val="20"/>
                          <w:szCs w:val="20"/>
                        </w:rPr>
                        <w:t xml:space="preserve"> the corresponding average among women</w:t>
                      </w:r>
                      <w:r>
                        <w:rPr>
                          <w:sz w:val="20"/>
                          <w:szCs w:val="20"/>
                        </w:rPr>
                        <w:t xml:space="preserve">, </w:t>
                      </w:r>
                      <w:r w:rsidRPr="00C25EFC">
                        <w:rPr>
                          <w:sz w:val="20"/>
                          <w:szCs w:val="20"/>
                        </w:rPr>
                        <w:t xml:space="preserve">of </w:t>
                      </w:r>
                      <w:r>
                        <w:rPr>
                          <w:sz w:val="20"/>
                          <w:szCs w:val="20"/>
                        </w:rPr>
                        <w:t>9.8</w:t>
                      </w:r>
                      <w:r w:rsidRPr="00C25EFC">
                        <w:rPr>
                          <w:sz w:val="20"/>
                          <w:szCs w:val="20"/>
                        </w:rPr>
                        <w:t xml:space="preserve"> hours.</w:t>
                      </w:r>
                    </w:p>
                  </w:txbxContent>
                </v:textbox>
              </v:shape>
            </w:pict>
          </mc:Fallback>
        </mc:AlternateContent>
      </w:r>
    </w:p>
    <w:p w14:paraId="755CE493" w14:textId="77777777" w:rsidR="00E82E66" w:rsidRPr="005D37BE" w:rsidRDefault="00E82E66" w:rsidP="00E82E66">
      <w:pPr>
        <w:spacing w:after="0" w:line="360" w:lineRule="auto"/>
      </w:pPr>
    </w:p>
    <w:p w14:paraId="07B9D218" w14:textId="77777777" w:rsidR="00E82E66" w:rsidRPr="005D37BE" w:rsidRDefault="00E82E66" w:rsidP="00E82E66">
      <w:pPr>
        <w:spacing w:after="0" w:line="360" w:lineRule="auto"/>
      </w:pPr>
    </w:p>
    <w:p w14:paraId="7EBD8B67" w14:textId="77777777" w:rsidR="00E82E66" w:rsidRPr="005D37BE" w:rsidRDefault="00E82E66" w:rsidP="00E82E66">
      <w:pPr>
        <w:spacing w:after="0" w:line="360" w:lineRule="auto"/>
      </w:pPr>
    </w:p>
    <w:p w14:paraId="4899E075" w14:textId="77777777" w:rsidR="00E82E66" w:rsidRDefault="00E82E66" w:rsidP="00E82E66">
      <w:pPr>
        <w:spacing w:after="0" w:line="360" w:lineRule="auto"/>
      </w:pPr>
    </w:p>
    <w:p w14:paraId="5244D406" w14:textId="77777777" w:rsidR="00E82E66" w:rsidRPr="005D37BE" w:rsidRDefault="00E82E66" w:rsidP="00E82E66">
      <w:pPr>
        <w:spacing w:after="0" w:line="360" w:lineRule="auto"/>
      </w:pPr>
    </w:p>
    <w:p w14:paraId="3586DD1F" w14:textId="77777777" w:rsidR="00E82E66" w:rsidRPr="005D37BE" w:rsidRDefault="00E82E66" w:rsidP="00E82E66">
      <w:pPr>
        <w:spacing w:after="0" w:line="240" w:lineRule="auto"/>
        <w:rPr>
          <w:color w:val="7F7F7F" w:themeColor="text1" w:themeTint="80"/>
          <w:sz w:val="20"/>
          <w:szCs w:val="20"/>
        </w:rPr>
      </w:pPr>
      <w:r w:rsidRPr="005D37BE">
        <w:rPr>
          <w:color w:val="7F7F7F" w:themeColor="text1" w:themeTint="80"/>
          <w:sz w:val="20"/>
          <w:szCs w:val="20"/>
        </w:rPr>
        <w:t>Average hours of unpaid work performed each week, by gender: Greater Dandenong, 20</w:t>
      </w:r>
      <w:r>
        <w:rPr>
          <w:color w:val="7F7F7F" w:themeColor="text1" w:themeTint="80"/>
          <w:sz w:val="20"/>
          <w:szCs w:val="20"/>
        </w:rPr>
        <w:t>21</w:t>
      </w:r>
    </w:p>
    <w:p w14:paraId="47EEEBA0" w14:textId="6146A421" w:rsidR="00E82E66" w:rsidRDefault="00E82E66" w:rsidP="00E82E66">
      <w:pPr>
        <w:spacing w:after="0" w:line="360" w:lineRule="auto"/>
      </w:pPr>
      <w:r>
        <w:rPr>
          <w:b/>
          <w:noProof/>
          <w:lang w:eastAsia="en-AU"/>
        </w:rPr>
        <w:drawing>
          <wp:anchor distT="0" distB="0" distL="114300" distR="114300" simplePos="0" relativeHeight="251885568" behindDoc="0" locked="0" layoutInCell="1" allowOverlap="1" wp14:anchorId="6DE19A61" wp14:editId="7F671E20">
            <wp:simplePos x="0" y="0"/>
            <wp:positionH relativeFrom="column">
              <wp:posOffset>583844</wp:posOffset>
            </wp:positionH>
            <wp:positionV relativeFrom="paragraph">
              <wp:posOffset>12793</wp:posOffset>
            </wp:positionV>
            <wp:extent cx="1323975" cy="741045"/>
            <wp:effectExtent l="0" t="0" r="9525" b="1905"/>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6.jpg"/>
                    <pic:cNvPicPr/>
                  </pic:nvPicPr>
                  <pic:blipFill>
                    <a:blip r:embed="rId195">
                      <a:extLst>
                        <a:ext uri="{28A0092B-C50C-407E-A947-70E740481C1C}">
                          <a14:useLocalDpi xmlns:a14="http://schemas.microsoft.com/office/drawing/2010/main" val="0"/>
                        </a:ext>
                      </a:extLst>
                    </a:blip>
                    <a:stretch>
                      <a:fillRect/>
                    </a:stretch>
                  </pic:blipFill>
                  <pic:spPr>
                    <a:xfrm>
                      <a:off x="0" y="0"/>
                      <a:ext cx="1323975" cy="741045"/>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p>
    <w:p w14:paraId="33D22E66" w14:textId="1DDBD3A3" w:rsidR="00E82E66" w:rsidRDefault="00E82E66" w:rsidP="00E82E66">
      <w:pPr>
        <w:spacing w:after="0" w:line="360" w:lineRule="auto"/>
      </w:pPr>
    </w:p>
    <w:p w14:paraId="214ABE4C" w14:textId="622DF48D" w:rsidR="00E82E66" w:rsidRPr="000E0724" w:rsidRDefault="00BE29A1" w:rsidP="00E82E66">
      <w:pPr>
        <w:spacing w:after="0" w:line="360" w:lineRule="auto"/>
      </w:pPr>
      <w:r w:rsidRPr="005D37BE">
        <w:rPr>
          <w:noProof/>
          <w:lang w:eastAsia="en-AU"/>
        </w:rPr>
        <mc:AlternateContent>
          <mc:Choice Requires="wps">
            <w:drawing>
              <wp:anchor distT="0" distB="0" distL="114300" distR="114300" simplePos="0" relativeHeight="251860992" behindDoc="0" locked="0" layoutInCell="1" allowOverlap="1" wp14:anchorId="5BDA624F" wp14:editId="7016BB2C">
                <wp:simplePos x="0" y="0"/>
                <wp:positionH relativeFrom="column">
                  <wp:posOffset>3267710</wp:posOffset>
                </wp:positionH>
                <wp:positionV relativeFrom="paragraph">
                  <wp:posOffset>214418</wp:posOffset>
                </wp:positionV>
                <wp:extent cx="2971800" cy="1041400"/>
                <wp:effectExtent l="0" t="0" r="0" b="6350"/>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041400"/>
                        </a:xfrm>
                        <a:prstGeom prst="rect">
                          <a:avLst/>
                        </a:prstGeom>
                        <a:noFill/>
                        <a:ln w="9525">
                          <a:noFill/>
                          <a:miter lim="800000"/>
                          <a:headEnd/>
                          <a:tailEnd/>
                        </a:ln>
                      </wps:spPr>
                      <wps:txbx>
                        <w:txbxContent>
                          <w:p w14:paraId="5A683BFE" w14:textId="77777777" w:rsidR="00E82E66" w:rsidRDefault="00E82E66" w:rsidP="00E82E66">
                            <w:pPr>
                              <w:jc w:val="both"/>
                              <w:rPr>
                                <w:sz w:val="20"/>
                                <w:szCs w:val="20"/>
                              </w:rPr>
                            </w:pPr>
                            <w:r w:rsidRPr="00C25EFC">
                              <w:rPr>
                                <w:sz w:val="20"/>
                                <w:szCs w:val="20"/>
                              </w:rPr>
                              <w:t>The 20</w:t>
                            </w:r>
                            <w:r>
                              <w:rPr>
                                <w:sz w:val="20"/>
                                <w:szCs w:val="20"/>
                              </w:rPr>
                              <w:t>21</w:t>
                            </w:r>
                            <w:r w:rsidRPr="00C25EFC">
                              <w:rPr>
                                <w:sz w:val="20"/>
                                <w:szCs w:val="20"/>
                              </w:rPr>
                              <w:t xml:space="preserve"> Census recorded that </w:t>
                            </w:r>
                            <w:r>
                              <w:rPr>
                                <w:sz w:val="20"/>
                                <w:szCs w:val="20"/>
                              </w:rPr>
                              <w:t>6.8</w:t>
                            </w:r>
                            <w:r w:rsidRPr="00C25EFC">
                              <w:rPr>
                                <w:sz w:val="20"/>
                                <w:szCs w:val="20"/>
                              </w:rPr>
                              <w:t xml:space="preserve">% of males in Greater Dandenong, and </w:t>
                            </w:r>
                            <w:r>
                              <w:rPr>
                                <w:sz w:val="20"/>
                                <w:szCs w:val="20"/>
                              </w:rPr>
                              <w:t>8.7%</w:t>
                            </w:r>
                            <w:r w:rsidRPr="00C25EFC">
                              <w:rPr>
                                <w:sz w:val="20"/>
                                <w:szCs w:val="20"/>
                              </w:rPr>
                              <w:t xml:space="preserve"> of females, had a severe or profound disability, requiring them to obtain daily assistance in communi</w:t>
                            </w:r>
                            <w:r>
                              <w:rPr>
                                <w:sz w:val="20"/>
                                <w:szCs w:val="20"/>
                              </w:rPr>
                              <w:t>cations, mobility or self-care.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BDA624F" id="_x0000_s1036" type="#_x0000_t202" style="position:absolute;margin-left:257.3pt;margin-top:16.9pt;width:234pt;height:8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pvB+gEAANYDAAAOAAAAZHJzL2Uyb0RvYy54bWysU9tu2zAMfR+wfxD0vtgOkrUx4hRduw4D&#10;ugvQ7QMUWY6FSaJGKbGzrx8lp2mwvQ3zg0Ca4iHPIbW+Ga1hB4VBg2t4NSs5U05Cq92u4d+/Pby5&#10;5ixE4VphwKmGH1XgN5vXr9aDr9UcejCtQkYgLtSDb3gfo6+LIsheWRFm4JWjYAdoRSQXd0WLYiB0&#10;a4p5Wb4tBsDWI0gVAv29n4J8k/G7Tsn4peuCisw0nHqL+cR8btNZbNai3qHwvZanNsQ/dGGFdlT0&#10;DHUvomB71H9BWS0RAnRxJsEW0HVaqsyB2FTlH2yeeuFV5kLiBH+WKfw/WPn58OS/IovjOxhpgJlE&#10;8I8gfwTm4K4XbqduEWHolWipcJUkKwYf6lNqkjrUIYFsh0/Q0pDFPkIGGju0SRXiyQidBnA8i67G&#10;yCT9nK+uquuSQpJiVbmoFuSkGqJ+TvcY4gcFliWj4UhTzfDi8BjidPX5Sqrm4EEbkydrHBsavlrO&#10;lznhImJ1pMUz2jacqtM3rUJi+d61OTkKbSabejHuRDsxnTjHcTsy3aauU3KSYQvtkYRAmBaNHgYZ&#10;PeAvzgZasoaHn3uBijPz0ZGYq2qxSFuZncXyak4OXka2lxHhJEE1PHI2mXcxb/LE+ZZE73SW46WT&#10;U8+0PFnQ06Kn7bz0862X57j5DQAA//8DAFBLAwQUAAYACAAAACEAjIPDdt4AAAAKAQAADwAAAGRy&#10;cy9kb3ducmV2LnhtbEyPy07DMBBF90j9B2sqsaN2nyQhTlWB2IJaHhI7N54mUeNxFLtN+HuGFSxn&#10;5ujOufl2dK24Yh8aTxrmMwUCqfS2oUrD+9vzXQIiREPWtJ5QwzcG2BaTm9xk1g+0x+shVoJDKGRG&#10;Qx1jl0kZyhqdCTPfIfHt5HtnIo99JW1vBg53rVwotZHONMQfatPhY43l+XBxGj5eTl+fK/VaPbl1&#10;N/hRSXKp1Pp2Ou4eQEQc4x8Mv/qsDgU7Hf2FbBCthvV8tWFUw3LJFRhIkwUvjkym9wnIIpf/KxQ/&#10;AAAA//8DAFBLAQItABQABgAIAAAAIQC2gziS/gAAAOEBAAATAAAAAAAAAAAAAAAAAAAAAABbQ29u&#10;dGVudF9UeXBlc10ueG1sUEsBAi0AFAAGAAgAAAAhADj9If/WAAAAlAEAAAsAAAAAAAAAAAAAAAAA&#10;LwEAAF9yZWxzLy5yZWxzUEsBAi0AFAAGAAgAAAAhAEVam8H6AQAA1gMAAA4AAAAAAAAAAAAAAAAA&#10;LgIAAGRycy9lMm9Eb2MueG1sUEsBAi0AFAAGAAgAAAAhAIyDw3beAAAACgEAAA8AAAAAAAAAAAAA&#10;AAAAVAQAAGRycy9kb3ducmV2LnhtbFBLBQYAAAAABAAEAPMAAABfBQAAAAA=&#10;" filled="f" stroked="f">
                <v:textbox>
                  <w:txbxContent>
                    <w:p w14:paraId="5A683BFE" w14:textId="77777777" w:rsidR="00E82E66" w:rsidRDefault="00E82E66" w:rsidP="00E82E66">
                      <w:pPr>
                        <w:jc w:val="both"/>
                        <w:rPr>
                          <w:sz w:val="20"/>
                          <w:szCs w:val="20"/>
                        </w:rPr>
                      </w:pPr>
                      <w:r w:rsidRPr="00C25EFC">
                        <w:rPr>
                          <w:sz w:val="20"/>
                          <w:szCs w:val="20"/>
                        </w:rPr>
                        <w:t>The 20</w:t>
                      </w:r>
                      <w:r>
                        <w:rPr>
                          <w:sz w:val="20"/>
                          <w:szCs w:val="20"/>
                        </w:rPr>
                        <w:t>21</w:t>
                      </w:r>
                      <w:r w:rsidRPr="00C25EFC">
                        <w:rPr>
                          <w:sz w:val="20"/>
                          <w:szCs w:val="20"/>
                        </w:rPr>
                        <w:t xml:space="preserve"> Census recorded that </w:t>
                      </w:r>
                      <w:r>
                        <w:rPr>
                          <w:sz w:val="20"/>
                          <w:szCs w:val="20"/>
                        </w:rPr>
                        <w:t>6.8</w:t>
                      </w:r>
                      <w:r w:rsidRPr="00C25EFC">
                        <w:rPr>
                          <w:sz w:val="20"/>
                          <w:szCs w:val="20"/>
                        </w:rPr>
                        <w:t xml:space="preserve">% of males in Greater Dandenong, and </w:t>
                      </w:r>
                      <w:r>
                        <w:rPr>
                          <w:sz w:val="20"/>
                          <w:szCs w:val="20"/>
                        </w:rPr>
                        <w:t>8.7%</w:t>
                      </w:r>
                      <w:r w:rsidRPr="00C25EFC">
                        <w:rPr>
                          <w:sz w:val="20"/>
                          <w:szCs w:val="20"/>
                        </w:rPr>
                        <w:t xml:space="preserve"> of females, had a severe or profound disability, requiring them to obtain daily assistance in communi</w:t>
                      </w:r>
                      <w:r>
                        <w:rPr>
                          <w:sz w:val="20"/>
                          <w:szCs w:val="20"/>
                        </w:rPr>
                        <w:t>cations, mobility or self-care.</w:t>
                      </w:r>
                    </w:p>
                  </w:txbxContent>
                </v:textbox>
              </v:shape>
            </w:pict>
          </mc:Fallback>
        </mc:AlternateContent>
      </w:r>
      <w:r w:rsidR="00E82E66">
        <w:rPr>
          <w:b/>
          <w:noProof/>
          <w:color w:val="222A35" w:themeColor="text2" w:themeShade="80"/>
          <w:sz w:val="26"/>
          <w:szCs w:val="26"/>
        </w:rPr>
        <w:drawing>
          <wp:anchor distT="0" distB="0" distL="114300" distR="114300" simplePos="0" relativeHeight="251847680" behindDoc="0" locked="0" layoutInCell="1" allowOverlap="1" wp14:anchorId="42E14B79" wp14:editId="06FD36E9">
            <wp:simplePos x="0" y="0"/>
            <wp:positionH relativeFrom="column">
              <wp:posOffset>8890</wp:posOffset>
            </wp:positionH>
            <wp:positionV relativeFrom="paragraph">
              <wp:posOffset>8255</wp:posOffset>
            </wp:positionV>
            <wp:extent cx="3132455" cy="2114550"/>
            <wp:effectExtent l="0" t="0" r="0" b="0"/>
            <wp:wrapSquare wrapText="bothSides"/>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6">
                      <a:extLst>
                        <a:ext uri="{28A0092B-C50C-407E-A947-70E740481C1C}">
                          <a14:useLocalDpi xmlns:a14="http://schemas.microsoft.com/office/drawing/2010/main" val="0"/>
                        </a:ext>
                      </a:extLst>
                    </a:blip>
                    <a:srcRect t="13936" r="8890"/>
                    <a:stretch/>
                  </pic:blipFill>
                  <pic:spPr bwMode="auto">
                    <a:xfrm>
                      <a:off x="0" y="0"/>
                      <a:ext cx="3132455" cy="2114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2E66" w:rsidRPr="005D37BE">
        <w:rPr>
          <w:b/>
          <w:color w:val="222A35" w:themeColor="text2" w:themeShade="80"/>
          <w:sz w:val="26"/>
          <w:szCs w:val="26"/>
        </w:rPr>
        <w:t>Disability</w:t>
      </w:r>
    </w:p>
    <w:p w14:paraId="4B7328C6" w14:textId="243C039B" w:rsidR="00E82E66" w:rsidRPr="005D37BE" w:rsidRDefault="00E82E66" w:rsidP="00E82E66">
      <w:pPr>
        <w:spacing w:after="0" w:line="360" w:lineRule="auto"/>
        <w:rPr>
          <w:b/>
        </w:rPr>
      </w:pPr>
    </w:p>
    <w:p w14:paraId="1BF0127E" w14:textId="4E93C588" w:rsidR="00E82E66" w:rsidRPr="005D37BE" w:rsidRDefault="00E82E66" w:rsidP="00E82E66">
      <w:pPr>
        <w:spacing w:after="0" w:line="360" w:lineRule="auto"/>
        <w:rPr>
          <w:b/>
        </w:rPr>
      </w:pPr>
    </w:p>
    <w:p w14:paraId="64022817" w14:textId="3C34734E" w:rsidR="00E82E66" w:rsidRPr="005D37BE" w:rsidRDefault="00E82E66" w:rsidP="00E82E66">
      <w:pPr>
        <w:spacing w:after="0" w:line="360" w:lineRule="auto"/>
        <w:rPr>
          <w:b/>
        </w:rPr>
      </w:pPr>
    </w:p>
    <w:p w14:paraId="41C8DCA9" w14:textId="20CC863D" w:rsidR="00E82E66" w:rsidRPr="005D37BE" w:rsidRDefault="00E82E66" w:rsidP="00E82E66">
      <w:pPr>
        <w:spacing w:after="0" w:line="360" w:lineRule="auto"/>
        <w:rPr>
          <w:b/>
        </w:rPr>
      </w:pPr>
    </w:p>
    <w:p w14:paraId="51C62539" w14:textId="77777777" w:rsidR="00E82E66" w:rsidRPr="005D37BE" w:rsidRDefault="00E82E66" w:rsidP="00E82E66">
      <w:pPr>
        <w:spacing w:after="0" w:line="360" w:lineRule="auto"/>
        <w:rPr>
          <w:b/>
        </w:rPr>
      </w:pPr>
    </w:p>
    <w:p w14:paraId="398ECFC7" w14:textId="77777777" w:rsidR="00E82E66" w:rsidRPr="005D37BE" w:rsidRDefault="00E82E66" w:rsidP="00E82E66">
      <w:pPr>
        <w:spacing w:after="0" w:line="240" w:lineRule="auto"/>
        <w:rPr>
          <w:color w:val="7F7F7F" w:themeColor="text1" w:themeTint="80"/>
          <w:sz w:val="20"/>
          <w:szCs w:val="20"/>
        </w:rPr>
      </w:pPr>
      <w:r w:rsidRPr="005D37BE">
        <w:rPr>
          <w:color w:val="7F7F7F" w:themeColor="text1" w:themeTint="80"/>
          <w:sz w:val="20"/>
          <w:szCs w:val="20"/>
        </w:rPr>
        <w:t>Per cent of persons with a severe or profound disability, by gender: Greater Dandenong, 20</w:t>
      </w:r>
      <w:r>
        <w:rPr>
          <w:color w:val="7F7F7F" w:themeColor="text1" w:themeTint="80"/>
          <w:sz w:val="20"/>
          <w:szCs w:val="20"/>
        </w:rPr>
        <w:t>21</w:t>
      </w:r>
    </w:p>
    <w:p w14:paraId="36C5D77D" w14:textId="77777777" w:rsidR="00E82E66" w:rsidRDefault="00E82E66" w:rsidP="00E82E66">
      <w:pPr>
        <w:spacing w:after="0" w:line="360" w:lineRule="auto"/>
        <w:rPr>
          <w:b/>
        </w:rPr>
      </w:pPr>
    </w:p>
    <w:p w14:paraId="5EE8BA37" w14:textId="77777777" w:rsidR="00E82E66" w:rsidRDefault="00E82E66" w:rsidP="00E82E66">
      <w:pPr>
        <w:spacing w:after="0" w:line="360" w:lineRule="auto"/>
        <w:rPr>
          <w:b/>
        </w:rPr>
      </w:pPr>
      <w:r w:rsidRPr="005D37BE">
        <w:rPr>
          <w:noProof/>
          <w:lang w:eastAsia="en-AU"/>
        </w:rPr>
        <mc:AlternateContent>
          <mc:Choice Requires="wps">
            <w:drawing>
              <wp:anchor distT="0" distB="0" distL="114300" distR="114300" simplePos="0" relativeHeight="251873280" behindDoc="0" locked="0" layoutInCell="1" allowOverlap="1" wp14:anchorId="14551E72" wp14:editId="29700CD6">
                <wp:simplePos x="0" y="0"/>
                <wp:positionH relativeFrom="column">
                  <wp:posOffset>3281231</wp:posOffset>
                </wp:positionH>
                <wp:positionV relativeFrom="paragraph">
                  <wp:posOffset>70965</wp:posOffset>
                </wp:positionV>
                <wp:extent cx="2795587" cy="738187"/>
                <wp:effectExtent l="0" t="0" r="0" b="5080"/>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587" cy="738187"/>
                        </a:xfrm>
                        <a:prstGeom prst="rect">
                          <a:avLst/>
                        </a:prstGeom>
                        <a:noFill/>
                        <a:ln w="9525">
                          <a:noFill/>
                          <a:miter lim="800000"/>
                          <a:headEnd/>
                          <a:tailEnd/>
                        </a:ln>
                      </wps:spPr>
                      <wps:txbx>
                        <w:txbxContent>
                          <w:p w14:paraId="0191899D" w14:textId="77777777" w:rsidR="00E82E66" w:rsidRPr="001176C0" w:rsidRDefault="00E82E66" w:rsidP="00E82E66">
                            <w:pPr>
                              <w:jc w:val="both"/>
                              <w:rPr>
                                <w:sz w:val="20"/>
                                <w:szCs w:val="20"/>
                              </w:rPr>
                            </w:pPr>
                            <w:r>
                              <w:rPr>
                                <w:sz w:val="20"/>
                                <w:szCs w:val="20"/>
                              </w:rPr>
                              <w:t>When these figures are adjusted to compensate for age differences between women and men, this disparity declines slightly to 8.6% among men and 9.3% for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4551E72" id="_x0000_s1037" type="#_x0000_t202" style="position:absolute;margin-left:258.35pt;margin-top:5.6pt;width:220.1pt;height:58.1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zWT/AEAANUDAAAOAAAAZHJzL2Uyb0RvYy54bWysU8tu2zAQvBfoPxC817Jdu7YFy0GaNEWB&#10;9AEk/QCaoiyiJJdd0pbcr8+SchyjuRXVgdjVksOd2eH6qreGHRQGDa7ik9GYM+Uk1NrtKv7z8e7d&#10;krMQhauFAacqflSBX23evll3vlRTaMHUChmBuFB2vuJtjL4siiBbZUUYgVeOig2gFZFS3BU1io7Q&#10;rSmm4/GHogOsPYJUIdDf26HINxm/aZSM35smqMhMxam3mFfM6zatxWYtyh0K32p5akP8QxdWaEeX&#10;nqFuRRRsj/oVlNUSIUATRxJsAU2jpcociM1k/Bebh1Z4lbmQOMGfZQr/D1Z+Ozz4H8hi/xF6GmAm&#10;Efw9yF+BObhphdupa0ToWiVquniSJCs6H8rT0SR1KEMC2XZfoaYhi32EDNQ3aJMqxJMROg3geBZd&#10;9ZFJ+jldrObz5YIzSbXF++WE4nSFKJ9PewzxswLLUlBxpKFmdHG4D3HY+rwlXebgThuTB2sc6yq+&#10;mk/n+cBFxepIvjPaVnw5Tt/ghETyk6vz4Si0GWLqxbgT60R0oBz7bc90TZJkTZIKW6iPpAPC4DN6&#10;FxS0gH8468hjFQ+/9wIVZ+aLIy1Xk9ksmTIns/liSgleVraXFeEkQVU8cjaENzEbeeB8TZo3Osvx&#10;0smpZ/JOFvTk82TOyzzvenmNmycAAAD//wMAUEsDBBQABgAIAAAAIQCBYPtk3gAAAAoBAAAPAAAA&#10;ZHJzL2Rvd25yZXYueG1sTI9NT8MwDIbvSPyHyEjcWNJq7WhpOiEQVxDjQ+KWNV5b0ThVk63l32NO&#10;7Gi/j14/rraLG8QJp9B70pCsFAikxtueWg3vb083tyBCNGTN4Ak1/GCAbX15UZnS+ple8bSLreAS&#10;CqXR0MU4llKGpkNnwsqPSJwd/ORM5HFqpZ3MzOVukKlSuXSmJ77QmREfOmy+d0en4eP58PW5Vi/t&#10;o8vG2S9Kkiuk1tdXy/0diIhL/IfhT5/VoWanvT+SDWLQkCX5hlEOkhQEA0WWFyD2vEg3a5B1Jc9f&#10;qH8BAAD//wMAUEsBAi0AFAAGAAgAAAAhALaDOJL+AAAA4QEAABMAAAAAAAAAAAAAAAAAAAAAAFtD&#10;b250ZW50X1R5cGVzXS54bWxQSwECLQAUAAYACAAAACEAOP0h/9YAAACUAQAACwAAAAAAAAAAAAAA&#10;AAAvAQAAX3JlbHMvLnJlbHNQSwECLQAUAAYACAAAACEAgUM1k/wBAADVAwAADgAAAAAAAAAAAAAA&#10;AAAuAgAAZHJzL2Uyb0RvYy54bWxQSwECLQAUAAYACAAAACEAgWD7ZN4AAAAKAQAADwAAAAAAAAAA&#10;AAAAAABWBAAAZHJzL2Rvd25yZXYueG1sUEsFBgAAAAAEAAQA8wAAAGEFAAAAAA==&#10;" filled="f" stroked="f">
                <v:textbox>
                  <w:txbxContent>
                    <w:p w14:paraId="0191899D" w14:textId="77777777" w:rsidR="00E82E66" w:rsidRPr="001176C0" w:rsidRDefault="00E82E66" w:rsidP="00E82E66">
                      <w:pPr>
                        <w:jc w:val="both"/>
                        <w:rPr>
                          <w:sz w:val="20"/>
                          <w:szCs w:val="20"/>
                        </w:rPr>
                      </w:pPr>
                      <w:r>
                        <w:rPr>
                          <w:sz w:val="20"/>
                          <w:szCs w:val="20"/>
                        </w:rPr>
                        <w:t>When these figures are adjusted to compensate for age differences between women and men, this disparity declines slightly to 8.6% among men and 9.3% for women.</w:t>
                      </w:r>
                    </w:p>
                  </w:txbxContent>
                </v:textbox>
              </v:shape>
            </w:pict>
          </mc:Fallback>
        </mc:AlternateContent>
      </w:r>
    </w:p>
    <w:p w14:paraId="213CA7B9" w14:textId="77777777" w:rsidR="00E82E66" w:rsidRDefault="00E82E66" w:rsidP="00E82E66">
      <w:pPr>
        <w:spacing w:after="0" w:line="360" w:lineRule="auto"/>
        <w:rPr>
          <w:b/>
        </w:rPr>
      </w:pPr>
    </w:p>
    <w:p w14:paraId="2EFB3295" w14:textId="77777777" w:rsidR="00E82E66" w:rsidRDefault="00E82E66" w:rsidP="00E82E66">
      <w:pPr>
        <w:spacing w:after="0" w:line="360" w:lineRule="auto"/>
        <w:rPr>
          <w:b/>
        </w:rPr>
      </w:pPr>
    </w:p>
    <w:p w14:paraId="75D057D1" w14:textId="77777777" w:rsidR="00E82E66" w:rsidRDefault="00E82E66" w:rsidP="00E82E66">
      <w:pPr>
        <w:spacing w:after="0" w:line="360" w:lineRule="auto"/>
        <w:rPr>
          <w:b/>
        </w:rPr>
      </w:pPr>
    </w:p>
    <w:p w14:paraId="02C8130B" w14:textId="4ED1D827" w:rsidR="00E82E66" w:rsidRPr="002757AB" w:rsidRDefault="00C9123B" w:rsidP="00E82E66">
      <w:pPr>
        <w:spacing w:after="0" w:line="360" w:lineRule="auto"/>
        <w:rPr>
          <w:b/>
        </w:rPr>
      </w:pPr>
      <w:r w:rsidRPr="005D37BE">
        <w:rPr>
          <w:noProof/>
          <w:lang w:eastAsia="en-AU"/>
        </w:rPr>
        <w:lastRenderedPageBreak/>
        <mc:AlternateContent>
          <mc:Choice Requires="wps">
            <w:drawing>
              <wp:anchor distT="0" distB="0" distL="114300" distR="114300" simplePos="0" relativeHeight="251872256" behindDoc="0" locked="0" layoutInCell="1" allowOverlap="1" wp14:anchorId="48FF1A54" wp14:editId="5F444707">
                <wp:simplePos x="0" y="0"/>
                <wp:positionH relativeFrom="column">
                  <wp:posOffset>-110490</wp:posOffset>
                </wp:positionH>
                <wp:positionV relativeFrom="paragraph">
                  <wp:posOffset>312843</wp:posOffset>
                </wp:positionV>
                <wp:extent cx="2867025" cy="812800"/>
                <wp:effectExtent l="0" t="0" r="0" b="6350"/>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812800"/>
                        </a:xfrm>
                        <a:prstGeom prst="rect">
                          <a:avLst/>
                        </a:prstGeom>
                        <a:noFill/>
                        <a:ln w="9525">
                          <a:noFill/>
                          <a:miter lim="800000"/>
                          <a:headEnd/>
                          <a:tailEnd/>
                        </a:ln>
                      </wps:spPr>
                      <wps:txbx>
                        <w:txbxContent>
                          <w:p w14:paraId="3C99D2E7" w14:textId="77777777" w:rsidR="00E82E66" w:rsidRPr="001176C0" w:rsidRDefault="00E82E66" w:rsidP="00E82E66">
                            <w:pPr>
                              <w:jc w:val="both"/>
                              <w:rPr>
                                <w:sz w:val="20"/>
                                <w:szCs w:val="20"/>
                              </w:rPr>
                            </w:pPr>
                            <w:r>
                              <w:rPr>
                                <w:sz w:val="20"/>
                                <w:szCs w:val="20"/>
                              </w:rPr>
                              <w:t xml:space="preserve">The 2021 Census also showed that </w:t>
                            </w:r>
                            <w:r w:rsidRPr="00C25EFC">
                              <w:rPr>
                                <w:sz w:val="20"/>
                                <w:szCs w:val="20"/>
                              </w:rPr>
                              <w:t>9.</w:t>
                            </w:r>
                            <w:r>
                              <w:rPr>
                                <w:sz w:val="20"/>
                                <w:szCs w:val="20"/>
                              </w:rPr>
                              <w:t>3</w:t>
                            </w:r>
                            <w:r w:rsidRPr="00C25EFC">
                              <w:rPr>
                                <w:sz w:val="20"/>
                                <w:szCs w:val="20"/>
                              </w:rPr>
                              <w:t>% of males and 13.</w:t>
                            </w:r>
                            <w:r>
                              <w:rPr>
                                <w:sz w:val="20"/>
                                <w:szCs w:val="20"/>
                              </w:rPr>
                              <w:t>1</w:t>
                            </w:r>
                            <w:r w:rsidRPr="00C25EFC">
                              <w:rPr>
                                <w:sz w:val="20"/>
                                <w:szCs w:val="20"/>
                              </w:rPr>
                              <w:t>% of females in Greater Dandenong, provided unpaid care for a person with a disability</w:t>
                            </w:r>
                            <w:r>
                              <w:rPr>
                                <w:sz w:val="20"/>
                                <w:szCs w:val="20"/>
                              </w:rPr>
                              <w:t xml:space="preserve"> or chronic illness.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8FF1A54" id="_x0000_s1038" type="#_x0000_t202" style="position:absolute;margin-left:-8.7pt;margin-top:24.65pt;width:225.75pt;height:64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nkH+wEAANUDAAAOAAAAZHJzL2Uyb0RvYy54bWysU8tu2zAQvBfoPxC815IFO3EEy0GaNEWB&#10;9AGk/YA1RVlESS5L0pbSr++SchwjvRXVgeByxdmd2eH6ejSaHaQPCm3D57OSM2kFtsruGv7j+/27&#10;FWchgm1Bo5UNf5KBX2/evlkPrpYV9qhb6RmB2FAPruF9jK4uiiB6aSDM0ElLyQ69gUih3xWth4HQ&#10;jS6qsrwoBvSt8yhkCHR6NyX5JuN3nRTxa9cFGZluOPUW8+rzuk1rsVlDvfPgeiWObcA/dGFAWSp6&#10;grqDCGzv1V9QRgmPAbs4E2gK7DolZOZAbOblKzaPPTiZuZA4wZ1kCv8PVnw5PLpvnsXxPY40wEwi&#10;uAcUPwOzeNuD3ckb73HoJbRUeJ4kKwYX6uPVJHWoQwLZDp+xpSHDPmIGGjtvkirEkxE6DeDpJLoc&#10;IxN0WK0uLstqyZmg3Gperco8lQLq59vOh/hRomFp03BPQ83ocHgIMXUD9fMvqZjFe6V1Hqy2bGj4&#10;1ZLgX2WMiuQ7rQzVLNM3OSGR/GDbfDmC0tOeCmh7ZJ2ITpTjuB2ZakmSKl1OKmyxfSIdPE4+o3dB&#10;mx79b84G8ljDw689eMmZ/mRJy6v5YpFMmYPF8rKiwJ9ntucZsIKgGh45m7a3MRt5YnZDmncqy/HS&#10;ybFn8k5W6ejzZM7zOP/18ho3fwAAAP//AwBQSwMEFAAGAAgAAAAhAEL7DiDeAAAACgEAAA8AAABk&#10;cnMvZG93bnJldi54bWxMj8FOwzAQRO9I/IO1SNxaO8QQGuJUCMQV1EIrcXOTbRIRr6PYbcLfs5zg&#10;uJqnmbfFena9OOMYOk8GkqUCgVT5uqPGwMf7y+IeRIiWatt7QgPfGGBdXl4UNq/9RBs8b2MjuIRC&#10;bg20MQ65lKFq0dmw9AMSZ0c/Ohv5HBtZj3bictfLG6XupLMd8UJrB3xqsfranpyB3evxc6/VW/Ps&#10;bofJz0qSW0ljrq/mxwcQEef4B8OvPqtDyU4Hf6I6iN7AIsk0owb0KgXBgE51AuLAZJalIMtC/n+h&#10;/AEAAP//AwBQSwECLQAUAAYACAAAACEAtoM4kv4AAADhAQAAEwAAAAAAAAAAAAAAAAAAAAAAW0Nv&#10;bnRlbnRfVHlwZXNdLnhtbFBLAQItABQABgAIAAAAIQA4/SH/1gAAAJQBAAALAAAAAAAAAAAAAAAA&#10;AC8BAABfcmVscy8ucmVsc1BLAQItABQABgAIAAAAIQDQynkH+wEAANUDAAAOAAAAAAAAAAAAAAAA&#10;AC4CAABkcnMvZTJvRG9jLnhtbFBLAQItABQABgAIAAAAIQBC+w4g3gAAAAoBAAAPAAAAAAAAAAAA&#10;AAAAAFUEAABkcnMvZG93bnJldi54bWxQSwUGAAAAAAQABADzAAAAYAUAAAAA&#10;" filled="f" stroked="f">
                <v:textbox>
                  <w:txbxContent>
                    <w:p w14:paraId="3C99D2E7" w14:textId="77777777" w:rsidR="00E82E66" w:rsidRPr="001176C0" w:rsidRDefault="00E82E66" w:rsidP="00E82E66">
                      <w:pPr>
                        <w:jc w:val="both"/>
                        <w:rPr>
                          <w:sz w:val="20"/>
                          <w:szCs w:val="20"/>
                        </w:rPr>
                      </w:pPr>
                      <w:r>
                        <w:rPr>
                          <w:sz w:val="20"/>
                          <w:szCs w:val="20"/>
                        </w:rPr>
                        <w:t xml:space="preserve">The 2021 Census also showed that </w:t>
                      </w:r>
                      <w:r w:rsidRPr="00C25EFC">
                        <w:rPr>
                          <w:sz w:val="20"/>
                          <w:szCs w:val="20"/>
                        </w:rPr>
                        <w:t>9.</w:t>
                      </w:r>
                      <w:r>
                        <w:rPr>
                          <w:sz w:val="20"/>
                          <w:szCs w:val="20"/>
                        </w:rPr>
                        <w:t>3</w:t>
                      </w:r>
                      <w:r w:rsidRPr="00C25EFC">
                        <w:rPr>
                          <w:sz w:val="20"/>
                          <w:szCs w:val="20"/>
                        </w:rPr>
                        <w:t>% of males and 13.</w:t>
                      </w:r>
                      <w:r>
                        <w:rPr>
                          <w:sz w:val="20"/>
                          <w:szCs w:val="20"/>
                        </w:rPr>
                        <w:t>1</w:t>
                      </w:r>
                      <w:r w:rsidRPr="00C25EFC">
                        <w:rPr>
                          <w:sz w:val="20"/>
                          <w:szCs w:val="20"/>
                        </w:rPr>
                        <w:t>% of females in Greater Dandenong, provided unpaid care for a person with a disability</w:t>
                      </w:r>
                      <w:r>
                        <w:rPr>
                          <w:sz w:val="20"/>
                          <w:szCs w:val="20"/>
                        </w:rPr>
                        <w:t xml:space="preserve"> or chronic illness.</w:t>
                      </w:r>
                    </w:p>
                  </w:txbxContent>
                </v:textbox>
              </v:shape>
            </w:pict>
          </mc:Fallback>
        </mc:AlternateContent>
      </w:r>
      <w:r w:rsidR="00E82E66">
        <w:rPr>
          <w:b/>
          <w:noProof/>
          <w:color w:val="222A35" w:themeColor="text2" w:themeShade="80"/>
          <w:sz w:val="26"/>
          <w:szCs w:val="26"/>
        </w:rPr>
        <w:drawing>
          <wp:anchor distT="0" distB="0" distL="114300" distR="114300" simplePos="0" relativeHeight="251893760" behindDoc="0" locked="0" layoutInCell="1" allowOverlap="1" wp14:anchorId="11CAA592" wp14:editId="69272508">
            <wp:simplePos x="0" y="0"/>
            <wp:positionH relativeFrom="margin">
              <wp:posOffset>2720263</wp:posOffset>
            </wp:positionH>
            <wp:positionV relativeFrom="paragraph">
              <wp:posOffset>304320</wp:posOffset>
            </wp:positionV>
            <wp:extent cx="3171825" cy="2266950"/>
            <wp:effectExtent l="0" t="0" r="9525" b="0"/>
            <wp:wrapSquare wrapText="bothSides"/>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171825" cy="2266950"/>
                    </a:xfrm>
                    <a:prstGeom prst="rect">
                      <a:avLst/>
                    </a:prstGeom>
                    <a:noFill/>
                  </pic:spPr>
                </pic:pic>
              </a:graphicData>
            </a:graphic>
            <wp14:sizeRelH relativeFrom="page">
              <wp14:pctWidth>0</wp14:pctWidth>
            </wp14:sizeRelH>
            <wp14:sizeRelV relativeFrom="page">
              <wp14:pctHeight>0</wp14:pctHeight>
            </wp14:sizeRelV>
          </wp:anchor>
        </w:drawing>
      </w:r>
      <w:r w:rsidR="00E82E66" w:rsidRPr="005D37BE">
        <w:rPr>
          <w:b/>
          <w:color w:val="222A35" w:themeColor="text2" w:themeShade="80"/>
          <w:sz w:val="26"/>
          <w:szCs w:val="26"/>
        </w:rPr>
        <w:t>Unpaid Assistance to Persons with Disability</w:t>
      </w:r>
    </w:p>
    <w:p w14:paraId="508F396E" w14:textId="7CC28E16" w:rsidR="00E82E66" w:rsidRPr="000E0724" w:rsidRDefault="00E82E66" w:rsidP="00E82E66">
      <w:pPr>
        <w:spacing w:after="0" w:line="360" w:lineRule="auto"/>
        <w:rPr>
          <w:b/>
          <w:color w:val="222A35" w:themeColor="text2" w:themeShade="80"/>
          <w:sz w:val="26"/>
          <w:szCs w:val="26"/>
        </w:rPr>
      </w:pPr>
    </w:p>
    <w:p w14:paraId="219AFFCA" w14:textId="77777777" w:rsidR="00E82E66" w:rsidRDefault="00E82E66" w:rsidP="00E82E66">
      <w:pPr>
        <w:spacing w:after="0" w:line="360" w:lineRule="auto"/>
        <w:rPr>
          <w:b/>
        </w:rPr>
      </w:pPr>
    </w:p>
    <w:p w14:paraId="5253B628" w14:textId="77777777" w:rsidR="00E82E66" w:rsidRDefault="00E82E66" w:rsidP="00E82E66">
      <w:pPr>
        <w:spacing w:after="0" w:line="360" w:lineRule="auto"/>
        <w:rPr>
          <w:b/>
        </w:rPr>
      </w:pPr>
    </w:p>
    <w:p w14:paraId="70800B33" w14:textId="77777777" w:rsidR="00E82E66" w:rsidRPr="005D37BE" w:rsidRDefault="00E82E66" w:rsidP="00E82E66">
      <w:pPr>
        <w:spacing w:after="0" w:line="360" w:lineRule="auto"/>
        <w:rPr>
          <w:b/>
        </w:rPr>
      </w:pPr>
    </w:p>
    <w:p w14:paraId="7B3A883A" w14:textId="77777777" w:rsidR="00E82E66" w:rsidRPr="005D37BE" w:rsidRDefault="00E82E66" w:rsidP="00E82E66">
      <w:pPr>
        <w:spacing w:after="0" w:line="240" w:lineRule="auto"/>
      </w:pPr>
      <w:r>
        <w:rPr>
          <w:noProof/>
          <w:lang w:eastAsia="en-AU"/>
        </w:rPr>
        <w:drawing>
          <wp:anchor distT="0" distB="0" distL="114300" distR="114300" simplePos="0" relativeHeight="251846656" behindDoc="0" locked="0" layoutInCell="1" allowOverlap="1" wp14:anchorId="491070BA" wp14:editId="4AF07D0D">
            <wp:simplePos x="0" y="0"/>
            <wp:positionH relativeFrom="column">
              <wp:posOffset>1201544</wp:posOffset>
            </wp:positionH>
            <wp:positionV relativeFrom="paragraph">
              <wp:posOffset>382998</wp:posOffset>
            </wp:positionV>
            <wp:extent cx="1238250" cy="819785"/>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V 5.jpg"/>
                    <pic:cNvPicPr/>
                  </pic:nvPicPr>
                  <pic:blipFill>
                    <a:blip r:embed="rId198">
                      <a:extLst>
                        <a:ext uri="{28A0092B-C50C-407E-A947-70E740481C1C}">
                          <a14:useLocalDpi xmlns:a14="http://schemas.microsoft.com/office/drawing/2010/main" val="0"/>
                        </a:ext>
                      </a:extLst>
                    </a:blip>
                    <a:stretch>
                      <a:fillRect/>
                    </a:stretch>
                  </pic:blipFill>
                  <pic:spPr>
                    <a:xfrm>
                      <a:off x="0" y="0"/>
                      <a:ext cx="1238250" cy="819785"/>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r w:rsidRPr="005D37BE">
        <w:rPr>
          <w:color w:val="7F7F7F" w:themeColor="text1" w:themeTint="80"/>
          <w:sz w:val="20"/>
          <w:szCs w:val="20"/>
        </w:rPr>
        <w:t>Per cent of persons who provide unpaid care for a person with a disability, by gender: Greater Dandenong, 20</w:t>
      </w:r>
      <w:r>
        <w:rPr>
          <w:color w:val="7F7F7F" w:themeColor="text1" w:themeTint="80"/>
          <w:sz w:val="20"/>
          <w:szCs w:val="20"/>
        </w:rPr>
        <w:t>21</w:t>
      </w:r>
    </w:p>
    <w:p w14:paraId="0F891E12" w14:textId="77777777" w:rsidR="00E82E66" w:rsidRDefault="00E82E66" w:rsidP="00E82E66">
      <w:pPr>
        <w:spacing w:after="0" w:line="360" w:lineRule="auto"/>
      </w:pPr>
    </w:p>
    <w:p w14:paraId="1A535BE7" w14:textId="77777777" w:rsidR="00E82E66" w:rsidRDefault="00E82E66" w:rsidP="00E82E66">
      <w:pPr>
        <w:spacing w:after="0" w:line="360" w:lineRule="auto"/>
      </w:pPr>
    </w:p>
    <w:p w14:paraId="06FEB542" w14:textId="1E87F874" w:rsidR="00E82E66" w:rsidRDefault="00E82E66" w:rsidP="00E82E66">
      <w:pPr>
        <w:spacing w:after="0" w:line="360" w:lineRule="auto"/>
      </w:pPr>
    </w:p>
    <w:p w14:paraId="47B303EE" w14:textId="77777777" w:rsidR="00E82E66" w:rsidRDefault="00E82E66" w:rsidP="00E82E66">
      <w:pPr>
        <w:spacing w:after="0" w:line="360" w:lineRule="auto"/>
      </w:pPr>
    </w:p>
    <w:p w14:paraId="54A89062" w14:textId="77777777" w:rsidR="00E82E66" w:rsidRDefault="00E82E66" w:rsidP="00E82E66">
      <w:pPr>
        <w:spacing w:after="0" w:line="360" w:lineRule="auto"/>
      </w:pPr>
    </w:p>
    <w:p w14:paraId="747C4ED2" w14:textId="77D22A2A" w:rsidR="00E82E66" w:rsidRDefault="00E82E66" w:rsidP="00E82E66">
      <w:pPr>
        <w:spacing w:after="0" w:line="360" w:lineRule="auto"/>
      </w:pPr>
      <w:r>
        <w:rPr>
          <w:noProof/>
        </w:rPr>
        <w:drawing>
          <wp:anchor distT="0" distB="0" distL="114300" distR="114300" simplePos="0" relativeHeight="251880448" behindDoc="0" locked="0" layoutInCell="1" allowOverlap="1" wp14:anchorId="155D2E2A" wp14:editId="4187366C">
            <wp:simplePos x="0" y="0"/>
            <wp:positionH relativeFrom="margin">
              <wp:align>right</wp:align>
            </wp:positionH>
            <wp:positionV relativeFrom="paragraph">
              <wp:posOffset>204532</wp:posOffset>
            </wp:positionV>
            <wp:extent cx="3782695" cy="2735580"/>
            <wp:effectExtent l="0" t="0" r="8255" b="7620"/>
            <wp:wrapSquare wrapText="bothSides"/>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782695" cy="2735580"/>
                    </a:xfrm>
                    <a:prstGeom prst="rect">
                      <a:avLst/>
                    </a:prstGeom>
                    <a:noFill/>
                  </pic:spPr>
                </pic:pic>
              </a:graphicData>
            </a:graphic>
            <wp14:sizeRelH relativeFrom="page">
              <wp14:pctWidth>0</wp14:pctWidth>
            </wp14:sizeRelH>
            <wp14:sizeRelV relativeFrom="page">
              <wp14:pctHeight>0</wp14:pctHeight>
            </wp14:sizeRelV>
          </wp:anchor>
        </w:drawing>
      </w:r>
    </w:p>
    <w:p w14:paraId="5FE8CC6E" w14:textId="77777777" w:rsidR="00E82E66" w:rsidRPr="00F15706" w:rsidRDefault="00E82E66" w:rsidP="00E82E66">
      <w:pPr>
        <w:spacing w:after="0" w:line="360" w:lineRule="auto"/>
      </w:pPr>
      <w:r w:rsidRPr="005D37BE">
        <w:rPr>
          <w:b/>
          <w:color w:val="222A35" w:themeColor="text2" w:themeShade="80"/>
          <w:sz w:val="26"/>
          <w:szCs w:val="26"/>
        </w:rPr>
        <w:t>Family Violence</w:t>
      </w:r>
    </w:p>
    <w:p w14:paraId="00F77D0B" w14:textId="77777777" w:rsidR="00E82E66" w:rsidRPr="005D37BE" w:rsidRDefault="00E82E66" w:rsidP="00E82E66">
      <w:pPr>
        <w:spacing w:after="0" w:line="360" w:lineRule="auto"/>
      </w:pPr>
      <w:r w:rsidRPr="005D37BE">
        <w:rPr>
          <w:noProof/>
          <w:lang w:eastAsia="en-AU"/>
        </w:rPr>
        <mc:AlternateContent>
          <mc:Choice Requires="wps">
            <w:drawing>
              <wp:anchor distT="0" distB="0" distL="114300" distR="114300" simplePos="0" relativeHeight="251871232" behindDoc="0" locked="0" layoutInCell="1" allowOverlap="1" wp14:anchorId="269499F4" wp14:editId="2DE2E5B5">
                <wp:simplePos x="0" y="0"/>
                <wp:positionH relativeFrom="column">
                  <wp:posOffset>37728</wp:posOffset>
                </wp:positionH>
                <wp:positionV relativeFrom="paragraph">
                  <wp:posOffset>6350</wp:posOffset>
                </wp:positionV>
                <wp:extent cx="2309812" cy="966439"/>
                <wp:effectExtent l="0" t="0" r="0" b="5715"/>
                <wp:wrapNone/>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9812" cy="966439"/>
                        </a:xfrm>
                        <a:prstGeom prst="rect">
                          <a:avLst/>
                        </a:prstGeom>
                        <a:noFill/>
                        <a:ln w="9525">
                          <a:noFill/>
                          <a:miter lim="800000"/>
                          <a:headEnd/>
                          <a:tailEnd/>
                        </a:ln>
                      </wps:spPr>
                      <wps:txbx>
                        <w:txbxContent>
                          <w:p w14:paraId="56F982A5" w14:textId="77777777" w:rsidR="00E82E66" w:rsidRPr="00C25EFC" w:rsidRDefault="00E82E66" w:rsidP="00E82E66">
                            <w:pPr>
                              <w:jc w:val="both"/>
                              <w:rPr>
                                <w:sz w:val="20"/>
                                <w:szCs w:val="20"/>
                              </w:rPr>
                            </w:pPr>
                            <w:r>
                              <w:rPr>
                                <w:sz w:val="20"/>
                                <w:szCs w:val="20"/>
                              </w:rPr>
                              <w:t xml:space="preserve">In 2021/22, the rate of incidents of family violence  recorded by police  was the third highest in Melbourne. Women  accounted for 73% of victims of such crimes.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69499F4" id="_x0000_s1039" type="#_x0000_t202" style="position:absolute;margin-left:2.95pt;margin-top:.5pt;width:181.85pt;height:76.1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4xA/QEAANUDAAAOAAAAZHJzL2Uyb0RvYy54bWysU9uO2yAQfa/Uf0C8N3acSxMrzmq7260q&#10;bS/Sth+AMY5RgaFAYqdf3wF7s1H7VtUPCBjPmTlnDrubQStyEs5LMBWdz3JKhOHQSHOo6PdvD282&#10;lPjATMMUGFHRs/D0Zv/61a63pSigA9UIRxDE+LK3Fe1CsGWWed4JzfwMrDAYbMFpFvDoDlnjWI/o&#10;WmVFnq+zHlxjHXDhPd7ej0G6T/htK3j40rZeBKIqir2FtLq01nHN9jtWHhyzneRTG+wfutBMGix6&#10;gbpngZGjk39BackdeGjDjIPOoG0lF4kDspnnf7B56pgViQuK4+1FJv//YPnn05P96kgY3sGAA0wk&#10;vH0E/sMTA3cdMwdx6xz0nWANFp5HybLe+nJKjVL70keQuv8EDQ6ZHQMkoKF1OqqCPAmi4wDOF9HF&#10;EAjHy2KRbzfzghKOse16vVxsUwlWPmdb58MHAZrETUUdDjWhs9OjD7EbVj7/EosZeJBKpcEqQ3oE&#10;XRWrlHAV0TKg75TUFd3k8RudEEm+N01KDkyqcY8FlJlYR6Ij5TDUA5ENSrKIyVGFGpoz6uBg9Bm+&#10;C9x04H5R0qPHKup/HpkTlKiPBrXczpfLaMp0WK7eFnhw15H6OsIMR6iKBkrG7V1IRh4536LmrUxy&#10;vHQy9YzeSSpNPo/mvD6nv15e4/43AAAA//8DAFBLAwQUAAYACAAAACEAxYR+WdsAAAAHAQAADwAA&#10;AGRycy9kb3ducmV2LnhtbEyPwU7DMBBE70j8g7WVuFG7LYlIiFMhEFcQBSr15sbbJCJeR7HbpH/f&#10;5USPszOafVOsJ9eJEw6h9aRhMVcgkCpvW6o1fH+93T+CCNGQNZ0n1HDGAOvy9qYwufUjfeJpE2vB&#10;JRRyo6GJsc+lDFWDzoS575HYO/jBmchyqKUdzMjlrpNLpVLpTEv8oTE9vjRY/W6OTsPP+2G3fVAf&#10;9atL+tFPSpLLpNZ3s+n5CUTEKf6H4Q+f0aFkpr0/kg2i05BkHOQzD2J3lWYpiD3rZLUEWRbymr+8&#10;AAAA//8DAFBLAQItABQABgAIAAAAIQC2gziS/gAAAOEBAAATAAAAAAAAAAAAAAAAAAAAAABbQ29u&#10;dGVudF9UeXBlc10ueG1sUEsBAi0AFAAGAAgAAAAhADj9If/WAAAAlAEAAAsAAAAAAAAAAAAAAAAA&#10;LwEAAF9yZWxzLy5yZWxzUEsBAi0AFAAGAAgAAAAhAG3HjED9AQAA1QMAAA4AAAAAAAAAAAAAAAAA&#10;LgIAAGRycy9lMm9Eb2MueG1sUEsBAi0AFAAGAAgAAAAhAMWEflnbAAAABwEAAA8AAAAAAAAAAAAA&#10;AAAAVwQAAGRycy9kb3ducmV2LnhtbFBLBQYAAAAABAAEAPMAAABfBQAAAAA=&#10;" filled="f" stroked="f">
                <v:textbox>
                  <w:txbxContent>
                    <w:p w14:paraId="56F982A5" w14:textId="77777777" w:rsidR="00E82E66" w:rsidRPr="00C25EFC" w:rsidRDefault="00E82E66" w:rsidP="00E82E66">
                      <w:pPr>
                        <w:jc w:val="both"/>
                        <w:rPr>
                          <w:sz w:val="20"/>
                          <w:szCs w:val="20"/>
                        </w:rPr>
                      </w:pPr>
                      <w:r>
                        <w:rPr>
                          <w:sz w:val="20"/>
                          <w:szCs w:val="20"/>
                        </w:rPr>
                        <w:t xml:space="preserve">In 2021/22, the rate of incidents of family violence  recorded by police  was the third highest in Melbourne. Women  accounted for 73% of victims of such crimes. </w:t>
                      </w:r>
                    </w:p>
                  </w:txbxContent>
                </v:textbox>
              </v:shape>
            </w:pict>
          </mc:Fallback>
        </mc:AlternateContent>
      </w:r>
    </w:p>
    <w:p w14:paraId="3184C3BF" w14:textId="77777777" w:rsidR="00E82E66" w:rsidRPr="005D37BE" w:rsidRDefault="00E82E66" w:rsidP="00E82E66">
      <w:pPr>
        <w:spacing w:after="0" w:line="360" w:lineRule="auto"/>
      </w:pPr>
    </w:p>
    <w:p w14:paraId="4D564B6E" w14:textId="77777777" w:rsidR="00E82E66" w:rsidRPr="005D37BE" w:rsidRDefault="00E82E66" w:rsidP="00E82E66">
      <w:pPr>
        <w:spacing w:after="0" w:line="360" w:lineRule="auto"/>
      </w:pPr>
    </w:p>
    <w:p w14:paraId="0298A686" w14:textId="77777777" w:rsidR="00E82E66" w:rsidRDefault="00E82E66" w:rsidP="00E82E66">
      <w:pPr>
        <w:spacing w:after="0" w:line="360" w:lineRule="auto"/>
        <w:rPr>
          <w:color w:val="7F7F7F" w:themeColor="text1" w:themeTint="80"/>
          <w:sz w:val="20"/>
          <w:szCs w:val="20"/>
        </w:rPr>
      </w:pPr>
    </w:p>
    <w:p w14:paraId="35391F86" w14:textId="77777777" w:rsidR="00E82E66" w:rsidRDefault="00E82E66" w:rsidP="00E82E66">
      <w:pPr>
        <w:spacing w:after="0" w:line="360" w:lineRule="auto"/>
        <w:rPr>
          <w:color w:val="7F7F7F" w:themeColor="text1" w:themeTint="80"/>
          <w:sz w:val="20"/>
          <w:szCs w:val="20"/>
        </w:rPr>
      </w:pPr>
    </w:p>
    <w:p w14:paraId="6B7B1E0A" w14:textId="77777777" w:rsidR="00E82E66" w:rsidRDefault="00E82E66" w:rsidP="00E82E66">
      <w:pPr>
        <w:spacing w:after="0" w:line="360" w:lineRule="auto"/>
        <w:rPr>
          <w:color w:val="7F7F7F" w:themeColor="text1" w:themeTint="80"/>
          <w:sz w:val="20"/>
          <w:szCs w:val="20"/>
        </w:rPr>
      </w:pPr>
    </w:p>
    <w:p w14:paraId="6D3C459D" w14:textId="5EE4A909" w:rsidR="00E82E66" w:rsidRPr="005D37BE" w:rsidRDefault="00E82E66" w:rsidP="00E82E66">
      <w:pPr>
        <w:spacing w:after="0" w:line="240" w:lineRule="auto"/>
        <w:rPr>
          <w:color w:val="7F7F7F" w:themeColor="text1" w:themeTint="80"/>
          <w:sz w:val="20"/>
          <w:szCs w:val="20"/>
        </w:rPr>
      </w:pPr>
      <w:r w:rsidRPr="005D37BE">
        <w:rPr>
          <w:color w:val="7F7F7F" w:themeColor="text1" w:themeTint="80"/>
          <w:sz w:val="20"/>
          <w:szCs w:val="20"/>
        </w:rPr>
        <w:t xml:space="preserve">Number of recorded victims of alleged family violence incidents, by gender: Greater Dandenong, </w:t>
      </w:r>
      <w:r>
        <w:rPr>
          <w:color w:val="7F7F7F" w:themeColor="text1" w:themeTint="80"/>
          <w:sz w:val="20"/>
          <w:szCs w:val="20"/>
        </w:rPr>
        <w:t>2021/22</w:t>
      </w:r>
    </w:p>
    <w:p w14:paraId="3C478C1A" w14:textId="4065C0CE" w:rsidR="00E82E66" w:rsidRPr="005D37BE" w:rsidRDefault="00E82E66" w:rsidP="00E82E66">
      <w:pPr>
        <w:spacing w:after="0" w:line="360" w:lineRule="auto"/>
      </w:pPr>
    </w:p>
    <w:p w14:paraId="0366FB5B" w14:textId="16DCEA0D" w:rsidR="00E82E66" w:rsidRDefault="00E82E66" w:rsidP="00E82E66">
      <w:pPr>
        <w:spacing w:after="0" w:line="360" w:lineRule="auto"/>
      </w:pPr>
    </w:p>
    <w:p w14:paraId="4273D006" w14:textId="7B3FB78E" w:rsidR="00E82E66" w:rsidRDefault="00E82E66" w:rsidP="00E82E66">
      <w:pPr>
        <w:spacing w:after="0" w:line="360" w:lineRule="auto"/>
        <w:jc w:val="both"/>
        <w:rPr>
          <w:color w:val="000000"/>
          <w:sz w:val="20"/>
          <w:szCs w:val="20"/>
        </w:rPr>
      </w:pPr>
    </w:p>
    <w:p w14:paraId="5671B91F" w14:textId="77777777" w:rsidR="00E82E66" w:rsidRPr="0086753E" w:rsidRDefault="00E82E66" w:rsidP="00E82E66">
      <w:pPr>
        <w:spacing w:after="0" w:line="360" w:lineRule="auto"/>
        <w:jc w:val="both"/>
        <w:rPr>
          <w:color w:val="000000"/>
          <w:sz w:val="20"/>
          <w:szCs w:val="20"/>
        </w:rPr>
      </w:pPr>
    </w:p>
    <w:p w14:paraId="70003C76" w14:textId="7FAE7748" w:rsidR="00E82E66" w:rsidRPr="00400C3D" w:rsidRDefault="00E82E66" w:rsidP="00E82E66">
      <w:pPr>
        <w:spacing w:after="0" w:line="360" w:lineRule="auto"/>
        <w:rPr>
          <w:b/>
          <w:color w:val="222A35" w:themeColor="text2" w:themeShade="80"/>
          <w:sz w:val="26"/>
          <w:szCs w:val="26"/>
        </w:rPr>
      </w:pPr>
      <w:r>
        <w:rPr>
          <w:noProof/>
          <w:color w:val="000000"/>
        </w:rPr>
        <w:drawing>
          <wp:anchor distT="0" distB="0" distL="114300" distR="114300" simplePos="0" relativeHeight="251895808" behindDoc="0" locked="0" layoutInCell="1" allowOverlap="1" wp14:anchorId="74930FD7" wp14:editId="63230F3F">
            <wp:simplePos x="0" y="0"/>
            <wp:positionH relativeFrom="margin">
              <wp:align>left</wp:align>
            </wp:positionH>
            <wp:positionV relativeFrom="paragraph">
              <wp:posOffset>5715</wp:posOffset>
            </wp:positionV>
            <wp:extent cx="3257550" cy="2319020"/>
            <wp:effectExtent l="0" t="0" r="0" b="5080"/>
            <wp:wrapSquare wrapText="bothSides"/>
            <wp:docPr id="253" name="Picture 25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Chart, bar chart&#10;&#10;Description automatically generated"/>
                    <pic:cNvPicPr>
                      <a:picLocks noChangeAspect="1" noChangeArrowheads="1"/>
                    </pic:cNvPicPr>
                  </pic:nvPicPr>
                  <pic:blipFill rotWithShape="1">
                    <a:blip r:embed="rId200">
                      <a:extLst>
                        <a:ext uri="{28A0092B-C50C-407E-A947-70E740481C1C}">
                          <a14:useLocalDpi xmlns:a14="http://schemas.microsoft.com/office/drawing/2010/main" val="0"/>
                        </a:ext>
                      </a:extLst>
                    </a:blip>
                    <a:srcRect r="6930"/>
                    <a:stretch/>
                  </pic:blipFill>
                  <pic:spPr bwMode="auto">
                    <a:xfrm>
                      <a:off x="0" y="0"/>
                      <a:ext cx="3257550" cy="231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00C3D">
        <w:rPr>
          <w:b/>
          <w:color w:val="222A35" w:themeColor="text2" w:themeShade="80"/>
          <w:sz w:val="26"/>
          <w:szCs w:val="26"/>
        </w:rPr>
        <w:t>Perceptions of Personal Safety</w:t>
      </w:r>
    </w:p>
    <w:p w14:paraId="541C633E" w14:textId="6EFE9C75" w:rsidR="00E82E66" w:rsidRPr="005D37BE" w:rsidRDefault="00E82E66" w:rsidP="00E82E66">
      <w:pPr>
        <w:spacing w:after="0" w:line="360" w:lineRule="auto"/>
      </w:pPr>
      <w:r w:rsidRPr="005D37BE">
        <w:rPr>
          <w:noProof/>
          <w:lang w:eastAsia="en-AU"/>
        </w:rPr>
        <mc:AlternateContent>
          <mc:Choice Requires="wps">
            <w:drawing>
              <wp:anchor distT="0" distB="0" distL="114300" distR="114300" simplePos="0" relativeHeight="251894784" behindDoc="0" locked="0" layoutInCell="1" allowOverlap="1" wp14:anchorId="7B098B53" wp14:editId="4941AE8D">
                <wp:simplePos x="0" y="0"/>
                <wp:positionH relativeFrom="margin">
                  <wp:posOffset>3398426</wp:posOffset>
                </wp:positionH>
                <wp:positionV relativeFrom="paragraph">
                  <wp:posOffset>118249</wp:posOffset>
                </wp:positionV>
                <wp:extent cx="2536159" cy="960120"/>
                <wp:effectExtent l="0" t="0" r="0" b="0"/>
                <wp:wrapNone/>
                <wp:docPr id="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59" cy="960120"/>
                        </a:xfrm>
                        <a:prstGeom prst="rect">
                          <a:avLst/>
                        </a:prstGeom>
                        <a:noFill/>
                        <a:ln w="9525">
                          <a:noFill/>
                          <a:miter lim="800000"/>
                          <a:headEnd/>
                          <a:tailEnd/>
                        </a:ln>
                      </wps:spPr>
                      <wps:txbx>
                        <w:txbxContent>
                          <w:p w14:paraId="07704FBF" w14:textId="77777777" w:rsidR="00E82E66" w:rsidRPr="00C25EFC" w:rsidRDefault="00E82E66" w:rsidP="00E82E66">
                            <w:pPr>
                              <w:jc w:val="both"/>
                              <w:rPr>
                                <w:sz w:val="20"/>
                                <w:szCs w:val="20"/>
                              </w:rPr>
                            </w:pPr>
                            <w:r>
                              <w:rPr>
                                <w:sz w:val="20"/>
                                <w:szCs w:val="20"/>
                              </w:rPr>
                              <w:t>A 2015 survey conducted by the State Government found that nearly half (46%) of females and a fifth (20%) of males in Greater Dandenong did not feel safe while walking alone at night in their neighbourhoods.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B098B53" id="_x0000_s1040" type="#_x0000_t202" style="position:absolute;margin-left:267.6pt;margin-top:9.3pt;width:199.7pt;height:75.6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sMY/QEAANUDAAAOAAAAZHJzL2Uyb0RvYy54bWysU9uO2yAQfa/Uf0C8N740STdWnNV2t1tV&#10;2l6kbT8AYxyjAkOBxE6/fgfszUbtW1U/IGA8Z+acOWyvR63IUTgvwdS0WOSUCMOhlWZf0x/f799c&#10;UeIDMy1TYERNT8LT693rV9vBVqKEHlQrHEEQ46vB1rQPwVZZ5nkvNPMLsMJgsAOnWcCj22etYwOi&#10;a5WVeb7OBnCtdcCF93h7NwXpLuF3neDha9d5EYiqKfYW0urS2sQ1221ZtXfM9pLPbbB/6EIzabDo&#10;GeqOBUYOTv4FpSV34KELCw46g66TXCQOyKbI/2Dz2DMrEhcUx9uzTP7/wfIvx0f7zZEwvocRB5hI&#10;ePsA/KcnBm57ZvbixjkYesFaLFxEybLB+mpOjVL7ykeQZvgMLQ6ZHQIkoLFzOqqCPAmi4wBOZ9HF&#10;GAjHy3L1dl2sNpRwjG3WeVGmqWSses62zoePAjSJm5o6HGpCZ8cHH2I3rHr+JRYzcC+VSoNVhgwI&#10;uipXKeEiomVA3ympa3qVx29yQiT5wbQpOTCppj0WUGZmHYlOlMPYjES2KMkyJkcVGmhPqIODyWf4&#10;LnDTg/tNyYAeq6n/dWBOUKI+GdRyUyyX0ZTpsFy9Q+bEXUaaywgzHKFqGiiZtrchGXnifIOadzLJ&#10;8dLJ3DN6J6k0+zya8/Kc/np5jbsnAAAA//8DAFBLAwQUAAYACAAAACEA8rSXj94AAAAKAQAADwAA&#10;AGRycy9kb3ducmV2LnhtbEyPzU7DMBCE70i8g7VI3KhN20RJGqdCIK4gyo/Umxtvk4h4HcVuE96e&#10;5URvuzuj2W/K7ex6ccYxdJ403C8UCKTa244aDR/vz3cZiBANWdN7Qg0/GGBbXV+VprB+ojc872Ij&#10;OIRCYTS0MQ6FlKFu0Zmw8AMSa0c/OhN5HRtpRzNxuOvlUqlUOtMRf2jNgI8t1t+7k9Pw+XLcf63V&#10;a/PkkmHys5Lkcqn17c38sAERcY7/ZvjDZ3SomOngT2SD6DUkq2TJVhayFAQb8tWahwMf0jwDWZXy&#10;skL1CwAA//8DAFBLAQItABQABgAIAAAAIQC2gziS/gAAAOEBAAATAAAAAAAAAAAAAAAAAAAAAABb&#10;Q29udGVudF9UeXBlc10ueG1sUEsBAi0AFAAGAAgAAAAhADj9If/WAAAAlAEAAAsAAAAAAAAAAAAA&#10;AAAALwEAAF9yZWxzLy5yZWxzUEsBAi0AFAAGAAgAAAAhABpKwxj9AQAA1QMAAA4AAAAAAAAAAAAA&#10;AAAALgIAAGRycy9lMm9Eb2MueG1sUEsBAi0AFAAGAAgAAAAhAPK0l4/eAAAACgEAAA8AAAAAAAAA&#10;AAAAAAAAVwQAAGRycy9kb3ducmV2LnhtbFBLBQYAAAAABAAEAPMAAABiBQAAAAA=&#10;" filled="f" stroked="f">
                <v:textbox>
                  <w:txbxContent>
                    <w:p w14:paraId="07704FBF" w14:textId="77777777" w:rsidR="00E82E66" w:rsidRPr="00C25EFC" w:rsidRDefault="00E82E66" w:rsidP="00E82E66">
                      <w:pPr>
                        <w:jc w:val="both"/>
                        <w:rPr>
                          <w:sz w:val="20"/>
                          <w:szCs w:val="20"/>
                        </w:rPr>
                      </w:pPr>
                      <w:r>
                        <w:rPr>
                          <w:sz w:val="20"/>
                          <w:szCs w:val="20"/>
                        </w:rPr>
                        <w:t>A 2015 survey conducted by the State Government found that nearly half (46%) of females and a fifth (20%) of males in Greater Dandenong did not feel safe while walking alone at night in their neighbourhoods.</w:t>
                      </w:r>
                    </w:p>
                  </w:txbxContent>
                </v:textbox>
                <w10:wrap anchorx="margin"/>
              </v:shape>
            </w:pict>
          </mc:Fallback>
        </mc:AlternateContent>
      </w:r>
    </w:p>
    <w:p w14:paraId="75F0D7C9" w14:textId="33EA9C53" w:rsidR="00E82E66" w:rsidRDefault="00E82E66" w:rsidP="00E82E66">
      <w:pPr>
        <w:spacing w:after="0" w:line="360" w:lineRule="auto"/>
      </w:pPr>
    </w:p>
    <w:p w14:paraId="55DD5BB0" w14:textId="7D4DBA7C" w:rsidR="00E82E66" w:rsidRDefault="00E82E66" w:rsidP="00E82E66">
      <w:pPr>
        <w:spacing w:after="0" w:line="360" w:lineRule="auto"/>
      </w:pPr>
    </w:p>
    <w:p w14:paraId="29F82321" w14:textId="5728D4A7" w:rsidR="00E82E66" w:rsidRDefault="00E82E66" w:rsidP="00E82E66">
      <w:pPr>
        <w:spacing w:after="0" w:line="360" w:lineRule="auto"/>
      </w:pPr>
    </w:p>
    <w:p w14:paraId="5472EB66" w14:textId="0F42BAA4" w:rsidR="00E82E66" w:rsidRDefault="00E82E66" w:rsidP="00E82E66">
      <w:pPr>
        <w:spacing w:after="0" w:line="360" w:lineRule="auto"/>
      </w:pPr>
    </w:p>
    <w:p w14:paraId="0DFED4C9" w14:textId="77777777" w:rsidR="00E82E66" w:rsidRPr="005D37BE" w:rsidRDefault="00E82E66" w:rsidP="00E82E66">
      <w:pPr>
        <w:spacing w:after="0" w:line="360" w:lineRule="auto"/>
      </w:pPr>
    </w:p>
    <w:p w14:paraId="33933ECB" w14:textId="384D0D75" w:rsidR="00E82E66" w:rsidRPr="005D37BE" w:rsidRDefault="00E82E66" w:rsidP="00E82E66">
      <w:pPr>
        <w:spacing w:after="0" w:line="240" w:lineRule="auto"/>
        <w:rPr>
          <w:color w:val="7F7F7F" w:themeColor="text1" w:themeTint="80"/>
          <w:sz w:val="20"/>
          <w:szCs w:val="20"/>
        </w:rPr>
      </w:pPr>
      <w:r>
        <w:rPr>
          <w:color w:val="7F7F7F" w:themeColor="text1" w:themeTint="80"/>
          <w:sz w:val="20"/>
          <w:szCs w:val="20"/>
        </w:rPr>
        <w:t>Per cent of women and men who feel unsafe walking alone in their neighbourhoods at night: Greater Dandenong 2015</w:t>
      </w:r>
    </w:p>
    <w:p w14:paraId="32DCC67E" w14:textId="25155987" w:rsidR="00E82E66" w:rsidRDefault="00E82E66" w:rsidP="00E82E66">
      <w:pPr>
        <w:spacing w:after="0" w:line="360" w:lineRule="auto"/>
      </w:pPr>
    </w:p>
    <w:p w14:paraId="4FB40315" w14:textId="77777777" w:rsidR="00E82E66" w:rsidRPr="005D37BE" w:rsidRDefault="00E82E66" w:rsidP="00E82E66">
      <w:pPr>
        <w:spacing w:after="0" w:line="360" w:lineRule="auto"/>
        <w:rPr>
          <w:b/>
          <w:color w:val="222A35" w:themeColor="text2" w:themeShade="80"/>
          <w:sz w:val="26"/>
          <w:szCs w:val="26"/>
        </w:rPr>
      </w:pPr>
      <w:r>
        <w:rPr>
          <w:b/>
          <w:color w:val="222A35" w:themeColor="text2" w:themeShade="80"/>
          <w:sz w:val="26"/>
          <w:szCs w:val="26"/>
        </w:rPr>
        <w:lastRenderedPageBreak/>
        <w:t>Attitudes to Gender Equity</w:t>
      </w:r>
    </w:p>
    <w:p w14:paraId="47E717BE" w14:textId="77777777" w:rsidR="00E82E66" w:rsidRPr="0086753E" w:rsidRDefault="00E82E66" w:rsidP="00E82E66">
      <w:pPr>
        <w:spacing w:after="0" w:line="360" w:lineRule="auto"/>
        <w:jc w:val="both"/>
        <w:rPr>
          <w:color w:val="000000"/>
          <w:sz w:val="20"/>
          <w:szCs w:val="20"/>
        </w:rPr>
      </w:pPr>
      <w:r w:rsidRPr="0086753E">
        <w:rPr>
          <w:color w:val="000000"/>
          <w:sz w:val="20"/>
          <w:szCs w:val="20"/>
        </w:rPr>
        <w:t>The 2015 VicHealth Indicators Survey sought to measure support for gender equality, recording the level of agreement among respondents to two statements:</w:t>
      </w:r>
    </w:p>
    <w:p w14:paraId="0786A912" w14:textId="77777777" w:rsidR="00E82E66" w:rsidRPr="0086753E" w:rsidRDefault="00E82E66" w:rsidP="00E82E66">
      <w:pPr>
        <w:pStyle w:val="ListParagraph"/>
        <w:numPr>
          <w:ilvl w:val="0"/>
          <w:numId w:val="2"/>
        </w:numPr>
        <w:spacing w:line="360" w:lineRule="auto"/>
        <w:ind w:left="714" w:hanging="357"/>
        <w:contextualSpacing/>
        <w:jc w:val="both"/>
        <w:rPr>
          <w:rFonts w:asciiTheme="minorHAnsi" w:hAnsiTheme="minorHAnsi"/>
          <w:color w:val="000000"/>
          <w:sz w:val="20"/>
          <w:szCs w:val="20"/>
        </w:rPr>
      </w:pPr>
      <w:r w:rsidRPr="0086753E">
        <w:rPr>
          <w:rFonts w:asciiTheme="minorHAnsi" w:hAnsiTheme="minorHAnsi"/>
          <w:color w:val="000000"/>
          <w:sz w:val="20"/>
          <w:szCs w:val="20"/>
        </w:rPr>
        <w:t>Men should take control in relationships and be head of the household</w:t>
      </w:r>
    </w:p>
    <w:p w14:paraId="5410D13C" w14:textId="77777777" w:rsidR="00E82E66" w:rsidRPr="0086753E" w:rsidRDefault="00E82E66" w:rsidP="00E82E66">
      <w:pPr>
        <w:pStyle w:val="ListParagraph"/>
        <w:numPr>
          <w:ilvl w:val="0"/>
          <w:numId w:val="2"/>
        </w:numPr>
        <w:spacing w:line="360" w:lineRule="auto"/>
        <w:ind w:left="714" w:hanging="357"/>
        <w:contextualSpacing/>
        <w:jc w:val="both"/>
        <w:rPr>
          <w:rFonts w:asciiTheme="minorHAnsi" w:hAnsiTheme="minorHAnsi"/>
          <w:color w:val="000000"/>
          <w:sz w:val="20"/>
          <w:szCs w:val="20"/>
        </w:rPr>
      </w:pPr>
      <w:r w:rsidRPr="0086753E">
        <w:rPr>
          <w:rFonts w:asciiTheme="minorHAnsi" w:hAnsiTheme="minorHAnsi"/>
          <w:color w:val="000000"/>
          <w:sz w:val="20"/>
          <w:szCs w:val="20"/>
        </w:rPr>
        <w:t xml:space="preserve">Women prefer a </w:t>
      </w:r>
      <w:r>
        <w:rPr>
          <w:rFonts w:asciiTheme="minorHAnsi" w:hAnsiTheme="minorHAnsi"/>
          <w:color w:val="000000"/>
          <w:sz w:val="20"/>
          <w:szCs w:val="20"/>
        </w:rPr>
        <w:t>man</w:t>
      </w:r>
      <w:r w:rsidRPr="0086753E">
        <w:rPr>
          <w:rFonts w:asciiTheme="minorHAnsi" w:hAnsiTheme="minorHAnsi"/>
          <w:color w:val="000000"/>
          <w:sz w:val="20"/>
          <w:szCs w:val="20"/>
        </w:rPr>
        <w:t xml:space="preserve"> to be in charge in a relationship</w:t>
      </w:r>
    </w:p>
    <w:p w14:paraId="2437BF65" w14:textId="77777777" w:rsidR="00E82E66" w:rsidRPr="0086753E" w:rsidRDefault="00E82E66" w:rsidP="00E82E66">
      <w:pPr>
        <w:spacing w:after="0" w:line="360" w:lineRule="auto"/>
        <w:jc w:val="both"/>
        <w:rPr>
          <w:color w:val="000000"/>
          <w:sz w:val="20"/>
          <w:szCs w:val="20"/>
        </w:rPr>
      </w:pPr>
      <w:r w:rsidRPr="0086753E">
        <w:rPr>
          <w:color w:val="000000"/>
          <w:sz w:val="20"/>
          <w:szCs w:val="20"/>
        </w:rPr>
        <w:t>The result was a score representing the percentage of respondents with a low support for gender equity</w:t>
      </w:r>
      <w:r>
        <w:rPr>
          <w:color w:val="000000"/>
          <w:sz w:val="20"/>
          <w:szCs w:val="20"/>
        </w:rPr>
        <w:t xml:space="preserve">, which </w:t>
      </w:r>
      <w:r w:rsidRPr="0086753E">
        <w:rPr>
          <w:color w:val="000000"/>
          <w:sz w:val="20"/>
          <w:szCs w:val="20"/>
        </w:rPr>
        <w:t xml:space="preserve">ranged from 18% in Indigo Shire to 58% in Greater Dandenong, </w:t>
      </w:r>
      <w:r>
        <w:rPr>
          <w:color w:val="000000"/>
          <w:sz w:val="20"/>
          <w:szCs w:val="20"/>
        </w:rPr>
        <w:t>averaging</w:t>
      </w:r>
      <w:r w:rsidRPr="0086753E">
        <w:rPr>
          <w:color w:val="000000"/>
          <w:sz w:val="20"/>
          <w:szCs w:val="20"/>
        </w:rPr>
        <w:t xml:space="preserve"> 36% across Melbourne. </w:t>
      </w:r>
    </w:p>
    <w:p w14:paraId="09B63BF1" w14:textId="77777777" w:rsidR="00E82E66" w:rsidRDefault="00E82E66" w:rsidP="00E82E66">
      <w:pPr>
        <w:spacing w:after="0" w:line="360" w:lineRule="auto"/>
        <w:jc w:val="both"/>
        <w:rPr>
          <w:color w:val="000000"/>
          <w:sz w:val="8"/>
          <w:szCs w:val="8"/>
        </w:rPr>
      </w:pPr>
    </w:p>
    <w:p w14:paraId="7FDE88F0" w14:textId="77777777" w:rsidR="00E82E66" w:rsidRPr="005D37BE" w:rsidRDefault="00E82E66" w:rsidP="00E82E66">
      <w:pPr>
        <w:spacing w:after="0" w:line="240" w:lineRule="auto"/>
        <w:jc w:val="both"/>
        <w:rPr>
          <w:bCs/>
          <w:color w:val="7F7F7F"/>
          <w:sz w:val="18"/>
          <w:szCs w:val="18"/>
        </w:rPr>
      </w:pPr>
      <w:r w:rsidRPr="005D37BE">
        <w:rPr>
          <w:bCs/>
          <w:color w:val="7F7F7F"/>
          <w:sz w:val="18"/>
          <w:szCs w:val="18"/>
        </w:rPr>
        <w:t xml:space="preserve">Percentage of people who express </w:t>
      </w:r>
      <w:r w:rsidRPr="00B20CAD">
        <w:rPr>
          <w:b/>
          <w:bCs/>
          <w:color w:val="7F7F7F"/>
          <w:sz w:val="18"/>
          <w:szCs w:val="18"/>
        </w:rPr>
        <w:t>low</w:t>
      </w:r>
      <w:r w:rsidRPr="005D37BE">
        <w:rPr>
          <w:bCs/>
          <w:color w:val="7F7F7F"/>
          <w:sz w:val="18"/>
          <w:szCs w:val="18"/>
        </w:rPr>
        <w:t xml:space="preserve"> support for gender equality,</w:t>
      </w:r>
      <w:r>
        <w:rPr>
          <w:bCs/>
          <w:color w:val="7F7F7F"/>
          <w:sz w:val="18"/>
          <w:szCs w:val="18"/>
        </w:rPr>
        <w:t xml:space="preserve"> </w:t>
      </w:r>
      <w:r w:rsidRPr="005D37BE">
        <w:rPr>
          <w:bCs/>
          <w:color w:val="7F7F7F"/>
          <w:sz w:val="18"/>
          <w:szCs w:val="18"/>
        </w:rPr>
        <w:t>by selected characteristics: Victoria, 2015</w:t>
      </w:r>
    </w:p>
    <w:p w14:paraId="17386889" w14:textId="77777777" w:rsidR="00E82E66" w:rsidRDefault="00E82E66" w:rsidP="00E82E66">
      <w:pPr>
        <w:spacing w:after="0" w:line="360" w:lineRule="auto"/>
        <w:jc w:val="both"/>
        <w:rPr>
          <w:color w:val="000000"/>
        </w:rPr>
      </w:pPr>
      <w:r>
        <w:rPr>
          <w:noProof/>
          <w:color w:val="000000"/>
          <w:lang w:eastAsia="en-AU"/>
        </w:rPr>
        <w:drawing>
          <wp:anchor distT="0" distB="0" distL="114300" distR="114300" simplePos="0" relativeHeight="251866112" behindDoc="0" locked="0" layoutInCell="1" allowOverlap="1" wp14:anchorId="11974FF4" wp14:editId="74E30653">
            <wp:simplePos x="0" y="0"/>
            <wp:positionH relativeFrom="column">
              <wp:posOffset>4626610</wp:posOffset>
            </wp:positionH>
            <wp:positionV relativeFrom="paragraph">
              <wp:posOffset>2489835</wp:posOffset>
            </wp:positionV>
            <wp:extent cx="1504950" cy="1052195"/>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Older 4.jp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1504950" cy="1052195"/>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r>
        <w:rPr>
          <w:noProof/>
          <w:color w:val="000000"/>
          <w:lang w:eastAsia="en-AU"/>
        </w:rPr>
        <w:drawing>
          <wp:inline distT="0" distB="0" distL="0" distR="0" wp14:anchorId="44769151" wp14:editId="759B4FD4">
            <wp:extent cx="5031400" cy="383602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040158" cy="3842697"/>
                    </a:xfrm>
                    <a:prstGeom prst="rect">
                      <a:avLst/>
                    </a:prstGeom>
                    <a:noFill/>
                  </pic:spPr>
                </pic:pic>
              </a:graphicData>
            </a:graphic>
          </wp:inline>
        </w:drawing>
      </w:r>
    </w:p>
    <w:p w14:paraId="5CB19CEB" w14:textId="6057A6BB" w:rsidR="00E82E66" w:rsidRDefault="00E82E66" w:rsidP="00E82E66">
      <w:pPr>
        <w:spacing w:after="0" w:line="360" w:lineRule="auto"/>
        <w:jc w:val="both"/>
        <w:rPr>
          <w:color w:val="000000"/>
          <w:sz w:val="20"/>
          <w:szCs w:val="20"/>
        </w:rPr>
      </w:pPr>
      <w:r w:rsidRPr="0086753E">
        <w:rPr>
          <w:color w:val="000000"/>
          <w:sz w:val="20"/>
          <w:szCs w:val="20"/>
        </w:rPr>
        <w:t xml:space="preserve">Segments of the community which expressed </w:t>
      </w:r>
      <w:r w:rsidRPr="0086753E">
        <w:rPr>
          <w:i/>
          <w:color w:val="000000"/>
          <w:sz w:val="20"/>
          <w:szCs w:val="20"/>
        </w:rPr>
        <w:t>the lowest support for gender equality</w:t>
      </w:r>
      <w:r w:rsidRPr="0086753E">
        <w:rPr>
          <w:color w:val="000000"/>
          <w:sz w:val="20"/>
          <w:szCs w:val="20"/>
        </w:rPr>
        <w:t xml:space="preserve"> included younger people, men, people with limited education, unemployed residents, those from non-English-speaking countries and people living in outer-metropolitan localities.</w:t>
      </w:r>
    </w:p>
    <w:p w14:paraId="24DDDB2F" w14:textId="13C0B34D" w:rsidR="00E82E66" w:rsidRPr="00BD3150" w:rsidRDefault="007A3221" w:rsidP="00E82E66">
      <w:pPr>
        <w:spacing w:after="0" w:line="360" w:lineRule="auto"/>
        <w:jc w:val="both"/>
        <w:rPr>
          <w:color w:val="000000"/>
        </w:rPr>
      </w:pPr>
      <w:r w:rsidRPr="005D37BE">
        <w:rPr>
          <w:noProof/>
          <w:lang w:eastAsia="en-AU"/>
        </w:rPr>
        <mc:AlternateContent>
          <mc:Choice Requires="wps">
            <w:drawing>
              <wp:anchor distT="0" distB="0" distL="114300" distR="114300" simplePos="0" relativeHeight="251887616" behindDoc="0" locked="0" layoutInCell="1" allowOverlap="1" wp14:anchorId="41BC21FD" wp14:editId="6BD22BB5">
                <wp:simplePos x="0" y="0"/>
                <wp:positionH relativeFrom="column">
                  <wp:posOffset>3299336</wp:posOffset>
                </wp:positionH>
                <wp:positionV relativeFrom="paragraph">
                  <wp:posOffset>230551</wp:posOffset>
                </wp:positionV>
                <wp:extent cx="2828925" cy="876300"/>
                <wp:effectExtent l="0" t="0" r="0" b="0"/>
                <wp:wrapNone/>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876300"/>
                        </a:xfrm>
                        <a:prstGeom prst="rect">
                          <a:avLst/>
                        </a:prstGeom>
                        <a:noFill/>
                        <a:ln w="9525">
                          <a:noFill/>
                          <a:miter lim="800000"/>
                          <a:headEnd/>
                          <a:tailEnd/>
                        </a:ln>
                      </wps:spPr>
                      <wps:txbx>
                        <w:txbxContent>
                          <w:p w14:paraId="4F986D0A" w14:textId="77777777" w:rsidR="00E82E66" w:rsidRPr="00C25EFC" w:rsidRDefault="00E82E66" w:rsidP="00E82E66">
                            <w:pPr>
                              <w:jc w:val="both"/>
                              <w:rPr>
                                <w:sz w:val="20"/>
                                <w:szCs w:val="20"/>
                              </w:rPr>
                            </w:pPr>
                            <w:r>
                              <w:rPr>
                                <w:sz w:val="20"/>
                                <w:szCs w:val="20"/>
                              </w:rPr>
                              <w:t>In 2020, the suicide rate among Australians was 18.6 per 100,000 persons among males and 5.1 among females – reflecting a long-standing disparity between male and female rates.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1BC21FD" id="_x0000_s1041" type="#_x0000_t202" style="position:absolute;left:0;text-align:left;margin-left:259.8pt;margin-top:18.15pt;width:222.75pt;height:69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aSd/AEAANUDAAAOAAAAZHJzL2Uyb0RvYy54bWysU11v2yAUfZ+0/4B4X+x4SZtYcaquXadJ&#10;3YfU7gdgjGM04DIgsbNf3wt206h9m+YHxOWac+8597C5GrQiB+G8BFPR+SynRBgOjTS7iv56vPuw&#10;osQHZhqmwIiKHoWnV9v37za9LUUBHahGOIIgxpe9rWgXgi2zzPNOaOZnYIXBZAtOs4Ch22WNYz2i&#10;a5UVeX6R9eAa64AL7/H0dkzSbcJvW8HDj7b1IhBVUewtpNWltY5rtt2wcueY7SSf2mD/0IVm0mDR&#10;E9QtC4zsnXwDpSV34KENMw46g7aVXCQOyGaev2Lz0DErEhcUx9uTTP7/wfLvhwf705EwfIIBB5hI&#10;eHsP/LcnBm46Znbi2jnoO8EaLDyPkmW99eV0NUrtSx9B6v4bNDhktg+QgIbW6agK8iSIjgM4nkQX&#10;QyAcD4tVsVoXS0o45laXFx/zNJWMlc+3rfPhiwBN4qaiDoea0Nnh3ofYDSuff4nFDNxJpdJglSF9&#10;RddLhH+V0TKg75TUWDOP3+iESPKzadLlwKQa91hAmYl1JDpSDkM9ENmgJMt4OapQQ3NEHRyMPsN3&#10;gZsO3F9KevRYRf2fPXOCEvXVoJbr+WIRTZmCxfKywMCdZ+rzDDMcoSoaKBm3NyEZeWR2jZq3Msnx&#10;0snUM3onqTT5PJrzPE5/vbzG7RMAAAD//wMAUEsDBBQABgAIAAAAIQA2Rsak3gAAAAoBAAAPAAAA&#10;ZHJzL2Rvd25yZXYueG1sTI/LTsMwEEX3SPyDNUjsqB3SBBLiVAjEFtTykNi58TSJiMdR7Dbh7xlW&#10;sBzdo3vPVJvFDeKEU+g9aUhWCgRS421PrYa316erWxAhGrJm8IQavjHApj4/q0xp/UxbPO1iK7iE&#10;Qmk0dDGOpZSh6dCZsPIjEmcHPzkT+ZxaaSczc7kb5LVSuXSmJ17ozIgPHTZfu6PT8P58+PxYq5f2&#10;0WXj7BclyRVS68uL5f4ORMQl/sHwq8/qULPT3h/JBjFoyJIiZ1RDmqcgGCjyLAGxZ/JmnYKsK/n/&#10;hfoHAAD//wMAUEsBAi0AFAAGAAgAAAAhALaDOJL+AAAA4QEAABMAAAAAAAAAAAAAAAAAAAAAAFtD&#10;b250ZW50X1R5cGVzXS54bWxQSwECLQAUAAYACAAAACEAOP0h/9YAAACUAQAACwAAAAAAAAAAAAAA&#10;AAAvAQAAX3JlbHMvLnJlbHNQSwECLQAUAAYACAAAACEADo2knfwBAADVAwAADgAAAAAAAAAAAAAA&#10;AAAuAgAAZHJzL2Uyb0RvYy54bWxQSwECLQAUAAYACAAAACEANkbGpN4AAAAKAQAADwAAAAAAAAAA&#10;AAAAAABWBAAAZHJzL2Rvd25yZXYueG1sUEsFBgAAAAAEAAQA8wAAAGEFAAAAAA==&#10;" filled="f" stroked="f">
                <v:textbox>
                  <w:txbxContent>
                    <w:p w14:paraId="4F986D0A" w14:textId="77777777" w:rsidR="00E82E66" w:rsidRPr="00C25EFC" w:rsidRDefault="00E82E66" w:rsidP="00E82E66">
                      <w:pPr>
                        <w:jc w:val="both"/>
                        <w:rPr>
                          <w:sz w:val="20"/>
                          <w:szCs w:val="20"/>
                        </w:rPr>
                      </w:pPr>
                      <w:r>
                        <w:rPr>
                          <w:sz w:val="20"/>
                          <w:szCs w:val="20"/>
                        </w:rPr>
                        <w:t>In 2020, the suicide rate among Australians was 18.6 per 100,000 persons among males and 5.1 among females – reflecting a long-standing disparity between male and female rates.</w:t>
                      </w:r>
                    </w:p>
                  </w:txbxContent>
                </v:textbox>
              </v:shape>
            </w:pict>
          </mc:Fallback>
        </mc:AlternateContent>
      </w:r>
      <w:r w:rsidR="00E82E66">
        <w:rPr>
          <w:b/>
          <w:noProof/>
          <w:color w:val="222A35" w:themeColor="text2" w:themeShade="80"/>
          <w:sz w:val="26"/>
          <w:szCs w:val="26"/>
        </w:rPr>
        <w:drawing>
          <wp:anchor distT="0" distB="0" distL="114300" distR="114300" simplePos="0" relativeHeight="251845632" behindDoc="0" locked="0" layoutInCell="1" allowOverlap="1" wp14:anchorId="22EBF838" wp14:editId="519E51FC">
            <wp:simplePos x="0" y="0"/>
            <wp:positionH relativeFrom="column">
              <wp:posOffset>-1270</wp:posOffset>
            </wp:positionH>
            <wp:positionV relativeFrom="paragraph">
              <wp:posOffset>0</wp:posOffset>
            </wp:positionV>
            <wp:extent cx="3333750" cy="2374900"/>
            <wp:effectExtent l="0" t="0" r="0" b="6350"/>
            <wp:wrapSquare wrapText="bothSides"/>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333750" cy="2374900"/>
                    </a:xfrm>
                    <a:prstGeom prst="rect">
                      <a:avLst/>
                    </a:prstGeom>
                    <a:noFill/>
                  </pic:spPr>
                </pic:pic>
              </a:graphicData>
            </a:graphic>
            <wp14:sizeRelH relativeFrom="page">
              <wp14:pctWidth>0</wp14:pctWidth>
            </wp14:sizeRelH>
            <wp14:sizeRelV relativeFrom="page">
              <wp14:pctHeight>0</wp14:pctHeight>
            </wp14:sizeRelV>
          </wp:anchor>
        </w:drawing>
      </w:r>
      <w:r w:rsidR="00E82E66" w:rsidRPr="00FB5BB6">
        <w:rPr>
          <w:b/>
          <w:color w:val="222A35" w:themeColor="text2" w:themeShade="80"/>
          <w:sz w:val="26"/>
          <w:szCs w:val="26"/>
        </w:rPr>
        <w:t>Suicide</w:t>
      </w:r>
    </w:p>
    <w:p w14:paraId="6E2E5E8E" w14:textId="05511C8B" w:rsidR="00E82E66" w:rsidRDefault="00E82E66" w:rsidP="00E82E66">
      <w:pPr>
        <w:spacing w:after="0" w:line="360" w:lineRule="auto"/>
        <w:jc w:val="both"/>
        <w:rPr>
          <w:color w:val="000000"/>
        </w:rPr>
      </w:pPr>
    </w:p>
    <w:p w14:paraId="03EE6E8B" w14:textId="77777777" w:rsidR="00E82E66" w:rsidRDefault="00E82E66" w:rsidP="00E82E66">
      <w:pPr>
        <w:spacing w:after="0" w:line="360" w:lineRule="auto"/>
        <w:jc w:val="both"/>
        <w:rPr>
          <w:color w:val="000000"/>
        </w:rPr>
      </w:pPr>
    </w:p>
    <w:p w14:paraId="6D136ED5" w14:textId="77777777" w:rsidR="00E82E66" w:rsidRDefault="00E82E66" w:rsidP="00E82E66">
      <w:pPr>
        <w:spacing w:after="0" w:line="360" w:lineRule="auto"/>
        <w:jc w:val="both"/>
        <w:rPr>
          <w:color w:val="000000"/>
        </w:rPr>
      </w:pPr>
    </w:p>
    <w:p w14:paraId="1D8FE541" w14:textId="77777777" w:rsidR="00E82E66" w:rsidRDefault="00E82E66" w:rsidP="00E82E66">
      <w:pPr>
        <w:spacing w:after="0" w:line="360" w:lineRule="auto"/>
        <w:jc w:val="both"/>
        <w:rPr>
          <w:color w:val="7F7F7F" w:themeColor="text1" w:themeTint="80"/>
          <w:sz w:val="20"/>
          <w:szCs w:val="20"/>
        </w:rPr>
      </w:pPr>
    </w:p>
    <w:p w14:paraId="345ABC77" w14:textId="77777777" w:rsidR="00E82E66" w:rsidRDefault="00E82E66" w:rsidP="00E82E66">
      <w:pPr>
        <w:spacing w:after="0" w:line="360" w:lineRule="auto"/>
        <w:jc w:val="both"/>
        <w:rPr>
          <w:color w:val="7F7F7F" w:themeColor="text1" w:themeTint="80"/>
          <w:sz w:val="20"/>
          <w:szCs w:val="20"/>
        </w:rPr>
      </w:pPr>
    </w:p>
    <w:p w14:paraId="17FCF082" w14:textId="77777777" w:rsidR="00E82E66" w:rsidRDefault="00E82E66" w:rsidP="00E82E66">
      <w:pPr>
        <w:spacing w:after="0" w:line="240" w:lineRule="auto"/>
        <w:jc w:val="both"/>
        <w:rPr>
          <w:color w:val="7F7F7F" w:themeColor="text1" w:themeTint="80"/>
          <w:sz w:val="20"/>
          <w:szCs w:val="20"/>
        </w:rPr>
      </w:pPr>
    </w:p>
    <w:p w14:paraId="5DA36572" w14:textId="77777777" w:rsidR="00E82E66" w:rsidRPr="00FA5EB9" w:rsidRDefault="00E82E66" w:rsidP="00E82E66">
      <w:pPr>
        <w:spacing w:after="0" w:line="240" w:lineRule="auto"/>
        <w:jc w:val="both"/>
        <w:rPr>
          <w:color w:val="7F7F7F" w:themeColor="text1" w:themeTint="80"/>
          <w:sz w:val="20"/>
          <w:szCs w:val="20"/>
        </w:rPr>
      </w:pPr>
      <w:r w:rsidRPr="00FA5EB9">
        <w:rPr>
          <w:color w:val="7F7F7F" w:themeColor="text1" w:themeTint="80"/>
          <w:sz w:val="20"/>
          <w:szCs w:val="20"/>
        </w:rPr>
        <w:t>Suicide rate (per 10</w:t>
      </w:r>
      <w:r>
        <w:rPr>
          <w:color w:val="7F7F7F" w:themeColor="text1" w:themeTint="80"/>
          <w:sz w:val="20"/>
          <w:szCs w:val="20"/>
        </w:rPr>
        <w:t>0</w:t>
      </w:r>
      <w:r w:rsidRPr="00FA5EB9">
        <w:rPr>
          <w:color w:val="7F7F7F" w:themeColor="text1" w:themeTint="80"/>
          <w:sz w:val="20"/>
          <w:szCs w:val="20"/>
        </w:rPr>
        <w:t>,000) by gender: Aus, 20</w:t>
      </w:r>
      <w:r>
        <w:rPr>
          <w:color w:val="7F7F7F" w:themeColor="text1" w:themeTint="80"/>
          <w:sz w:val="20"/>
          <w:szCs w:val="20"/>
        </w:rPr>
        <w:t>20</w:t>
      </w:r>
    </w:p>
    <w:p w14:paraId="6077A56C" w14:textId="77777777" w:rsidR="00E82E66" w:rsidRDefault="00E82E66" w:rsidP="00E82E66">
      <w:pPr>
        <w:spacing w:after="0" w:line="360" w:lineRule="auto"/>
        <w:jc w:val="both"/>
        <w:rPr>
          <w:color w:val="000000"/>
        </w:rPr>
      </w:pPr>
    </w:p>
    <w:p w14:paraId="6912065C" w14:textId="77777777" w:rsidR="00E82E66" w:rsidRDefault="00E82E66" w:rsidP="00E82E66">
      <w:pPr>
        <w:spacing w:after="0" w:line="360" w:lineRule="auto"/>
        <w:jc w:val="both"/>
        <w:rPr>
          <w:color w:val="000000"/>
        </w:rPr>
      </w:pPr>
    </w:p>
    <w:p w14:paraId="738AE75D" w14:textId="77777777" w:rsidR="00E82E66" w:rsidRDefault="00E82E66" w:rsidP="00E82E66">
      <w:pPr>
        <w:spacing w:after="0" w:line="360" w:lineRule="auto"/>
        <w:rPr>
          <w:b/>
          <w:color w:val="222A35" w:themeColor="text2" w:themeShade="80"/>
          <w:sz w:val="26"/>
          <w:szCs w:val="26"/>
        </w:rPr>
      </w:pPr>
    </w:p>
    <w:p w14:paraId="32DAC2DD" w14:textId="5783E28C" w:rsidR="00E82E66" w:rsidRDefault="007A3221" w:rsidP="00E82E66">
      <w:pPr>
        <w:spacing w:after="0" w:line="360" w:lineRule="auto"/>
        <w:rPr>
          <w:b/>
          <w:color w:val="222A35" w:themeColor="text2" w:themeShade="80"/>
          <w:sz w:val="26"/>
          <w:szCs w:val="26"/>
        </w:rPr>
      </w:pPr>
      <w:r w:rsidRPr="00890E81">
        <w:rPr>
          <w:rFonts w:ascii="Calibri" w:hAnsi="Calibri"/>
          <w:b/>
          <w:noProof/>
          <w:highlight w:val="yellow"/>
          <w:lang w:eastAsia="en-AU"/>
        </w:rPr>
        <w:lastRenderedPageBreak/>
        <w:drawing>
          <wp:anchor distT="0" distB="0" distL="114300" distR="114300" simplePos="0" relativeHeight="251901952" behindDoc="0" locked="0" layoutInCell="1" allowOverlap="1" wp14:anchorId="60CF9FC1" wp14:editId="63FE91AF">
            <wp:simplePos x="0" y="0"/>
            <wp:positionH relativeFrom="column">
              <wp:posOffset>4590415</wp:posOffset>
            </wp:positionH>
            <wp:positionV relativeFrom="paragraph">
              <wp:posOffset>281863</wp:posOffset>
            </wp:positionV>
            <wp:extent cx="614363" cy="939800"/>
            <wp:effectExtent l="0" t="0" r="0" b="0"/>
            <wp:wrapNone/>
            <wp:docPr id="14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4" cstate="print"/>
                    <a:srcRect/>
                    <a:stretch>
                      <a:fillRect/>
                    </a:stretch>
                  </pic:blipFill>
                  <pic:spPr bwMode="auto">
                    <a:xfrm>
                      <a:off x="0" y="0"/>
                      <a:ext cx="614363" cy="9398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E82E66" w:rsidRPr="005D37BE">
        <w:rPr>
          <w:noProof/>
          <w:lang w:eastAsia="en-AU"/>
        </w:rPr>
        <mc:AlternateContent>
          <mc:Choice Requires="wps">
            <w:drawing>
              <wp:anchor distT="0" distB="0" distL="114300" distR="114300" simplePos="0" relativeHeight="251875328" behindDoc="0" locked="0" layoutInCell="1" allowOverlap="1" wp14:anchorId="25A5172A" wp14:editId="798157B7">
                <wp:simplePos x="0" y="0"/>
                <wp:positionH relativeFrom="column">
                  <wp:posOffset>1022</wp:posOffset>
                </wp:positionH>
                <wp:positionV relativeFrom="paragraph">
                  <wp:posOffset>201744</wp:posOffset>
                </wp:positionV>
                <wp:extent cx="2905125" cy="832625"/>
                <wp:effectExtent l="0" t="0" r="0" b="5715"/>
                <wp:wrapNone/>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832625"/>
                        </a:xfrm>
                        <a:prstGeom prst="rect">
                          <a:avLst/>
                        </a:prstGeom>
                        <a:noFill/>
                        <a:ln w="9525">
                          <a:noFill/>
                          <a:miter lim="800000"/>
                          <a:headEnd/>
                          <a:tailEnd/>
                        </a:ln>
                      </wps:spPr>
                      <wps:txbx>
                        <w:txbxContent>
                          <w:p w14:paraId="6D414024" w14:textId="77777777" w:rsidR="00E82E66" w:rsidRPr="00C10F60" w:rsidRDefault="00E82E66" w:rsidP="00E82E66">
                            <w:pPr>
                              <w:jc w:val="both"/>
                              <w:rPr>
                                <w:sz w:val="20"/>
                                <w:szCs w:val="20"/>
                                <w:lang w:val="en-GB"/>
                              </w:rPr>
                            </w:pPr>
                            <w:r>
                              <w:rPr>
                                <w:sz w:val="20"/>
                                <w:szCs w:val="20"/>
                                <w:lang w:val="en-GB"/>
                              </w:rPr>
                              <w:t>The 2021 Census found that 7.7% of females and 5.3% of males in Greater Dandenong were experiencing mental health conditions – such as anxiety or depression.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5A5172A" id="_x0000_s1042" type="#_x0000_t202" style="position:absolute;margin-left:.1pt;margin-top:15.9pt;width:228.75pt;height:65.5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zBb+QEAANUDAAAOAAAAZHJzL2Uyb0RvYy54bWysU9uO2yAQfa/Uf0C8N740STdWnNV2t1tV&#10;2l6kbT8AYxyjAkOBxE6/vgP2ZqPtW1U/oMEDZ+acOWyvR63IUTgvwdS0WOSUCMOhlWZf0x/f799c&#10;UeIDMy1TYERNT8LT693rV9vBVqKEHlQrHEEQ46vB1rQPwVZZ5nkvNPMLsMJgsgOnWcCt22etYwOi&#10;a5WVeb7OBnCtdcCF9/j3bkrSXcLvOsHD167zIhBVU+wtpNWltYlrttuyau+Y7SWf22D/0IVm0mDR&#10;M9QdC4wcnPwLSkvuwEMXFhx0Bl0nuUgckE2Rv2Dz2DMrEhcUx9uzTP7/wfIvx0f7zZEwvocRB5hI&#10;ePsA/KcnBm57ZvbixjkYesFaLFxEybLB+mq+GqX2lY8gzfAZWhwyOwRIQGPndFQFeRJExwGczqKL&#10;MRCOP8tNvirKFSUcc1dvyzXGsQSrnm5b58NHAZrEoKYOh5rQ2fHBh+no05FYzMC9VCoNVhky1HSz&#10;QsgXGS0D+k5JjTXz+E1OiCQ/mDZdDkyqKcZelJlZR6IT5TA2I5EtSrKOl6MKDbQn1MHB5DN8Fxj0&#10;4H5TMqDHaup/HZgTlKhPBrXcFMtlNGXaLFfvSty4y0xzmWGGI1RNAyVTeBuSkSdmN6h5J5Mcz53M&#10;PaN3kqCzz6M5L/fp1PNr3P0BAAD//wMAUEsDBBQABgAIAAAAIQB3j+HA2wAAAAcBAAAPAAAAZHJz&#10;L2Rvd25yZXYueG1sTI7LTsMwEEX3SPyDNUjsqN3QBw2ZVAjEFkR5SOzceJpExOModpvw9wwrWF7d&#10;o3tPsZ18p040xDYwwnxmQBFXwbVcI7y9Pl7dgIrJsrNdYEL4pgjb8vyssLkLI7/QaZdqJSMcc4vQ&#10;pNTnWseqIW/jLPTE0h3C4G2SONTaDXaUcd/pzJiV9rZleWhsT/cNVV+7o0d4fzp8fizMc/3gl/0Y&#10;JqPZbzTi5cV0dwsq0ZT+YPjVF3UoxWkfjuyi6hAy4RCu5+Iv7WK5XoPaC7bKNqDLQv/3L38AAAD/&#10;/wMAUEsBAi0AFAAGAAgAAAAhALaDOJL+AAAA4QEAABMAAAAAAAAAAAAAAAAAAAAAAFtDb250ZW50&#10;X1R5cGVzXS54bWxQSwECLQAUAAYACAAAACEAOP0h/9YAAACUAQAACwAAAAAAAAAAAAAAAAAvAQAA&#10;X3JlbHMvLnJlbHNQSwECLQAUAAYACAAAACEA6cMwW/kBAADVAwAADgAAAAAAAAAAAAAAAAAuAgAA&#10;ZHJzL2Uyb0RvYy54bWxQSwECLQAUAAYACAAAACEAd4/hwNsAAAAHAQAADwAAAAAAAAAAAAAAAABT&#10;BAAAZHJzL2Rvd25yZXYueG1sUEsFBgAAAAAEAAQA8wAAAFsFAAAAAA==&#10;" filled="f" stroked="f">
                <v:textbox>
                  <w:txbxContent>
                    <w:p w14:paraId="6D414024" w14:textId="77777777" w:rsidR="00E82E66" w:rsidRPr="00C10F60" w:rsidRDefault="00E82E66" w:rsidP="00E82E66">
                      <w:pPr>
                        <w:jc w:val="both"/>
                        <w:rPr>
                          <w:sz w:val="20"/>
                          <w:szCs w:val="20"/>
                          <w:lang w:val="en-GB"/>
                        </w:rPr>
                      </w:pPr>
                      <w:r>
                        <w:rPr>
                          <w:sz w:val="20"/>
                          <w:szCs w:val="20"/>
                          <w:lang w:val="en-GB"/>
                        </w:rPr>
                        <w:t>The 2021 Census found that 7.7% of females and 5.3% of males in Greater Dandenong were experiencing mental health conditions – such as anxiety or depression.</w:t>
                      </w:r>
                    </w:p>
                  </w:txbxContent>
                </v:textbox>
              </v:shape>
            </w:pict>
          </mc:Fallback>
        </mc:AlternateContent>
      </w:r>
      <w:r w:rsidR="00E82E66">
        <w:rPr>
          <w:b/>
          <w:color w:val="222A35" w:themeColor="text2" w:themeShade="80"/>
          <w:sz w:val="26"/>
          <w:szCs w:val="26"/>
        </w:rPr>
        <w:t>Mental Health</w:t>
      </w:r>
    </w:p>
    <w:p w14:paraId="0D72574E" w14:textId="77777777" w:rsidR="00E82E66" w:rsidRDefault="00E82E66" w:rsidP="00E82E66">
      <w:pPr>
        <w:spacing w:after="0" w:line="360" w:lineRule="auto"/>
        <w:rPr>
          <w:b/>
          <w:color w:val="222A35" w:themeColor="text2" w:themeShade="80"/>
          <w:sz w:val="26"/>
          <w:szCs w:val="26"/>
        </w:rPr>
      </w:pPr>
      <w:r>
        <w:rPr>
          <w:b/>
          <w:noProof/>
          <w:color w:val="222A35" w:themeColor="text2" w:themeShade="80"/>
          <w:sz w:val="26"/>
          <w:szCs w:val="26"/>
        </w:rPr>
        <w:drawing>
          <wp:anchor distT="0" distB="0" distL="114300" distR="114300" simplePos="0" relativeHeight="251897856" behindDoc="0" locked="0" layoutInCell="1" allowOverlap="1" wp14:anchorId="1B97EC92" wp14:editId="2E5B5B4E">
            <wp:simplePos x="0" y="0"/>
            <wp:positionH relativeFrom="column">
              <wp:posOffset>3013710</wp:posOffset>
            </wp:positionH>
            <wp:positionV relativeFrom="paragraph">
              <wp:posOffset>7303</wp:posOffset>
            </wp:positionV>
            <wp:extent cx="3012440" cy="2085975"/>
            <wp:effectExtent l="0" t="0" r="0" b="9525"/>
            <wp:wrapSquare wrapText="bothSides"/>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05">
                      <a:extLst>
                        <a:ext uri="{28A0092B-C50C-407E-A947-70E740481C1C}">
                          <a14:useLocalDpi xmlns:a14="http://schemas.microsoft.com/office/drawing/2010/main" val="0"/>
                        </a:ext>
                      </a:extLst>
                    </a:blip>
                    <a:srcRect t="13187" r="10676"/>
                    <a:stretch/>
                  </pic:blipFill>
                  <pic:spPr bwMode="auto">
                    <a:xfrm>
                      <a:off x="0" y="0"/>
                      <a:ext cx="3012440" cy="2085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8BF598" w14:textId="77777777" w:rsidR="00E82E66" w:rsidRDefault="00E82E66" w:rsidP="00E82E66">
      <w:pPr>
        <w:spacing w:after="0" w:line="360" w:lineRule="auto"/>
        <w:rPr>
          <w:b/>
          <w:color w:val="222A35" w:themeColor="text2" w:themeShade="80"/>
          <w:sz w:val="26"/>
          <w:szCs w:val="26"/>
        </w:rPr>
      </w:pPr>
    </w:p>
    <w:p w14:paraId="763A4DB5" w14:textId="77777777" w:rsidR="00E82E66" w:rsidRPr="00801742" w:rsidRDefault="00E82E66" w:rsidP="00E82E66">
      <w:pPr>
        <w:spacing w:after="0" w:line="360" w:lineRule="auto"/>
        <w:rPr>
          <w:b/>
          <w:color w:val="222A35" w:themeColor="text2" w:themeShade="80"/>
          <w:sz w:val="8"/>
          <w:szCs w:val="8"/>
        </w:rPr>
      </w:pPr>
    </w:p>
    <w:p w14:paraId="35C40CAB" w14:textId="77777777" w:rsidR="00E82E66" w:rsidRDefault="00E82E66" w:rsidP="00E82E66">
      <w:pPr>
        <w:spacing w:after="0" w:line="240" w:lineRule="auto"/>
        <w:rPr>
          <w:b/>
          <w:color w:val="222A35" w:themeColor="text2" w:themeShade="80"/>
          <w:sz w:val="26"/>
          <w:szCs w:val="26"/>
        </w:rPr>
      </w:pPr>
      <w:r>
        <w:rPr>
          <w:color w:val="7F7F7F" w:themeColor="text1" w:themeTint="80"/>
          <w:sz w:val="20"/>
          <w:szCs w:val="20"/>
        </w:rPr>
        <w:t>Prevalence of mental health disorders, by sex: Greater Dandenong, 2021</w:t>
      </w:r>
    </w:p>
    <w:p w14:paraId="3D26D5F6" w14:textId="6B94551F" w:rsidR="00E82E66" w:rsidRDefault="00801742" w:rsidP="00E82E66">
      <w:pPr>
        <w:spacing w:after="0" w:line="360" w:lineRule="auto"/>
        <w:rPr>
          <w:b/>
          <w:color w:val="222A35" w:themeColor="text2" w:themeShade="80"/>
          <w:sz w:val="26"/>
          <w:szCs w:val="26"/>
        </w:rPr>
      </w:pPr>
      <w:r w:rsidRPr="005D37BE">
        <w:rPr>
          <w:noProof/>
          <w:lang w:eastAsia="en-AU"/>
        </w:rPr>
        <mc:AlternateContent>
          <mc:Choice Requires="wps">
            <w:drawing>
              <wp:anchor distT="0" distB="0" distL="114300" distR="114300" simplePos="0" relativeHeight="251896832" behindDoc="0" locked="0" layoutInCell="1" allowOverlap="1" wp14:anchorId="01CA9702" wp14:editId="3D14CA06">
                <wp:simplePos x="0" y="0"/>
                <wp:positionH relativeFrom="margin">
                  <wp:align>left</wp:align>
                </wp:positionH>
                <wp:positionV relativeFrom="paragraph">
                  <wp:posOffset>64568</wp:posOffset>
                </wp:positionV>
                <wp:extent cx="2952750" cy="1412488"/>
                <wp:effectExtent l="0" t="0" r="0" b="0"/>
                <wp:wrapNone/>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412488"/>
                        </a:xfrm>
                        <a:prstGeom prst="rect">
                          <a:avLst/>
                        </a:prstGeom>
                        <a:noFill/>
                        <a:ln w="9525">
                          <a:noFill/>
                          <a:miter lim="800000"/>
                          <a:headEnd/>
                          <a:tailEnd/>
                        </a:ln>
                      </wps:spPr>
                      <wps:txbx>
                        <w:txbxContent>
                          <w:p w14:paraId="5D59EE45" w14:textId="77777777" w:rsidR="00E82E66" w:rsidRPr="00C25EFC" w:rsidRDefault="00E82E66" w:rsidP="00E82E66">
                            <w:pPr>
                              <w:jc w:val="both"/>
                              <w:rPr>
                                <w:sz w:val="20"/>
                                <w:szCs w:val="20"/>
                              </w:rPr>
                            </w:pPr>
                            <w:r>
                              <w:rPr>
                                <w:sz w:val="20"/>
                                <w:szCs w:val="20"/>
                              </w:rPr>
                              <w:t xml:space="preserve">The </w:t>
                            </w:r>
                            <w:r w:rsidRPr="00E1417E">
                              <w:rPr>
                                <w:sz w:val="20"/>
                                <w:szCs w:val="20"/>
                              </w:rPr>
                              <w:t xml:space="preserve">National Survey of Mental Health and Wellbeing </w:t>
                            </w:r>
                            <w:r>
                              <w:rPr>
                                <w:sz w:val="20"/>
                                <w:szCs w:val="20"/>
                              </w:rPr>
                              <w:t>found that t</w:t>
                            </w:r>
                            <w:r w:rsidRPr="00E1417E">
                              <w:rPr>
                                <w:sz w:val="20"/>
                                <w:szCs w:val="20"/>
                              </w:rPr>
                              <w:t>he prevalence of post-traumatic stress disorder</w:t>
                            </w:r>
                            <w:r>
                              <w:rPr>
                                <w:sz w:val="20"/>
                                <w:szCs w:val="20"/>
                              </w:rPr>
                              <w:t xml:space="preserve"> in Australia</w:t>
                            </w:r>
                            <w:r w:rsidRPr="00E1417E">
                              <w:rPr>
                                <w:sz w:val="20"/>
                                <w:szCs w:val="20"/>
                              </w:rPr>
                              <w:t xml:space="preserve"> is almost twice as high among Australian women (15.8%) as for men (8.6%), while depression (at 14.5% among women and 8.6% among men), social phobia (12.8% and 8.4% respectively) and generalised anxiety disorder (7.3% </w:t>
                            </w:r>
                            <w:r>
                              <w:rPr>
                                <w:sz w:val="20"/>
                                <w:szCs w:val="20"/>
                              </w:rPr>
                              <w:t>and</w:t>
                            </w:r>
                            <w:r w:rsidRPr="00E1417E">
                              <w:rPr>
                                <w:sz w:val="20"/>
                                <w:szCs w:val="20"/>
                              </w:rPr>
                              <w:t xml:space="preserve"> 4.4%) are also more widespread among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1CA9702" id="_x0000_s1043" type="#_x0000_t202" style="position:absolute;margin-left:0;margin-top:5.1pt;width:232.5pt;height:111.2pt;z-index:251896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4Tg/AEAANYDAAAOAAAAZHJzL2Uyb0RvYy54bWysU8tu2zAQvBfoPxC817IEu3YEy0GaNEWB&#10;9AGk/QCaoiyiJJdd0pbSr++SchyjvRXVgSC52tmd2eHmerSGHRUGDa7h5WzOmXISWu32Df/+7f7N&#10;mrMQhWuFAaca/qQCv96+frUZfK0q6MG0ChmBuFAPvuF9jL4uiiB7ZUWYgVeOgh2gFZGOuC9aFAOh&#10;W1NU8/nbYgBsPYJUIdDt3RTk24zfdUrGL10XVGSm4dRbzCvmdZfWYrsR9R6F77U8tSH+oQsrtKOi&#10;Z6g7EQU7oP4LymqJEKCLMwm2gK7TUmUOxKac/8HmsRdeZS4kTvBnmcL/g5Wfj4/+K7I4voORBphJ&#10;BP8A8kdgDm574fbqBhGGXomWCpdJsmLwoT6lJqlDHRLIbvgELQ1ZHCJkoLFDm1QhnozQaQBPZ9HV&#10;GJmky+pqWa2WFJIUKxdltVivcw1RP6d7DPGDAsvSpuFIU83w4vgQYmpH1M+/pGoO7rUxebLGsaHh&#10;VGGZEy4iVkcyntG24et5+iYrJJbvXZuTo9Bm2lMB4060E9OJcxx3I9Mtdb1KyUmGHbRPJATCZDR6&#10;GLTpAX9xNpDJGh5+HgQqzsxHR2JelYtFcmU+LJarig54GdldRoSTBNXwyNm0vY3ZyRPnGxK901mO&#10;l05OPZN5skonoyd3Xp7zXy/PcfsbAAD//wMAUEsDBBQABgAIAAAAIQC3bnI72wAAAAcBAAAPAAAA&#10;ZHJzL2Rvd25yZXYueG1sTI/BTsMwEETvSPyDtUjcqE1ooxLiVAjEFUSBSty28TaJiNdR7Dbh71lO&#10;cJyZ1czbcjP7Xp1ojF1gC9cLA4q4Dq7jxsL729PVGlRMyA77wGThmyJsqvOzEgsXJn6l0zY1Sko4&#10;FmihTWkotI51Sx7jIgzEkh3C6DGJHBvtRpyk3Pc6MybXHjuWhRYHemip/toevYWP58Pnbmlemke/&#10;GqYwG83+Vlt7eTHf34FKNKe/Y/jFF3SohGkfjuyi6i3II0lck4GSdJmvxNhbyG6yHHRV6v/81Q8A&#10;AAD//wMAUEsBAi0AFAAGAAgAAAAhALaDOJL+AAAA4QEAABMAAAAAAAAAAAAAAAAAAAAAAFtDb250&#10;ZW50X1R5cGVzXS54bWxQSwECLQAUAAYACAAAACEAOP0h/9YAAACUAQAACwAAAAAAAAAAAAAAAAAv&#10;AQAAX3JlbHMvLnJlbHNQSwECLQAUAAYACAAAACEAXweE4PwBAADWAwAADgAAAAAAAAAAAAAAAAAu&#10;AgAAZHJzL2Uyb0RvYy54bWxQSwECLQAUAAYACAAAACEAt25yO9sAAAAHAQAADwAAAAAAAAAAAAAA&#10;AABWBAAAZHJzL2Rvd25yZXYueG1sUEsFBgAAAAAEAAQA8wAAAF4FAAAAAA==&#10;" filled="f" stroked="f">
                <v:textbox>
                  <w:txbxContent>
                    <w:p w14:paraId="5D59EE45" w14:textId="77777777" w:rsidR="00E82E66" w:rsidRPr="00C25EFC" w:rsidRDefault="00E82E66" w:rsidP="00E82E66">
                      <w:pPr>
                        <w:jc w:val="both"/>
                        <w:rPr>
                          <w:sz w:val="20"/>
                          <w:szCs w:val="20"/>
                        </w:rPr>
                      </w:pPr>
                      <w:r>
                        <w:rPr>
                          <w:sz w:val="20"/>
                          <w:szCs w:val="20"/>
                        </w:rPr>
                        <w:t xml:space="preserve">The </w:t>
                      </w:r>
                      <w:r w:rsidRPr="00E1417E">
                        <w:rPr>
                          <w:sz w:val="20"/>
                          <w:szCs w:val="20"/>
                        </w:rPr>
                        <w:t xml:space="preserve">National Survey of Mental Health and Wellbeing </w:t>
                      </w:r>
                      <w:r>
                        <w:rPr>
                          <w:sz w:val="20"/>
                          <w:szCs w:val="20"/>
                        </w:rPr>
                        <w:t>found that t</w:t>
                      </w:r>
                      <w:r w:rsidRPr="00E1417E">
                        <w:rPr>
                          <w:sz w:val="20"/>
                          <w:szCs w:val="20"/>
                        </w:rPr>
                        <w:t>he prevalence of post-traumatic stress disorder</w:t>
                      </w:r>
                      <w:r>
                        <w:rPr>
                          <w:sz w:val="20"/>
                          <w:szCs w:val="20"/>
                        </w:rPr>
                        <w:t xml:space="preserve"> in Australia</w:t>
                      </w:r>
                      <w:r w:rsidRPr="00E1417E">
                        <w:rPr>
                          <w:sz w:val="20"/>
                          <w:szCs w:val="20"/>
                        </w:rPr>
                        <w:t xml:space="preserve"> is almost twice as high among Australian women (15.8%) as for men (8.6%), while depression (at 14.5% among women and 8.6% among men), social phobia (12.8% and 8.4% respectively) and generalised anxiety disorder (7.3% </w:t>
                      </w:r>
                      <w:r>
                        <w:rPr>
                          <w:sz w:val="20"/>
                          <w:szCs w:val="20"/>
                        </w:rPr>
                        <w:t>and</w:t>
                      </w:r>
                      <w:r w:rsidRPr="00E1417E">
                        <w:rPr>
                          <w:sz w:val="20"/>
                          <w:szCs w:val="20"/>
                        </w:rPr>
                        <w:t xml:space="preserve"> 4.4%) are also more widespread among women.</w:t>
                      </w:r>
                    </w:p>
                  </w:txbxContent>
                </v:textbox>
                <w10:wrap anchorx="margin"/>
              </v:shape>
            </w:pict>
          </mc:Fallback>
        </mc:AlternateContent>
      </w:r>
    </w:p>
    <w:p w14:paraId="15EB100B" w14:textId="7F549991" w:rsidR="00E82E66" w:rsidRDefault="00E82E66" w:rsidP="00E82E66">
      <w:pPr>
        <w:spacing w:after="0" w:line="360" w:lineRule="auto"/>
        <w:rPr>
          <w:b/>
          <w:color w:val="222A35" w:themeColor="text2" w:themeShade="80"/>
          <w:sz w:val="26"/>
          <w:szCs w:val="26"/>
        </w:rPr>
      </w:pPr>
    </w:p>
    <w:p w14:paraId="75D32905" w14:textId="77777777" w:rsidR="00E82E66" w:rsidRDefault="00E82E66" w:rsidP="00E82E66">
      <w:pPr>
        <w:spacing w:after="0" w:line="360" w:lineRule="auto"/>
        <w:rPr>
          <w:b/>
          <w:color w:val="222A35" w:themeColor="text2" w:themeShade="80"/>
          <w:sz w:val="26"/>
          <w:szCs w:val="26"/>
        </w:rPr>
      </w:pPr>
    </w:p>
    <w:p w14:paraId="40D99968" w14:textId="77777777" w:rsidR="00E82E66" w:rsidRDefault="00E82E66" w:rsidP="00E82E66">
      <w:pPr>
        <w:spacing w:after="0" w:line="360" w:lineRule="auto"/>
        <w:rPr>
          <w:b/>
          <w:color w:val="222A35" w:themeColor="text2" w:themeShade="80"/>
          <w:sz w:val="26"/>
          <w:szCs w:val="26"/>
        </w:rPr>
      </w:pPr>
    </w:p>
    <w:p w14:paraId="76DEF688" w14:textId="77777777" w:rsidR="00E82E66" w:rsidRDefault="00E82E66" w:rsidP="00E82E66">
      <w:pPr>
        <w:spacing w:after="0" w:line="360" w:lineRule="auto"/>
        <w:rPr>
          <w:b/>
          <w:color w:val="222A35" w:themeColor="text2" w:themeShade="80"/>
          <w:sz w:val="26"/>
          <w:szCs w:val="26"/>
        </w:rPr>
      </w:pPr>
    </w:p>
    <w:p w14:paraId="3FFB3D79" w14:textId="0FEF368C" w:rsidR="00E82E66" w:rsidRDefault="00E82E66" w:rsidP="00E82E66">
      <w:pPr>
        <w:spacing w:after="0" w:line="360" w:lineRule="auto"/>
        <w:rPr>
          <w:b/>
          <w:color w:val="222A35" w:themeColor="text2" w:themeShade="80"/>
          <w:sz w:val="26"/>
          <w:szCs w:val="26"/>
        </w:rPr>
      </w:pPr>
    </w:p>
    <w:p w14:paraId="247227B8" w14:textId="5A9E3AAC" w:rsidR="00E82E66" w:rsidRPr="00FB5BB6" w:rsidRDefault="00E82E66" w:rsidP="00E82E66">
      <w:pPr>
        <w:spacing w:after="0" w:line="360" w:lineRule="auto"/>
        <w:rPr>
          <w:b/>
          <w:color w:val="222A35" w:themeColor="text2" w:themeShade="80"/>
          <w:sz w:val="26"/>
          <w:szCs w:val="26"/>
        </w:rPr>
      </w:pPr>
      <w:r w:rsidRPr="005D37BE">
        <w:rPr>
          <w:noProof/>
          <w:lang w:eastAsia="en-AU"/>
        </w:rPr>
        <mc:AlternateContent>
          <mc:Choice Requires="wps">
            <w:drawing>
              <wp:anchor distT="0" distB="0" distL="114300" distR="114300" simplePos="0" relativeHeight="251849728" behindDoc="0" locked="0" layoutInCell="1" allowOverlap="1" wp14:anchorId="51B68A2E" wp14:editId="72F4548B">
                <wp:simplePos x="0" y="0"/>
                <wp:positionH relativeFrom="column">
                  <wp:posOffset>3313748</wp:posOffset>
                </wp:positionH>
                <wp:positionV relativeFrom="paragraph">
                  <wp:posOffset>220028</wp:posOffset>
                </wp:positionV>
                <wp:extent cx="2805112" cy="1343025"/>
                <wp:effectExtent l="0" t="0" r="0" b="0"/>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5112" cy="1343025"/>
                        </a:xfrm>
                        <a:prstGeom prst="rect">
                          <a:avLst/>
                        </a:prstGeom>
                        <a:noFill/>
                        <a:ln w="9525">
                          <a:noFill/>
                          <a:miter lim="800000"/>
                          <a:headEnd/>
                          <a:tailEnd/>
                        </a:ln>
                      </wps:spPr>
                      <wps:txbx>
                        <w:txbxContent>
                          <w:p w14:paraId="25672B75" w14:textId="77777777" w:rsidR="00E82E66" w:rsidRPr="00E22FE9" w:rsidRDefault="00E82E66" w:rsidP="00E82E66">
                            <w:pPr>
                              <w:jc w:val="both"/>
                              <w:rPr>
                                <w:rFonts w:cstheme="minorHAnsi"/>
                                <w:bCs/>
                              </w:rPr>
                            </w:pPr>
                            <w:r w:rsidRPr="003F66BA">
                              <w:rPr>
                                <w:sz w:val="20"/>
                                <w:szCs w:val="20"/>
                              </w:rPr>
                              <w:t>The 2019 National Drug Strategy Survey revealed that nearly 18% of Australians aged 1</w:t>
                            </w:r>
                            <w:r>
                              <w:rPr>
                                <w:sz w:val="20"/>
                                <w:szCs w:val="20"/>
                              </w:rPr>
                              <w:t>8</w:t>
                            </w:r>
                            <w:r w:rsidRPr="003F66BA">
                              <w:rPr>
                                <w:sz w:val="20"/>
                                <w:szCs w:val="20"/>
                              </w:rPr>
                              <w:t xml:space="preserve"> years or more were at risk of long-term harm owing to their level of alcohol consumption. </w:t>
                            </w:r>
                            <w:r>
                              <w:rPr>
                                <w:sz w:val="20"/>
                                <w:szCs w:val="20"/>
                              </w:rPr>
                              <w:t>Males</w:t>
                            </w:r>
                            <w:r w:rsidRPr="003F66BA">
                              <w:rPr>
                                <w:sz w:val="20"/>
                                <w:szCs w:val="20"/>
                              </w:rPr>
                              <w:t xml:space="preserve"> were more than twice as likely to be exposed to such risk, with </w:t>
                            </w:r>
                            <w:r>
                              <w:rPr>
                                <w:sz w:val="20"/>
                                <w:szCs w:val="20"/>
                              </w:rPr>
                              <w:t xml:space="preserve">nearly </w:t>
                            </w:r>
                            <w:r w:rsidRPr="003F66BA">
                              <w:rPr>
                                <w:sz w:val="20"/>
                                <w:szCs w:val="20"/>
                              </w:rPr>
                              <w:t xml:space="preserve">26% risking long-term harm, compared with </w:t>
                            </w:r>
                            <w:r>
                              <w:rPr>
                                <w:sz w:val="20"/>
                                <w:szCs w:val="20"/>
                              </w:rPr>
                              <w:t>nearly</w:t>
                            </w:r>
                            <w:r w:rsidRPr="003F66BA">
                              <w:rPr>
                                <w:sz w:val="20"/>
                                <w:szCs w:val="20"/>
                              </w:rPr>
                              <w:t xml:space="preserve"> 10% of females.</w:t>
                            </w:r>
                            <w:r w:rsidRPr="00E22FE9">
                              <w:rPr>
                                <w:rFonts w:cstheme="minorHAnsi"/>
                                <w:bCs/>
                              </w:rPr>
                              <w:t xml:space="preserve"> </w:t>
                            </w:r>
                          </w:p>
                          <w:p w14:paraId="01FAE360" w14:textId="77777777" w:rsidR="00E82E66" w:rsidRPr="00C25EFC" w:rsidRDefault="00E82E66" w:rsidP="00E82E66">
                            <w:pPr>
                              <w:jc w:val="both"/>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1B68A2E" id="_x0000_s1044" type="#_x0000_t202" style="position:absolute;margin-left:260.95pt;margin-top:17.35pt;width:220.85pt;height:105.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s/AEAANYDAAAOAAAAZHJzL2Uyb0RvYy54bWysU8tu2zAQvBfoPxC813rEbh3BcpAmTVEg&#10;fQBJP4CiKIsoyWVJ2pL79V1SimOkt6A6EFyuOLszO9xcjVqRg3BegqlpscgpEYZDK82upj8f796t&#10;KfGBmZYpMKKmR+Hp1fbtm81gK1FCD6oVjiCI8dVga9qHYKss87wXmvkFWGEw2YHTLGDodlnr2IDo&#10;WmVlnr/PBnCtdcCF93h6OyXpNuF3neDhe9d5EYiqKfYW0urS2sQ1225YtXPM9pLPbbBXdKGZNFj0&#10;BHXLAiN7J/+B0pI78NCFBQedQddJLhIHZFPkL9g89MyKxAXF8fYkk/9/sPzb4cH+cCSMH2HEASYS&#10;3t4D/+WJgZuemZ24dg6GXrAWCxdRsmywvpqvRql95SNIM3yFFofM9gES0Ng5HVVBngTRcQDHk+hi&#10;DITjYbnOV0VRUsIxV1wsL/JylWqw6um6dT58FqBJ3NTU4VQTPDvc+xDbYdXTL7GagTupVJqsMmSo&#10;6eUKIV9ktAxoPCV1Tdd5/CYrRJafTJsuBybVtMcCysy0I9OJcxibkcgWu17Hy1GGBtojCuFgMho+&#10;DNz04P5QMqDJaup/75kTlKgvBsW8LJbL6MoULFcfSgzceaY5zzDDEaqmgZJpexOSkydm1yh6J5Mc&#10;z53MPaN5kkqz0aM7z+P01/Nz3P4FAAD//wMAUEsDBBQABgAIAAAAIQDFXhTz3wAAAAoBAAAPAAAA&#10;ZHJzL2Rvd25yZXYueG1sTI/BTsMwEETvSPyDtUjcqN00TUnIpkIgriAKReLmxtskIl5HsduEv8ec&#10;4Liap5m35Xa2vTjT6DvHCMuFAkFcO9Nxg/D+9nRzC8IHzUb3jgnhmzxsq8uLUhfGTfxK511oRCxh&#10;X2iENoShkNLXLVntF24gjtnRjVaHeI6NNKOeYrntZaJUJq3uOC60eqCHluqv3cki7J+Pnx+pemke&#10;7XqY3Kwk21wiXl/N93cgAs3hD4Zf/agOVXQ6uBMbL3qEdbLMI4qwSjcgIpBnqwzEASFJswRkVcr/&#10;L1Q/AAAA//8DAFBLAQItABQABgAIAAAAIQC2gziS/gAAAOEBAAATAAAAAAAAAAAAAAAAAAAAAABb&#10;Q29udGVudF9UeXBlc10ueG1sUEsBAi0AFAAGAAgAAAAhADj9If/WAAAAlAEAAAsAAAAAAAAAAAAA&#10;AAAALwEAAF9yZWxzLy5yZWxzUEsBAi0AFAAGAAgAAAAhANa79iz8AQAA1gMAAA4AAAAAAAAAAAAA&#10;AAAALgIAAGRycy9lMm9Eb2MueG1sUEsBAi0AFAAGAAgAAAAhAMVeFPPfAAAACgEAAA8AAAAAAAAA&#10;AAAAAAAAVgQAAGRycy9kb3ducmV2LnhtbFBLBQYAAAAABAAEAPMAAABiBQAAAAA=&#10;" filled="f" stroked="f">
                <v:textbox>
                  <w:txbxContent>
                    <w:p w14:paraId="25672B75" w14:textId="77777777" w:rsidR="00E82E66" w:rsidRPr="00E22FE9" w:rsidRDefault="00E82E66" w:rsidP="00E82E66">
                      <w:pPr>
                        <w:jc w:val="both"/>
                        <w:rPr>
                          <w:rFonts w:cstheme="minorHAnsi"/>
                          <w:bCs/>
                        </w:rPr>
                      </w:pPr>
                      <w:r w:rsidRPr="003F66BA">
                        <w:rPr>
                          <w:sz w:val="20"/>
                          <w:szCs w:val="20"/>
                        </w:rPr>
                        <w:t>The 2019 National Drug Strategy Survey revealed that nearly 18% of Australians aged 1</w:t>
                      </w:r>
                      <w:r>
                        <w:rPr>
                          <w:sz w:val="20"/>
                          <w:szCs w:val="20"/>
                        </w:rPr>
                        <w:t>8</w:t>
                      </w:r>
                      <w:r w:rsidRPr="003F66BA">
                        <w:rPr>
                          <w:sz w:val="20"/>
                          <w:szCs w:val="20"/>
                        </w:rPr>
                        <w:t xml:space="preserve"> years or more were at risk of long-term harm owing to their level of alcohol consumption. </w:t>
                      </w:r>
                      <w:r>
                        <w:rPr>
                          <w:sz w:val="20"/>
                          <w:szCs w:val="20"/>
                        </w:rPr>
                        <w:t>Males</w:t>
                      </w:r>
                      <w:r w:rsidRPr="003F66BA">
                        <w:rPr>
                          <w:sz w:val="20"/>
                          <w:szCs w:val="20"/>
                        </w:rPr>
                        <w:t xml:space="preserve"> were more than twice as likely to be exposed to such risk, with </w:t>
                      </w:r>
                      <w:r>
                        <w:rPr>
                          <w:sz w:val="20"/>
                          <w:szCs w:val="20"/>
                        </w:rPr>
                        <w:t xml:space="preserve">nearly </w:t>
                      </w:r>
                      <w:r w:rsidRPr="003F66BA">
                        <w:rPr>
                          <w:sz w:val="20"/>
                          <w:szCs w:val="20"/>
                        </w:rPr>
                        <w:t xml:space="preserve">26% risking long-term harm, compared with </w:t>
                      </w:r>
                      <w:r>
                        <w:rPr>
                          <w:sz w:val="20"/>
                          <w:szCs w:val="20"/>
                        </w:rPr>
                        <w:t>nearly</w:t>
                      </w:r>
                      <w:r w:rsidRPr="003F66BA">
                        <w:rPr>
                          <w:sz w:val="20"/>
                          <w:szCs w:val="20"/>
                        </w:rPr>
                        <w:t xml:space="preserve"> 10% of females.</w:t>
                      </w:r>
                      <w:r w:rsidRPr="00E22FE9">
                        <w:rPr>
                          <w:rFonts w:cstheme="minorHAnsi"/>
                          <w:bCs/>
                        </w:rPr>
                        <w:t xml:space="preserve"> </w:t>
                      </w:r>
                    </w:p>
                    <w:p w14:paraId="01FAE360" w14:textId="77777777" w:rsidR="00E82E66" w:rsidRPr="00C25EFC" w:rsidRDefault="00E82E66" w:rsidP="00E82E66">
                      <w:pPr>
                        <w:jc w:val="both"/>
                        <w:rPr>
                          <w:sz w:val="20"/>
                          <w:szCs w:val="20"/>
                        </w:rPr>
                      </w:pPr>
                    </w:p>
                  </w:txbxContent>
                </v:textbox>
              </v:shape>
            </w:pict>
          </mc:Fallback>
        </mc:AlternateContent>
      </w:r>
      <w:r>
        <w:rPr>
          <w:b/>
          <w:noProof/>
          <w:color w:val="222A35" w:themeColor="text2" w:themeShade="80"/>
          <w:sz w:val="26"/>
          <w:szCs w:val="26"/>
        </w:rPr>
        <w:drawing>
          <wp:anchor distT="0" distB="0" distL="114300" distR="114300" simplePos="0" relativeHeight="251844608" behindDoc="0" locked="0" layoutInCell="1" allowOverlap="1" wp14:anchorId="4528CB31" wp14:editId="4907F104">
            <wp:simplePos x="0" y="0"/>
            <wp:positionH relativeFrom="column">
              <wp:posOffset>51435</wp:posOffset>
            </wp:positionH>
            <wp:positionV relativeFrom="paragraph">
              <wp:posOffset>205740</wp:posOffset>
            </wp:positionV>
            <wp:extent cx="3147695" cy="2249170"/>
            <wp:effectExtent l="0" t="0" r="0" b="0"/>
            <wp:wrapSquare wrapText="bothSides"/>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147695" cy="2249170"/>
                    </a:xfrm>
                    <a:prstGeom prst="rect">
                      <a:avLst/>
                    </a:prstGeom>
                    <a:noFill/>
                  </pic:spPr>
                </pic:pic>
              </a:graphicData>
            </a:graphic>
            <wp14:sizeRelH relativeFrom="page">
              <wp14:pctWidth>0</wp14:pctWidth>
            </wp14:sizeRelH>
            <wp14:sizeRelV relativeFrom="page">
              <wp14:pctHeight>0</wp14:pctHeight>
            </wp14:sizeRelV>
          </wp:anchor>
        </w:drawing>
      </w:r>
      <w:r w:rsidRPr="00FB5BB6">
        <w:rPr>
          <w:b/>
          <w:color w:val="222A35" w:themeColor="text2" w:themeShade="80"/>
          <w:sz w:val="26"/>
          <w:szCs w:val="26"/>
        </w:rPr>
        <w:t xml:space="preserve">Alcohol </w:t>
      </w:r>
      <w:r>
        <w:rPr>
          <w:b/>
          <w:color w:val="222A35" w:themeColor="text2" w:themeShade="80"/>
          <w:sz w:val="26"/>
          <w:szCs w:val="26"/>
        </w:rPr>
        <w:t>Consumption</w:t>
      </w:r>
    </w:p>
    <w:p w14:paraId="4A6A92BD" w14:textId="5CB25C59" w:rsidR="00E82E66" w:rsidRDefault="00801742" w:rsidP="00E82E66">
      <w:pPr>
        <w:spacing w:after="0" w:line="360" w:lineRule="auto"/>
        <w:rPr>
          <w:b/>
          <w:color w:val="222A35" w:themeColor="text2" w:themeShade="80"/>
          <w:sz w:val="26"/>
          <w:szCs w:val="26"/>
        </w:rPr>
      </w:pPr>
      <w:r>
        <w:rPr>
          <w:noProof/>
          <w:lang w:eastAsia="en-AU"/>
        </w:rPr>
        <w:drawing>
          <wp:anchor distT="24384" distB="78105" distL="138684" distR="192913" simplePos="0" relativeHeight="251900928" behindDoc="1" locked="0" layoutInCell="1" allowOverlap="1" wp14:anchorId="7C960B60" wp14:editId="5FBBE4F4">
            <wp:simplePos x="0" y="0"/>
            <wp:positionH relativeFrom="column">
              <wp:posOffset>1952083</wp:posOffset>
            </wp:positionH>
            <wp:positionV relativeFrom="paragraph">
              <wp:posOffset>3361</wp:posOffset>
            </wp:positionV>
            <wp:extent cx="1195070" cy="673735"/>
            <wp:effectExtent l="0" t="0" r="5080" b="0"/>
            <wp:wrapTight wrapText="bothSides">
              <wp:wrapPolygon edited="0">
                <wp:start x="1377" y="0"/>
                <wp:lineTo x="0" y="1221"/>
                <wp:lineTo x="0" y="19544"/>
                <wp:lineTo x="1033" y="20765"/>
                <wp:lineTo x="1377" y="20765"/>
                <wp:lineTo x="19970" y="20765"/>
                <wp:lineTo x="20315" y="20765"/>
                <wp:lineTo x="21348" y="19544"/>
                <wp:lineTo x="21348" y="1221"/>
                <wp:lineTo x="19970" y="0"/>
                <wp:lineTo x="1377" y="0"/>
              </wp:wrapPolygon>
            </wp:wrapTight>
            <wp:docPr id="311" name="Picture 63" descr="alcohol consum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63" descr="alcohol consumption"/>
                    <pic:cNvPicPr>
                      <a:picLocks noChangeAspect="1" noChangeArrowheads="1"/>
                    </pic:cNvPicPr>
                  </pic:nvPicPr>
                  <pic:blipFill>
                    <a:blip r:embed="rId207" cstate="print"/>
                    <a:srcRect/>
                    <a:stretch>
                      <a:fillRect/>
                    </a:stretch>
                  </pic:blipFill>
                  <pic:spPr bwMode="auto">
                    <a:xfrm>
                      <a:off x="0" y="0"/>
                      <a:ext cx="1195070" cy="6737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758C2EC7" w14:textId="77777777" w:rsidR="00E82E66" w:rsidRDefault="00E82E66" w:rsidP="00E82E66">
      <w:pPr>
        <w:spacing w:after="0" w:line="360" w:lineRule="auto"/>
        <w:rPr>
          <w:b/>
          <w:color w:val="222A35" w:themeColor="text2" w:themeShade="80"/>
          <w:sz w:val="26"/>
          <w:szCs w:val="26"/>
        </w:rPr>
      </w:pPr>
    </w:p>
    <w:p w14:paraId="1DEB8B7F" w14:textId="77777777" w:rsidR="00E82E66" w:rsidRDefault="00E82E66" w:rsidP="00E82E66">
      <w:pPr>
        <w:spacing w:after="0" w:line="360" w:lineRule="auto"/>
        <w:rPr>
          <w:b/>
          <w:color w:val="222A35" w:themeColor="text2" w:themeShade="80"/>
          <w:sz w:val="26"/>
          <w:szCs w:val="26"/>
        </w:rPr>
      </w:pPr>
    </w:p>
    <w:p w14:paraId="70533CB5" w14:textId="77777777" w:rsidR="00E82E66" w:rsidRDefault="00E82E66" w:rsidP="00E82E66">
      <w:pPr>
        <w:spacing w:after="0" w:line="360" w:lineRule="auto"/>
        <w:jc w:val="both"/>
        <w:rPr>
          <w:color w:val="000000"/>
        </w:rPr>
      </w:pPr>
    </w:p>
    <w:p w14:paraId="444CE716" w14:textId="77777777" w:rsidR="00E82E66" w:rsidRDefault="00E82E66" w:rsidP="00E82E66">
      <w:pPr>
        <w:spacing w:after="0" w:line="360" w:lineRule="auto"/>
        <w:jc w:val="both"/>
        <w:rPr>
          <w:color w:val="000000"/>
        </w:rPr>
      </w:pPr>
    </w:p>
    <w:p w14:paraId="554A103B" w14:textId="77777777" w:rsidR="00E82E66" w:rsidRDefault="00E82E66" w:rsidP="00E82E66">
      <w:pPr>
        <w:spacing w:after="0" w:line="360" w:lineRule="auto"/>
        <w:jc w:val="both"/>
        <w:rPr>
          <w:color w:val="000000"/>
        </w:rPr>
      </w:pPr>
    </w:p>
    <w:p w14:paraId="155D8E17" w14:textId="77777777" w:rsidR="00E82E66" w:rsidRPr="00621B0D" w:rsidRDefault="00E82E66" w:rsidP="00E82E66">
      <w:pPr>
        <w:spacing w:after="0" w:line="240" w:lineRule="auto"/>
        <w:jc w:val="both"/>
        <w:rPr>
          <w:color w:val="000000"/>
          <w:sz w:val="10"/>
          <w:szCs w:val="10"/>
        </w:rPr>
      </w:pPr>
    </w:p>
    <w:p w14:paraId="4120B5FD" w14:textId="77777777" w:rsidR="00E82E66" w:rsidRPr="00FA5EB9" w:rsidRDefault="00E82E66" w:rsidP="00E82E66">
      <w:pPr>
        <w:spacing w:after="0" w:line="240" w:lineRule="auto"/>
        <w:jc w:val="both"/>
        <w:rPr>
          <w:color w:val="7F7F7F" w:themeColor="text1" w:themeTint="80"/>
          <w:sz w:val="20"/>
          <w:szCs w:val="20"/>
        </w:rPr>
      </w:pPr>
      <w:r w:rsidRPr="00FA5EB9">
        <w:rPr>
          <w:color w:val="7F7F7F" w:themeColor="text1" w:themeTint="80"/>
          <w:sz w:val="20"/>
          <w:szCs w:val="20"/>
        </w:rPr>
        <w:t xml:space="preserve">Per cent of </w:t>
      </w:r>
      <w:r>
        <w:rPr>
          <w:color w:val="7F7F7F" w:themeColor="text1" w:themeTint="80"/>
          <w:sz w:val="20"/>
          <w:szCs w:val="20"/>
        </w:rPr>
        <w:t>adults</w:t>
      </w:r>
      <w:r w:rsidRPr="00FA5EB9">
        <w:rPr>
          <w:color w:val="7F7F7F" w:themeColor="text1" w:themeTint="80"/>
          <w:sz w:val="20"/>
          <w:szCs w:val="20"/>
        </w:rPr>
        <w:t xml:space="preserve"> </w:t>
      </w:r>
      <w:r>
        <w:rPr>
          <w:color w:val="7F7F7F" w:themeColor="text1" w:themeTint="80"/>
          <w:sz w:val="20"/>
          <w:szCs w:val="20"/>
        </w:rPr>
        <w:t>at lifetime risk of alcohol-related harm, by sex: Australia, 2019</w:t>
      </w:r>
    </w:p>
    <w:p w14:paraId="1EF27624" w14:textId="77777777" w:rsidR="00E82E66" w:rsidRDefault="00E82E66" w:rsidP="00E82E66">
      <w:pPr>
        <w:spacing w:after="0" w:line="360" w:lineRule="auto"/>
        <w:rPr>
          <w:b/>
          <w:color w:val="222A35" w:themeColor="text2" w:themeShade="80"/>
          <w:sz w:val="26"/>
          <w:szCs w:val="26"/>
        </w:rPr>
      </w:pPr>
    </w:p>
    <w:p w14:paraId="6337E291" w14:textId="18BFF97C" w:rsidR="00E82E66" w:rsidRDefault="00801742" w:rsidP="00E82E66">
      <w:pPr>
        <w:spacing w:after="0" w:line="360" w:lineRule="auto"/>
        <w:rPr>
          <w:b/>
          <w:color w:val="222A35" w:themeColor="text2" w:themeShade="80"/>
          <w:sz w:val="10"/>
          <w:szCs w:val="10"/>
        </w:rPr>
      </w:pPr>
      <w:r>
        <w:rPr>
          <w:rFonts w:ascii="Calibri" w:hAnsi="Calibri"/>
          <w:b/>
          <w:noProof/>
          <w:lang w:eastAsia="en-AU"/>
        </w:rPr>
        <w:drawing>
          <wp:anchor distT="0" distB="0" distL="114300" distR="114300" simplePos="0" relativeHeight="251899904" behindDoc="0" locked="0" layoutInCell="1" allowOverlap="1" wp14:anchorId="50B5F49A" wp14:editId="487DCE35">
            <wp:simplePos x="0" y="0"/>
            <wp:positionH relativeFrom="margin">
              <wp:align>right</wp:align>
            </wp:positionH>
            <wp:positionV relativeFrom="paragraph">
              <wp:posOffset>14156</wp:posOffset>
            </wp:positionV>
            <wp:extent cx="1068705" cy="759460"/>
            <wp:effectExtent l="0" t="0" r="0" b="2540"/>
            <wp:wrapNone/>
            <wp:docPr id="141" name="Picture 51" descr="White 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White rose"/>
                    <pic:cNvPicPr>
                      <a:picLocks noChangeAspect="1" noChangeArrowheads="1"/>
                    </pic:cNvPicPr>
                  </pic:nvPicPr>
                  <pic:blipFill>
                    <a:blip r:embed="rId208" cstate="print"/>
                    <a:srcRect t="4781" r="9596" b="16675"/>
                    <a:stretch>
                      <a:fillRect/>
                    </a:stretch>
                  </pic:blipFill>
                  <pic:spPr bwMode="auto">
                    <a:xfrm>
                      <a:off x="0" y="0"/>
                      <a:ext cx="1068705" cy="7594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1FBC3DE" w14:textId="77777777" w:rsidR="00E82E66" w:rsidRPr="0086753E" w:rsidRDefault="00E82E66" w:rsidP="00E82E66">
      <w:pPr>
        <w:spacing w:after="0" w:line="360" w:lineRule="auto"/>
        <w:rPr>
          <w:b/>
          <w:color w:val="222A35" w:themeColor="text2" w:themeShade="80"/>
          <w:sz w:val="10"/>
          <w:szCs w:val="10"/>
        </w:rPr>
      </w:pPr>
    </w:p>
    <w:p w14:paraId="62960AC4" w14:textId="506BA192" w:rsidR="00E82E66" w:rsidRDefault="00E82E66" w:rsidP="00E82E66">
      <w:pPr>
        <w:spacing w:after="0" w:line="360" w:lineRule="auto"/>
        <w:rPr>
          <w:b/>
          <w:color w:val="222A35" w:themeColor="text2" w:themeShade="80"/>
          <w:sz w:val="26"/>
          <w:szCs w:val="26"/>
        </w:rPr>
      </w:pPr>
      <w:r w:rsidRPr="00FB5BB6">
        <w:rPr>
          <w:b/>
          <w:color w:val="222A35" w:themeColor="text2" w:themeShade="80"/>
          <w:sz w:val="26"/>
          <w:szCs w:val="26"/>
        </w:rPr>
        <w:t>Mortality</w:t>
      </w:r>
    </w:p>
    <w:p w14:paraId="3127E96E" w14:textId="4C222FB6" w:rsidR="00E82E66" w:rsidRDefault="00801742" w:rsidP="00E82E66">
      <w:pPr>
        <w:spacing w:after="0" w:line="360" w:lineRule="auto"/>
        <w:rPr>
          <w:b/>
          <w:color w:val="222A35" w:themeColor="text2" w:themeShade="80"/>
          <w:sz w:val="26"/>
          <w:szCs w:val="26"/>
        </w:rPr>
      </w:pPr>
      <w:r>
        <w:rPr>
          <w:b/>
          <w:noProof/>
          <w:color w:val="222A35" w:themeColor="text2" w:themeShade="80"/>
          <w:sz w:val="26"/>
          <w:szCs w:val="26"/>
        </w:rPr>
        <w:drawing>
          <wp:anchor distT="0" distB="0" distL="114300" distR="114300" simplePos="0" relativeHeight="251898880" behindDoc="0" locked="0" layoutInCell="1" allowOverlap="1" wp14:anchorId="0EFE9FD2" wp14:editId="7C9D62E5">
            <wp:simplePos x="0" y="0"/>
            <wp:positionH relativeFrom="column">
              <wp:posOffset>3048635</wp:posOffset>
            </wp:positionH>
            <wp:positionV relativeFrom="paragraph">
              <wp:posOffset>12700</wp:posOffset>
            </wp:positionV>
            <wp:extent cx="3190875" cy="2279650"/>
            <wp:effectExtent l="0" t="0" r="9525" b="6350"/>
            <wp:wrapSquare wrapText="bothSides"/>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190875" cy="2279650"/>
                    </a:xfrm>
                    <a:prstGeom prst="rect">
                      <a:avLst/>
                    </a:prstGeom>
                    <a:noFill/>
                  </pic:spPr>
                </pic:pic>
              </a:graphicData>
            </a:graphic>
            <wp14:sizeRelH relativeFrom="page">
              <wp14:pctWidth>0</wp14:pctWidth>
            </wp14:sizeRelH>
            <wp14:sizeRelV relativeFrom="page">
              <wp14:pctHeight>0</wp14:pctHeight>
            </wp14:sizeRelV>
          </wp:anchor>
        </w:drawing>
      </w:r>
      <w:r w:rsidR="00E82E66" w:rsidRPr="005D37BE">
        <w:rPr>
          <w:noProof/>
          <w:lang w:eastAsia="en-AU"/>
        </w:rPr>
        <mc:AlternateContent>
          <mc:Choice Requires="wps">
            <w:drawing>
              <wp:anchor distT="0" distB="0" distL="114300" distR="114300" simplePos="0" relativeHeight="251884544" behindDoc="0" locked="0" layoutInCell="1" allowOverlap="1" wp14:anchorId="6BE85B3C" wp14:editId="4C00F2EC">
                <wp:simplePos x="0" y="0"/>
                <wp:positionH relativeFrom="column">
                  <wp:posOffset>-10477</wp:posOffset>
                </wp:positionH>
                <wp:positionV relativeFrom="paragraph">
                  <wp:posOffset>110490</wp:posOffset>
                </wp:positionV>
                <wp:extent cx="2714625" cy="1014412"/>
                <wp:effectExtent l="0" t="0" r="0" b="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014412"/>
                        </a:xfrm>
                        <a:prstGeom prst="rect">
                          <a:avLst/>
                        </a:prstGeom>
                        <a:noFill/>
                        <a:ln w="9525">
                          <a:noFill/>
                          <a:miter lim="800000"/>
                          <a:headEnd/>
                          <a:tailEnd/>
                        </a:ln>
                      </wps:spPr>
                      <wps:txbx>
                        <w:txbxContent>
                          <w:p w14:paraId="1E891EB5" w14:textId="77777777" w:rsidR="00E82E66" w:rsidRPr="00C25EFC" w:rsidRDefault="00E82E66" w:rsidP="00E82E66">
                            <w:pPr>
                              <w:jc w:val="both"/>
                              <w:rPr>
                                <w:sz w:val="20"/>
                                <w:szCs w:val="20"/>
                              </w:rPr>
                            </w:pPr>
                            <w:r>
                              <w:rPr>
                                <w:sz w:val="20"/>
                                <w:szCs w:val="20"/>
                              </w:rPr>
                              <w:t>Mortality rates among males tend to be higher than among females throughout the lifespan. Based on mortality rates in Australia in 2020, 112 males per 1,000 would be expected to die by 65 years, compared with 68 females.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BE85B3C" id="_x0000_s1045" type="#_x0000_t202" style="position:absolute;margin-left:-.8pt;margin-top:8.7pt;width:213.75pt;height:79.8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7dw+wEAANYDAAAOAAAAZHJzL2Uyb0RvYy54bWysU8tu2zAQvBfoPxC813rATmLBcpAmTVEg&#10;fQBpP4CiKIsoyWVJ2pL79V1SimMkt6A6EFyuOLszO9xcj1qRg3BegqlpscgpEYZDK82upr9+3n+4&#10;osQHZlqmwIiaHoWn19v37zaDrUQJPahWOIIgxleDrWkfgq2yzPNeaOYXYIXBZAdOs4Ch22WtYwOi&#10;a5WVeX6RDeBa64AL7/H0bkrSbcLvOsHD967zIhBVU+wtpNWltYlrtt2waueY7SWf22Bv6EIzabDo&#10;CeqOBUb2Tr6C0pI78NCFBQedQddJLhIHZFPkL9g89syKxAXF8fYkk/9/sPzb4dH+cCSMH2HEASYS&#10;3j4A/+2JgduemZ24cQ6GXrAWCxdRsmywvpqvRql95SNIM3yFFofM9gES0Ng5HVVBngTRcQDHk+hi&#10;DITjYXlZLC/KFSUcc0VeLJdFmWqw6um6dT58FqBJ3NTU4VQTPDs8+BDbYdXTL7GagXupVJqsMmSo&#10;6XqF+C8yWgY0npK6pld5/CYrRJafTJsuBybVtMcCysy0I9OJcxibkcgWu17Hy1GGBtojCuFgMho+&#10;DNz04P5SMqDJaur/7JkTlKgvBsVcI9voyhQsV5clBu4805xnmOEIVdNAybS9DcnJE7MbFL2TSY7n&#10;Tuae0TxJpdno0Z3ncfrr+Tlu/wEAAP//AwBQSwMEFAAGAAgAAAAhAB2lktvdAAAACQEAAA8AAABk&#10;cnMvZG93bnJldi54bWxMj81uwjAQhO+VeAdrkXoDOyhASeMgRNVrq9IfqTcTL0nUeB3FhqRv3+VU&#10;jjszmv0m346uFRfsQ+NJQzJXIJBKbxuqNHy8P88eQIRoyJrWE2r4xQDbYnKXm8z6gd7wcoiV4BIK&#10;mdFQx9hlUoayRmfC3HdI7J1870zks6+k7c3A5a6VC6VW0pmG+ENtOtzXWP4czk7D58vp+ytVr9WT&#10;W3aDH5Ukt5Fa30/H3SOIiGP8D8MVn9GhYKajP5MNotUwS1acZH2dgmA/XSw3II5XYZ2ALHJ5u6D4&#10;AwAA//8DAFBLAQItABQABgAIAAAAIQC2gziS/gAAAOEBAAATAAAAAAAAAAAAAAAAAAAAAABbQ29u&#10;dGVudF9UeXBlc10ueG1sUEsBAi0AFAAGAAgAAAAhADj9If/WAAAAlAEAAAsAAAAAAAAAAAAAAAAA&#10;LwEAAF9yZWxzLy5yZWxzUEsBAi0AFAAGAAgAAAAhACu/t3D7AQAA1gMAAA4AAAAAAAAAAAAAAAAA&#10;LgIAAGRycy9lMm9Eb2MueG1sUEsBAi0AFAAGAAgAAAAhAB2lktvdAAAACQEAAA8AAAAAAAAAAAAA&#10;AAAAVQQAAGRycy9kb3ducmV2LnhtbFBLBQYAAAAABAAEAPMAAABfBQAAAAA=&#10;" filled="f" stroked="f">
                <v:textbox>
                  <w:txbxContent>
                    <w:p w14:paraId="1E891EB5" w14:textId="77777777" w:rsidR="00E82E66" w:rsidRPr="00C25EFC" w:rsidRDefault="00E82E66" w:rsidP="00E82E66">
                      <w:pPr>
                        <w:jc w:val="both"/>
                        <w:rPr>
                          <w:sz w:val="20"/>
                          <w:szCs w:val="20"/>
                        </w:rPr>
                      </w:pPr>
                      <w:r>
                        <w:rPr>
                          <w:sz w:val="20"/>
                          <w:szCs w:val="20"/>
                        </w:rPr>
                        <w:t>Mortality rates among males tend to be higher than among females throughout the lifespan. Based on mortality rates in Australia in 2020, 112 males per 1,000 would be expected to die by 65 years, compared with 68 females.</w:t>
                      </w:r>
                    </w:p>
                  </w:txbxContent>
                </v:textbox>
              </v:shape>
            </w:pict>
          </mc:Fallback>
        </mc:AlternateContent>
      </w:r>
    </w:p>
    <w:p w14:paraId="6332EDD6" w14:textId="77777777" w:rsidR="00E82E66" w:rsidRDefault="00E82E66" w:rsidP="00E82E66">
      <w:pPr>
        <w:spacing w:after="0" w:line="360" w:lineRule="auto"/>
        <w:rPr>
          <w:b/>
          <w:color w:val="222A35" w:themeColor="text2" w:themeShade="80"/>
          <w:sz w:val="26"/>
          <w:szCs w:val="26"/>
        </w:rPr>
      </w:pPr>
    </w:p>
    <w:p w14:paraId="33DB1285" w14:textId="77777777" w:rsidR="00E82E66" w:rsidRDefault="00E82E66" w:rsidP="00E82E66">
      <w:pPr>
        <w:spacing w:after="0" w:line="360" w:lineRule="auto"/>
        <w:rPr>
          <w:b/>
          <w:color w:val="222A35" w:themeColor="text2" w:themeShade="80"/>
          <w:sz w:val="26"/>
          <w:szCs w:val="26"/>
        </w:rPr>
      </w:pPr>
    </w:p>
    <w:p w14:paraId="766241BE" w14:textId="77777777" w:rsidR="00E82E66" w:rsidRDefault="00E82E66" w:rsidP="00E82E66">
      <w:pPr>
        <w:spacing w:after="0" w:line="360" w:lineRule="auto"/>
        <w:rPr>
          <w:b/>
          <w:color w:val="222A35" w:themeColor="text2" w:themeShade="80"/>
          <w:sz w:val="26"/>
          <w:szCs w:val="26"/>
        </w:rPr>
      </w:pPr>
    </w:p>
    <w:p w14:paraId="32811687" w14:textId="77777777" w:rsidR="00E82E66" w:rsidRDefault="00E82E66" w:rsidP="00E82E66">
      <w:pPr>
        <w:spacing w:after="0" w:line="360" w:lineRule="auto"/>
        <w:rPr>
          <w:b/>
          <w:color w:val="222A35" w:themeColor="text2" w:themeShade="80"/>
          <w:sz w:val="26"/>
          <w:szCs w:val="26"/>
        </w:rPr>
      </w:pPr>
    </w:p>
    <w:p w14:paraId="1D4A004D" w14:textId="77777777" w:rsidR="00E82E66" w:rsidRDefault="00E82E66" w:rsidP="00E82E66">
      <w:pPr>
        <w:spacing w:after="0" w:line="360" w:lineRule="auto"/>
        <w:rPr>
          <w:b/>
          <w:color w:val="222A35" w:themeColor="text2" w:themeShade="80"/>
          <w:sz w:val="26"/>
          <w:szCs w:val="26"/>
        </w:rPr>
      </w:pPr>
    </w:p>
    <w:p w14:paraId="3AFA59D9" w14:textId="05B2CE49" w:rsidR="00E82E66" w:rsidRPr="00FA5EB9" w:rsidRDefault="00E82E66" w:rsidP="00E82E66">
      <w:pPr>
        <w:spacing w:after="0" w:line="240" w:lineRule="auto"/>
        <w:jc w:val="both"/>
        <w:rPr>
          <w:color w:val="7F7F7F" w:themeColor="text1" w:themeTint="80"/>
          <w:sz w:val="20"/>
          <w:szCs w:val="20"/>
        </w:rPr>
      </w:pPr>
      <w:r>
        <w:rPr>
          <w:color w:val="7F7F7F" w:themeColor="text1" w:themeTint="80"/>
          <w:sz w:val="20"/>
          <w:szCs w:val="20"/>
        </w:rPr>
        <w:t>Proportion</w:t>
      </w:r>
      <w:r w:rsidRPr="00FA5EB9">
        <w:rPr>
          <w:color w:val="7F7F7F" w:themeColor="text1" w:themeTint="80"/>
          <w:sz w:val="20"/>
          <w:szCs w:val="20"/>
        </w:rPr>
        <w:t xml:space="preserve"> of persons </w:t>
      </w:r>
      <w:r>
        <w:rPr>
          <w:color w:val="7F7F7F" w:themeColor="text1" w:themeTint="80"/>
          <w:sz w:val="20"/>
          <w:szCs w:val="20"/>
        </w:rPr>
        <w:t>expected to be deceased per 1,000 individuals, by age</w:t>
      </w:r>
      <w:r w:rsidRPr="00FA5EB9">
        <w:rPr>
          <w:color w:val="7F7F7F" w:themeColor="text1" w:themeTint="80"/>
          <w:sz w:val="20"/>
          <w:szCs w:val="20"/>
        </w:rPr>
        <w:t xml:space="preserve"> 6</w:t>
      </w:r>
      <w:r>
        <w:rPr>
          <w:color w:val="7F7F7F" w:themeColor="text1" w:themeTint="80"/>
          <w:sz w:val="20"/>
          <w:szCs w:val="20"/>
        </w:rPr>
        <w:t>5</w:t>
      </w:r>
      <w:r w:rsidRPr="00FA5EB9">
        <w:rPr>
          <w:color w:val="7F7F7F" w:themeColor="text1" w:themeTint="80"/>
          <w:sz w:val="20"/>
          <w:szCs w:val="20"/>
        </w:rPr>
        <w:t xml:space="preserve">: </w:t>
      </w:r>
      <w:r w:rsidR="001E57CD" w:rsidRPr="00FA5EB9">
        <w:rPr>
          <w:color w:val="7F7F7F" w:themeColor="text1" w:themeTint="80"/>
          <w:sz w:val="20"/>
          <w:szCs w:val="20"/>
        </w:rPr>
        <w:t>Australia:</w:t>
      </w:r>
      <w:r w:rsidRPr="00FA5EB9">
        <w:rPr>
          <w:color w:val="7F7F7F" w:themeColor="text1" w:themeTint="80"/>
          <w:sz w:val="20"/>
          <w:szCs w:val="20"/>
        </w:rPr>
        <w:t xml:space="preserve"> 201</w:t>
      </w:r>
      <w:r>
        <w:rPr>
          <w:color w:val="7F7F7F" w:themeColor="text1" w:themeTint="80"/>
          <w:sz w:val="20"/>
          <w:szCs w:val="20"/>
        </w:rPr>
        <w:t>6-18</w:t>
      </w:r>
      <w:r w:rsidRPr="00FA5EB9">
        <w:rPr>
          <w:color w:val="7F7F7F" w:themeColor="text1" w:themeTint="80"/>
          <w:sz w:val="20"/>
          <w:szCs w:val="20"/>
        </w:rPr>
        <w:t xml:space="preserve"> age-specific mortality rates</w:t>
      </w:r>
    </w:p>
    <w:p w14:paraId="48A1088F" w14:textId="64D2430B" w:rsidR="00B53C77" w:rsidRDefault="00B53C77" w:rsidP="00E82E66">
      <w:pPr>
        <w:spacing w:after="0" w:line="360" w:lineRule="auto"/>
      </w:pPr>
    </w:p>
    <w:p w14:paraId="7162E8D1" w14:textId="568D3281" w:rsidR="00B53C77" w:rsidRDefault="00B53C77" w:rsidP="0051666C">
      <w:pPr>
        <w:spacing w:after="0" w:line="360" w:lineRule="auto"/>
      </w:pPr>
    </w:p>
    <w:p w14:paraId="6BAF85C6" w14:textId="77777777" w:rsidR="003B1BC4" w:rsidRPr="002247B0" w:rsidRDefault="003B1BC4" w:rsidP="003B1BC4">
      <w:pPr>
        <w:pBdr>
          <w:top w:val="single" w:sz="4" w:space="1" w:color="auto"/>
          <w:bottom w:val="single" w:sz="4" w:space="1" w:color="auto"/>
        </w:pBdr>
        <w:tabs>
          <w:tab w:val="center" w:pos="4678"/>
        </w:tabs>
        <w:spacing w:after="0"/>
        <w:jc w:val="center"/>
        <w:rPr>
          <w:rFonts w:ascii="Calibri" w:hAnsi="Calibri"/>
          <w:sz w:val="32"/>
          <w:szCs w:val="32"/>
        </w:rPr>
      </w:pPr>
      <w:bookmarkStart w:id="12" w:name="_Hlk23172095"/>
      <w:r w:rsidRPr="002247B0">
        <w:rPr>
          <w:rFonts w:ascii="Calibri" w:hAnsi="Calibri"/>
          <w:noProof/>
          <w:sz w:val="32"/>
          <w:szCs w:val="32"/>
        </w:rPr>
        <w:lastRenderedPageBreak/>
        <w:t>Family Violence</w:t>
      </w:r>
    </w:p>
    <w:p w14:paraId="47ABF471" w14:textId="77777777" w:rsidR="003B1BC4" w:rsidRDefault="003B1BC4" w:rsidP="003B1BC4">
      <w:pPr>
        <w:tabs>
          <w:tab w:val="left" w:pos="284"/>
        </w:tabs>
        <w:spacing w:after="0" w:line="360" w:lineRule="auto"/>
        <w:jc w:val="both"/>
        <w:rPr>
          <w:b/>
          <w:noProof/>
        </w:rPr>
      </w:pPr>
    </w:p>
    <w:p w14:paraId="2ACD621A" w14:textId="77777777" w:rsidR="003B1BC4" w:rsidRDefault="003B1BC4" w:rsidP="003B1BC4">
      <w:pPr>
        <w:tabs>
          <w:tab w:val="left" w:pos="284"/>
        </w:tabs>
        <w:spacing w:after="0" w:line="360" w:lineRule="auto"/>
        <w:jc w:val="both"/>
        <w:rPr>
          <w:rFonts w:ascii="Calibri" w:hAnsi="Calibri"/>
          <w:noProof/>
        </w:rPr>
      </w:pPr>
      <w:r>
        <w:rPr>
          <w:rFonts w:ascii="Calibri" w:hAnsi="Calibri"/>
          <w:noProof/>
          <w:color w:val="7F7F7F"/>
          <w:lang w:eastAsia="en-AU"/>
        </w:rPr>
        <w:drawing>
          <wp:anchor distT="0" distB="0" distL="114300" distR="114300" simplePos="0" relativeHeight="251905024" behindDoc="0" locked="0" layoutInCell="1" allowOverlap="1" wp14:anchorId="475C4108" wp14:editId="3937ACAB">
            <wp:simplePos x="0" y="0"/>
            <wp:positionH relativeFrom="column">
              <wp:posOffset>4435522</wp:posOffset>
            </wp:positionH>
            <wp:positionV relativeFrom="paragraph">
              <wp:posOffset>9695</wp:posOffset>
            </wp:positionV>
            <wp:extent cx="1700530" cy="1133475"/>
            <wp:effectExtent l="0" t="0" r="0" b="9525"/>
            <wp:wrapSquare wrapText="bothSides"/>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 9.jpg"/>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1700530" cy="11334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649A2">
        <w:rPr>
          <w:rFonts w:ascii="Calibri" w:hAnsi="Calibri"/>
          <w:noProof/>
        </w:rPr>
        <w:t xml:space="preserve">Violence within families, including the abuse of children, cannot be measured with accuracy. </w:t>
      </w:r>
      <w:r>
        <w:rPr>
          <w:rFonts w:ascii="Calibri" w:hAnsi="Calibri"/>
          <w:noProof/>
        </w:rPr>
        <w:t>However, random</w:t>
      </w:r>
      <w:r w:rsidRPr="00412A77">
        <w:rPr>
          <w:rFonts w:ascii="Calibri" w:hAnsi="Calibri"/>
          <w:noProof/>
        </w:rPr>
        <w:t xml:space="preserve"> su</w:t>
      </w:r>
      <w:r>
        <w:rPr>
          <w:rFonts w:ascii="Calibri" w:hAnsi="Calibri"/>
          <w:noProof/>
        </w:rPr>
        <w:t>rveys of the general population</w:t>
      </w:r>
      <w:r w:rsidRPr="00412A77">
        <w:rPr>
          <w:rFonts w:ascii="Calibri" w:hAnsi="Calibri"/>
          <w:noProof/>
        </w:rPr>
        <w:t xml:space="preserve"> offer </w:t>
      </w:r>
      <w:r>
        <w:rPr>
          <w:rFonts w:ascii="Calibri" w:hAnsi="Calibri"/>
          <w:noProof/>
        </w:rPr>
        <w:t>the best available</w:t>
      </w:r>
      <w:r w:rsidRPr="00412A77">
        <w:rPr>
          <w:rFonts w:ascii="Calibri" w:hAnsi="Calibri"/>
          <w:noProof/>
        </w:rPr>
        <w:t xml:space="preserve"> method for measuring the prevalence of the </w:t>
      </w:r>
      <w:r>
        <w:rPr>
          <w:rFonts w:ascii="Calibri" w:hAnsi="Calibri"/>
          <w:noProof/>
        </w:rPr>
        <w:t>such violence</w:t>
      </w:r>
      <w:r w:rsidRPr="00412A77">
        <w:rPr>
          <w:rFonts w:ascii="Calibri" w:hAnsi="Calibri"/>
          <w:noProof/>
        </w:rPr>
        <w:t xml:space="preserve">. </w:t>
      </w:r>
    </w:p>
    <w:p w14:paraId="24394B20" w14:textId="77777777" w:rsidR="003B1BC4" w:rsidRPr="00DD518A" w:rsidRDefault="003B1BC4" w:rsidP="003B1BC4">
      <w:pPr>
        <w:tabs>
          <w:tab w:val="left" w:pos="284"/>
        </w:tabs>
        <w:spacing w:after="0" w:line="360" w:lineRule="auto"/>
        <w:jc w:val="both"/>
        <w:rPr>
          <w:rFonts w:ascii="Calibri" w:hAnsi="Calibri"/>
          <w:noProof/>
        </w:rPr>
      </w:pPr>
      <w:r w:rsidRPr="00412A77">
        <w:rPr>
          <w:rFonts w:ascii="Calibri" w:hAnsi="Calibri"/>
          <w:noProof/>
        </w:rPr>
        <w:t>One of the most important of these surveys in recent times was the 201</w:t>
      </w:r>
      <w:r>
        <w:rPr>
          <w:rFonts w:ascii="Calibri" w:hAnsi="Calibri"/>
          <w:noProof/>
        </w:rPr>
        <w:t>6</w:t>
      </w:r>
      <w:r w:rsidRPr="00412A77">
        <w:rPr>
          <w:rFonts w:ascii="Calibri" w:hAnsi="Calibri"/>
          <w:noProof/>
        </w:rPr>
        <w:t xml:space="preserve"> Personal Safety Survey</w:t>
      </w:r>
      <w:r>
        <w:rPr>
          <w:rFonts w:ascii="Calibri" w:hAnsi="Calibri"/>
          <w:noProof/>
        </w:rPr>
        <w:t xml:space="preserve"> (Australian Bureau of Statistics, 2017c),</w:t>
      </w:r>
      <w:r w:rsidRPr="00DD518A">
        <w:rPr>
          <w:rFonts w:ascii="Calibri" w:hAnsi="Calibri"/>
        </w:rPr>
        <w:t xml:space="preserve"> conducted among 21,000 Australian adult women and men</w:t>
      </w:r>
      <w:r>
        <w:rPr>
          <w:rFonts w:ascii="Calibri" w:hAnsi="Calibri"/>
        </w:rPr>
        <w:t>. Survey p</w:t>
      </w:r>
      <w:r w:rsidRPr="00DD518A">
        <w:rPr>
          <w:rFonts w:ascii="Calibri" w:hAnsi="Calibri"/>
        </w:rPr>
        <w:t>articipants</w:t>
      </w:r>
      <w:r>
        <w:rPr>
          <w:rFonts w:ascii="Calibri" w:hAnsi="Calibri"/>
        </w:rPr>
        <w:t xml:space="preserve"> were</w:t>
      </w:r>
      <w:r w:rsidRPr="00DD518A">
        <w:rPr>
          <w:rFonts w:ascii="Calibri" w:hAnsi="Calibri"/>
        </w:rPr>
        <w:t xml:space="preserve"> asked about their experience of physical or sexual assault and violence (assault or threats of assault) since the age of 15 and in the past 12 months. The findings of this survey provide an important glimpse of the extent and nature of violence within families and intimate relationships.</w:t>
      </w:r>
    </w:p>
    <w:p w14:paraId="4503CFA2" w14:textId="77777777" w:rsidR="003B1BC4" w:rsidRDefault="003B1BC4" w:rsidP="003B1BC4">
      <w:pPr>
        <w:spacing w:after="0"/>
        <w:contextualSpacing/>
        <w:jc w:val="both"/>
      </w:pPr>
    </w:p>
    <w:p w14:paraId="3E415EDB" w14:textId="77777777" w:rsidR="003B1BC4" w:rsidRDefault="003B1BC4" w:rsidP="003B1BC4">
      <w:pPr>
        <w:spacing w:after="0"/>
        <w:contextualSpacing/>
        <w:jc w:val="both"/>
      </w:pPr>
      <w:r>
        <w:rPr>
          <w:b/>
          <w:noProof/>
          <w:color w:val="323E4F" w:themeColor="text2" w:themeShade="BF"/>
          <w:lang w:eastAsia="en-AU"/>
        </w:rPr>
        <w:drawing>
          <wp:anchor distT="0" distB="0" distL="114300" distR="114300" simplePos="0" relativeHeight="251907072" behindDoc="1" locked="0" layoutInCell="1" allowOverlap="1" wp14:anchorId="27E7F104" wp14:editId="0815F894">
            <wp:simplePos x="0" y="0"/>
            <wp:positionH relativeFrom="column">
              <wp:posOffset>2213610</wp:posOffset>
            </wp:positionH>
            <wp:positionV relativeFrom="paragraph">
              <wp:posOffset>151765</wp:posOffset>
            </wp:positionV>
            <wp:extent cx="3903980" cy="2152650"/>
            <wp:effectExtent l="0" t="0" r="1270" b="0"/>
            <wp:wrapTight wrapText="bothSides">
              <wp:wrapPolygon edited="0">
                <wp:start x="0" y="0"/>
                <wp:lineTo x="0" y="21409"/>
                <wp:lineTo x="21502" y="21409"/>
                <wp:lineTo x="21502" y="0"/>
                <wp:lineTo x="0" y="0"/>
              </wp:wrapPolygon>
            </wp:wrapTight>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1">
                      <a:extLst>
                        <a:ext uri="{28A0092B-C50C-407E-A947-70E740481C1C}">
                          <a14:useLocalDpi xmlns:a14="http://schemas.microsoft.com/office/drawing/2010/main" val="0"/>
                        </a:ext>
                      </a:extLst>
                    </a:blip>
                    <a:srcRect l="4207" t="20978" b="12100"/>
                    <a:stretch/>
                  </pic:blipFill>
                  <pic:spPr bwMode="auto">
                    <a:xfrm>
                      <a:off x="0" y="0"/>
                      <a:ext cx="3903980" cy="2152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E0CBB3" w14:textId="77777777" w:rsidR="003B1BC4" w:rsidRPr="00467C0E" w:rsidRDefault="003B1BC4" w:rsidP="003B1BC4">
      <w:pPr>
        <w:spacing w:after="0" w:line="360" w:lineRule="auto"/>
        <w:contextualSpacing/>
        <w:jc w:val="both"/>
        <w:rPr>
          <w:b/>
          <w:color w:val="000000" w:themeColor="text1"/>
        </w:rPr>
      </w:pPr>
      <w:r w:rsidRPr="00467C0E">
        <w:rPr>
          <w:b/>
          <w:color w:val="000000" w:themeColor="text1"/>
        </w:rPr>
        <w:t>Intimate Partner Violence</w:t>
      </w:r>
    </w:p>
    <w:p w14:paraId="06F3918F" w14:textId="77777777" w:rsidR="003B1BC4" w:rsidRPr="00DD518A" w:rsidRDefault="003B1BC4" w:rsidP="003B1BC4">
      <w:pPr>
        <w:tabs>
          <w:tab w:val="left" w:pos="360"/>
        </w:tabs>
        <w:spacing w:after="0" w:line="360" w:lineRule="auto"/>
        <w:jc w:val="both"/>
        <w:rPr>
          <w:rFonts w:ascii="Calibri" w:hAnsi="Calibri"/>
        </w:rPr>
      </w:pPr>
      <w:r w:rsidRPr="00DD518A">
        <w:rPr>
          <w:rFonts w:ascii="Calibri" w:hAnsi="Calibri"/>
          <w:noProof/>
        </w:rPr>
        <w:t xml:space="preserve">Approximately 22% of women and 7% of men </w:t>
      </w:r>
      <w:r>
        <w:rPr>
          <w:rFonts w:ascii="Calibri" w:hAnsi="Calibri"/>
          <w:noProof/>
        </w:rPr>
        <w:t>had been</w:t>
      </w:r>
      <w:r w:rsidRPr="00DD518A">
        <w:rPr>
          <w:rFonts w:ascii="Calibri" w:hAnsi="Calibri"/>
          <w:noProof/>
        </w:rPr>
        <w:t xml:space="preserve"> assaulted by a partner since the age of 15</w:t>
      </w:r>
      <w:r w:rsidRPr="00DD518A">
        <w:rPr>
          <w:rFonts w:ascii="Calibri" w:hAnsi="Calibri"/>
        </w:rPr>
        <w:t>.</w:t>
      </w:r>
    </w:p>
    <w:p w14:paraId="4923D46B" w14:textId="77777777" w:rsidR="003B1BC4" w:rsidRDefault="003B1BC4" w:rsidP="003B1BC4">
      <w:pPr>
        <w:spacing w:after="0"/>
        <w:contextualSpacing/>
        <w:jc w:val="both"/>
        <w:rPr>
          <w:sz w:val="14"/>
          <w:szCs w:val="14"/>
        </w:rPr>
      </w:pPr>
    </w:p>
    <w:p w14:paraId="7E98F2EC" w14:textId="77777777" w:rsidR="003B1BC4" w:rsidRPr="00826B83" w:rsidRDefault="003B1BC4" w:rsidP="003B1BC4">
      <w:pPr>
        <w:spacing w:after="0"/>
        <w:contextualSpacing/>
        <w:jc w:val="both"/>
        <w:rPr>
          <w:sz w:val="14"/>
          <w:szCs w:val="14"/>
        </w:rPr>
      </w:pPr>
    </w:p>
    <w:p w14:paraId="4CAC30B5" w14:textId="77777777" w:rsidR="003B1BC4" w:rsidRPr="00DD518A" w:rsidRDefault="003B1BC4" w:rsidP="003B1BC4">
      <w:pPr>
        <w:spacing w:after="0"/>
        <w:contextualSpacing/>
        <w:jc w:val="both"/>
        <w:rPr>
          <w:color w:val="7F7F7F" w:themeColor="text1" w:themeTint="80"/>
          <w:sz w:val="20"/>
          <w:szCs w:val="20"/>
        </w:rPr>
      </w:pPr>
      <w:r w:rsidRPr="00DD518A">
        <w:rPr>
          <w:color w:val="7F7F7F" w:themeColor="text1" w:themeTint="80"/>
          <w:sz w:val="20"/>
          <w:szCs w:val="20"/>
        </w:rPr>
        <w:t>Per cent of persons who been assaulted by an intimate partner since aged 15, by gender of victim and type of assault</w:t>
      </w:r>
    </w:p>
    <w:p w14:paraId="04D57C07" w14:textId="77777777" w:rsidR="003B1BC4" w:rsidRDefault="003B1BC4" w:rsidP="003B1BC4">
      <w:pPr>
        <w:spacing w:after="0"/>
        <w:contextualSpacing/>
        <w:rPr>
          <w:sz w:val="14"/>
          <w:szCs w:val="14"/>
        </w:rPr>
      </w:pPr>
    </w:p>
    <w:p w14:paraId="0D03DE14" w14:textId="77777777" w:rsidR="003B1BC4" w:rsidRPr="00826B83" w:rsidRDefault="003B1BC4" w:rsidP="003B1BC4">
      <w:pPr>
        <w:spacing w:after="0"/>
        <w:contextualSpacing/>
        <w:rPr>
          <w:sz w:val="14"/>
          <w:szCs w:val="14"/>
        </w:rPr>
      </w:pPr>
    </w:p>
    <w:p w14:paraId="686B6E52" w14:textId="77777777" w:rsidR="003B1BC4" w:rsidRPr="00DD518A" w:rsidRDefault="003B1BC4" w:rsidP="003B1BC4">
      <w:pPr>
        <w:tabs>
          <w:tab w:val="left" w:pos="360"/>
        </w:tabs>
        <w:spacing w:after="0" w:line="360" w:lineRule="auto"/>
        <w:jc w:val="both"/>
        <w:rPr>
          <w:rFonts w:ascii="Calibri" w:hAnsi="Calibri"/>
        </w:rPr>
      </w:pPr>
      <w:r w:rsidRPr="00DD518A">
        <w:rPr>
          <w:rFonts w:ascii="Calibri" w:hAnsi="Calibri"/>
        </w:rPr>
        <w:t xml:space="preserve">Women </w:t>
      </w:r>
      <w:r>
        <w:rPr>
          <w:rFonts w:ascii="Calibri" w:hAnsi="Calibri"/>
        </w:rPr>
        <w:t>were</w:t>
      </w:r>
      <w:r w:rsidRPr="00DD518A">
        <w:rPr>
          <w:rFonts w:ascii="Calibri" w:hAnsi="Calibri"/>
        </w:rPr>
        <w:t xml:space="preserve"> three times as likely to have been physically assaulted by a partner as men, and nearly eight times more likely to have been sexually assaulted</w:t>
      </w:r>
      <w:r>
        <w:rPr>
          <w:rFonts w:ascii="Calibri" w:hAnsi="Calibri"/>
        </w:rPr>
        <w:t xml:space="preserve"> by a partner</w:t>
      </w:r>
      <w:r w:rsidRPr="00DD518A">
        <w:rPr>
          <w:rFonts w:ascii="Calibri" w:hAnsi="Calibri"/>
        </w:rPr>
        <w:t xml:space="preserve"> (diagram, </w:t>
      </w:r>
      <w:r>
        <w:rPr>
          <w:rFonts w:ascii="Calibri" w:hAnsi="Calibri"/>
        </w:rPr>
        <w:t>below</w:t>
      </w:r>
      <w:r w:rsidRPr="00DD518A">
        <w:rPr>
          <w:rFonts w:ascii="Calibri" w:hAnsi="Calibri"/>
        </w:rPr>
        <w:t>).</w:t>
      </w:r>
    </w:p>
    <w:p w14:paraId="7C741D72" w14:textId="77777777" w:rsidR="003B1BC4" w:rsidRPr="00DD518A" w:rsidRDefault="003B1BC4" w:rsidP="003B1BC4">
      <w:pPr>
        <w:spacing w:after="0"/>
        <w:contextualSpacing/>
        <w:jc w:val="both"/>
        <w:rPr>
          <w:color w:val="7F7F7F" w:themeColor="text1" w:themeTint="80"/>
          <w:sz w:val="20"/>
          <w:szCs w:val="20"/>
        </w:rPr>
      </w:pPr>
      <w:r>
        <w:rPr>
          <w:rFonts w:ascii="Calibri" w:hAnsi="Calibri"/>
          <w:b/>
          <w:noProof/>
          <w:lang w:eastAsia="en-AU"/>
        </w:rPr>
        <w:drawing>
          <wp:anchor distT="0" distB="0" distL="114300" distR="114300" simplePos="0" relativeHeight="251908096" behindDoc="1" locked="0" layoutInCell="1" allowOverlap="1" wp14:anchorId="4DEDFC3D" wp14:editId="3DF28C06">
            <wp:simplePos x="0" y="0"/>
            <wp:positionH relativeFrom="column">
              <wp:posOffset>4789805</wp:posOffset>
            </wp:positionH>
            <wp:positionV relativeFrom="paragraph">
              <wp:posOffset>229235</wp:posOffset>
            </wp:positionV>
            <wp:extent cx="1333500" cy="889000"/>
            <wp:effectExtent l="0" t="0" r="0" b="6350"/>
            <wp:wrapTight wrapText="bothSides">
              <wp:wrapPolygon edited="0">
                <wp:start x="1234" y="0"/>
                <wp:lineTo x="0" y="926"/>
                <wp:lineTo x="0" y="20829"/>
                <wp:lineTo x="1234" y="21291"/>
                <wp:lineTo x="20057" y="21291"/>
                <wp:lineTo x="21291" y="20829"/>
                <wp:lineTo x="21291" y="926"/>
                <wp:lineTo x="20057" y="0"/>
                <wp:lineTo x="1234" y="0"/>
              </wp:wrapPolygon>
            </wp:wrapTight>
            <wp:docPr id="256" name="Picture 188" descr="Family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 5.JPG"/>
                    <pic:cNvPicPr/>
                  </pic:nvPicPr>
                  <pic:blipFill>
                    <a:blip r:embed="rId212" cstate="print"/>
                    <a:stretch>
                      <a:fillRect/>
                    </a:stretch>
                  </pic:blipFill>
                  <pic:spPr>
                    <a:xfrm>
                      <a:off x="0" y="0"/>
                      <a:ext cx="1333500" cy="889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DD518A">
        <w:rPr>
          <w:color w:val="7F7F7F" w:themeColor="text1" w:themeTint="80"/>
          <w:sz w:val="20"/>
          <w:szCs w:val="20"/>
        </w:rPr>
        <w:t>Per cent of most recent instances of partner violence where police were involved, by category of partner and gender of victim</w:t>
      </w:r>
    </w:p>
    <w:tbl>
      <w:tblPr>
        <w:tblW w:w="5260" w:type="dxa"/>
        <w:tblInd w:w="1668" w:type="dxa"/>
        <w:tblLook w:val="04A0" w:firstRow="1" w:lastRow="0" w:firstColumn="1" w:lastColumn="0" w:noHBand="0" w:noVBand="1"/>
      </w:tblPr>
      <w:tblGrid>
        <w:gridCol w:w="1480"/>
        <w:gridCol w:w="2020"/>
        <w:gridCol w:w="1760"/>
      </w:tblGrid>
      <w:tr w:rsidR="003B1BC4" w:rsidRPr="004A5008" w14:paraId="4E5E53D9" w14:textId="77777777" w:rsidTr="009C45A2">
        <w:trPr>
          <w:trHeight w:val="330"/>
        </w:trPr>
        <w:tc>
          <w:tcPr>
            <w:tcW w:w="1480" w:type="dxa"/>
            <w:tcBorders>
              <w:top w:val="nil"/>
              <w:left w:val="nil"/>
              <w:bottom w:val="nil"/>
              <w:right w:val="nil"/>
            </w:tcBorders>
            <w:shd w:val="clear" w:color="auto" w:fill="auto"/>
            <w:vAlign w:val="center"/>
            <w:hideMark/>
          </w:tcPr>
          <w:p w14:paraId="0D9AA091" w14:textId="77777777" w:rsidR="003B1BC4" w:rsidRPr="004A5008" w:rsidRDefault="003B1BC4" w:rsidP="003B1BC4">
            <w:pPr>
              <w:spacing w:after="0"/>
              <w:rPr>
                <w:rFonts w:ascii="Calibri" w:hAnsi="Calibri"/>
                <w:color w:val="000000"/>
                <w:sz w:val="20"/>
                <w:szCs w:val="20"/>
              </w:rPr>
            </w:pPr>
          </w:p>
        </w:tc>
        <w:tc>
          <w:tcPr>
            <w:tcW w:w="2020" w:type="dxa"/>
            <w:tcBorders>
              <w:top w:val="nil"/>
              <w:left w:val="nil"/>
              <w:bottom w:val="nil"/>
              <w:right w:val="nil"/>
            </w:tcBorders>
            <w:shd w:val="clear" w:color="auto" w:fill="auto"/>
            <w:vAlign w:val="center"/>
            <w:hideMark/>
          </w:tcPr>
          <w:p w14:paraId="000EA1C9" w14:textId="77777777" w:rsidR="003B1BC4" w:rsidRPr="004A5008" w:rsidRDefault="003B1BC4" w:rsidP="003B1BC4">
            <w:pPr>
              <w:spacing w:after="0"/>
              <w:jc w:val="center"/>
              <w:rPr>
                <w:rFonts w:ascii="Calibri" w:hAnsi="Calibri"/>
                <w:bCs/>
                <w:color w:val="000000"/>
                <w:sz w:val="20"/>
                <w:szCs w:val="20"/>
              </w:rPr>
            </w:pPr>
            <w:r w:rsidRPr="004A5008">
              <w:rPr>
                <w:rFonts w:ascii="Calibri" w:hAnsi="Calibri"/>
                <w:bCs/>
                <w:color w:val="000000"/>
                <w:sz w:val="20"/>
                <w:szCs w:val="20"/>
              </w:rPr>
              <w:t>Current partner violence</w:t>
            </w:r>
          </w:p>
        </w:tc>
        <w:tc>
          <w:tcPr>
            <w:tcW w:w="1760" w:type="dxa"/>
            <w:tcBorders>
              <w:top w:val="nil"/>
              <w:left w:val="nil"/>
              <w:bottom w:val="nil"/>
              <w:right w:val="nil"/>
            </w:tcBorders>
            <w:shd w:val="clear" w:color="auto" w:fill="auto"/>
            <w:vAlign w:val="center"/>
            <w:hideMark/>
          </w:tcPr>
          <w:p w14:paraId="4C615DF5" w14:textId="77777777" w:rsidR="003B1BC4" w:rsidRPr="004A5008" w:rsidRDefault="003B1BC4" w:rsidP="003B1BC4">
            <w:pPr>
              <w:spacing w:after="0"/>
              <w:jc w:val="center"/>
              <w:rPr>
                <w:rFonts w:ascii="Calibri" w:hAnsi="Calibri"/>
                <w:bCs/>
                <w:color w:val="000000"/>
                <w:sz w:val="20"/>
                <w:szCs w:val="20"/>
              </w:rPr>
            </w:pPr>
            <w:r w:rsidRPr="004A5008">
              <w:rPr>
                <w:rFonts w:ascii="Calibri" w:hAnsi="Calibri"/>
                <w:bCs/>
                <w:color w:val="000000"/>
                <w:sz w:val="20"/>
                <w:szCs w:val="20"/>
              </w:rPr>
              <w:t>Previous partner violence</w:t>
            </w:r>
          </w:p>
        </w:tc>
      </w:tr>
      <w:tr w:rsidR="003B1BC4" w:rsidRPr="00BD2FBC" w14:paraId="3E7F476D" w14:textId="77777777" w:rsidTr="009C45A2">
        <w:trPr>
          <w:trHeight w:val="300"/>
        </w:trPr>
        <w:tc>
          <w:tcPr>
            <w:tcW w:w="1480" w:type="dxa"/>
            <w:tcBorders>
              <w:top w:val="nil"/>
              <w:left w:val="nil"/>
              <w:bottom w:val="nil"/>
              <w:right w:val="nil"/>
            </w:tcBorders>
            <w:shd w:val="clear" w:color="auto" w:fill="auto"/>
            <w:vAlign w:val="center"/>
            <w:hideMark/>
          </w:tcPr>
          <w:p w14:paraId="13C39D20" w14:textId="77777777" w:rsidR="003B1BC4" w:rsidRPr="008220ED" w:rsidRDefault="003B1BC4" w:rsidP="003B1BC4">
            <w:pPr>
              <w:spacing w:after="0"/>
              <w:jc w:val="right"/>
              <w:rPr>
                <w:rFonts w:ascii="Calibri" w:hAnsi="Calibri"/>
                <w:i/>
                <w:iCs/>
                <w:color w:val="000000"/>
                <w:sz w:val="20"/>
                <w:szCs w:val="20"/>
              </w:rPr>
            </w:pPr>
            <w:r w:rsidRPr="008220ED">
              <w:rPr>
                <w:rFonts w:ascii="Calibri" w:hAnsi="Calibri"/>
                <w:i/>
                <w:iCs/>
                <w:color w:val="000000"/>
                <w:sz w:val="20"/>
                <w:szCs w:val="20"/>
              </w:rPr>
              <w:t>Females</w:t>
            </w:r>
          </w:p>
        </w:tc>
        <w:tc>
          <w:tcPr>
            <w:tcW w:w="2020" w:type="dxa"/>
            <w:tcBorders>
              <w:top w:val="single" w:sz="4" w:space="0" w:color="auto"/>
              <w:left w:val="nil"/>
              <w:bottom w:val="single" w:sz="4" w:space="0" w:color="auto"/>
              <w:right w:val="nil"/>
            </w:tcBorders>
            <w:shd w:val="clear" w:color="auto" w:fill="auto"/>
            <w:vAlign w:val="center"/>
            <w:hideMark/>
          </w:tcPr>
          <w:p w14:paraId="526FA0AD" w14:textId="77777777" w:rsidR="003B1BC4" w:rsidRPr="008220ED" w:rsidRDefault="003B1BC4" w:rsidP="003B1BC4">
            <w:pPr>
              <w:spacing w:after="0"/>
              <w:jc w:val="center"/>
              <w:rPr>
                <w:rFonts w:ascii="Calibri" w:hAnsi="Calibri"/>
                <w:color w:val="000000"/>
                <w:sz w:val="20"/>
                <w:szCs w:val="20"/>
              </w:rPr>
            </w:pPr>
            <w:r w:rsidRPr="008220ED">
              <w:rPr>
                <w:rFonts w:ascii="Calibri" w:hAnsi="Calibri"/>
                <w:color w:val="000000"/>
                <w:sz w:val="20"/>
                <w:szCs w:val="20"/>
              </w:rPr>
              <w:t>17</w:t>
            </w:r>
            <w:r>
              <w:rPr>
                <w:rFonts w:ascii="Calibri" w:hAnsi="Calibri"/>
                <w:color w:val="000000"/>
                <w:sz w:val="20"/>
                <w:szCs w:val="20"/>
              </w:rPr>
              <w:t>%</w:t>
            </w:r>
          </w:p>
        </w:tc>
        <w:tc>
          <w:tcPr>
            <w:tcW w:w="1760" w:type="dxa"/>
            <w:tcBorders>
              <w:top w:val="single" w:sz="4" w:space="0" w:color="auto"/>
              <w:left w:val="nil"/>
              <w:bottom w:val="single" w:sz="4" w:space="0" w:color="auto"/>
              <w:right w:val="nil"/>
            </w:tcBorders>
            <w:shd w:val="clear" w:color="auto" w:fill="auto"/>
            <w:vAlign w:val="center"/>
            <w:hideMark/>
          </w:tcPr>
          <w:p w14:paraId="1F73F4B3" w14:textId="77777777" w:rsidR="003B1BC4" w:rsidRPr="008220ED" w:rsidRDefault="003B1BC4" w:rsidP="003B1BC4">
            <w:pPr>
              <w:spacing w:after="0"/>
              <w:jc w:val="center"/>
              <w:rPr>
                <w:rFonts w:ascii="Calibri" w:hAnsi="Calibri"/>
                <w:color w:val="000000"/>
                <w:sz w:val="20"/>
                <w:szCs w:val="20"/>
              </w:rPr>
            </w:pPr>
            <w:r w:rsidRPr="008220ED">
              <w:rPr>
                <w:rFonts w:ascii="Calibri" w:hAnsi="Calibri"/>
                <w:color w:val="000000"/>
                <w:sz w:val="20"/>
                <w:szCs w:val="20"/>
              </w:rPr>
              <w:t>35</w:t>
            </w:r>
            <w:r>
              <w:rPr>
                <w:rFonts w:ascii="Calibri" w:hAnsi="Calibri"/>
                <w:color w:val="000000"/>
                <w:sz w:val="20"/>
                <w:szCs w:val="20"/>
              </w:rPr>
              <w:t>%</w:t>
            </w:r>
          </w:p>
        </w:tc>
      </w:tr>
      <w:tr w:rsidR="003B1BC4" w:rsidRPr="00BD2FBC" w14:paraId="7764A572" w14:textId="77777777" w:rsidTr="009C45A2">
        <w:trPr>
          <w:trHeight w:val="300"/>
        </w:trPr>
        <w:tc>
          <w:tcPr>
            <w:tcW w:w="1480" w:type="dxa"/>
            <w:tcBorders>
              <w:top w:val="nil"/>
              <w:left w:val="nil"/>
              <w:bottom w:val="nil"/>
              <w:right w:val="nil"/>
            </w:tcBorders>
            <w:shd w:val="clear" w:color="auto" w:fill="auto"/>
            <w:vAlign w:val="center"/>
            <w:hideMark/>
          </w:tcPr>
          <w:p w14:paraId="33E3F69E" w14:textId="77777777" w:rsidR="003B1BC4" w:rsidRPr="008220ED" w:rsidRDefault="003B1BC4" w:rsidP="003B1BC4">
            <w:pPr>
              <w:spacing w:after="0"/>
              <w:jc w:val="right"/>
              <w:rPr>
                <w:rFonts w:ascii="Calibri" w:hAnsi="Calibri"/>
                <w:i/>
                <w:iCs/>
                <w:color w:val="000000"/>
                <w:sz w:val="20"/>
                <w:szCs w:val="20"/>
              </w:rPr>
            </w:pPr>
            <w:r w:rsidRPr="008220ED">
              <w:rPr>
                <w:rFonts w:ascii="Calibri" w:hAnsi="Calibri"/>
                <w:i/>
                <w:iCs/>
                <w:color w:val="000000"/>
                <w:sz w:val="20"/>
                <w:szCs w:val="20"/>
              </w:rPr>
              <w:t>Males</w:t>
            </w:r>
          </w:p>
        </w:tc>
        <w:tc>
          <w:tcPr>
            <w:tcW w:w="2020" w:type="dxa"/>
            <w:tcBorders>
              <w:top w:val="nil"/>
              <w:left w:val="nil"/>
              <w:bottom w:val="single" w:sz="4" w:space="0" w:color="auto"/>
              <w:right w:val="nil"/>
            </w:tcBorders>
            <w:shd w:val="clear" w:color="auto" w:fill="auto"/>
            <w:vAlign w:val="center"/>
            <w:hideMark/>
          </w:tcPr>
          <w:p w14:paraId="4B78D2F4" w14:textId="77777777" w:rsidR="003B1BC4" w:rsidRPr="008220ED" w:rsidRDefault="003B1BC4" w:rsidP="003B1BC4">
            <w:pPr>
              <w:spacing w:after="0"/>
              <w:jc w:val="center"/>
              <w:rPr>
                <w:rFonts w:ascii="Calibri" w:hAnsi="Calibri"/>
                <w:color w:val="000000"/>
                <w:sz w:val="20"/>
                <w:szCs w:val="20"/>
              </w:rPr>
            </w:pPr>
            <w:r w:rsidRPr="008220ED">
              <w:rPr>
                <w:rFonts w:ascii="Calibri" w:hAnsi="Calibri"/>
                <w:color w:val="000000"/>
                <w:sz w:val="20"/>
                <w:szCs w:val="20"/>
              </w:rPr>
              <w:t>4</w:t>
            </w:r>
            <w:r>
              <w:rPr>
                <w:rFonts w:ascii="Calibri" w:hAnsi="Calibri"/>
                <w:color w:val="000000"/>
                <w:sz w:val="20"/>
                <w:szCs w:val="20"/>
              </w:rPr>
              <w:t>%</w:t>
            </w:r>
          </w:p>
        </w:tc>
        <w:tc>
          <w:tcPr>
            <w:tcW w:w="1760" w:type="dxa"/>
            <w:tcBorders>
              <w:top w:val="nil"/>
              <w:left w:val="nil"/>
              <w:bottom w:val="single" w:sz="4" w:space="0" w:color="auto"/>
              <w:right w:val="nil"/>
            </w:tcBorders>
            <w:shd w:val="clear" w:color="auto" w:fill="auto"/>
            <w:vAlign w:val="center"/>
            <w:hideMark/>
          </w:tcPr>
          <w:p w14:paraId="7541C662" w14:textId="77777777" w:rsidR="003B1BC4" w:rsidRPr="008220ED" w:rsidRDefault="003B1BC4" w:rsidP="003B1BC4">
            <w:pPr>
              <w:spacing w:after="0"/>
              <w:jc w:val="center"/>
              <w:rPr>
                <w:rFonts w:ascii="Calibri" w:hAnsi="Calibri"/>
                <w:color w:val="000000"/>
                <w:sz w:val="20"/>
                <w:szCs w:val="20"/>
              </w:rPr>
            </w:pPr>
            <w:r w:rsidRPr="008220ED">
              <w:rPr>
                <w:rFonts w:ascii="Calibri" w:hAnsi="Calibri"/>
                <w:color w:val="000000"/>
                <w:sz w:val="20"/>
                <w:szCs w:val="20"/>
              </w:rPr>
              <w:t>25</w:t>
            </w:r>
            <w:r>
              <w:rPr>
                <w:rFonts w:ascii="Calibri" w:hAnsi="Calibri"/>
                <w:color w:val="000000"/>
                <w:sz w:val="20"/>
                <w:szCs w:val="20"/>
              </w:rPr>
              <w:t>%</w:t>
            </w:r>
          </w:p>
        </w:tc>
      </w:tr>
    </w:tbl>
    <w:p w14:paraId="6B2BEC64" w14:textId="77777777" w:rsidR="003B1BC4" w:rsidRPr="001B483B" w:rsidRDefault="003B1BC4" w:rsidP="003B1BC4">
      <w:pPr>
        <w:spacing w:after="0"/>
        <w:contextualSpacing/>
        <w:jc w:val="both"/>
        <w:rPr>
          <w:sz w:val="10"/>
          <w:szCs w:val="10"/>
        </w:rPr>
      </w:pPr>
    </w:p>
    <w:p w14:paraId="0F189A6A" w14:textId="77777777" w:rsidR="003B1BC4" w:rsidRDefault="003B1BC4" w:rsidP="003B1BC4">
      <w:pPr>
        <w:spacing w:after="0"/>
        <w:contextualSpacing/>
        <w:jc w:val="both"/>
      </w:pPr>
    </w:p>
    <w:p w14:paraId="3DE87F24" w14:textId="77777777" w:rsidR="003B1BC4" w:rsidRPr="00467C0E" w:rsidRDefault="003B1BC4" w:rsidP="003B1BC4">
      <w:pPr>
        <w:spacing w:after="0" w:line="360" w:lineRule="auto"/>
        <w:contextualSpacing/>
        <w:jc w:val="both"/>
        <w:rPr>
          <w:b/>
          <w:color w:val="000000" w:themeColor="text1"/>
        </w:rPr>
      </w:pPr>
      <w:r w:rsidRPr="00467C0E">
        <w:rPr>
          <w:b/>
          <w:color w:val="000000" w:themeColor="text1"/>
        </w:rPr>
        <w:t>Involvement of Children and Pregnancy</w:t>
      </w:r>
    </w:p>
    <w:p w14:paraId="1B626F7B" w14:textId="77777777" w:rsidR="003B1BC4" w:rsidRPr="00DD518A" w:rsidRDefault="003B1BC4" w:rsidP="003B1BC4">
      <w:pPr>
        <w:tabs>
          <w:tab w:val="left" w:pos="360"/>
        </w:tabs>
        <w:spacing w:after="0" w:line="360" w:lineRule="auto"/>
        <w:jc w:val="both"/>
        <w:rPr>
          <w:rFonts w:ascii="Calibri" w:hAnsi="Calibri"/>
        </w:rPr>
      </w:pPr>
      <w:r w:rsidRPr="00DD518A">
        <w:rPr>
          <w:rFonts w:ascii="Calibri" w:hAnsi="Calibri"/>
        </w:rPr>
        <w:t>Where women had children in their care when violence occurred, at some time since the age of 15, 31% of those who experienced violence from a former partner, and 23% of those who experienced violence from a current partner, stated that the children had seen or heard the violence.</w:t>
      </w:r>
    </w:p>
    <w:p w14:paraId="2A5B8EA3" w14:textId="77777777" w:rsidR="003B1BC4" w:rsidRPr="00DD518A" w:rsidRDefault="003B1BC4" w:rsidP="003B1BC4">
      <w:pPr>
        <w:tabs>
          <w:tab w:val="left" w:pos="360"/>
        </w:tabs>
        <w:spacing w:after="0" w:line="360" w:lineRule="auto"/>
        <w:jc w:val="both"/>
        <w:rPr>
          <w:rFonts w:ascii="Calibri" w:hAnsi="Calibri"/>
        </w:rPr>
      </w:pPr>
      <w:r w:rsidRPr="00DD518A">
        <w:rPr>
          <w:rFonts w:ascii="Calibri" w:hAnsi="Calibri"/>
        </w:rPr>
        <w:t>Eighteen per cent of women who had experienced violence from a current partner since the age of 15, and were pregnant during the relationship, were pregnant when the violence occurred</w:t>
      </w:r>
      <w:r>
        <w:rPr>
          <w:rFonts w:ascii="Calibri" w:hAnsi="Calibri"/>
        </w:rPr>
        <w:t xml:space="preserve">. Five per cent of them stated </w:t>
      </w:r>
      <w:r w:rsidRPr="00DD518A">
        <w:rPr>
          <w:rFonts w:ascii="Calibri" w:hAnsi="Calibri"/>
        </w:rPr>
        <w:t>that this was their first experience of such violence from their partner.</w:t>
      </w:r>
    </w:p>
    <w:p w14:paraId="493E71E4" w14:textId="77777777" w:rsidR="003B1BC4" w:rsidRPr="00467C0E" w:rsidRDefault="003B1BC4" w:rsidP="003B1BC4">
      <w:pPr>
        <w:spacing w:after="0" w:line="360" w:lineRule="auto"/>
        <w:contextualSpacing/>
        <w:jc w:val="both"/>
        <w:rPr>
          <w:b/>
          <w:color w:val="000000" w:themeColor="text1"/>
        </w:rPr>
      </w:pPr>
      <w:r w:rsidRPr="00467C0E">
        <w:rPr>
          <w:b/>
          <w:color w:val="000000" w:themeColor="text1"/>
        </w:rPr>
        <w:lastRenderedPageBreak/>
        <w:t>Children as Witnesses to Partner Violence</w:t>
      </w:r>
    </w:p>
    <w:p w14:paraId="7BA41257" w14:textId="77777777" w:rsidR="003B1BC4" w:rsidRDefault="003B1BC4" w:rsidP="003B1BC4">
      <w:pPr>
        <w:tabs>
          <w:tab w:val="left" w:pos="360"/>
        </w:tabs>
        <w:spacing w:after="0" w:line="360" w:lineRule="auto"/>
        <w:jc w:val="both"/>
        <w:rPr>
          <w:rFonts w:ascii="Calibri" w:hAnsi="Calibri"/>
        </w:rPr>
      </w:pPr>
      <w:r w:rsidRPr="00DD518A">
        <w:rPr>
          <w:rFonts w:ascii="Calibri" w:hAnsi="Calibri"/>
        </w:rPr>
        <w:t xml:space="preserve">Approximately one in ten (11%) Australian adults had witnessed violence inflicted upon their mother by a partner before the age of 18, and one in twenty-five (4.5%) had experienced violence by their mother toward her partner. </w:t>
      </w:r>
    </w:p>
    <w:p w14:paraId="60607DA1" w14:textId="77777777" w:rsidR="003B1BC4" w:rsidRDefault="003B1BC4" w:rsidP="003B1BC4">
      <w:pPr>
        <w:tabs>
          <w:tab w:val="left" w:pos="360"/>
        </w:tabs>
        <w:spacing w:after="0" w:line="360" w:lineRule="auto"/>
        <w:jc w:val="both"/>
        <w:rPr>
          <w:rFonts w:ascii="Calibri" w:hAnsi="Calibri"/>
        </w:rPr>
      </w:pPr>
    </w:p>
    <w:p w14:paraId="70C06439" w14:textId="77777777" w:rsidR="003B1BC4" w:rsidRPr="00DD518A" w:rsidRDefault="003B1BC4" w:rsidP="003B1BC4">
      <w:pPr>
        <w:tabs>
          <w:tab w:val="left" w:pos="360"/>
        </w:tabs>
        <w:spacing w:after="0" w:line="360" w:lineRule="auto"/>
        <w:jc w:val="both"/>
        <w:rPr>
          <w:rFonts w:ascii="Calibri" w:hAnsi="Calibri"/>
        </w:rPr>
      </w:pPr>
    </w:p>
    <w:p w14:paraId="1FD1DDA3" w14:textId="77777777" w:rsidR="003B1BC4" w:rsidRPr="00F1013F" w:rsidRDefault="003B1BC4" w:rsidP="003B1BC4">
      <w:pPr>
        <w:spacing w:after="0"/>
        <w:contextualSpacing/>
        <w:jc w:val="both"/>
        <w:rPr>
          <w:sz w:val="14"/>
          <w:szCs w:val="14"/>
        </w:rPr>
      </w:pPr>
      <w:r>
        <w:rPr>
          <w:noProof/>
          <w:lang w:eastAsia="en-AU"/>
        </w:rPr>
        <w:drawing>
          <wp:anchor distT="0" distB="0" distL="114300" distR="114300" simplePos="0" relativeHeight="251904000" behindDoc="0" locked="0" layoutInCell="1" allowOverlap="1" wp14:anchorId="1CF2902F" wp14:editId="209211ED">
            <wp:simplePos x="0" y="0"/>
            <wp:positionH relativeFrom="column">
              <wp:posOffset>26670</wp:posOffset>
            </wp:positionH>
            <wp:positionV relativeFrom="paragraph">
              <wp:posOffset>60325</wp:posOffset>
            </wp:positionV>
            <wp:extent cx="3331845" cy="2197100"/>
            <wp:effectExtent l="0" t="0" r="1905" b="0"/>
            <wp:wrapSquare wrapText="bothSides"/>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3" cstate="print">
                      <a:extLst>
                        <a:ext uri="{28A0092B-C50C-407E-A947-70E740481C1C}">
                          <a14:useLocalDpi xmlns:a14="http://schemas.microsoft.com/office/drawing/2010/main" val="0"/>
                        </a:ext>
                      </a:extLst>
                    </a:blip>
                    <a:srcRect l="11598" t="9295"/>
                    <a:stretch>
                      <a:fillRect/>
                    </a:stretch>
                  </pic:blipFill>
                  <pic:spPr bwMode="auto">
                    <a:xfrm>
                      <a:off x="0" y="0"/>
                      <a:ext cx="3331845" cy="2197100"/>
                    </a:xfrm>
                    <a:prstGeom prst="rect">
                      <a:avLst/>
                    </a:prstGeom>
                    <a:noFill/>
                  </pic:spPr>
                </pic:pic>
              </a:graphicData>
            </a:graphic>
            <wp14:sizeRelH relativeFrom="page">
              <wp14:pctWidth>0</wp14:pctWidth>
            </wp14:sizeRelH>
            <wp14:sizeRelV relativeFrom="page">
              <wp14:pctHeight>0</wp14:pctHeight>
            </wp14:sizeRelV>
          </wp:anchor>
        </w:drawing>
      </w:r>
    </w:p>
    <w:p w14:paraId="513084AA" w14:textId="77777777" w:rsidR="003B1BC4" w:rsidRPr="00DD518A" w:rsidRDefault="003B1BC4" w:rsidP="003B1BC4">
      <w:pPr>
        <w:spacing w:after="0"/>
        <w:contextualSpacing/>
        <w:jc w:val="both"/>
        <w:rPr>
          <w:color w:val="7F7F7F" w:themeColor="text1" w:themeTint="80"/>
          <w:sz w:val="20"/>
          <w:szCs w:val="20"/>
        </w:rPr>
      </w:pPr>
      <w:r w:rsidRPr="00DD518A">
        <w:rPr>
          <w:color w:val="7F7F7F" w:themeColor="text1" w:themeTint="80"/>
          <w:sz w:val="20"/>
          <w:szCs w:val="20"/>
        </w:rPr>
        <w:t>Per cent of persons who had witnessed violence between their parents during childhood, by gender of person and category of violence</w:t>
      </w:r>
    </w:p>
    <w:p w14:paraId="4D5E4E6A" w14:textId="77777777" w:rsidR="003B1BC4" w:rsidRDefault="003B1BC4" w:rsidP="003B1BC4">
      <w:pPr>
        <w:spacing w:after="0"/>
        <w:contextualSpacing/>
        <w:jc w:val="both"/>
        <w:rPr>
          <w:sz w:val="14"/>
          <w:szCs w:val="14"/>
        </w:rPr>
      </w:pPr>
    </w:p>
    <w:p w14:paraId="35F31E7C" w14:textId="77777777" w:rsidR="003B1BC4" w:rsidRPr="00F1013F" w:rsidRDefault="003B1BC4" w:rsidP="003B1BC4">
      <w:pPr>
        <w:spacing w:after="0"/>
        <w:contextualSpacing/>
        <w:jc w:val="both"/>
        <w:rPr>
          <w:sz w:val="14"/>
          <w:szCs w:val="14"/>
        </w:rPr>
      </w:pPr>
    </w:p>
    <w:p w14:paraId="4AE55D0E" w14:textId="77777777" w:rsidR="003B1BC4" w:rsidRDefault="003B1BC4" w:rsidP="003B1BC4">
      <w:pPr>
        <w:tabs>
          <w:tab w:val="left" w:pos="360"/>
        </w:tabs>
        <w:spacing w:after="0" w:line="360" w:lineRule="auto"/>
        <w:jc w:val="both"/>
      </w:pPr>
      <w:r w:rsidRPr="00DD518A">
        <w:rPr>
          <w:rFonts w:ascii="Calibri" w:hAnsi="Calibri"/>
        </w:rPr>
        <w:t>Notably, those adults who had witnessed partner violence before the age of 15 were over twice as likely to have experienced partner violence in adulthood (26%) as those who had not witnessed such violence (12%).</w:t>
      </w:r>
    </w:p>
    <w:p w14:paraId="5C2FAC0A" w14:textId="77777777" w:rsidR="003B1BC4" w:rsidRPr="001B483B" w:rsidRDefault="003B1BC4" w:rsidP="003B1BC4">
      <w:pPr>
        <w:spacing w:after="0"/>
        <w:contextualSpacing/>
        <w:jc w:val="both"/>
        <w:rPr>
          <w:sz w:val="10"/>
          <w:szCs w:val="10"/>
        </w:rPr>
      </w:pPr>
    </w:p>
    <w:p w14:paraId="2BE7E030" w14:textId="77777777" w:rsidR="003B1BC4" w:rsidRDefault="003B1BC4" w:rsidP="003B1BC4">
      <w:pPr>
        <w:spacing w:after="0" w:line="360" w:lineRule="auto"/>
        <w:contextualSpacing/>
        <w:jc w:val="both"/>
        <w:rPr>
          <w:b/>
          <w:color w:val="000000" w:themeColor="text1"/>
        </w:rPr>
      </w:pPr>
    </w:p>
    <w:p w14:paraId="79906222" w14:textId="77777777" w:rsidR="003B1BC4" w:rsidRDefault="003B1BC4" w:rsidP="003B1BC4">
      <w:pPr>
        <w:spacing w:after="0" w:line="360" w:lineRule="auto"/>
        <w:contextualSpacing/>
        <w:jc w:val="both"/>
        <w:rPr>
          <w:b/>
          <w:color w:val="000000" w:themeColor="text1"/>
        </w:rPr>
      </w:pPr>
    </w:p>
    <w:p w14:paraId="3311A43E" w14:textId="77777777" w:rsidR="003B1BC4" w:rsidRDefault="003B1BC4" w:rsidP="003B1BC4">
      <w:pPr>
        <w:spacing w:after="0" w:line="360" w:lineRule="auto"/>
        <w:contextualSpacing/>
        <w:jc w:val="both"/>
        <w:rPr>
          <w:b/>
          <w:color w:val="000000" w:themeColor="text1"/>
        </w:rPr>
      </w:pPr>
    </w:p>
    <w:p w14:paraId="46D6BBF5" w14:textId="77777777" w:rsidR="003B1BC4" w:rsidRDefault="003B1BC4" w:rsidP="003B1BC4">
      <w:pPr>
        <w:spacing w:after="0" w:line="360" w:lineRule="auto"/>
        <w:contextualSpacing/>
        <w:jc w:val="both"/>
        <w:rPr>
          <w:b/>
          <w:color w:val="000000" w:themeColor="text1"/>
        </w:rPr>
      </w:pPr>
    </w:p>
    <w:p w14:paraId="36F59340" w14:textId="77777777" w:rsidR="003B1BC4" w:rsidRDefault="003B1BC4" w:rsidP="003B1BC4">
      <w:pPr>
        <w:spacing w:after="0" w:line="360" w:lineRule="auto"/>
        <w:contextualSpacing/>
        <w:jc w:val="both"/>
        <w:rPr>
          <w:b/>
          <w:color w:val="000000" w:themeColor="text1"/>
        </w:rPr>
      </w:pPr>
    </w:p>
    <w:p w14:paraId="061ED1A6" w14:textId="77777777" w:rsidR="003B1BC4" w:rsidRPr="00DD518A" w:rsidRDefault="003B1BC4" w:rsidP="003B1BC4">
      <w:pPr>
        <w:spacing w:after="0" w:line="360" w:lineRule="auto"/>
        <w:contextualSpacing/>
        <w:jc w:val="both"/>
        <w:rPr>
          <w:color w:val="7F7F7F" w:themeColor="text1" w:themeTint="80"/>
          <w:sz w:val="20"/>
          <w:szCs w:val="20"/>
        </w:rPr>
      </w:pPr>
      <w:r w:rsidRPr="00467C0E">
        <w:rPr>
          <w:b/>
          <w:color w:val="000000" w:themeColor="text1"/>
        </w:rPr>
        <w:t>Child Abuse</w:t>
      </w:r>
      <w:r w:rsidRPr="00F1013F">
        <w:rPr>
          <w:i/>
          <w:color w:val="000000" w:themeColor="text1"/>
        </w:rPr>
        <w:t xml:space="preserve">                                </w:t>
      </w:r>
      <w:r w:rsidRPr="00DD518A">
        <w:rPr>
          <w:color w:val="7F7F7F" w:themeColor="text1" w:themeTint="80"/>
          <w:sz w:val="20"/>
          <w:szCs w:val="20"/>
        </w:rPr>
        <w:t>Per cent of adults abused in childhood, by gender of victim and type of abuse</w:t>
      </w:r>
    </w:p>
    <w:p w14:paraId="675D8726" w14:textId="77777777" w:rsidR="003B1BC4" w:rsidRPr="00DD518A" w:rsidRDefault="003B1BC4" w:rsidP="003B1BC4">
      <w:pPr>
        <w:tabs>
          <w:tab w:val="left" w:pos="360"/>
        </w:tabs>
        <w:spacing w:after="0" w:line="360" w:lineRule="auto"/>
        <w:jc w:val="both"/>
        <w:rPr>
          <w:rFonts w:ascii="Calibri" w:hAnsi="Calibri"/>
        </w:rPr>
      </w:pPr>
      <w:r>
        <w:rPr>
          <w:noProof/>
          <w:lang w:eastAsia="en-AU"/>
        </w:rPr>
        <w:drawing>
          <wp:anchor distT="0" distB="0" distL="114300" distR="114300" simplePos="0" relativeHeight="251906048" behindDoc="0" locked="0" layoutInCell="1" allowOverlap="1" wp14:anchorId="1EC66314" wp14:editId="3BD3AFA9">
            <wp:simplePos x="0" y="0"/>
            <wp:positionH relativeFrom="column">
              <wp:posOffset>2835910</wp:posOffset>
            </wp:positionH>
            <wp:positionV relativeFrom="paragraph">
              <wp:posOffset>69215</wp:posOffset>
            </wp:positionV>
            <wp:extent cx="3275330" cy="2190750"/>
            <wp:effectExtent l="0" t="0" r="1270" b="0"/>
            <wp:wrapSquare wrapText="bothSides"/>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4">
                      <a:extLst>
                        <a:ext uri="{28A0092B-C50C-407E-A947-70E740481C1C}">
                          <a14:useLocalDpi xmlns:a14="http://schemas.microsoft.com/office/drawing/2010/main" val="0"/>
                        </a:ext>
                      </a:extLst>
                    </a:blip>
                    <a:srcRect t="13695" r="2592" b="10761"/>
                    <a:stretch/>
                  </pic:blipFill>
                  <pic:spPr bwMode="auto">
                    <a:xfrm>
                      <a:off x="0" y="0"/>
                      <a:ext cx="3275330" cy="2190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D518A">
        <w:rPr>
          <w:rFonts w:ascii="Calibri" w:hAnsi="Calibri"/>
        </w:rPr>
        <w:t xml:space="preserve">Approximately one in six (16%) females and one in ten (11%) males were abused before the age of 15. </w:t>
      </w:r>
    </w:p>
    <w:p w14:paraId="0A169F57" w14:textId="77777777" w:rsidR="003B1BC4" w:rsidRPr="00DD518A" w:rsidRDefault="003B1BC4" w:rsidP="003B1BC4">
      <w:pPr>
        <w:tabs>
          <w:tab w:val="left" w:pos="360"/>
        </w:tabs>
        <w:spacing w:after="0" w:line="360" w:lineRule="auto"/>
        <w:jc w:val="both"/>
        <w:rPr>
          <w:rFonts w:ascii="Calibri" w:hAnsi="Calibri"/>
        </w:rPr>
      </w:pPr>
      <w:r w:rsidRPr="00DD518A">
        <w:rPr>
          <w:rFonts w:ascii="Calibri" w:hAnsi="Calibri"/>
        </w:rPr>
        <w:t xml:space="preserve">Among women, </w:t>
      </w:r>
      <w:r>
        <w:rPr>
          <w:rFonts w:ascii="Calibri" w:hAnsi="Calibri"/>
        </w:rPr>
        <w:t>9</w:t>
      </w:r>
      <w:r w:rsidRPr="00DD518A">
        <w:rPr>
          <w:rFonts w:ascii="Calibri" w:hAnsi="Calibri"/>
        </w:rPr>
        <w:t>% had been physically abused and 1</w:t>
      </w:r>
      <w:r>
        <w:rPr>
          <w:rFonts w:ascii="Calibri" w:hAnsi="Calibri"/>
        </w:rPr>
        <w:t>1</w:t>
      </w:r>
      <w:r w:rsidRPr="00DD518A">
        <w:rPr>
          <w:rFonts w:ascii="Calibri" w:hAnsi="Calibri"/>
        </w:rPr>
        <w:t xml:space="preserve">% sexually abused. </w:t>
      </w:r>
    </w:p>
    <w:p w14:paraId="20EB7A9D" w14:textId="77777777" w:rsidR="003B1BC4" w:rsidRPr="00DD518A" w:rsidRDefault="003B1BC4" w:rsidP="003B1BC4">
      <w:pPr>
        <w:tabs>
          <w:tab w:val="left" w:pos="360"/>
        </w:tabs>
        <w:spacing w:after="0" w:line="360" w:lineRule="auto"/>
        <w:jc w:val="both"/>
        <w:rPr>
          <w:rFonts w:ascii="Calibri" w:hAnsi="Calibri"/>
        </w:rPr>
      </w:pPr>
      <w:r w:rsidRPr="00DD518A">
        <w:rPr>
          <w:rFonts w:ascii="Calibri" w:hAnsi="Calibri"/>
        </w:rPr>
        <w:t xml:space="preserve">By contrast, </w:t>
      </w:r>
      <w:r>
        <w:rPr>
          <w:rFonts w:ascii="Calibri" w:hAnsi="Calibri"/>
        </w:rPr>
        <w:t xml:space="preserve">about </w:t>
      </w:r>
      <w:r w:rsidRPr="00DD518A">
        <w:rPr>
          <w:rFonts w:ascii="Calibri" w:hAnsi="Calibri"/>
        </w:rPr>
        <w:t>5% of men had been sexually abused in childhood and 8% physically abused.</w:t>
      </w:r>
    </w:p>
    <w:p w14:paraId="04CBA0BF" w14:textId="77777777" w:rsidR="003B1BC4" w:rsidRDefault="003B1BC4" w:rsidP="003B1BC4">
      <w:pPr>
        <w:spacing w:after="0" w:line="360" w:lineRule="auto"/>
        <w:jc w:val="both"/>
        <w:rPr>
          <w:rFonts w:ascii="Calibri" w:hAnsi="Calibri"/>
        </w:rPr>
      </w:pPr>
      <w:r>
        <w:rPr>
          <w:rFonts w:ascii="Calibri" w:hAnsi="Calibri"/>
        </w:rPr>
        <w:t>.</w:t>
      </w:r>
    </w:p>
    <w:p w14:paraId="12E26C59" w14:textId="77777777" w:rsidR="003B1BC4" w:rsidRDefault="003B1BC4" w:rsidP="003B1BC4">
      <w:pPr>
        <w:spacing w:after="0"/>
        <w:contextualSpacing/>
        <w:jc w:val="both"/>
        <w:rPr>
          <w:b/>
          <w:color w:val="000000" w:themeColor="text1"/>
        </w:rPr>
      </w:pPr>
    </w:p>
    <w:p w14:paraId="13634536" w14:textId="77777777" w:rsidR="003B1BC4" w:rsidRDefault="003B1BC4" w:rsidP="003B1BC4">
      <w:pPr>
        <w:spacing w:after="0"/>
        <w:contextualSpacing/>
        <w:jc w:val="both"/>
        <w:rPr>
          <w:b/>
          <w:color w:val="000000" w:themeColor="text1"/>
        </w:rPr>
      </w:pPr>
    </w:p>
    <w:p w14:paraId="6262E8E7" w14:textId="77777777" w:rsidR="003B1BC4" w:rsidRDefault="003B1BC4" w:rsidP="003B1BC4">
      <w:pPr>
        <w:spacing w:after="0"/>
        <w:rPr>
          <w:rFonts w:ascii="Calibri" w:hAnsi="Calibri"/>
          <w:b/>
          <w:bCs/>
        </w:rPr>
      </w:pPr>
      <w:r>
        <w:rPr>
          <w:rFonts w:ascii="Calibri" w:hAnsi="Calibri"/>
          <w:b/>
          <w:bCs/>
        </w:rPr>
        <w:br w:type="page"/>
      </w:r>
    </w:p>
    <w:p w14:paraId="078DE048" w14:textId="77777777" w:rsidR="003B1BC4" w:rsidRPr="00426C72" w:rsidRDefault="003B1BC4" w:rsidP="003B1BC4">
      <w:pPr>
        <w:tabs>
          <w:tab w:val="left" w:pos="360"/>
        </w:tabs>
        <w:spacing w:after="0" w:line="360" w:lineRule="auto"/>
        <w:jc w:val="both"/>
        <w:rPr>
          <w:rFonts w:ascii="Calibri" w:hAnsi="Calibri"/>
          <w:b/>
          <w:bCs/>
        </w:rPr>
      </w:pPr>
      <w:r w:rsidRPr="00426C72">
        <w:rPr>
          <w:rFonts w:ascii="Calibri" w:hAnsi="Calibri"/>
          <w:b/>
          <w:bCs/>
        </w:rPr>
        <w:lastRenderedPageBreak/>
        <w:t>Local Measures of the Incidence of Family Violence and Child Abuse</w:t>
      </w:r>
    </w:p>
    <w:p w14:paraId="68E1CF05" w14:textId="77777777" w:rsidR="003B1BC4" w:rsidRDefault="003B1BC4" w:rsidP="003B1BC4">
      <w:pPr>
        <w:tabs>
          <w:tab w:val="left" w:pos="360"/>
        </w:tabs>
        <w:spacing w:after="0" w:line="360" w:lineRule="auto"/>
        <w:jc w:val="both"/>
        <w:rPr>
          <w:rFonts w:ascii="Calibri" w:hAnsi="Calibri"/>
        </w:rPr>
      </w:pPr>
      <w:r>
        <w:rPr>
          <w:noProof/>
          <w:color w:val="FFFFFF" w:themeColor="background1"/>
          <w:sz w:val="20"/>
          <w:szCs w:val="20"/>
        </w:rPr>
        <w:drawing>
          <wp:anchor distT="0" distB="0" distL="114300" distR="114300" simplePos="0" relativeHeight="251909120" behindDoc="0" locked="0" layoutInCell="1" allowOverlap="1" wp14:anchorId="4306C57B" wp14:editId="75D2C66A">
            <wp:simplePos x="0" y="0"/>
            <wp:positionH relativeFrom="margin">
              <wp:posOffset>60371</wp:posOffset>
            </wp:positionH>
            <wp:positionV relativeFrom="paragraph">
              <wp:posOffset>722506</wp:posOffset>
            </wp:positionV>
            <wp:extent cx="3082925" cy="7131050"/>
            <wp:effectExtent l="0" t="0" r="3175" b="0"/>
            <wp:wrapSquare wrapText="bothSides"/>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5">
                      <a:extLst>
                        <a:ext uri="{28A0092B-C50C-407E-A947-70E740481C1C}">
                          <a14:useLocalDpi xmlns:a14="http://schemas.microsoft.com/office/drawing/2010/main" val="0"/>
                        </a:ext>
                      </a:extLst>
                    </a:blip>
                    <a:srcRect r="5907"/>
                    <a:stretch/>
                  </pic:blipFill>
                  <pic:spPr bwMode="auto">
                    <a:xfrm>
                      <a:off x="0" y="0"/>
                      <a:ext cx="3082925" cy="713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649A2">
        <w:rPr>
          <w:rFonts w:ascii="Calibri" w:hAnsi="Calibri"/>
        </w:rPr>
        <w:t xml:space="preserve">Local measures of the incidence of family violence and child abuse are less reliable, since they only reflect those instances of violence which reach the attention of responsible agencies, such as the police, the courts and </w:t>
      </w:r>
      <w:r>
        <w:rPr>
          <w:rFonts w:ascii="Calibri" w:hAnsi="Calibri"/>
        </w:rPr>
        <w:t>child protection authorities</w:t>
      </w:r>
      <w:r w:rsidRPr="00C649A2">
        <w:rPr>
          <w:rFonts w:ascii="Calibri" w:hAnsi="Calibri"/>
        </w:rPr>
        <w:t xml:space="preserve">. </w:t>
      </w:r>
    </w:p>
    <w:p w14:paraId="39CFDABE" w14:textId="77777777" w:rsidR="003B1BC4" w:rsidRDefault="003B1BC4" w:rsidP="003B1BC4">
      <w:pPr>
        <w:tabs>
          <w:tab w:val="left" w:pos="2127"/>
        </w:tabs>
        <w:spacing w:after="0"/>
        <w:jc w:val="both"/>
        <w:rPr>
          <w:noProof/>
          <w:color w:val="FFFFFF" w:themeColor="background1"/>
          <w:sz w:val="20"/>
          <w:szCs w:val="20"/>
        </w:rPr>
      </w:pPr>
    </w:p>
    <w:p w14:paraId="76078263" w14:textId="77777777" w:rsidR="003B1BC4" w:rsidRDefault="003B1BC4" w:rsidP="003B1BC4">
      <w:pPr>
        <w:tabs>
          <w:tab w:val="left" w:pos="2127"/>
        </w:tabs>
        <w:spacing w:after="0"/>
        <w:jc w:val="both"/>
        <w:rPr>
          <w:noProof/>
          <w:color w:val="FFFFFF" w:themeColor="background1"/>
          <w:sz w:val="20"/>
          <w:szCs w:val="20"/>
        </w:rPr>
      </w:pPr>
    </w:p>
    <w:p w14:paraId="1922083A" w14:textId="77777777" w:rsidR="003B1BC4" w:rsidRDefault="003B1BC4" w:rsidP="003B1BC4">
      <w:pPr>
        <w:tabs>
          <w:tab w:val="left" w:pos="2127"/>
        </w:tabs>
        <w:spacing w:after="0"/>
        <w:jc w:val="both"/>
        <w:rPr>
          <w:rFonts w:ascii="Calibri" w:hAnsi="Calibri"/>
          <w:color w:val="7F7F7F"/>
          <w:sz w:val="20"/>
          <w:szCs w:val="20"/>
        </w:rPr>
      </w:pPr>
      <w:r w:rsidRPr="00863372">
        <w:rPr>
          <w:rFonts w:ascii="Calibri" w:hAnsi="Calibri"/>
          <w:color w:val="7F7F7F"/>
          <w:sz w:val="20"/>
          <w:szCs w:val="20"/>
        </w:rPr>
        <w:t xml:space="preserve">Family-related Alleged Violent Offences, </w:t>
      </w:r>
      <w:r>
        <w:rPr>
          <w:rFonts w:ascii="Calibri" w:hAnsi="Calibri"/>
          <w:color w:val="7F7F7F"/>
          <w:sz w:val="20"/>
          <w:szCs w:val="20"/>
        </w:rPr>
        <w:t>2021/22</w:t>
      </w:r>
      <w:r w:rsidRPr="00863372">
        <w:rPr>
          <w:rFonts w:ascii="Calibri" w:hAnsi="Calibri"/>
          <w:color w:val="7F7F7F"/>
          <w:sz w:val="20"/>
          <w:szCs w:val="20"/>
        </w:rPr>
        <w:t xml:space="preserve"> [per 100,000 residents]</w:t>
      </w:r>
      <w:r>
        <w:rPr>
          <w:rFonts w:ascii="Calibri" w:hAnsi="Calibri"/>
          <w:color w:val="7F7F7F"/>
          <w:sz w:val="20"/>
          <w:szCs w:val="20"/>
        </w:rPr>
        <w:t>, by Municipality</w:t>
      </w:r>
      <w:r w:rsidRPr="001A427E">
        <w:rPr>
          <w:rFonts w:ascii="Calibri" w:hAnsi="Calibri"/>
          <w:color w:val="7F7F7F"/>
          <w:sz w:val="20"/>
          <w:szCs w:val="20"/>
        </w:rPr>
        <w:t xml:space="preserve"> </w:t>
      </w:r>
    </w:p>
    <w:p w14:paraId="49A26113" w14:textId="77777777" w:rsidR="003B1BC4" w:rsidRPr="00276A28" w:rsidRDefault="003B1BC4" w:rsidP="003B1BC4">
      <w:pPr>
        <w:tabs>
          <w:tab w:val="left" w:pos="2127"/>
        </w:tabs>
        <w:spacing w:after="0"/>
        <w:jc w:val="both"/>
        <w:rPr>
          <w:rFonts w:ascii="Calibri" w:hAnsi="Calibri"/>
          <w:color w:val="7F7F7F"/>
          <w:sz w:val="6"/>
          <w:szCs w:val="6"/>
        </w:rPr>
      </w:pPr>
    </w:p>
    <w:p w14:paraId="75730518" w14:textId="77777777" w:rsidR="003B1BC4" w:rsidRDefault="003B1BC4" w:rsidP="003B1BC4">
      <w:pPr>
        <w:spacing w:after="0" w:line="360" w:lineRule="auto"/>
        <w:jc w:val="both"/>
        <w:rPr>
          <w:rFonts w:ascii="Calibri" w:hAnsi="Calibri"/>
        </w:rPr>
      </w:pPr>
      <w:r w:rsidRPr="003D43E8">
        <w:rPr>
          <w:rFonts w:ascii="Calibri" w:hAnsi="Calibri"/>
        </w:rPr>
        <w:t xml:space="preserve">The </w:t>
      </w:r>
      <w:r>
        <w:rPr>
          <w:rFonts w:ascii="Calibri" w:hAnsi="Calibri"/>
        </w:rPr>
        <w:t>rate</w:t>
      </w:r>
      <w:r w:rsidRPr="003D43E8">
        <w:rPr>
          <w:rFonts w:ascii="Calibri" w:hAnsi="Calibri"/>
        </w:rPr>
        <w:t xml:space="preserve"> of </w:t>
      </w:r>
      <w:r w:rsidRPr="00863372">
        <w:rPr>
          <w:rFonts w:ascii="Calibri" w:hAnsi="Calibri"/>
        </w:rPr>
        <w:t xml:space="preserve">family-related </w:t>
      </w:r>
      <w:r>
        <w:rPr>
          <w:rFonts w:ascii="Calibri" w:hAnsi="Calibri"/>
        </w:rPr>
        <w:t>a</w:t>
      </w:r>
      <w:r w:rsidRPr="00863372">
        <w:rPr>
          <w:rFonts w:ascii="Calibri" w:hAnsi="Calibri"/>
        </w:rPr>
        <w:t xml:space="preserve">lleged </w:t>
      </w:r>
      <w:r>
        <w:rPr>
          <w:rFonts w:ascii="Calibri" w:hAnsi="Calibri"/>
        </w:rPr>
        <w:t>v</w:t>
      </w:r>
      <w:r w:rsidRPr="00863372">
        <w:rPr>
          <w:rFonts w:ascii="Calibri" w:hAnsi="Calibri"/>
        </w:rPr>
        <w:t xml:space="preserve">iolent </w:t>
      </w:r>
      <w:r>
        <w:rPr>
          <w:rFonts w:ascii="Calibri" w:hAnsi="Calibri"/>
        </w:rPr>
        <w:t>o</w:t>
      </w:r>
      <w:r w:rsidRPr="00863372">
        <w:rPr>
          <w:rFonts w:ascii="Calibri" w:hAnsi="Calibri"/>
        </w:rPr>
        <w:t xml:space="preserve">ffences </w:t>
      </w:r>
      <w:r>
        <w:rPr>
          <w:rFonts w:ascii="Calibri" w:hAnsi="Calibri"/>
        </w:rPr>
        <w:t>(</w:t>
      </w:r>
      <w:r w:rsidRPr="00863372">
        <w:rPr>
          <w:rFonts w:ascii="Calibri" w:hAnsi="Calibri"/>
        </w:rPr>
        <w:t>per 100,000 residents</w:t>
      </w:r>
      <w:r>
        <w:rPr>
          <w:rFonts w:ascii="Calibri" w:hAnsi="Calibri"/>
        </w:rPr>
        <w:t>) in Greater Dandenong</w:t>
      </w:r>
      <w:r w:rsidRPr="003D43E8">
        <w:rPr>
          <w:rFonts w:ascii="Calibri" w:hAnsi="Calibri"/>
        </w:rPr>
        <w:t xml:space="preserve">, documented by Victoria Police, </w:t>
      </w:r>
      <w:r>
        <w:rPr>
          <w:rFonts w:ascii="Calibri" w:hAnsi="Calibri"/>
        </w:rPr>
        <w:t>stood at</w:t>
      </w:r>
      <w:r w:rsidRPr="003D43E8">
        <w:rPr>
          <w:rFonts w:ascii="Calibri" w:hAnsi="Calibri"/>
        </w:rPr>
        <w:t xml:space="preserve"> </w:t>
      </w:r>
      <w:r>
        <w:rPr>
          <w:rFonts w:ascii="Calibri" w:hAnsi="Calibri"/>
        </w:rPr>
        <w:t>699</w:t>
      </w:r>
      <w:r w:rsidRPr="003D43E8">
        <w:rPr>
          <w:rFonts w:ascii="Calibri" w:hAnsi="Calibri"/>
        </w:rPr>
        <w:t xml:space="preserve"> per 100,000 residents in 20</w:t>
      </w:r>
      <w:r>
        <w:rPr>
          <w:rFonts w:ascii="Calibri" w:hAnsi="Calibri"/>
        </w:rPr>
        <w:t>21</w:t>
      </w:r>
      <w:r w:rsidRPr="003D43E8">
        <w:rPr>
          <w:rFonts w:ascii="Calibri" w:hAnsi="Calibri"/>
        </w:rPr>
        <w:t>/</w:t>
      </w:r>
      <w:r>
        <w:rPr>
          <w:rFonts w:ascii="Calibri" w:hAnsi="Calibri"/>
        </w:rPr>
        <w:t>22</w:t>
      </w:r>
      <w:r w:rsidRPr="003D43E8">
        <w:rPr>
          <w:rFonts w:ascii="Calibri" w:hAnsi="Calibri"/>
        </w:rPr>
        <w:t xml:space="preserve"> – </w:t>
      </w:r>
      <w:r>
        <w:rPr>
          <w:rFonts w:ascii="Calibri" w:hAnsi="Calibri"/>
        </w:rPr>
        <w:t>the third highest rate in metropolitan Melbourne and 20</w:t>
      </w:r>
      <w:r w:rsidRPr="003D43E8">
        <w:rPr>
          <w:rFonts w:ascii="Calibri" w:hAnsi="Calibri"/>
        </w:rPr>
        <w:t xml:space="preserve">% higher than the </w:t>
      </w:r>
      <w:r>
        <w:rPr>
          <w:rFonts w:ascii="Calibri" w:hAnsi="Calibri"/>
        </w:rPr>
        <w:t>Victorian level</w:t>
      </w:r>
      <w:r w:rsidRPr="003D43E8">
        <w:rPr>
          <w:rFonts w:ascii="Calibri" w:hAnsi="Calibri"/>
        </w:rPr>
        <w:t xml:space="preserve">. </w:t>
      </w:r>
      <w:r>
        <w:rPr>
          <w:rFonts w:ascii="Calibri" w:hAnsi="Calibri"/>
        </w:rPr>
        <w:t>Women accounted for 73% of alleged incidences of violence within families.</w:t>
      </w:r>
    </w:p>
    <w:p w14:paraId="589758D6" w14:textId="77777777" w:rsidR="003B1BC4" w:rsidRDefault="003B1BC4" w:rsidP="003B1BC4">
      <w:pPr>
        <w:spacing w:after="0" w:line="360" w:lineRule="auto"/>
        <w:jc w:val="both"/>
        <w:rPr>
          <w:rFonts w:ascii="Calibri" w:hAnsi="Calibri"/>
        </w:rPr>
      </w:pPr>
      <w:r w:rsidRPr="006E5703">
        <w:rPr>
          <w:rFonts w:ascii="Calibri" w:hAnsi="Calibri"/>
        </w:rPr>
        <w:t xml:space="preserve">The rate of such recorded violent family offences has </w:t>
      </w:r>
      <w:r>
        <w:rPr>
          <w:rFonts w:ascii="Calibri" w:hAnsi="Calibri"/>
        </w:rPr>
        <w:t>risen</w:t>
      </w:r>
      <w:r w:rsidRPr="006E5703">
        <w:rPr>
          <w:rFonts w:ascii="Calibri" w:hAnsi="Calibri"/>
        </w:rPr>
        <w:t xml:space="preserve"> in Greater Dandenong by </w:t>
      </w:r>
      <w:r>
        <w:rPr>
          <w:rFonts w:ascii="Calibri" w:hAnsi="Calibri"/>
        </w:rPr>
        <w:t>37</w:t>
      </w:r>
      <w:r w:rsidRPr="006E5703">
        <w:rPr>
          <w:rFonts w:ascii="Calibri" w:hAnsi="Calibri"/>
        </w:rPr>
        <w:t>% since 201</w:t>
      </w:r>
      <w:r>
        <w:rPr>
          <w:rFonts w:ascii="Calibri" w:hAnsi="Calibri"/>
        </w:rPr>
        <w:t>0</w:t>
      </w:r>
      <w:r w:rsidRPr="006E5703">
        <w:rPr>
          <w:rFonts w:ascii="Calibri" w:hAnsi="Calibri"/>
        </w:rPr>
        <w:t>/1</w:t>
      </w:r>
      <w:r>
        <w:rPr>
          <w:rFonts w:ascii="Calibri" w:hAnsi="Calibri"/>
        </w:rPr>
        <w:t>1</w:t>
      </w:r>
      <w:r w:rsidRPr="006E5703">
        <w:rPr>
          <w:rFonts w:ascii="Calibri" w:hAnsi="Calibri"/>
        </w:rPr>
        <w:t xml:space="preserve">, </w:t>
      </w:r>
      <w:r>
        <w:rPr>
          <w:rFonts w:ascii="Calibri" w:hAnsi="Calibri"/>
        </w:rPr>
        <w:t>and by 121%</w:t>
      </w:r>
      <w:r w:rsidRPr="006E5703">
        <w:rPr>
          <w:rFonts w:ascii="Calibri" w:hAnsi="Calibri"/>
        </w:rPr>
        <w:t xml:space="preserve"> across Victoria </w:t>
      </w:r>
      <w:r>
        <w:rPr>
          <w:rFonts w:ascii="Calibri" w:hAnsi="Calibri"/>
        </w:rPr>
        <w:t>in</w:t>
      </w:r>
      <w:r w:rsidRPr="006E5703">
        <w:rPr>
          <w:rFonts w:ascii="Calibri" w:hAnsi="Calibri"/>
        </w:rPr>
        <w:t xml:space="preserve"> this period</w:t>
      </w:r>
      <w:r>
        <w:rPr>
          <w:rFonts w:ascii="Calibri" w:hAnsi="Calibri"/>
        </w:rPr>
        <w:t>.</w:t>
      </w:r>
    </w:p>
    <w:bookmarkEnd w:id="12"/>
    <w:p w14:paraId="4137F1F8" w14:textId="77777777" w:rsidR="003B1BC4" w:rsidRDefault="003B1BC4" w:rsidP="003B1BC4">
      <w:pPr>
        <w:spacing w:after="0"/>
        <w:contextualSpacing/>
        <w:jc w:val="both"/>
        <w:rPr>
          <w:color w:val="7F7F7F" w:themeColor="text1" w:themeTint="80"/>
          <w:sz w:val="8"/>
          <w:szCs w:val="8"/>
        </w:rPr>
      </w:pPr>
    </w:p>
    <w:p w14:paraId="1A4A83F9" w14:textId="77777777" w:rsidR="003B1BC4" w:rsidRDefault="003B1BC4" w:rsidP="003B1BC4">
      <w:pPr>
        <w:spacing w:after="0"/>
        <w:contextualSpacing/>
        <w:jc w:val="both"/>
        <w:rPr>
          <w:color w:val="7F7F7F" w:themeColor="text1" w:themeTint="80"/>
          <w:sz w:val="8"/>
          <w:szCs w:val="8"/>
        </w:rPr>
      </w:pPr>
    </w:p>
    <w:p w14:paraId="37B5A8DF" w14:textId="77777777" w:rsidR="003B1BC4" w:rsidRDefault="003B1BC4" w:rsidP="003B1BC4">
      <w:pPr>
        <w:spacing w:after="0"/>
        <w:contextualSpacing/>
        <w:jc w:val="both"/>
        <w:rPr>
          <w:color w:val="7F7F7F" w:themeColor="text1" w:themeTint="80"/>
          <w:sz w:val="8"/>
          <w:szCs w:val="8"/>
        </w:rPr>
      </w:pPr>
    </w:p>
    <w:p w14:paraId="4F1C3C71" w14:textId="77777777" w:rsidR="003B1BC4" w:rsidRDefault="003B1BC4" w:rsidP="003B1BC4">
      <w:pPr>
        <w:spacing w:after="0"/>
        <w:contextualSpacing/>
        <w:jc w:val="both"/>
        <w:rPr>
          <w:color w:val="7F7F7F" w:themeColor="text1" w:themeTint="80"/>
          <w:sz w:val="8"/>
          <w:szCs w:val="8"/>
        </w:rPr>
      </w:pPr>
    </w:p>
    <w:p w14:paraId="09479531" w14:textId="77777777" w:rsidR="003B1BC4" w:rsidRDefault="003B1BC4" w:rsidP="003B1BC4">
      <w:pPr>
        <w:spacing w:after="0"/>
        <w:contextualSpacing/>
        <w:jc w:val="both"/>
        <w:rPr>
          <w:color w:val="7F7F7F" w:themeColor="text1" w:themeTint="80"/>
          <w:sz w:val="8"/>
          <w:szCs w:val="8"/>
        </w:rPr>
      </w:pPr>
    </w:p>
    <w:p w14:paraId="1A333FFC" w14:textId="77777777" w:rsidR="003B1BC4" w:rsidRDefault="003B1BC4" w:rsidP="003B1BC4">
      <w:pPr>
        <w:spacing w:after="0"/>
        <w:contextualSpacing/>
        <w:jc w:val="both"/>
        <w:rPr>
          <w:color w:val="7F7F7F" w:themeColor="text1" w:themeTint="80"/>
          <w:sz w:val="20"/>
          <w:szCs w:val="20"/>
        </w:rPr>
      </w:pPr>
    </w:p>
    <w:p w14:paraId="3B2A6F74" w14:textId="77777777" w:rsidR="003B1BC4" w:rsidRDefault="003B1BC4" w:rsidP="003B1BC4">
      <w:pPr>
        <w:spacing w:after="0"/>
        <w:contextualSpacing/>
        <w:jc w:val="both"/>
        <w:rPr>
          <w:color w:val="7F7F7F" w:themeColor="text1" w:themeTint="80"/>
          <w:sz w:val="20"/>
          <w:szCs w:val="20"/>
        </w:rPr>
      </w:pPr>
    </w:p>
    <w:p w14:paraId="660284DD" w14:textId="77777777" w:rsidR="003B1BC4" w:rsidRDefault="003B1BC4" w:rsidP="003B1BC4">
      <w:pPr>
        <w:spacing w:after="0"/>
        <w:contextualSpacing/>
        <w:jc w:val="both"/>
        <w:rPr>
          <w:color w:val="7F7F7F" w:themeColor="text1" w:themeTint="80"/>
          <w:sz w:val="20"/>
          <w:szCs w:val="20"/>
        </w:rPr>
      </w:pPr>
    </w:p>
    <w:p w14:paraId="09AFF651" w14:textId="77777777" w:rsidR="003B1BC4" w:rsidRDefault="003B1BC4" w:rsidP="003B1BC4">
      <w:pPr>
        <w:spacing w:after="0"/>
        <w:contextualSpacing/>
        <w:jc w:val="both"/>
        <w:rPr>
          <w:color w:val="7F7F7F" w:themeColor="text1" w:themeTint="80"/>
          <w:sz w:val="20"/>
          <w:szCs w:val="20"/>
        </w:rPr>
      </w:pPr>
    </w:p>
    <w:p w14:paraId="3E8947B5" w14:textId="77777777" w:rsidR="003B1BC4" w:rsidRDefault="003B1BC4" w:rsidP="003B1BC4">
      <w:pPr>
        <w:spacing w:after="0"/>
        <w:contextualSpacing/>
        <w:jc w:val="both"/>
        <w:rPr>
          <w:color w:val="7F7F7F" w:themeColor="text1" w:themeTint="80"/>
          <w:sz w:val="20"/>
          <w:szCs w:val="20"/>
        </w:rPr>
      </w:pPr>
    </w:p>
    <w:p w14:paraId="3390D321" w14:textId="77777777" w:rsidR="003B1BC4" w:rsidRDefault="003B1BC4" w:rsidP="003B1BC4">
      <w:pPr>
        <w:spacing w:after="0"/>
        <w:contextualSpacing/>
        <w:jc w:val="both"/>
        <w:rPr>
          <w:color w:val="7F7F7F" w:themeColor="text1" w:themeTint="80"/>
          <w:sz w:val="20"/>
          <w:szCs w:val="20"/>
        </w:rPr>
      </w:pPr>
    </w:p>
    <w:p w14:paraId="560073CD" w14:textId="77777777" w:rsidR="003B1BC4" w:rsidRDefault="003B1BC4" w:rsidP="003B1BC4">
      <w:pPr>
        <w:spacing w:after="0"/>
        <w:contextualSpacing/>
        <w:jc w:val="both"/>
        <w:rPr>
          <w:color w:val="7F7F7F" w:themeColor="text1" w:themeTint="80"/>
          <w:sz w:val="20"/>
          <w:szCs w:val="20"/>
        </w:rPr>
      </w:pPr>
      <w:r>
        <w:rPr>
          <w:noProof/>
          <w:color w:val="7F7F7F" w:themeColor="text1" w:themeTint="80"/>
          <w:sz w:val="8"/>
          <w:szCs w:val="8"/>
        </w:rPr>
        <w:drawing>
          <wp:anchor distT="0" distB="0" distL="114300" distR="114300" simplePos="0" relativeHeight="251910144" behindDoc="0" locked="0" layoutInCell="1" allowOverlap="1" wp14:anchorId="3212BC55" wp14:editId="13CFCB0B">
            <wp:simplePos x="0" y="0"/>
            <wp:positionH relativeFrom="margin">
              <wp:posOffset>2312670</wp:posOffset>
            </wp:positionH>
            <wp:positionV relativeFrom="paragraph">
              <wp:posOffset>168275</wp:posOffset>
            </wp:positionV>
            <wp:extent cx="3662045" cy="2649855"/>
            <wp:effectExtent l="0" t="0" r="0" b="0"/>
            <wp:wrapSquare wrapText="bothSides"/>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662045" cy="2649855"/>
                    </a:xfrm>
                    <a:prstGeom prst="rect">
                      <a:avLst/>
                    </a:prstGeom>
                    <a:noFill/>
                  </pic:spPr>
                </pic:pic>
              </a:graphicData>
            </a:graphic>
            <wp14:sizeRelH relativeFrom="page">
              <wp14:pctWidth>0</wp14:pctWidth>
            </wp14:sizeRelH>
            <wp14:sizeRelV relativeFrom="page">
              <wp14:pctHeight>0</wp14:pctHeight>
            </wp14:sizeRelV>
          </wp:anchor>
        </w:drawing>
      </w:r>
    </w:p>
    <w:p w14:paraId="6A675F01" w14:textId="77777777" w:rsidR="003B1BC4" w:rsidRPr="00845F9C" w:rsidRDefault="003B1BC4" w:rsidP="003B1BC4">
      <w:pPr>
        <w:spacing w:after="0"/>
        <w:contextualSpacing/>
        <w:jc w:val="both"/>
        <w:rPr>
          <w:color w:val="7F7F7F" w:themeColor="text1" w:themeTint="80"/>
          <w:sz w:val="20"/>
          <w:szCs w:val="20"/>
        </w:rPr>
      </w:pPr>
    </w:p>
    <w:p w14:paraId="1AB499E8" w14:textId="77777777" w:rsidR="003B1BC4" w:rsidRDefault="003B1BC4" w:rsidP="003B1BC4">
      <w:pPr>
        <w:spacing w:after="0"/>
        <w:contextualSpacing/>
        <w:jc w:val="both"/>
        <w:rPr>
          <w:color w:val="7F7F7F" w:themeColor="text1" w:themeTint="80"/>
          <w:sz w:val="20"/>
          <w:szCs w:val="20"/>
        </w:rPr>
      </w:pPr>
      <w:r>
        <w:rPr>
          <w:color w:val="7F7F7F" w:themeColor="text1" w:themeTint="80"/>
          <w:sz w:val="20"/>
          <w:szCs w:val="20"/>
        </w:rPr>
        <w:t>Rate of alleged violent offences,</w:t>
      </w:r>
      <w:r w:rsidRPr="00845F9C">
        <w:rPr>
          <w:color w:val="7F7F7F" w:themeColor="text1" w:themeTint="80"/>
          <w:sz w:val="20"/>
          <w:szCs w:val="20"/>
        </w:rPr>
        <w:t xml:space="preserve"> per 100,000 population: Greater Dandenong and Metro. Melbourne, 20</w:t>
      </w:r>
      <w:r>
        <w:rPr>
          <w:color w:val="7F7F7F" w:themeColor="text1" w:themeTint="80"/>
          <w:sz w:val="20"/>
          <w:szCs w:val="20"/>
        </w:rPr>
        <w:t>10</w:t>
      </w:r>
      <w:r w:rsidRPr="00845F9C">
        <w:rPr>
          <w:color w:val="7F7F7F" w:themeColor="text1" w:themeTint="80"/>
          <w:sz w:val="20"/>
          <w:szCs w:val="20"/>
        </w:rPr>
        <w:t>/</w:t>
      </w:r>
      <w:r>
        <w:rPr>
          <w:color w:val="7F7F7F" w:themeColor="text1" w:themeTint="80"/>
          <w:sz w:val="20"/>
          <w:szCs w:val="20"/>
        </w:rPr>
        <w:t>2022</w:t>
      </w:r>
    </w:p>
    <w:p w14:paraId="1D812C61" w14:textId="77777777" w:rsidR="003B1BC4" w:rsidRDefault="003B1BC4" w:rsidP="003B1BC4">
      <w:pPr>
        <w:spacing w:after="0"/>
        <w:contextualSpacing/>
        <w:jc w:val="both"/>
        <w:rPr>
          <w:color w:val="7F7F7F" w:themeColor="text1" w:themeTint="80"/>
          <w:sz w:val="20"/>
          <w:szCs w:val="20"/>
        </w:rPr>
      </w:pPr>
    </w:p>
    <w:p w14:paraId="7F904992" w14:textId="77777777" w:rsidR="003B1BC4" w:rsidRDefault="003B1BC4" w:rsidP="003B1BC4">
      <w:pPr>
        <w:spacing w:after="0"/>
        <w:contextualSpacing/>
        <w:jc w:val="both"/>
        <w:rPr>
          <w:color w:val="7F7F7F" w:themeColor="text1" w:themeTint="80"/>
          <w:sz w:val="20"/>
          <w:szCs w:val="20"/>
        </w:rPr>
      </w:pPr>
    </w:p>
    <w:p w14:paraId="3AD7A267" w14:textId="77777777" w:rsidR="003B1BC4" w:rsidRPr="008C323B" w:rsidRDefault="003B1BC4" w:rsidP="003B1BC4">
      <w:pPr>
        <w:pBdr>
          <w:top w:val="single" w:sz="4" w:space="1" w:color="auto"/>
          <w:bottom w:val="single" w:sz="4" w:space="1" w:color="auto"/>
        </w:pBdr>
        <w:tabs>
          <w:tab w:val="center" w:pos="4678"/>
        </w:tabs>
        <w:spacing w:after="0"/>
        <w:jc w:val="center"/>
        <w:rPr>
          <w:rFonts w:ascii="Calibri" w:hAnsi="Calibri"/>
          <w:sz w:val="32"/>
          <w:szCs w:val="32"/>
        </w:rPr>
      </w:pPr>
      <w:bookmarkStart w:id="13" w:name="_Hlk495575778"/>
      <w:r w:rsidRPr="008C323B">
        <w:rPr>
          <w:rFonts w:ascii="Calibri" w:hAnsi="Calibri"/>
          <w:noProof/>
          <w:sz w:val="32"/>
          <w:szCs w:val="32"/>
        </w:rPr>
        <w:lastRenderedPageBreak/>
        <w:t>Crime and Safety</w:t>
      </w:r>
    </w:p>
    <w:bookmarkEnd w:id="13"/>
    <w:p w14:paraId="7D7E2BCC" w14:textId="77777777" w:rsidR="003B1BC4" w:rsidRPr="00F50828" w:rsidRDefault="003B1BC4" w:rsidP="003B1BC4">
      <w:pPr>
        <w:spacing w:after="0"/>
        <w:jc w:val="both"/>
        <w:rPr>
          <w:b/>
          <w:sz w:val="16"/>
          <w:szCs w:val="16"/>
        </w:rPr>
      </w:pPr>
    </w:p>
    <w:p w14:paraId="6C631DE7" w14:textId="77777777" w:rsidR="003B1BC4" w:rsidRPr="003D43E8" w:rsidRDefault="003B1BC4" w:rsidP="003B1BC4">
      <w:pPr>
        <w:spacing w:after="0" w:line="360" w:lineRule="auto"/>
        <w:jc w:val="both"/>
        <w:rPr>
          <w:rFonts w:ascii="Calibri" w:hAnsi="Calibri"/>
          <w:b/>
        </w:rPr>
      </w:pPr>
      <w:r>
        <w:rPr>
          <w:rFonts w:ascii="Calibri" w:hAnsi="Calibri"/>
          <w:b/>
          <w:noProof/>
        </w:rPr>
        <w:drawing>
          <wp:anchor distT="0" distB="0" distL="114300" distR="114300" simplePos="0" relativeHeight="251913216" behindDoc="1" locked="0" layoutInCell="1" allowOverlap="1" wp14:anchorId="45810C46" wp14:editId="02C0A7BC">
            <wp:simplePos x="0" y="0"/>
            <wp:positionH relativeFrom="column">
              <wp:posOffset>4518025</wp:posOffset>
            </wp:positionH>
            <wp:positionV relativeFrom="paragraph">
              <wp:posOffset>19685</wp:posOffset>
            </wp:positionV>
            <wp:extent cx="1828165" cy="1323975"/>
            <wp:effectExtent l="0" t="0" r="635" b="9525"/>
            <wp:wrapTight wrapText="bothSides">
              <wp:wrapPolygon edited="0">
                <wp:start x="2926" y="0"/>
                <wp:lineTo x="1350" y="311"/>
                <wp:lineTo x="0" y="2486"/>
                <wp:lineTo x="0" y="17404"/>
                <wp:lineTo x="225" y="19891"/>
                <wp:lineTo x="1125" y="21445"/>
                <wp:lineTo x="21382" y="21445"/>
                <wp:lineTo x="21382" y="311"/>
                <wp:lineTo x="19357" y="0"/>
                <wp:lineTo x="2926" y="0"/>
              </wp:wrapPolygon>
            </wp:wrapTight>
            <wp:docPr id="261" name="Picture 3" descr="Crime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rime 1.jpg"/>
                    <pic:cNvPicPr>
                      <a:picLocks noChangeArrowheads="1"/>
                    </pic:cNvPicPr>
                  </pic:nvPicPr>
                  <pic:blipFill>
                    <a:blip r:embed="rId216" cstate="print">
                      <a:extLst>
                        <a:ext uri="{28A0092B-C50C-407E-A947-70E740481C1C}">
                          <a14:useLocalDpi xmlns:a14="http://schemas.microsoft.com/office/drawing/2010/main" val="0"/>
                        </a:ext>
                      </a:extLst>
                    </a:blip>
                    <a:srcRect r="4694" b="4396"/>
                    <a:stretch>
                      <a:fillRect/>
                    </a:stretch>
                  </pic:blipFill>
                  <pic:spPr bwMode="auto">
                    <a:xfrm>
                      <a:off x="0" y="0"/>
                      <a:ext cx="1828165"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43E8">
        <w:rPr>
          <w:rFonts w:ascii="Calibri" w:hAnsi="Calibri"/>
          <w:b/>
        </w:rPr>
        <w:t>Rate Comparison</w:t>
      </w:r>
    </w:p>
    <w:p w14:paraId="317F1D3B" w14:textId="77777777" w:rsidR="003B1BC4" w:rsidRDefault="003B1BC4" w:rsidP="003B1BC4">
      <w:pPr>
        <w:spacing w:after="0" w:line="360" w:lineRule="auto"/>
        <w:jc w:val="both"/>
        <w:rPr>
          <w:rFonts w:ascii="Calibri" w:hAnsi="Calibri"/>
        </w:rPr>
      </w:pPr>
      <w:bookmarkStart w:id="14" w:name="_Hlk124098813"/>
      <w:bookmarkStart w:id="15" w:name="_Hlk86152119"/>
      <w:bookmarkStart w:id="16" w:name="_Hlk86151928"/>
      <w:r>
        <w:rPr>
          <w:rFonts w:ascii="Calibri" w:hAnsi="Calibri"/>
        </w:rPr>
        <w:t>In the 17 years since 2004/5, the rate of police-recorded violent crime in Greater Dandenong has risen by 64%, drug offences increased by 39%, while the level of property offences declined by 30%.</w:t>
      </w:r>
    </w:p>
    <w:bookmarkEnd w:id="14"/>
    <w:p w14:paraId="74913314" w14:textId="77777777" w:rsidR="003B1BC4" w:rsidRDefault="003B1BC4" w:rsidP="003B1BC4">
      <w:pPr>
        <w:spacing w:after="0" w:line="360" w:lineRule="auto"/>
        <w:jc w:val="both"/>
        <w:rPr>
          <w:rFonts w:ascii="Calibri" w:hAnsi="Calibri"/>
        </w:rPr>
      </w:pPr>
      <w:r>
        <w:rPr>
          <w:rFonts w:ascii="Calibri" w:hAnsi="Calibri"/>
          <w:noProof/>
        </w:rPr>
        <w:drawing>
          <wp:anchor distT="0" distB="0" distL="114300" distR="114300" simplePos="0" relativeHeight="251916288" behindDoc="0" locked="0" layoutInCell="1" allowOverlap="1" wp14:anchorId="33EF83A8" wp14:editId="069A8BE5">
            <wp:simplePos x="0" y="0"/>
            <wp:positionH relativeFrom="column">
              <wp:posOffset>2379980</wp:posOffset>
            </wp:positionH>
            <wp:positionV relativeFrom="paragraph">
              <wp:posOffset>763270</wp:posOffset>
            </wp:positionV>
            <wp:extent cx="3724275" cy="2294255"/>
            <wp:effectExtent l="0" t="0" r="9525" b="0"/>
            <wp:wrapSquare wrapText="bothSides"/>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724275" cy="229425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The past four years though, have seen declines in all major categories of alleged offences, including a 17% reduction in the rate of violent offences, a 35% fall in the rate of property offences,</w:t>
      </w:r>
      <w:r w:rsidRPr="00ED6D7F">
        <w:rPr>
          <w:rFonts w:ascii="Calibri" w:hAnsi="Calibri"/>
        </w:rPr>
        <w:t xml:space="preserve"> </w:t>
      </w:r>
      <w:r>
        <w:rPr>
          <w:rFonts w:ascii="Calibri" w:hAnsi="Calibri"/>
        </w:rPr>
        <w:t>and an 18% decrease in drug offences.</w:t>
      </w:r>
      <w:bookmarkEnd w:id="15"/>
      <w:r>
        <w:rPr>
          <w:rFonts w:ascii="Calibri" w:hAnsi="Calibri"/>
        </w:rPr>
        <w:t xml:space="preserve"> </w:t>
      </w:r>
    </w:p>
    <w:p w14:paraId="01616D85" w14:textId="77777777" w:rsidR="003B1BC4" w:rsidRPr="00D27CC5" w:rsidRDefault="003B1BC4" w:rsidP="003B1BC4">
      <w:pPr>
        <w:spacing w:after="0" w:line="360" w:lineRule="auto"/>
        <w:jc w:val="both"/>
        <w:rPr>
          <w:rFonts w:ascii="Calibri" w:hAnsi="Calibri"/>
        </w:rPr>
      </w:pPr>
      <w:r>
        <w:rPr>
          <w:rFonts w:ascii="Calibri" w:hAnsi="Calibri"/>
        </w:rPr>
        <w:t xml:space="preserve">Despite these declines, </w:t>
      </w:r>
      <w:bookmarkStart w:id="17" w:name="_Hlk124098677"/>
      <w:r w:rsidRPr="00D27CC5">
        <w:rPr>
          <w:rFonts w:ascii="Calibri" w:hAnsi="Calibri"/>
        </w:rPr>
        <w:t>20</w:t>
      </w:r>
      <w:r>
        <w:rPr>
          <w:rFonts w:ascii="Calibri" w:hAnsi="Calibri"/>
        </w:rPr>
        <w:t>21</w:t>
      </w:r>
      <w:r w:rsidRPr="00D27CC5">
        <w:rPr>
          <w:rFonts w:ascii="Calibri" w:hAnsi="Calibri"/>
        </w:rPr>
        <w:t>/</w:t>
      </w:r>
      <w:r>
        <w:rPr>
          <w:rFonts w:ascii="Calibri" w:hAnsi="Calibri"/>
        </w:rPr>
        <w:t>22</w:t>
      </w:r>
      <w:r w:rsidRPr="00D27CC5">
        <w:rPr>
          <w:rFonts w:ascii="Calibri" w:hAnsi="Calibri"/>
        </w:rPr>
        <w:t xml:space="preserve"> </w:t>
      </w:r>
      <w:r>
        <w:rPr>
          <w:rFonts w:ascii="Calibri" w:hAnsi="Calibri"/>
        </w:rPr>
        <w:t>alleged offence</w:t>
      </w:r>
      <w:r w:rsidRPr="00D27CC5">
        <w:rPr>
          <w:rFonts w:ascii="Calibri" w:hAnsi="Calibri"/>
        </w:rPr>
        <w:t xml:space="preserve"> rates in Greater Dandenong were</w:t>
      </w:r>
      <w:r>
        <w:rPr>
          <w:rFonts w:ascii="Calibri" w:hAnsi="Calibri"/>
        </w:rPr>
        <w:t xml:space="preserve"> 50</w:t>
      </w:r>
      <w:r w:rsidRPr="00D27CC5">
        <w:rPr>
          <w:rFonts w:ascii="Calibri" w:hAnsi="Calibri"/>
        </w:rPr>
        <w:t xml:space="preserve">% higher </w:t>
      </w:r>
      <w:r>
        <w:rPr>
          <w:rFonts w:ascii="Calibri" w:hAnsi="Calibri"/>
        </w:rPr>
        <w:t>than metropolitan</w:t>
      </w:r>
      <w:r w:rsidRPr="00D27CC5">
        <w:rPr>
          <w:rFonts w:ascii="Calibri" w:hAnsi="Calibri"/>
        </w:rPr>
        <w:t xml:space="preserve"> </w:t>
      </w:r>
      <w:r>
        <w:rPr>
          <w:rFonts w:ascii="Calibri" w:hAnsi="Calibri"/>
        </w:rPr>
        <w:t xml:space="preserve">Melbourne </w:t>
      </w:r>
      <w:r w:rsidRPr="00D27CC5">
        <w:rPr>
          <w:rFonts w:ascii="Calibri" w:hAnsi="Calibri"/>
        </w:rPr>
        <w:t>for violent offences</w:t>
      </w:r>
      <w:r>
        <w:rPr>
          <w:rFonts w:ascii="Calibri" w:hAnsi="Calibri"/>
        </w:rPr>
        <w:t xml:space="preserve">, 53% higher for drug offences and 43% higher for overall </w:t>
      </w:r>
      <w:bookmarkEnd w:id="16"/>
      <w:r>
        <w:rPr>
          <w:rFonts w:ascii="Calibri" w:hAnsi="Calibri"/>
        </w:rPr>
        <w:t>offences</w:t>
      </w:r>
      <w:r w:rsidRPr="00D27CC5">
        <w:rPr>
          <w:rFonts w:ascii="Calibri" w:hAnsi="Calibri"/>
        </w:rPr>
        <w:t>.</w:t>
      </w:r>
      <w:bookmarkEnd w:id="17"/>
    </w:p>
    <w:p w14:paraId="11B3467C" w14:textId="77777777" w:rsidR="003B1BC4" w:rsidRDefault="003B1BC4" w:rsidP="003B1BC4">
      <w:pPr>
        <w:spacing w:after="0" w:line="360" w:lineRule="auto"/>
        <w:jc w:val="both"/>
        <w:rPr>
          <w:rFonts w:ascii="Calibri" w:hAnsi="Calibri"/>
        </w:rPr>
      </w:pPr>
    </w:p>
    <w:p w14:paraId="25A3BB3F" w14:textId="77777777" w:rsidR="003B1BC4" w:rsidRPr="00382E60" w:rsidRDefault="003B1BC4" w:rsidP="003B1BC4">
      <w:pPr>
        <w:spacing w:after="0"/>
        <w:jc w:val="both"/>
        <w:rPr>
          <w:rFonts w:ascii="Calibri" w:hAnsi="Calibri"/>
          <w:color w:val="7F7F7F"/>
          <w:sz w:val="20"/>
          <w:szCs w:val="20"/>
        </w:rPr>
      </w:pPr>
      <w:r w:rsidRPr="00382E60">
        <w:rPr>
          <w:rFonts w:ascii="Calibri" w:hAnsi="Calibri"/>
          <w:color w:val="7F7F7F"/>
          <w:sz w:val="20"/>
          <w:szCs w:val="20"/>
        </w:rPr>
        <w:t>Crime Rates: Greater Dandenong and metropolitan Melbourne, 20</w:t>
      </w:r>
      <w:r>
        <w:rPr>
          <w:rFonts w:ascii="Calibri" w:hAnsi="Calibri"/>
          <w:color w:val="7F7F7F"/>
          <w:sz w:val="20"/>
          <w:szCs w:val="20"/>
        </w:rPr>
        <w:t>21</w:t>
      </w:r>
      <w:r w:rsidRPr="00382E60">
        <w:rPr>
          <w:rFonts w:ascii="Calibri" w:hAnsi="Calibri"/>
          <w:color w:val="7F7F7F"/>
          <w:sz w:val="20"/>
          <w:szCs w:val="20"/>
        </w:rPr>
        <w:t>/</w:t>
      </w:r>
      <w:r>
        <w:rPr>
          <w:rFonts w:ascii="Calibri" w:hAnsi="Calibri"/>
          <w:color w:val="7F7F7F"/>
          <w:sz w:val="20"/>
          <w:szCs w:val="20"/>
        </w:rPr>
        <w:t>22 (police-recorded alleged offences, per 100,000 population)</w:t>
      </w:r>
    </w:p>
    <w:p w14:paraId="155327B5" w14:textId="77777777" w:rsidR="003B1BC4" w:rsidRDefault="003B1BC4" w:rsidP="003B1BC4">
      <w:pPr>
        <w:spacing w:after="0" w:line="360" w:lineRule="auto"/>
        <w:jc w:val="both"/>
        <w:rPr>
          <w:rFonts w:ascii="Calibri" w:hAnsi="Calibri"/>
        </w:rPr>
      </w:pPr>
    </w:p>
    <w:p w14:paraId="32271559" w14:textId="77777777" w:rsidR="003B1BC4" w:rsidRDefault="003B1BC4" w:rsidP="003B1BC4">
      <w:pPr>
        <w:spacing w:after="0" w:line="360" w:lineRule="auto"/>
        <w:jc w:val="both"/>
        <w:rPr>
          <w:rFonts w:ascii="Calibri" w:hAnsi="Calibri"/>
        </w:rPr>
      </w:pPr>
      <w:bookmarkStart w:id="18" w:name="_Hlk124098748"/>
      <w:r>
        <w:rPr>
          <w:rFonts w:ascii="Calibri" w:hAnsi="Calibri"/>
        </w:rPr>
        <w:t>The local rate of violent offences was</w:t>
      </w:r>
      <w:r w:rsidRPr="00D27CC5">
        <w:rPr>
          <w:rFonts w:ascii="Calibri" w:hAnsi="Calibri"/>
        </w:rPr>
        <w:t xml:space="preserve"> the</w:t>
      </w:r>
      <w:r>
        <w:rPr>
          <w:rFonts w:ascii="Calibri" w:hAnsi="Calibri"/>
        </w:rPr>
        <w:t xml:space="preserve"> third</w:t>
      </w:r>
      <w:r w:rsidRPr="00D27CC5">
        <w:rPr>
          <w:rFonts w:ascii="Calibri" w:hAnsi="Calibri"/>
        </w:rPr>
        <w:t xml:space="preserve"> hi</w:t>
      </w:r>
      <w:r>
        <w:rPr>
          <w:rFonts w:ascii="Calibri" w:hAnsi="Calibri"/>
        </w:rPr>
        <w:t>ghest in the metropolitan area, while the rates of drug and property offences were the sixth highest in metropolitan Melbourne</w:t>
      </w:r>
      <w:bookmarkEnd w:id="18"/>
      <w:r w:rsidRPr="00D27CC5">
        <w:rPr>
          <w:rFonts w:ascii="Calibri" w:hAnsi="Calibri"/>
        </w:rPr>
        <w:t>.</w:t>
      </w:r>
    </w:p>
    <w:p w14:paraId="206AB736" w14:textId="77777777" w:rsidR="003B1BC4" w:rsidRPr="00D27CC5" w:rsidRDefault="003B1BC4" w:rsidP="003B1BC4">
      <w:pPr>
        <w:spacing w:after="0" w:line="360" w:lineRule="auto"/>
        <w:jc w:val="both"/>
        <w:rPr>
          <w:rFonts w:ascii="Calibri" w:hAnsi="Calibri"/>
        </w:rPr>
      </w:pPr>
    </w:p>
    <w:p w14:paraId="39035378" w14:textId="77777777" w:rsidR="003B1BC4" w:rsidRDefault="003B1BC4" w:rsidP="003B1BC4">
      <w:pPr>
        <w:spacing w:after="0"/>
        <w:jc w:val="both"/>
        <w:rPr>
          <w:rFonts w:ascii="Calibri" w:hAnsi="Calibri"/>
        </w:rPr>
      </w:pPr>
      <w:r>
        <w:rPr>
          <w:rFonts w:ascii="Calibri" w:hAnsi="Calibri"/>
          <w:noProof/>
        </w:rPr>
        <w:drawing>
          <wp:anchor distT="0" distB="0" distL="114300" distR="114300" simplePos="0" relativeHeight="251921408" behindDoc="0" locked="0" layoutInCell="1" allowOverlap="1" wp14:anchorId="71F57BB9" wp14:editId="71985680">
            <wp:simplePos x="0" y="0"/>
            <wp:positionH relativeFrom="margin">
              <wp:posOffset>32385</wp:posOffset>
            </wp:positionH>
            <wp:positionV relativeFrom="paragraph">
              <wp:posOffset>68580</wp:posOffset>
            </wp:positionV>
            <wp:extent cx="3976370" cy="2759710"/>
            <wp:effectExtent l="0" t="0" r="5080" b="2540"/>
            <wp:wrapSquare wrapText="bothSides"/>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976370" cy="2759710"/>
                    </a:xfrm>
                    <a:prstGeom prst="rect">
                      <a:avLst/>
                    </a:prstGeom>
                    <a:noFill/>
                  </pic:spPr>
                </pic:pic>
              </a:graphicData>
            </a:graphic>
            <wp14:sizeRelH relativeFrom="page">
              <wp14:pctWidth>0</wp14:pctWidth>
            </wp14:sizeRelH>
            <wp14:sizeRelV relativeFrom="page">
              <wp14:pctHeight>0</wp14:pctHeight>
            </wp14:sizeRelV>
          </wp:anchor>
        </w:drawing>
      </w:r>
    </w:p>
    <w:p w14:paraId="4FA5F14E" w14:textId="77777777" w:rsidR="003B1BC4" w:rsidRPr="00D44186" w:rsidRDefault="003B1BC4" w:rsidP="003B1BC4">
      <w:pPr>
        <w:spacing w:after="0" w:line="360" w:lineRule="auto"/>
        <w:jc w:val="both"/>
        <w:rPr>
          <w:rFonts w:ascii="Calibri" w:hAnsi="Calibri"/>
          <w:color w:val="000000" w:themeColor="text1"/>
        </w:rPr>
      </w:pPr>
      <w:r w:rsidRPr="00D44186">
        <w:rPr>
          <w:rFonts w:ascii="Calibri" w:hAnsi="Calibri"/>
          <w:color w:val="000000" w:themeColor="text1"/>
        </w:rPr>
        <w:t>Crime rates vary widely within Greater Dandenong.</w:t>
      </w:r>
    </w:p>
    <w:p w14:paraId="2C27233D" w14:textId="77777777" w:rsidR="003B1BC4" w:rsidRPr="00D44186" w:rsidRDefault="003B1BC4" w:rsidP="003B1BC4">
      <w:pPr>
        <w:spacing w:after="0" w:line="360" w:lineRule="auto"/>
        <w:jc w:val="both"/>
        <w:rPr>
          <w:rFonts w:ascii="Calibri" w:hAnsi="Calibri"/>
          <w:color w:val="000000" w:themeColor="text1"/>
        </w:rPr>
      </w:pPr>
      <w:r w:rsidRPr="00D44186">
        <w:rPr>
          <w:rFonts w:ascii="Calibri" w:hAnsi="Calibri"/>
          <w:color w:val="000000" w:themeColor="text1"/>
        </w:rPr>
        <w:t xml:space="preserve">In 2021/22, </w:t>
      </w:r>
      <w:r>
        <w:rPr>
          <w:rFonts w:ascii="Calibri" w:hAnsi="Calibri"/>
          <w:color w:val="000000" w:themeColor="text1"/>
        </w:rPr>
        <w:t>the rate</w:t>
      </w:r>
      <w:r w:rsidRPr="00D44186">
        <w:rPr>
          <w:rFonts w:ascii="Calibri" w:hAnsi="Calibri"/>
          <w:color w:val="000000" w:themeColor="text1"/>
        </w:rPr>
        <w:t xml:space="preserve"> of violent offences in Dandenong </w:t>
      </w:r>
      <w:r>
        <w:rPr>
          <w:rFonts w:ascii="Calibri" w:hAnsi="Calibri"/>
          <w:color w:val="000000" w:themeColor="text1"/>
        </w:rPr>
        <w:t>was</w:t>
      </w:r>
      <w:r w:rsidRPr="00D44186">
        <w:rPr>
          <w:rFonts w:ascii="Calibri" w:hAnsi="Calibri"/>
          <w:color w:val="000000" w:themeColor="text1"/>
        </w:rPr>
        <w:t xml:space="preserve"> </w:t>
      </w:r>
      <w:r>
        <w:rPr>
          <w:rFonts w:ascii="Calibri" w:hAnsi="Calibri"/>
          <w:color w:val="000000" w:themeColor="text1"/>
        </w:rPr>
        <w:t>more than twice</w:t>
      </w:r>
      <w:r w:rsidRPr="00D44186">
        <w:rPr>
          <w:rFonts w:ascii="Calibri" w:hAnsi="Calibri"/>
          <w:color w:val="000000" w:themeColor="text1"/>
        </w:rPr>
        <w:t xml:space="preserve"> the municipal average and </w:t>
      </w:r>
      <w:r>
        <w:rPr>
          <w:rFonts w:ascii="Calibri" w:hAnsi="Calibri"/>
          <w:color w:val="000000" w:themeColor="text1"/>
        </w:rPr>
        <w:t>about</w:t>
      </w:r>
      <w:r w:rsidRPr="00D44186">
        <w:rPr>
          <w:rFonts w:ascii="Calibri" w:hAnsi="Calibri"/>
          <w:color w:val="000000" w:themeColor="text1"/>
        </w:rPr>
        <w:t xml:space="preserve"> </w:t>
      </w:r>
      <w:r>
        <w:rPr>
          <w:rFonts w:ascii="Calibri" w:hAnsi="Calibri"/>
          <w:color w:val="000000" w:themeColor="text1"/>
        </w:rPr>
        <w:t>six</w:t>
      </w:r>
      <w:r w:rsidRPr="00D44186">
        <w:rPr>
          <w:rFonts w:ascii="Calibri" w:hAnsi="Calibri"/>
          <w:color w:val="000000" w:themeColor="text1"/>
        </w:rPr>
        <w:t xml:space="preserve"> times the level in Keysborough (diagram left).</w:t>
      </w:r>
    </w:p>
    <w:p w14:paraId="747FB632" w14:textId="77777777" w:rsidR="003B1BC4" w:rsidRDefault="003B1BC4" w:rsidP="003B1BC4">
      <w:pPr>
        <w:spacing w:after="0"/>
        <w:jc w:val="both"/>
        <w:rPr>
          <w:rFonts w:ascii="Calibri" w:hAnsi="Calibri"/>
        </w:rPr>
      </w:pPr>
      <w:r w:rsidRPr="00D44186">
        <w:rPr>
          <w:rFonts w:ascii="Calibri" w:hAnsi="Calibri"/>
          <w:color w:val="000000" w:themeColor="text1"/>
        </w:rPr>
        <w:t xml:space="preserve"> </w:t>
      </w:r>
    </w:p>
    <w:p w14:paraId="627D909A" w14:textId="77777777" w:rsidR="003B1BC4" w:rsidRPr="00382E60" w:rsidRDefault="003B1BC4" w:rsidP="003B1BC4">
      <w:pPr>
        <w:spacing w:after="0"/>
        <w:jc w:val="both"/>
        <w:rPr>
          <w:rFonts w:ascii="Calibri" w:hAnsi="Calibri"/>
          <w:color w:val="7F7F7F"/>
          <w:sz w:val="20"/>
          <w:szCs w:val="20"/>
        </w:rPr>
      </w:pPr>
      <w:r>
        <w:rPr>
          <w:rFonts w:ascii="Calibri" w:hAnsi="Calibri"/>
          <w:color w:val="7F7F7F"/>
          <w:sz w:val="20"/>
          <w:szCs w:val="20"/>
        </w:rPr>
        <w:t xml:space="preserve">Violent </w:t>
      </w:r>
      <w:r w:rsidRPr="00382E60">
        <w:rPr>
          <w:rFonts w:ascii="Calibri" w:hAnsi="Calibri"/>
          <w:color w:val="7F7F7F"/>
          <w:sz w:val="20"/>
          <w:szCs w:val="20"/>
        </w:rPr>
        <w:t xml:space="preserve">Crime Rates: Greater Dandenong </w:t>
      </w:r>
      <w:r>
        <w:rPr>
          <w:rFonts w:ascii="Calibri" w:hAnsi="Calibri"/>
          <w:color w:val="7F7F7F"/>
          <w:sz w:val="20"/>
          <w:szCs w:val="20"/>
        </w:rPr>
        <w:t>Suburbs</w:t>
      </w:r>
      <w:r w:rsidRPr="00382E60">
        <w:rPr>
          <w:rFonts w:ascii="Calibri" w:hAnsi="Calibri"/>
          <w:color w:val="7F7F7F"/>
          <w:sz w:val="20"/>
          <w:szCs w:val="20"/>
        </w:rPr>
        <w:t xml:space="preserve">, </w:t>
      </w:r>
      <w:r>
        <w:rPr>
          <w:rFonts w:ascii="Calibri" w:hAnsi="Calibri"/>
          <w:color w:val="7F7F7F"/>
          <w:sz w:val="20"/>
          <w:szCs w:val="20"/>
        </w:rPr>
        <w:t>2021/22</w:t>
      </w:r>
    </w:p>
    <w:p w14:paraId="06214847" w14:textId="77777777" w:rsidR="003B1BC4" w:rsidRDefault="003B1BC4" w:rsidP="003B1BC4">
      <w:pPr>
        <w:spacing w:after="0" w:line="360" w:lineRule="auto"/>
        <w:jc w:val="both"/>
        <w:rPr>
          <w:rFonts w:ascii="Calibri" w:hAnsi="Calibri"/>
        </w:rPr>
      </w:pPr>
    </w:p>
    <w:p w14:paraId="45DE8796" w14:textId="77777777" w:rsidR="003B1BC4" w:rsidRPr="00D44186" w:rsidRDefault="003B1BC4" w:rsidP="003B1BC4">
      <w:pPr>
        <w:spacing w:after="0" w:line="360" w:lineRule="auto"/>
        <w:jc w:val="both"/>
        <w:rPr>
          <w:rFonts w:ascii="Calibri" w:hAnsi="Calibri"/>
          <w:color w:val="000000" w:themeColor="text1"/>
        </w:rPr>
      </w:pPr>
    </w:p>
    <w:p w14:paraId="05045D63" w14:textId="77777777" w:rsidR="003B1BC4" w:rsidRDefault="003B1BC4" w:rsidP="003B1BC4">
      <w:pPr>
        <w:spacing w:after="0" w:line="360" w:lineRule="auto"/>
        <w:jc w:val="both"/>
        <w:rPr>
          <w:rFonts w:ascii="Calibri" w:hAnsi="Calibri"/>
        </w:rPr>
      </w:pPr>
    </w:p>
    <w:p w14:paraId="137F54EB" w14:textId="77777777" w:rsidR="003B1BC4" w:rsidRDefault="003B1BC4" w:rsidP="003B1BC4">
      <w:pPr>
        <w:spacing w:after="0" w:line="360" w:lineRule="auto"/>
        <w:jc w:val="both"/>
        <w:rPr>
          <w:rFonts w:ascii="Calibri" w:hAnsi="Calibri"/>
        </w:rPr>
      </w:pPr>
    </w:p>
    <w:p w14:paraId="16E96675" w14:textId="77777777" w:rsidR="003B1BC4" w:rsidRPr="007D3C87" w:rsidRDefault="003B1BC4" w:rsidP="003B1BC4">
      <w:pPr>
        <w:spacing w:after="0" w:line="360" w:lineRule="auto"/>
        <w:jc w:val="both"/>
        <w:rPr>
          <w:rFonts w:ascii="Calibri" w:hAnsi="Calibri"/>
          <w:b/>
        </w:rPr>
      </w:pPr>
      <w:r>
        <w:rPr>
          <w:rFonts w:ascii="Calibri" w:hAnsi="Calibri"/>
          <w:noProof/>
        </w:rPr>
        <w:lastRenderedPageBreak/>
        <w:drawing>
          <wp:anchor distT="0" distB="0" distL="114300" distR="114300" simplePos="0" relativeHeight="251914240" behindDoc="0" locked="0" layoutInCell="1" allowOverlap="1" wp14:anchorId="7C3B54B9" wp14:editId="0B2E3086">
            <wp:simplePos x="0" y="0"/>
            <wp:positionH relativeFrom="margin">
              <wp:align>right</wp:align>
            </wp:positionH>
            <wp:positionV relativeFrom="paragraph">
              <wp:posOffset>80010</wp:posOffset>
            </wp:positionV>
            <wp:extent cx="1421765" cy="1156970"/>
            <wp:effectExtent l="0" t="0" r="6985" b="5080"/>
            <wp:wrapSquare wrapText="bothSides"/>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Unhappy 3.jpg"/>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1421765" cy="11569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7D3C87">
        <w:rPr>
          <w:rFonts w:ascii="Calibri" w:hAnsi="Calibri"/>
          <w:b/>
        </w:rPr>
        <w:t>Crime Trends</w:t>
      </w:r>
      <w:r>
        <w:rPr>
          <w:rFonts w:ascii="Calibri" w:hAnsi="Calibri"/>
          <w:b/>
        </w:rPr>
        <w:t xml:space="preserve"> </w:t>
      </w:r>
    </w:p>
    <w:p w14:paraId="130C5AFE" w14:textId="77777777" w:rsidR="003B1BC4" w:rsidRDefault="003B1BC4" w:rsidP="003B1BC4">
      <w:pPr>
        <w:spacing w:after="0" w:line="360" w:lineRule="auto"/>
        <w:jc w:val="both"/>
        <w:rPr>
          <w:rFonts w:ascii="Calibri" w:hAnsi="Calibri"/>
        </w:rPr>
      </w:pPr>
      <w:r>
        <w:rPr>
          <w:rFonts w:ascii="Calibri" w:hAnsi="Calibri"/>
        </w:rPr>
        <w:t>The decline in crime rates in Greater Dandenong in recent years, reverses a trend of increasing rates of alleged offences during the preceding decade.</w:t>
      </w:r>
    </w:p>
    <w:p w14:paraId="5C0B767F" w14:textId="77777777" w:rsidR="003B1BC4" w:rsidRDefault="003B1BC4" w:rsidP="003B1BC4">
      <w:pPr>
        <w:spacing w:after="0" w:line="360" w:lineRule="auto"/>
        <w:jc w:val="both"/>
        <w:rPr>
          <w:rFonts w:ascii="Calibri" w:hAnsi="Calibri"/>
        </w:rPr>
      </w:pPr>
      <w:r>
        <w:rPr>
          <w:rFonts w:ascii="Calibri" w:hAnsi="Calibri"/>
        </w:rPr>
        <w:t>For perspective, changes in rates of violent crime and drug offences in Greater Dandenong and metropolitan Melbourne, during the period 2004/5 to 2021/22, are illustrated below.</w:t>
      </w:r>
    </w:p>
    <w:p w14:paraId="3ECDD721" w14:textId="77777777" w:rsidR="003B1BC4" w:rsidRDefault="003B1BC4" w:rsidP="003B1BC4">
      <w:pPr>
        <w:tabs>
          <w:tab w:val="left" w:pos="6237"/>
        </w:tabs>
        <w:spacing w:after="0"/>
        <w:jc w:val="both"/>
        <w:rPr>
          <w:rFonts w:ascii="Calibri" w:hAnsi="Calibri"/>
          <w:i/>
          <w:sz w:val="20"/>
          <w:szCs w:val="20"/>
        </w:rPr>
      </w:pPr>
      <w:r>
        <w:rPr>
          <w:rFonts w:ascii="Calibri" w:hAnsi="Calibri"/>
          <w:b/>
          <w:noProof/>
        </w:rPr>
        <w:drawing>
          <wp:anchor distT="0" distB="0" distL="114300" distR="114300" simplePos="0" relativeHeight="251918336" behindDoc="0" locked="0" layoutInCell="1" allowOverlap="1" wp14:anchorId="06084D24" wp14:editId="078403FF">
            <wp:simplePos x="0" y="0"/>
            <wp:positionH relativeFrom="margin">
              <wp:posOffset>3046730</wp:posOffset>
            </wp:positionH>
            <wp:positionV relativeFrom="paragraph">
              <wp:posOffset>207010</wp:posOffset>
            </wp:positionV>
            <wp:extent cx="2990850" cy="2465070"/>
            <wp:effectExtent l="0" t="0" r="0" b="0"/>
            <wp:wrapSquare wrapText="bothSides"/>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990850" cy="2465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17312" behindDoc="0" locked="0" layoutInCell="1" allowOverlap="1" wp14:anchorId="6E99FDAA" wp14:editId="24A54D28">
            <wp:simplePos x="0" y="0"/>
            <wp:positionH relativeFrom="margin">
              <wp:align>left</wp:align>
            </wp:positionH>
            <wp:positionV relativeFrom="paragraph">
              <wp:posOffset>211455</wp:posOffset>
            </wp:positionV>
            <wp:extent cx="3057525" cy="2381250"/>
            <wp:effectExtent l="0" t="0" r="9525" b="0"/>
            <wp:wrapSquare wrapText="bothSides"/>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057525" cy="2381250"/>
                    </a:xfrm>
                    <a:prstGeom prst="rect">
                      <a:avLst/>
                    </a:prstGeom>
                    <a:noFill/>
                  </pic:spPr>
                </pic:pic>
              </a:graphicData>
            </a:graphic>
            <wp14:sizeRelH relativeFrom="page">
              <wp14:pctWidth>0</wp14:pctWidth>
            </wp14:sizeRelH>
            <wp14:sizeRelV relativeFrom="page">
              <wp14:pctHeight>0</wp14:pctHeight>
            </wp14:sizeRelV>
          </wp:anchor>
        </w:drawing>
      </w:r>
      <w:r w:rsidRPr="00FC562B">
        <w:rPr>
          <w:rFonts w:ascii="Calibri" w:hAnsi="Calibri"/>
          <w:i/>
          <w:sz w:val="20"/>
          <w:szCs w:val="20"/>
        </w:rPr>
        <w:t xml:space="preserve">                    </w:t>
      </w:r>
      <w:r>
        <w:rPr>
          <w:rFonts w:ascii="Calibri" w:hAnsi="Calibri"/>
          <w:i/>
          <w:sz w:val="20"/>
          <w:szCs w:val="20"/>
        </w:rPr>
        <w:t xml:space="preserve">    Violent Crime Rate: 2004/5-2021/22</w:t>
      </w:r>
      <w:r>
        <w:rPr>
          <w:rFonts w:ascii="Calibri" w:hAnsi="Calibri"/>
          <w:i/>
          <w:sz w:val="20"/>
          <w:szCs w:val="20"/>
        </w:rPr>
        <w:tab/>
        <w:t>Drug Crime Rate: 2004/5-2021/22</w:t>
      </w:r>
    </w:p>
    <w:p w14:paraId="79C2E387" w14:textId="77777777" w:rsidR="003B1BC4" w:rsidRPr="00FC562B" w:rsidRDefault="003B1BC4" w:rsidP="003B1BC4">
      <w:pPr>
        <w:tabs>
          <w:tab w:val="left" w:pos="6237"/>
        </w:tabs>
        <w:spacing w:after="0"/>
        <w:jc w:val="both"/>
        <w:rPr>
          <w:rFonts w:ascii="Calibri" w:hAnsi="Calibri"/>
          <w:i/>
          <w:sz w:val="20"/>
          <w:szCs w:val="20"/>
        </w:rPr>
      </w:pPr>
    </w:p>
    <w:p w14:paraId="449FAA61" w14:textId="77777777" w:rsidR="003B1BC4" w:rsidRDefault="003B1BC4" w:rsidP="003B1BC4">
      <w:pPr>
        <w:spacing w:after="0"/>
        <w:jc w:val="both"/>
      </w:pPr>
    </w:p>
    <w:p w14:paraId="3C581A4A" w14:textId="77777777" w:rsidR="003B1BC4" w:rsidRDefault="003B1BC4" w:rsidP="003B1BC4">
      <w:pPr>
        <w:tabs>
          <w:tab w:val="left" w:pos="6237"/>
        </w:tabs>
        <w:spacing w:after="0"/>
        <w:jc w:val="both"/>
        <w:rPr>
          <w:rFonts w:ascii="Calibri" w:hAnsi="Calibri"/>
          <w:i/>
          <w:sz w:val="20"/>
          <w:szCs w:val="20"/>
        </w:rPr>
      </w:pPr>
      <w:r>
        <w:rPr>
          <w:rFonts w:ascii="Calibri" w:hAnsi="Calibri"/>
          <w:b/>
          <w:noProof/>
        </w:rPr>
        <w:drawing>
          <wp:anchor distT="0" distB="0" distL="114300" distR="114300" simplePos="0" relativeHeight="251920384" behindDoc="0" locked="0" layoutInCell="1" allowOverlap="1" wp14:anchorId="748DCEAC" wp14:editId="7F3E7FD6">
            <wp:simplePos x="0" y="0"/>
            <wp:positionH relativeFrom="column">
              <wp:posOffset>3170555</wp:posOffset>
            </wp:positionH>
            <wp:positionV relativeFrom="paragraph">
              <wp:posOffset>213360</wp:posOffset>
            </wp:positionV>
            <wp:extent cx="2995295" cy="2469515"/>
            <wp:effectExtent l="0" t="0" r="0" b="6985"/>
            <wp:wrapSquare wrapText="bothSides"/>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995295" cy="246951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b/>
          <w:noProof/>
        </w:rPr>
        <w:drawing>
          <wp:anchor distT="0" distB="0" distL="114300" distR="114300" simplePos="0" relativeHeight="251919360" behindDoc="0" locked="0" layoutInCell="1" allowOverlap="1" wp14:anchorId="1BBB2F8D" wp14:editId="771C02F8">
            <wp:simplePos x="0" y="0"/>
            <wp:positionH relativeFrom="column">
              <wp:posOffset>80010</wp:posOffset>
            </wp:positionH>
            <wp:positionV relativeFrom="paragraph">
              <wp:posOffset>212725</wp:posOffset>
            </wp:positionV>
            <wp:extent cx="2947670" cy="2430145"/>
            <wp:effectExtent l="0" t="0" r="5080" b="8255"/>
            <wp:wrapSquare wrapText="bothSides"/>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947670" cy="2430145"/>
                    </a:xfrm>
                    <a:prstGeom prst="rect">
                      <a:avLst/>
                    </a:prstGeom>
                    <a:noFill/>
                  </pic:spPr>
                </pic:pic>
              </a:graphicData>
            </a:graphic>
            <wp14:sizeRelH relativeFrom="page">
              <wp14:pctWidth>0</wp14:pctWidth>
            </wp14:sizeRelH>
            <wp14:sizeRelV relativeFrom="page">
              <wp14:pctHeight>0</wp14:pctHeight>
            </wp14:sizeRelV>
          </wp:anchor>
        </w:drawing>
      </w:r>
      <w:r w:rsidRPr="00FC562B">
        <w:rPr>
          <w:rFonts w:ascii="Calibri" w:hAnsi="Calibri"/>
          <w:i/>
          <w:sz w:val="20"/>
          <w:szCs w:val="20"/>
        </w:rPr>
        <w:t xml:space="preserve">                    </w:t>
      </w:r>
      <w:r>
        <w:rPr>
          <w:rFonts w:ascii="Calibri" w:hAnsi="Calibri"/>
          <w:i/>
          <w:sz w:val="20"/>
          <w:szCs w:val="20"/>
        </w:rPr>
        <w:t xml:space="preserve">    Property Crime Rate: 2004/5-2021/22</w:t>
      </w:r>
      <w:r>
        <w:rPr>
          <w:rFonts w:ascii="Calibri" w:hAnsi="Calibri"/>
          <w:i/>
          <w:sz w:val="20"/>
          <w:szCs w:val="20"/>
        </w:rPr>
        <w:tab/>
        <w:t>Overall Crime Rate: 2004/5-2021/22</w:t>
      </w:r>
    </w:p>
    <w:p w14:paraId="1AF55490" w14:textId="4972A1A8" w:rsidR="003B1BC4" w:rsidRDefault="003B1BC4" w:rsidP="003B1BC4">
      <w:pPr>
        <w:spacing w:after="0" w:line="360" w:lineRule="auto"/>
        <w:jc w:val="both"/>
        <w:rPr>
          <w:rFonts w:ascii="Calibri" w:hAnsi="Calibri"/>
          <w:b/>
        </w:rPr>
      </w:pPr>
    </w:p>
    <w:p w14:paraId="4DB097CD" w14:textId="77777777" w:rsidR="003B1BC4" w:rsidRDefault="003B1BC4" w:rsidP="003B1BC4">
      <w:pPr>
        <w:spacing w:after="0" w:line="360" w:lineRule="auto"/>
        <w:jc w:val="both"/>
        <w:rPr>
          <w:rFonts w:ascii="Calibri" w:hAnsi="Calibri"/>
          <w:b/>
        </w:rPr>
      </w:pPr>
    </w:p>
    <w:p w14:paraId="50B9DD52" w14:textId="77777777" w:rsidR="003B1BC4" w:rsidRPr="009D433D" w:rsidRDefault="003B1BC4" w:rsidP="003B1BC4">
      <w:pPr>
        <w:spacing w:after="0" w:line="360" w:lineRule="auto"/>
        <w:jc w:val="both"/>
        <w:rPr>
          <w:rFonts w:ascii="Calibri" w:hAnsi="Calibri"/>
          <w:bCs/>
        </w:rPr>
      </w:pPr>
      <w:r w:rsidRPr="009D433D">
        <w:rPr>
          <w:rFonts w:ascii="Calibri" w:hAnsi="Calibri"/>
          <w:bCs/>
        </w:rPr>
        <w:t>Notably, all show a pronounced decline in rates of alleged offences during the past four or five years.</w:t>
      </w:r>
      <w:r>
        <w:rPr>
          <w:rFonts w:ascii="Calibri" w:hAnsi="Calibri"/>
          <w:bCs/>
        </w:rPr>
        <w:t xml:space="preserve"> In the years before this time, rates of alleged violent and drug-related offences rose, while the overall rate of offences remained relatively stable – albeit with marked fluctuations during this time. </w:t>
      </w:r>
    </w:p>
    <w:p w14:paraId="056C77CC" w14:textId="77777777" w:rsidR="003B1BC4" w:rsidRDefault="003B1BC4" w:rsidP="003B1BC4">
      <w:pPr>
        <w:spacing w:after="0" w:line="360" w:lineRule="auto"/>
        <w:jc w:val="both"/>
        <w:rPr>
          <w:rFonts w:ascii="Calibri" w:hAnsi="Calibri"/>
          <w:b/>
        </w:rPr>
      </w:pPr>
    </w:p>
    <w:p w14:paraId="2D3C7AE4" w14:textId="0ABC7149" w:rsidR="003B1BC4" w:rsidRDefault="003B1BC4" w:rsidP="003B1BC4">
      <w:pPr>
        <w:spacing w:after="0" w:line="360" w:lineRule="auto"/>
        <w:jc w:val="both"/>
        <w:rPr>
          <w:rFonts w:ascii="Calibri" w:hAnsi="Calibri"/>
          <w:b/>
        </w:rPr>
      </w:pPr>
    </w:p>
    <w:p w14:paraId="7A52C0E0" w14:textId="77777777" w:rsidR="003B1BC4" w:rsidRDefault="003B1BC4" w:rsidP="003B1BC4">
      <w:pPr>
        <w:spacing w:after="0" w:line="360" w:lineRule="auto"/>
        <w:jc w:val="both"/>
        <w:rPr>
          <w:rFonts w:ascii="Calibri" w:hAnsi="Calibri"/>
          <w:b/>
        </w:rPr>
      </w:pPr>
    </w:p>
    <w:p w14:paraId="044355FF" w14:textId="77777777" w:rsidR="003B1BC4" w:rsidRDefault="003B1BC4" w:rsidP="003B1BC4">
      <w:pPr>
        <w:spacing w:after="0" w:line="360" w:lineRule="auto"/>
        <w:jc w:val="both"/>
        <w:rPr>
          <w:rFonts w:ascii="Calibri" w:hAnsi="Calibri"/>
          <w:b/>
        </w:rPr>
      </w:pPr>
      <w:r w:rsidRPr="00BE2F60">
        <w:rPr>
          <w:rFonts w:ascii="Calibri" w:hAnsi="Calibri"/>
          <w:b/>
        </w:rPr>
        <w:lastRenderedPageBreak/>
        <w:t>Personal Safety</w:t>
      </w:r>
    </w:p>
    <w:p w14:paraId="2646D0F5" w14:textId="77777777" w:rsidR="003B1BC4" w:rsidRDefault="003B1BC4" w:rsidP="003B1BC4">
      <w:pPr>
        <w:spacing w:after="0" w:line="360" w:lineRule="auto"/>
        <w:jc w:val="both"/>
        <w:rPr>
          <w:rFonts w:ascii="Calibri" w:hAnsi="Calibri"/>
        </w:rPr>
      </w:pPr>
      <w:r w:rsidRPr="00916B2D">
        <w:rPr>
          <w:rFonts w:ascii="Calibri" w:hAnsi="Calibri"/>
        </w:rPr>
        <w:t xml:space="preserve">The 2015 Vic Health Indicators Survey found that 64% of Greater Dandenong residents felt unsafe walking alone in their neighborhoods at night – </w:t>
      </w:r>
      <w:r>
        <w:rPr>
          <w:rFonts w:ascii="Calibri" w:hAnsi="Calibri"/>
        </w:rPr>
        <w:t>substantially more</w:t>
      </w:r>
      <w:r w:rsidRPr="00916B2D">
        <w:rPr>
          <w:rFonts w:ascii="Calibri" w:hAnsi="Calibri"/>
        </w:rPr>
        <w:t xml:space="preserve"> than the metropolitan percentage of 44% and the highest level in Victoria. </w:t>
      </w:r>
    </w:p>
    <w:p w14:paraId="05CB1F20" w14:textId="77777777" w:rsidR="003B1BC4" w:rsidRDefault="003B1BC4" w:rsidP="003B1BC4">
      <w:pPr>
        <w:spacing w:after="0" w:line="360" w:lineRule="auto"/>
        <w:jc w:val="both"/>
        <w:rPr>
          <w:rFonts w:ascii="Calibri" w:hAnsi="Calibri"/>
        </w:rPr>
      </w:pPr>
      <w:r w:rsidRPr="00916B2D">
        <w:rPr>
          <w:rFonts w:ascii="Calibri" w:hAnsi="Calibri"/>
        </w:rPr>
        <w:t xml:space="preserve">The </w:t>
      </w:r>
      <w:r>
        <w:rPr>
          <w:rFonts w:ascii="Calibri" w:hAnsi="Calibri"/>
        </w:rPr>
        <w:t>proportion of people who feel unsafe in their neighborhoods at night</w:t>
      </w:r>
      <w:r w:rsidRPr="00916B2D">
        <w:rPr>
          <w:rFonts w:ascii="Calibri" w:hAnsi="Calibri"/>
        </w:rPr>
        <w:t xml:space="preserve"> </w:t>
      </w:r>
      <w:r>
        <w:rPr>
          <w:rFonts w:ascii="Calibri" w:hAnsi="Calibri"/>
        </w:rPr>
        <w:t>in Victoria, rose from</w:t>
      </w:r>
      <w:r w:rsidRPr="00916B2D">
        <w:rPr>
          <w:rFonts w:ascii="Calibri" w:hAnsi="Calibri"/>
        </w:rPr>
        <w:t xml:space="preserve"> 39% of people aged 35-44, to 67% of residents aged 75 or more, and </w:t>
      </w:r>
      <w:r>
        <w:rPr>
          <w:rFonts w:ascii="Calibri" w:hAnsi="Calibri"/>
        </w:rPr>
        <w:t>stood at</w:t>
      </w:r>
      <w:r w:rsidRPr="00916B2D">
        <w:rPr>
          <w:rFonts w:ascii="Calibri" w:hAnsi="Calibri"/>
        </w:rPr>
        <w:t xml:space="preserve"> 27% among men </w:t>
      </w:r>
      <w:r>
        <w:rPr>
          <w:rFonts w:ascii="Calibri" w:hAnsi="Calibri"/>
        </w:rPr>
        <w:t>overall, and</w:t>
      </w:r>
      <w:r w:rsidRPr="00916B2D">
        <w:rPr>
          <w:rFonts w:ascii="Calibri" w:hAnsi="Calibri"/>
        </w:rPr>
        <w:t xml:space="preserve"> 63% among women</w:t>
      </w:r>
      <w:r>
        <w:rPr>
          <w:rFonts w:ascii="Calibri" w:hAnsi="Calibri"/>
        </w:rPr>
        <w:t>.</w:t>
      </w:r>
    </w:p>
    <w:p w14:paraId="5C75B31D" w14:textId="77777777" w:rsidR="003B1BC4" w:rsidRDefault="003B1BC4" w:rsidP="003B1BC4">
      <w:pPr>
        <w:spacing w:after="0" w:line="360" w:lineRule="auto"/>
        <w:jc w:val="both"/>
        <w:rPr>
          <w:rFonts w:ascii="Calibri" w:hAnsi="Calibri"/>
        </w:rPr>
      </w:pPr>
      <w:r>
        <w:rPr>
          <w:noProof/>
        </w:rPr>
        <w:drawing>
          <wp:anchor distT="0" distB="0" distL="114300" distR="114300" simplePos="0" relativeHeight="251912192" behindDoc="0" locked="0" layoutInCell="1" allowOverlap="1" wp14:anchorId="08AAE0A1" wp14:editId="1E782FC5">
            <wp:simplePos x="0" y="0"/>
            <wp:positionH relativeFrom="column">
              <wp:posOffset>2518410</wp:posOffset>
            </wp:positionH>
            <wp:positionV relativeFrom="paragraph">
              <wp:posOffset>236855</wp:posOffset>
            </wp:positionV>
            <wp:extent cx="3608705" cy="2388870"/>
            <wp:effectExtent l="0" t="0" r="0" b="0"/>
            <wp:wrapSquare wrapText="bothSides"/>
            <wp:docPr id="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3608705" cy="23888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rPr>
        <w:t>The accompanying diagram illustrates the proportion of respondents to the VicHealth survey who stated that they felt safe walking at night in their neighbourhood. Notable trends include the lower proportion of women than of men, who felt safe, and the decline in the proportion of people who felt safe, with increasing age.</w:t>
      </w:r>
    </w:p>
    <w:p w14:paraId="2A654AFC" w14:textId="77777777" w:rsidR="003B1BC4" w:rsidRPr="006E57DA" w:rsidRDefault="003B1BC4" w:rsidP="003B1BC4">
      <w:pPr>
        <w:spacing w:after="0"/>
        <w:jc w:val="both"/>
        <w:rPr>
          <w:rFonts w:ascii="Calibri" w:hAnsi="Calibri"/>
        </w:rPr>
      </w:pPr>
    </w:p>
    <w:p w14:paraId="0AFA6B29" w14:textId="73353FD2" w:rsidR="003B1BC4" w:rsidRPr="00046CBA" w:rsidRDefault="003B1BC4" w:rsidP="003B1BC4">
      <w:pPr>
        <w:spacing w:after="0"/>
        <w:jc w:val="both"/>
        <w:rPr>
          <w:rFonts w:ascii="Calibri" w:hAnsi="Calibri"/>
          <w:bCs/>
          <w:color w:val="7F7F7F"/>
          <w:sz w:val="20"/>
          <w:szCs w:val="20"/>
        </w:rPr>
      </w:pPr>
      <w:r w:rsidRPr="00046CBA">
        <w:rPr>
          <w:rFonts w:ascii="Calibri" w:hAnsi="Calibri"/>
          <w:bCs/>
          <w:color w:val="7F7F7F"/>
          <w:sz w:val="20"/>
          <w:szCs w:val="20"/>
        </w:rPr>
        <w:t xml:space="preserve">Percentage of people who feel </w:t>
      </w:r>
      <w:r w:rsidRPr="00704D0F">
        <w:rPr>
          <w:rFonts w:ascii="Calibri" w:hAnsi="Calibri"/>
          <w:b/>
          <w:color w:val="7F7F7F"/>
          <w:sz w:val="20"/>
          <w:szCs w:val="20"/>
        </w:rPr>
        <w:t>safe</w:t>
      </w:r>
      <w:r w:rsidRPr="00046CBA">
        <w:rPr>
          <w:rFonts w:ascii="Calibri" w:hAnsi="Calibri"/>
          <w:bCs/>
          <w:color w:val="7F7F7F"/>
          <w:sz w:val="20"/>
          <w:szCs w:val="20"/>
        </w:rPr>
        <w:t xml:space="preserve"> walking at night in their </w:t>
      </w:r>
      <w:r w:rsidR="00EC0707" w:rsidRPr="00046CBA">
        <w:rPr>
          <w:rFonts w:ascii="Calibri" w:hAnsi="Calibri"/>
          <w:bCs/>
          <w:color w:val="7F7F7F"/>
          <w:sz w:val="20"/>
          <w:szCs w:val="20"/>
        </w:rPr>
        <w:t>neighbourhood</w:t>
      </w:r>
      <w:r w:rsidRPr="00046CBA">
        <w:rPr>
          <w:rFonts w:ascii="Calibri" w:hAnsi="Calibri"/>
          <w:bCs/>
          <w:color w:val="7F7F7F"/>
          <w:sz w:val="20"/>
          <w:szCs w:val="20"/>
        </w:rPr>
        <w:t xml:space="preserve"> by age and gender: Victoria, 2015</w:t>
      </w:r>
    </w:p>
    <w:p w14:paraId="43EDAD8E" w14:textId="77777777" w:rsidR="003B1BC4" w:rsidRDefault="003B1BC4" w:rsidP="003B1BC4">
      <w:pPr>
        <w:spacing w:after="0"/>
        <w:jc w:val="both"/>
        <w:rPr>
          <w:rFonts w:ascii="Calibri" w:hAnsi="Calibri"/>
        </w:rPr>
      </w:pPr>
    </w:p>
    <w:p w14:paraId="1027FA21" w14:textId="77777777" w:rsidR="003B1BC4" w:rsidRDefault="003B1BC4" w:rsidP="003B1BC4">
      <w:pPr>
        <w:spacing w:after="0"/>
        <w:jc w:val="both"/>
        <w:rPr>
          <w:rFonts w:ascii="Calibri" w:hAnsi="Calibri"/>
        </w:rPr>
      </w:pPr>
    </w:p>
    <w:p w14:paraId="4853FDE5" w14:textId="77777777" w:rsidR="003B1BC4" w:rsidRDefault="003B1BC4" w:rsidP="003B1BC4">
      <w:pPr>
        <w:spacing w:after="0"/>
        <w:jc w:val="both"/>
        <w:rPr>
          <w:rFonts w:ascii="Calibri" w:hAnsi="Calibri"/>
        </w:rPr>
      </w:pPr>
    </w:p>
    <w:p w14:paraId="594006EB" w14:textId="77777777" w:rsidR="003B1BC4" w:rsidRDefault="003B1BC4" w:rsidP="003B1BC4">
      <w:pPr>
        <w:spacing w:after="0" w:line="360" w:lineRule="auto"/>
        <w:jc w:val="both"/>
        <w:rPr>
          <w:rFonts w:ascii="Calibri" w:hAnsi="Calibri"/>
        </w:rPr>
      </w:pPr>
      <w:r>
        <w:rPr>
          <w:rFonts w:ascii="Calibri" w:hAnsi="Calibri"/>
        </w:rPr>
        <w:t>The survey found that people in inner metropolitan and regional areas, those with high incomes and members of couple households, were more likely to feel safe at night.</w:t>
      </w:r>
    </w:p>
    <w:p w14:paraId="08563F37" w14:textId="4CDDCFBA" w:rsidR="003B1BC4" w:rsidRPr="00046CBA" w:rsidRDefault="003B1BC4" w:rsidP="003B1BC4">
      <w:pPr>
        <w:spacing w:after="0"/>
        <w:jc w:val="both"/>
        <w:rPr>
          <w:rFonts w:ascii="Calibri" w:hAnsi="Calibri"/>
          <w:bCs/>
          <w:color w:val="7F7F7F"/>
          <w:sz w:val="20"/>
          <w:szCs w:val="20"/>
        </w:rPr>
      </w:pPr>
      <w:r w:rsidRPr="00046CBA">
        <w:rPr>
          <w:rFonts w:ascii="Calibri" w:hAnsi="Calibri"/>
          <w:bCs/>
          <w:color w:val="7F7F7F"/>
          <w:sz w:val="20"/>
          <w:szCs w:val="20"/>
        </w:rPr>
        <w:t xml:space="preserve">Percentage of people who feel safe walking at night in their </w:t>
      </w:r>
      <w:r w:rsidR="00EC0707" w:rsidRPr="00046CBA">
        <w:rPr>
          <w:rFonts w:ascii="Calibri" w:hAnsi="Calibri"/>
          <w:bCs/>
          <w:color w:val="7F7F7F"/>
          <w:sz w:val="20"/>
          <w:szCs w:val="20"/>
        </w:rPr>
        <w:t>neighbourhood</w:t>
      </w:r>
    </w:p>
    <w:p w14:paraId="6FC3CC49" w14:textId="77777777" w:rsidR="003B1BC4" w:rsidRPr="00366E22" w:rsidRDefault="003B1BC4" w:rsidP="003B1BC4">
      <w:pPr>
        <w:spacing w:after="0"/>
        <w:jc w:val="both"/>
        <w:rPr>
          <w:rFonts w:ascii="Calibri" w:hAnsi="Calibri"/>
          <w:bCs/>
          <w:color w:val="7F7F7F"/>
          <w:sz w:val="20"/>
          <w:szCs w:val="20"/>
        </w:rPr>
      </w:pPr>
      <w:r>
        <w:rPr>
          <w:rFonts w:ascii="Calibri" w:hAnsi="Calibri"/>
          <w:noProof/>
        </w:rPr>
        <w:drawing>
          <wp:anchor distT="0" distB="0" distL="114300" distR="114300" simplePos="0" relativeHeight="251915264" behindDoc="0" locked="0" layoutInCell="1" allowOverlap="1" wp14:anchorId="03CD63A6" wp14:editId="79748AED">
            <wp:simplePos x="0" y="0"/>
            <wp:positionH relativeFrom="margin">
              <wp:posOffset>853758</wp:posOffset>
            </wp:positionH>
            <wp:positionV relativeFrom="paragraph">
              <wp:posOffset>236855</wp:posOffset>
            </wp:positionV>
            <wp:extent cx="5171440" cy="3297555"/>
            <wp:effectExtent l="0" t="0" r="0" b="0"/>
            <wp:wrapSquare wrapText="bothSides"/>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171440" cy="3297555"/>
                    </a:xfrm>
                    <a:prstGeom prst="rect">
                      <a:avLst/>
                    </a:prstGeom>
                    <a:noFill/>
                  </pic:spPr>
                </pic:pic>
              </a:graphicData>
            </a:graphic>
            <wp14:sizeRelH relativeFrom="page">
              <wp14:pctWidth>0</wp14:pctWidth>
            </wp14:sizeRelH>
            <wp14:sizeRelV relativeFrom="page">
              <wp14:pctHeight>0</wp14:pctHeight>
            </wp14:sizeRelV>
          </wp:anchor>
        </w:drawing>
      </w:r>
      <w:r w:rsidRPr="00046CBA">
        <w:rPr>
          <w:rFonts w:ascii="Calibri" w:hAnsi="Calibri"/>
          <w:bCs/>
          <w:color w:val="7F7F7F"/>
          <w:sz w:val="20"/>
          <w:szCs w:val="20"/>
        </w:rPr>
        <w:t xml:space="preserve"> by selected characteristics: Victoria, 2015</w:t>
      </w:r>
    </w:p>
    <w:p w14:paraId="01D77375" w14:textId="4174F4E5" w:rsidR="00801742" w:rsidRDefault="00801742" w:rsidP="003B1BC4">
      <w:pPr>
        <w:spacing w:after="0" w:line="360" w:lineRule="auto"/>
      </w:pPr>
    </w:p>
    <w:p w14:paraId="3EE3C12C" w14:textId="42768682" w:rsidR="00801742" w:rsidRDefault="00801742" w:rsidP="003B1BC4">
      <w:pPr>
        <w:spacing w:after="0" w:line="360" w:lineRule="auto"/>
      </w:pPr>
    </w:p>
    <w:p w14:paraId="5812F4AE" w14:textId="77777777" w:rsidR="00801742" w:rsidRDefault="00801742" w:rsidP="003B1BC4">
      <w:pPr>
        <w:spacing w:after="0" w:line="360" w:lineRule="auto"/>
      </w:pPr>
    </w:p>
    <w:p w14:paraId="2EB87ECF" w14:textId="76E58E42" w:rsidR="00B53C77" w:rsidRDefault="00B53C77" w:rsidP="003B1BC4">
      <w:pPr>
        <w:spacing w:after="0" w:line="360" w:lineRule="auto"/>
      </w:pPr>
    </w:p>
    <w:p w14:paraId="5F8F699E" w14:textId="1BD3C51E" w:rsidR="00B53C77" w:rsidRDefault="00B53C77" w:rsidP="003B1BC4">
      <w:pPr>
        <w:spacing w:after="0" w:line="360" w:lineRule="auto"/>
      </w:pPr>
    </w:p>
    <w:p w14:paraId="263DC6E6" w14:textId="2B042578" w:rsidR="00B53C77" w:rsidRDefault="00B53C77" w:rsidP="003B1BC4">
      <w:pPr>
        <w:spacing w:after="0" w:line="360" w:lineRule="auto"/>
      </w:pPr>
    </w:p>
    <w:p w14:paraId="591E441C" w14:textId="7927C601" w:rsidR="00B53C77" w:rsidRDefault="00B53C77" w:rsidP="003B1BC4">
      <w:pPr>
        <w:spacing w:after="0" w:line="360" w:lineRule="auto"/>
      </w:pPr>
    </w:p>
    <w:p w14:paraId="05E3FA6B" w14:textId="160A9DA3" w:rsidR="00B53C77" w:rsidRDefault="00B53C77" w:rsidP="003B1BC4">
      <w:pPr>
        <w:spacing w:after="0" w:line="360" w:lineRule="auto"/>
      </w:pPr>
    </w:p>
    <w:p w14:paraId="304E239F" w14:textId="40B96773" w:rsidR="00B53C77" w:rsidRDefault="00B53C77" w:rsidP="003B1BC4">
      <w:pPr>
        <w:spacing w:after="0" w:line="360" w:lineRule="auto"/>
      </w:pPr>
    </w:p>
    <w:p w14:paraId="23C274B4" w14:textId="7603F3A1" w:rsidR="00B53C77" w:rsidRDefault="00B53C77" w:rsidP="003B1BC4">
      <w:pPr>
        <w:spacing w:after="0" w:line="360" w:lineRule="auto"/>
      </w:pPr>
    </w:p>
    <w:p w14:paraId="10A66A51" w14:textId="5B495E98" w:rsidR="00B53C77" w:rsidRDefault="00B53C77" w:rsidP="003B1BC4">
      <w:pPr>
        <w:spacing w:after="0" w:line="360" w:lineRule="auto"/>
      </w:pPr>
    </w:p>
    <w:p w14:paraId="28BEDDC3" w14:textId="3D4E54F0" w:rsidR="00B53C77" w:rsidRDefault="00B53C77" w:rsidP="003B1BC4">
      <w:pPr>
        <w:spacing w:after="0" w:line="360" w:lineRule="auto"/>
      </w:pPr>
    </w:p>
    <w:p w14:paraId="011D3F87" w14:textId="5A1AC454" w:rsidR="00B53C77" w:rsidRDefault="00B53C77" w:rsidP="003B1BC4">
      <w:pPr>
        <w:spacing w:after="0" w:line="360" w:lineRule="auto"/>
      </w:pPr>
    </w:p>
    <w:p w14:paraId="4FEAC3C0" w14:textId="7C647E01" w:rsidR="00B53C77" w:rsidRDefault="00B53C77" w:rsidP="0051666C">
      <w:pPr>
        <w:spacing w:after="0" w:line="360" w:lineRule="auto"/>
      </w:pPr>
    </w:p>
    <w:p w14:paraId="338105D9" w14:textId="77777777" w:rsidR="00DE7374" w:rsidRPr="00640FEC" w:rsidRDefault="00DE7374" w:rsidP="00DE7374">
      <w:pPr>
        <w:pBdr>
          <w:top w:val="single" w:sz="4" w:space="0" w:color="auto"/>
          <w:bottom w:val="single" w:sz="4" w:space="1" w:color="auto"/>
        </w:pBdr>
        <w:tabs>
          <w:tab w:val="center" w:pos="4678"/>
        </w:tabs>
        <w:jc w:val="center"/>
        <w:rPr>
          <w:rFonts w:ascii="Calibri" w:hAnsi="Calibri"/>
          <w:noProof/>
          <w:sz w:val="32"/>
          <w:szCs w:val="32"/>
        </w:rPr>
      </w:pPr>
      <w:r>
        <w:rPr>
          <w:noProof/>
          <w:lang w:val="en-US"/>
        </w:rPr>
        <w:lastRenderedPageBreak/>
        <w:drawing>
          <wp:anchor distT="0" distB="0" distL="114300" distR="114300" simplePos="0" relativeHeight="251936768" behindDoc="0" locked="0" layoutInCell="1" allowOverlap="1" wp14:anchorId="25922C6C" wp14:editId="73BEE227">
            <wp:simplePos x="0" y="0"/>
            <wp:positionH relativeFrom="margin">
              <wp:align>right</wp:align>
            </wp:positionH>
            <wp:positionV relativeFrom="paragraph">
              <wp:posOffset>213043</wp:posOffset>
            </wp:positionV>
            <wp:extent cx="1271270" cy="761365"/>
            <wp:effectExtent l="0" t="0" r="5080" b="635"/>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bby Dance 4.png"/>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1271270" cy="7613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Calibri" w:hAnsi="Calibri"/>
          <w:noProof/>
          <w:sz w:val="32"/>
          <w:szCs w:val="32"/>
        </w:rPr>
        <w:t>Physical Health</w:t>
      </w:r>
    </w:p>
    <w:p w14:paraId="77CA3750" w14:textId="77777777" w:rsidR="00DE7374" w:rsidRDefault="00DE7374" w:rsidP="00DE7374">
      <w:pPr>
        <w:tabs>
          <w:tab w:val="left" w:pos="284"/>
        </w:tabs>
        <w:spacing w:after="0" w:line="360" w:lineRule="auto"/>
        <w:jc w:val="both"/>
        <w:rPr>
          <w:rFonts w:ascii="Calibri" w:hAnsi="Calibri"/>
          <w:b/>
          <w:color w:val="000000"/>
          <w:lang w:val="en-US"/>
        </w:rPr>
      </w:pPr>
    </w:p>
    <w:p w14:paraId="23B8E978" w14:textId="77777777" w:rsidR="00DE7374" w:rsidRPr="00640FEC" w:rsidRDefault="00DE7374" w:rsidP="00DE7374">
      <w:pPr>
        <w:tabs>
          <w:tab w:val="left" w:pos="284"/>
        </w:tabs>
        <w:spacing w:after="0" w:line="360" w:lineRule="auto"/>
        <w:jc w:val="both"/>
        <w:rPr>
          <w:rFonts w:ascii="Calibri" w:hAnsi="Calibri"/>
          <w:b/>
          <w:color w:val="000000"/>
          <w:lang w:val="en-US"/>
        </w:rPr>
      </w:pPr>
      <w:r>
        <w:rPr>
          <w:rFonts w:ascii="Calibri" w:hAnsi="Calibri"/>
          <w:b/>
          <w:color w:val="000000"/>
          <w:lang w:val="en-US"/>
        </w:rPr>
        <w:t>Self-assessed Health</w:t>
      </w:r>
      <w:r w:rsidRPr="0094182C">
        <w:rPr>
          <w:noProof/>
          <w:lang w:val="en-US"/>
        </w:rPr>
        <w:t xml:space="preserve"> </w:t>
      </w:r>
    </w:p>
    <w:p w14:paraId="07E163F5" w14:textId="77777777" w:rsidR="00DE7374" w:rsidRPr="006B22B1" w:rsidRDefault="00DE7374" w:rsidP="00DE7374">
      <w:pPr>
        <w:tabs>
          <w:tab w:val="left" w:pos="284"/>
        </w:tabs>
        <w:spacing w:after="0" w:line="360" w:lineRule="auto"/>
        <w:jc w:val="both"/>
        <w:rPr>
          <w:rFonts w:ascii="Calibri" w:hAnsi="Calibri"/>
          <w:color w:val="000000"/>
          <w:lang w:val="en-US"/>
        </w:rPr>
      </w:pPr>
      <w:r w:rsidRPr="00FF17EE">
        <w:rPr>
          <w:rFonts w:ascii="Calibri" w:hAnsi="Calibri"/>
          <w:color w:val="000000"/>
          <w:lang w:val="en-US"/>
        </w:rPr>
        <w:t xml:space="preserve">A little over one-quarter (22%) of Greater Dandenong residents rated their overall health as ‘fair’ or ‘poor’ in the 2020 Population Health Survey, similar to the Victorian level of 21%. </w:t>
      </w:r>
    </w:p>
    <w:p w14:paraId="6CC46CCB" w14:textId="77777777" w:rsidR="00DE7374" w:rsidRPr="00FF17EE" w:rsidRDefault="00DE7374" w:rsidP="00DE7374">
      <w:pPr>
        <w:spacing w:after="0"/>
        <w:jc w:val="both"/>
        <w:rPr>
          <w:sz w:val="12"/>
          <w:szCs w:val="12"/>
        </w:rPr>
      </w:pPr>
    </w:p>
    <w:p w14:paraId="468E89D4" w14:textId="77777777" w:rsidR="00DE7374" w:rsidRPr="006B22B1" w:rsidRDefault="00DE7374" w:rsidP="00DE7374">
      <w:pPr>
        <w:spacing w:after="0"/>
        <w:jc w:val="both"/>
        <w:rPr>
          <w:color w:val="7F7F7F" w:themeColor="text1" w:themeTint="80"/>
          <w:sz w:val="20"/>
          <w:szCs w:val="20"/>
        </w:rPr>
      </w:pPr>
      <w:r w:rsidRPr="00FF17EE">
        <w:rPr>
          <w:rFonts w:ascii="Calibri" w:hAnsi="Calibri"/>
          <w:noProof/>
          <w:color w:val="000000"/>
          <w:lang w:val="en-US"/>
        </w:rPr>
        <w:drawing>
          <wp:anchor distT="0" distB="0" distL="114300" distR="114300" simplePos="0" relativeHeight="251923456" behindDoc="0" locked="0" layoutInCell="1" allowOverlap="1" wp14:anchorId="7CF6F7D6" wp14:editId="298ECEBF">
            <wp:simplePos x="0" y="0"/>
            <wp:positionH relativeFrom="column">
              <wp:posOffset>3606165</wp:posOffset>
            </wp:positionH>
            <wp:positionV relativeFrom="paragraph">
              <wp:posOffset>81280</wp:posOffset>
            </wp:positionV>
            <wp:extent cx="2536190" cy="1917700"/>
            <wp:effectExtent l="0" t="0" r="0" b="6350"/>
            <wp:wrapSquare wrapText="bothSides"/>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536190" cy="1917700"/>
                    </a:xfrm>
                    <a:prstGeom prst="rect">
                      <a:avLst/>
                    </a:prstGeom>
                    <a:noFill/>
                  </pic:spPr>
                </pic:pic>
              </a:graphicData>
            </a:graphic>
            <wp14:sizeRelH relativeFrom="margin">
              <wp14:pctWidth>0</wp14:pctWidth>
            </wp14:sizeRelH>
            <wp14:sizeRelV relativeFrom="margin">
              <wp14:pctHeight>0</wp14:pctHeight>
            </wp14:sizeRelV>
          </wp:anchor>
        </w:drawing>
      </w:r>
      <w:r w:rsidRPr="006B22B1">
        <w:rPr>
          <w:color w:val="7F7F7F" w:themeColor="text1" w:themeTint="80"/>
          <w:sz w:val="20"/>
          <w:szCs w:val="20"/>
        </w:rPr>
        <w:t>Self-assessed health, by age and gender: Victorian adults, 2017</w:t>
      </w:r>
    </w:p>
    <w:p w14:paraId="654A5B03" w14:textId="77777777" w:rsidR="00DE7374" w:rsidRDefault="00DE7374" w:rsidP="00DE7374">
      <w:pPr>
        <w:tabs>
          <w:tab w:val="left" w:pos="284"/>
        </w:tabs>
        <w:spacing w:after="0"/>
        <w:jc w:val="both"/>
        <w:rPr>
          <w:rFonts w:ascii="Calibri" w:hAnsi="Calibri"/>
          <w:color w:val="000000"/>
          <w:sz w:val="12"/>
          <w:szCs w:val="12"/>
          <w:lang w:val="en-US"/>
        </w:rPr>
      </w:pPr>
    </w:p>
    <w:p w14:paraId="7092697D" w14:textId="77777777" w:rsidR="00DE7374" w:rsidRPr="00C84DBF" w:rsidRDefault="00DE7374" w:rsidP="00DE7374">
      <w:pPr>
        <w:spacing w:after="0" w:line="360" w:lineRule="auto"/>
        <w:jc w:val="both"/>
      </w:pPr>
      <w:r>
        <w:t>The earlier, 2017 Population Survey published detailed results by age and sex, though at a State-wide level. Its findings showed that t</w:t>
      </w:r>
      <w:r w:rsidRPr="00C84DBF">
        <w:t xml:space="preserve">he proportion of </w:t>
      </w:r>
      <w:r>
        <w:t>Victorians</w:t>
      </w:r>
      <w:r w:rsidRPr="00C84DBF">
        <w:t xml:space="preserve"> who assess their own health as 'fair' or 'poor' rises </w:t>
      </w:r>
      <w:r>
        <w:t xml:space="preserve">steeply </w:t>
      </w:r>
      <w:r w:rsidRPr="00C84DBF">
        <w:t xml:space="preserve">with age to about </w:t>
      </w:r>
      <w:r>
        <w:t xml:space="preserve">a third </w:t>
      </w:r>
      <w:r w:rsidRPr="00C84DBF">
        <w:t xml:space="preserve">among those aged 85 years or more, </w:t>
      </w:r>
      <w:r>
        <w:t>but</w:t>
      </w:r>
      <w:r w:rsidRPr="00C84DBF">
        <w:t xml:space="preserve"> differs little between </w:t>
      </w:r>
      <w:r>
        <w:t>women and men (diagram, right)</w:t>
      </w:r>
      <w:r w:rsidRPr="00C84DBF">
        <w:t>.</w:t>
      </w:r>
    </w:p>
    <w:p w14:paraId="3BE5D3BA" w14:textId="77777777" w:rsidR="00DE7374" w:rsidRPr="003B5BC3" w:rsidRDefault="00DE7374" w:rsidP="00DE7374">
      <w:pPr>
        <w:tabs>
          <w:tab w:val="left" w:pos="284"/>
        </w:tabs>
        <w:spacing w:after="0" w:line="360" w:lineRule="auto"/>
        <w:jc w:val="both"/>
        <w:rPr>
          <w:rFonts w:ascii="Calibri" w:hAnsi="Calibri"/>
          <w:color w:val="7F7F7F" w:themeColor="text1" w:themeTint="80"/>
          <w:sz w:val="20"/>
          <w:szCs w:val="20"/>
          <w:lang w:val="en-US"/>
        </w:rPr>
      </w:pPr>
      <w:r w:rsidRPr="00F5746D">
        <w:rPr>
          <w:rFonts w:ascii="Calibri" w:hAnsi="Calibri"/>
          <w:b/>
          <w:color w:val="000000"/>
          <w:lang w:val="en-US"/>
        </w:rPr>
        <w:t>Chronic Illness</w:t>
      </w:r>
      <w:r>
        <w:rPr>
          <w:rFonts w:ascii="Calibri" w:hAnsi="Calibri"/>
          <w:b/>
          <w:color w:val="000000"/>
          <w:lang w:val="en-US"/>
        </w:rPr>
        <w:t xml:space="preserve"> </w:t>
      </w:r>
    </w:p>
    <w:p w14:paraId="7AF84F06" w14:textId="77777777" w:rsidR="00DE7374" w:rsidRPr="00903C83" w:rsidRDefault="00DE7374" w:rsidP="00DE7374">
      <w:pPr>
        <w:tabs>
          <w:tab w:val="left" w:pos="284"/>
        </w:tabs>
        <w:spacing w:after="0" w:line="360" w:lineRule="auto"/>
        <w:jc w:val="both"/>
        <w:rPr>
          <w:rFonts w:ascii="Calibri" w:hAnsi="Calibri"/>
          <w:bCs/>
          <w:color w:val="000000"/>
          <w:lang w:val="en-US"/>
        </w:rPr>
      </w:pPr>
      <w:r w:rsidRPr="00903C83">
        <w:rPr>
          <w:rFonts w:ascii="Calibri" w:hAnsi="Calibri"/>
          <w:bCs/>
          <w:color w:val="000000"/>
          <w:lang w:val="en-US"/>
        </w:rPr>
        <w:t xml:space="preserve">In 2021, for the first time, the Census featured questions that inquired whether respondents were currently experiencing any of a selection of seven broad categories of chronic illnesses. The results for Greater Dandenong residents are summarized here, with consideration of variations in </w:t>
      </w:r>
      <w:r>
        <w:rPr>
          <w:rFonts w:ascii="Calibri" w:hAnsi="Calibri"/>
          <w:bCs/>
          <w:color w:val="000000"/>
          <w:lang w:val="en-US"/>
        </w:rPr>
        <w:t>the prevalence of chronic illness</w:t>
      </w:r>
      <w:r w:rsidRPr="00903C83">
        <w:rPr>
          <w:rFonts w:ascii="Calibri" w:hAnsi="Calibri"/>
          <w:bCs/>
          <w:color w:val="000000"/>
          <w:lang w:val="en-US"/>
        </w:rPr>
        <w:t xml:space="preserve"> by age and sex.</w:t>
      </w:r>
    </w:p>
    <w:p w14:paraId="22FC8BD2" w14:textId="77777777" w:rsidR="00DE7374" w:rsidRPr="009E7C98" w:rsidRDefault="00DE7374" w:rsidP="00DE7374">
      <w:pPr>
        <w:tabs>
          <w:tab w:val="left" w:pos="284"/>
        </w:tabs>
        <w:spacing w:after="0" w:line="360" w:lineRule="auto"/>
        <w:jc w:val="both"/>
        <w:rPr>
          <w:rFonts w:ascii="Calibri" w:hAnsi="Calibri"/>
          <w:bCs/>
          <w:i/>
          <w:iCs/>
          <w:color w:val="000000"/>
          <w:lang w:val="en-US"/>
        </w:rPr>
      </w:pPr>
      <w:r w:rsidRPr="00AE2063">
        <w:rPr>
          <w:rFonts w:ascii="Calibri" w:hAnsi="Calibri"/>
          <w:bCs/>
          <w:noProof/>
          <w:color w:val="7F7F7F" w:themeColor="text1" w:themeTint="80"/>
          <w:sz w:val="20"/>
          <w:szCs w:val="20"/>
          <w:lang w:val="en-US"/>
        </w:rPr>
        <w:drawing>
          <wp:anchor distT="0" distB="0" distL="114300" distR="114300" simplePos="0" relativeHeight="251924480" behindDoc="0" locked="0" layoutInCell="1" allowOverlap="1" wp14:anchorId="669E2E8E" wp14:editId="5D6CEE20">
            <wp:simplePos x="0" y="0"/>
            <wp:positionH relativeFrom="margin">
              <wp:align>left</wp:align>
            </wp:positionH>
            <wp:positionV relativeFrom="paragraph">
              <wp:posOffset>279400</wp:posOffset>
            </wp:positionV>
            <wp:extent cx="3108325" cy="2120900"/>
            <wp:effectExtent l="0" t="0" r="0" b="0"/>
            <wp:wrapSquare wrapText="bothSides"/>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113587" cy="2124477"/>
                    </a:xfrm>
                    <a:prstGeom prst="rect">
                      <a:avLst/>
                    </a:prstGeom>
                    <a:noFill/>
                  </pic:spPr>
                </pic:pic>
              </a:graphicData>
            </a:graphic>
            <wp14:sizeRelH relativeFrom="page">
              <wp14:pctWidth>0</wp14:pctWidth>
            </wp14:sizeRelH>
            <wp14:sizeRelV relativeFrom="page">
              <wp14:pctHeight>0</wp14:pctHeight>
            </wp14:sizeRelV>
          </wp:anchor>
        </w:drawing>
      </w:r>
      <w:r w:rsidRPr="009E7C98">
        <w:rPr>
          <w:rFonts w:ascii="Calibri" w:hAnsi="Calibri"/>
          <w:bCs/>
          <w:i/>
          <w:iCs/>
          <w:color w:val="000000"/>
          <w:lang w:val="en-US"/>
        </w:rPr>
        <w:t>Arthritis</w:t>
      </w:r>
    </w:p>
    <w:p w14:paraId="4D8CCDD5" w14:textId="77777777" w:rsidR="00DE7374" w:rsidRPr="00AE2063" w:rsidRDefault="00DE7374" w:rsidP="00DE7374">
      <w:pPr>
        <w:tabs>
          <w:tab w:val="left" w:pos="284"/>
        </w:tabs>
        <w:spacing w:after="0"/>
        <w:jc w:val="both"/>
        <w:rPr>
          <w:rFonts w:ascii="Calibri" w:hAnsi="Calibri"/>
          <w:bCs/>
          <w:color w:val="7F7F7F" w:themeColor="text1" w:themeTint="80"/>
          <w:sz w:val="20"/>
          <w:szCs w:val="20"/>
          <w:lang w:val="en-US"/>
        </w:rPr>
      </w:pPr>
    </w:p>
    <w:p w14:paraId="2DC1365A" w14:textId="77777777" w:rsidR="00DE7374" w:rsidRPr="00903C83" w:rsidRDefault="00DE7374" w:rsidP="00DE7374">
      <w:pPr>
        <w:tabs>
          <w:tab w:val="left" w:pos="284"/>
        </w:tabs>
        <w:spacing w:after="0" w:line="360" w:lineRule="auto"/>
        <w:jc w:val="both"/>
        <w:rPr>
          <w:rFonts w:ascii="Calibri" w:hAnsi="Calibri"/>
          <w:bCs/>
          <w:color w:val="000000"/>
          <w:lang w:val="en-US"/>
        </w:rPr>
      </w:pPr>
      <w:r>
        <w:rPr>
          <w:rFonts w:ascii="Calibri" w:hAnsi="Calibri"/>
          <w:bCs/>
          <w:color w:val="000000"/>
          <w:lang w:val="en-US"/>
        </w:rPr>
        <w:t>Affecting about 7% of residents, a</w:t>
      </w:r>
      <w:r w:rsidRPr="00903C83">
        <w:rPr>
          <w:rFonts w:ascii="Calibri" w:hAnsi="Calibri"/>
          <w:bCs/>
          <w:color w:val="000000"/>
          <w:lang w:val="en-US"/>
        </w:rPr>
        <w:t xml:space="preserve">rthritis is most prevalent among older </w:t>
      </w:r>
      <w:r>
        <w:rPr>
          <w:rFonts w:ascii="Calibri" w:hAnsi="Calibri"/>
          <w:bCs/>
          <w:color w:val="000000"/>
          <w:lang w:val="en-US"/>
        </w:rPr>
        <w:t>residents of Greater Dandenong</w:t>
      </w:r>
      <w:r w:rsidRPr="00903C83">
        <w:rPr>
          <w:rFonts w:ascii="Calibri" w:hAnsi="Calibri"/>
          <w:bCs/>
          <w:color w:val="000000"/>
          <w:lang w:val="en-US"/>
        </w:rPr>
        <w:t>, and about twice as common among women than men.</w:t>
      </w:r>
    </w:p>
    <w:p w14:paraId="684EE998" w14:textId="77777777" w:rsidR="00DE7374" w:rsidRDefault="00DE7374" w:rsidP="00DE7374">
      <w:pPr>
        <w:tabs>
          <w:tab w:val="left" w:pos="284"/>
        </w:tabs>
        <w:spacing w:after="0" w:line="360" w:lineRule="auto"/>
        <w:jc w:val="both"/>
        <w:rPr>
          <w:rFonts w:ascii="Calibri" w:hAnsi="Calibri"/>
          <w:b/>
          <w:color w:val="000000"/>
          <w:lang w:val="en-US"/>
        </w:rPr>
      </w:pPr>
    </w:p>
    <w:p w14:paraId="36645053" w14:textId="77777777" w:rsidR="00DE7374" w:rsidRDefault="00DE7374" w:rsidP="00DE7374">
      <w:pPr>
        <w:tabs>
          <w:tab w:val="left" w:pos="284"/>
        </w:tabs>
        <w:spacing w:after="0"/>
        <w:jc w:val="both"/>
        <w:rPr>
          <w:rFonts w:ascii="Calibri" w:hAnsi="Calibri"/>
          <w:b/>
          <w:color w:val="000000"/>
          <w:lang w:val="en-US"/>
        </w:rPr>
      </w:pPr>
      <w:r w:rsidRPr="00AE2063">
        <w:rPr>
          <w:rFonts w:ascii="Calibri" w:hAnsi="Calibri"/>
          <w:bCs/>
          <w:color w:val="7F7F7F" w:themeColor="text1" w:themeTint="80"/>
          <w:sz w:val="20"/>
          <w:szCs w:val="20"/>
          <w:lang w:val="en-US"/>
        </w:rPr>
        <w:t>Per cent of residents with arthritis, by sex and age: Greater Dandenong, 2021</w:t>
      </w:r>
    </w:p>
    <w:p w14:paraId="416A4D67" w14:textId="77777777" w:rsidR="00DE7374" w:rsidRDefault="00DE7374" w:rsidP="00DE7374">
      <w:pPr>
        <w:tabs>
          <w:tab w:val="left" w:pos="284"/>
        </w:tabs>
        <w:spacing w:after="0" w:line="360" w:lineRule="auto"/>
        <w:jc w:val="both"/>
        <w:rPr>
          <w:rFonts w:ascii="Calibri" w:hAnsi="Calibri"/>
          <w:b/>
          <w:color w:val="000000"/>
          <w:lang w:val="en-US"/>
        </w:rPr>
      </w:pPr>
    </w:p>
    <w:p w14:paraId="26284CAD" w14:textId="77777777" w:rsidR="00DE7374" w:rsidRPr="009E7C98" w:rsidRDefault="00DE7374" w:rsidP="00DE7374">
      <w:pPr>
        <w:tabs>
          <w:tab w:val="left" w:pos="284"/>
        </w:tabs>
        <w:spacing w:after="0"/>
        <w:jc w:val="both"/>
        <w:rPr>
          <w:rFonts w:ascii="Calibri" w:hAnsi="Calibri"/>
          <w:bCs/>
          <w:i/>
          <w:iCs/>
          <w:color w:val="000000"/>
          <w:lang w:val="en-US"/>
        </w:rPr>
      </w:pPr>
      <w:r w:rsidRPr="009E7C98">
        <w:rPr>
          <w:rFonts w:ascii="Calibri" w:hAnsi="Calibri"/>
          <w:bCs/>
          <w:i/>
          <w:iCs/>
          <w:color w:val="000000"/>
          <w:lang w:val="en-US"/>
        </w:rPr>
        <w:t>Cancer</w:t>
      </w:r>
    </w:p>
    <w:p w14:paraId="73123DAB" w14:textId="77777777" w:rsidR="00DE7374" w:rsidRPr="00903C83" w:rsidRDefault="00DE7374" w:rsidP="00DE7374">
      <w:pPr>
        <w:tabs>
          <w:tab w:val="left" w:pos="284"/>
        </w:tabs>
        <w:spacing w:after="0" w:line="360" w:lineRule="auto"/>
        <w:jc w:val="both"/>
        <w:rPr>
          <w:rFonts w:ascii="Calibri" w:hAnsi="Calibri"/>
          <w:bCs/>
          <w:color w:val="000000"/>
          <w:lang w:val="en-US"/>
        </w:rPr>
      </w:pPr>
      <w:r w:rsidRPr="00903C83">
        <w:rPr>
          <w:rFonts w:ascii="Calibri" w:hAnsi="Calibri"/>
          <w:bCs/>
          <w:noProof/>
          <w:color w:val="000000"/>
          <w:lang w:val="en-US"/>
        </w:rPr>
        <w:drawing>
          <wp:anchor distT="0" distB="0" distL="114300" distR="114300" simplePos="0" relativeHeight="251925504" behindDoc="0" locked="0" layoutInCell="1" allowOverlap="1" wp14:anchorId="36F83B16" wp14:editId="6BFF7F53">
            <wp:simplePos x="0" y="0"/>
            <wp:positionH relativeFrom="margin">
              <wp:align>right</wp:align>
            </wp:positionH>
            <wp:positionV relativeFrom="paragraph">
              <wp:posOffset>-163830</wp:posOffset>
            </wp:positionV>
            <wp:extent cx="2927350" cy="1936750"/>
            <wp:effectExtent l="0" t="0" r="6350" b="6350"/>
            <wp:wrapSquare wrapText="bothSides"/>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927350" cy="1936750"/>
                    </a:xfrm>
                    <a:prstGeom prst="rect">
                      <a:avLst/>
                    </a:prstGeom>
                    <a:noFill/>
                  </pic:spPr>
                </pic:pic>
              </a:graphicData>
            </a:graphic>
            <wp14:sizeRelH relativeFrom="page">
              <wp14:pctWidth>0</wp14:pctWidth>
            </wp14:sizeRelH>
            <wp14:sizeRelV relativeFrom="page">
              <wp14:pctHeight>0</wp14:pctHeight>
            </wp14:sizeRelV>
          </wp:anchor>
        </w:drawing>
      </w:r>
      <w:r w:rsidRPr="00903C83">
        <w:rPr>
          <w:rFonts w:ascii="Calibri" w:hAnsi="Calibri"/>
          <w:bCs/>
          <w:color w:val="000000"/>
          <w:lang w:val="en-US"/>
        </w:rPr>
        <w:t xml:space="preserve">Approximately 2% of residents – including similar proportions of women and men – </w:t>
      </w:r>
      <w:r>
        <w:rPr>
          <w:rFonts w:ascii="Calibri" w:hAnsi="Calibri"/>
          <w:bCs/>
          <w:color w:val="000000"/>
          <w:lang w:val="en-US"/>
        </w:rPr>
        <w:t>stated</w:t>
      </w:r>
      <w:r w:rsidRPr="00903C83">
        <w:rPr>
          <w:rFonts w:ascii="Calibri" w:hAnsi="Calibri"/>
          <w:bCs/>
          <w:color w:val="000000"/>
          <w:lang w:val="en-US"/>
        </w:rPr>
        <w:t xml:space="preserve"> that they were living with cancer. As with arthritis, the prevalence of cancer was age-related, </w:t>
      </w:r>
      <w:r>
        <w:rPr>
          <w:rFonts w:ascii="Calibri" w:hAnsi="Calibri"/>
          <w:bCs/>
          <w:color w:val="000000"/>
          <w:lang w:val="en-US"/>
        </w:rPr>
        <w:t>reaching</w:t>
      </w:r>
      <w:r w:rsidRPr="00903C83">
        <w:rPr>
          <w:rFonts w:ascii="Calibri" w:hAnsi="Calibri"/>
          <w:bCs/>
          <w:color w:val="000000"/>
          <w:lang w:val="en-US"/>
        </w:rPr>
        <w:t xml:space="preserve"> its peak among older residents.</w:t>
      </w:r>
    </w:p>
    <w:p w14:paraId="1DD4CB80" w14:textId="77777777" w:rsidR="00DE7374" w:rsidRDefault="00DE7374" w:rsidP="00DE7374">
      <w:pPr>
        <w:tabs>
          <w:tab w:val="left" w:pos="284"/>
        </w:tabs>
        <w:spacing w:after="0"/>
        <w:jc w:val="both"/>
        <w:rPr>
          <w:rFonts w:ascii="Calibri" w:hAnsi="Calibri"/>
          <w:bCs/>
          <w:color w:val="7F7F7F" w:themeColor="text1" w:themeTint="80"/>
          <w:sz w:val="20"/>
          <w:szCs w:val="20"/>
          <w:lang w:val="en-US"/>
        </w:rPr>
      </w:pPr>
    </w:p>
    <w:p w14:paraId="078FA314" w14:textId="4963316E" w:rsidR="00DE7374" w:rsidRDefault="00DE7374" w:rsidP="00DE7374">
      <w:pPr>
        <w:tabs>
          <w:tab w:val="left" w:pos="284"/>
        </w:tabs>
        <w:spacing w:after="0"/>
        <w:jc w:val="both"/>
        <w:rPr>
          <w:rFonts w:ascii="Calibri" w:hAnsi="Calibri"/>
          <w:bCs/>
          <w:color w:val="7F7F7F" w:themeColor="text1" w:themeTint="80"/>
          <w:sz w:val="20"/>
          <w:szCs w:val="20"/>
          <w:lang w:val="en-US"/>
        </w:rPr>
      </w:pPr>
      <w:r w:rsidRPr="00AE2063">
        <w:rPr>
          <w:rFonts w:ascii="Calibri" w:hAnsi="Calibri"/>
          <w:bCs/>
          <w:color w:val="7F7F7F" w:themeColor="text1" w:themeTint="80"/>
          <w:sz w:val="20"/>
          <w:szCs w:val="20"/>
          <w:lang w:val="en-US"/>
        </w:rPr>
        <w:t xml:space="preserve">Per cent of residents with </w:t>
      </w:r>
      <w:r>
        <w:rPr>
          <w:rFonts w:ascii="Calibri" w:hAnsi="Calibri"/>
          <w:bCs/>
          <w:color w:val="7F7F7F" w:themeColor="text1" w:themeTint="80"/>
          <w:sz w:val="20"/>
          <w:szCs w:val="20"/>
          <w:lang w:val="en-US"/>
        </w:rPr>
        <w:t>Cancer</w:t>
      </w:r>
      <w:r w:rsidRPr="00AE2063">
        <w:rPr>
          <w:rFonts w:ascii="Calibri" w:hAnsi="Calibri"/>
          <w:bCs/>
          <w:color w:val="7F7F7F" w:themeColor="text1" w:themeTint="80"/>
          <w:sz w:val="20"/>
          <w:szCs w:val="20"/>
          <w:lang w:val="en-US"/>
        </w:rPr>
        <w:t>, by sex and age: Greater Dandenong, 2021</w:t>
      </w:r>
    </w:p>
    <w:p w14:paraId="7D6C18AE" w14:textId="77777777" w:rsidR="002A0FAE" w:rsidRDefault="002A0FAE" w:rsidP="00DE7374">
      <w:pPr>
        <w:tabs>
          <w:tab w:val="left" w:pos="284"/>
        </w:tabs>
        <w:spacing w:after="0"/>
        <w:jc w:val="both"/>
        <w:rPr>
          <w:rFonts w:ascii="Calibri" w:hAnsi="Calibri"/>
          <w:b/>
          <w:color w:val="000000"/>
          <w:lang w:val="en-US"/>
        </w:rPr>
      </w:pPr>
    </w:p>
    <w:p w14:paraId="2C6FE4DF" w14:textId="77777777" w:rsidR="00DE7374" w:rsidRPr="009E7C98" w:rsidRDefault="00DE7374" w:rsidP="00DE7374">
      <w:pPr>
        <w:tabs>
          <w:tab w:val="left" w:pos="284"/>
        </w:tabs>
        <w:spacing w:after="0" w:line="360" w:lineRule="auto"/>
        <w:jc w:val="both"/>
        <w:rPr>
          <w:rFonts w:ascii="Calibri" w:hAnsi="Calibri"/>
          <w:bCs/>
          <w:i/>
          <w:iCs/>
          <w:color w:val="000000"/>
          <w:lang w:val="en-US"/>
        </w:rPr>
      </w:pPr>
      <w:r w:rsidRPr="009E7C98">
        <w:rPr>
          <w:rFonts w:ascii="Calibri" w:hAnsi="Calibri"/>
          <w:bCs/>
          <w:i/>
          <w:iCs/>
          <w:color w:val="000000"/>
          <w:lang w:val="en-US"/>
        </w:rPr>
        <w:lastRenderedPageBreak/>
        <w:t>Diabetes Mellitus</w:t>
      </w:r>
    </w:p>
    <w:p w14:paraId="5BAC181A" w14:textId="77777777" w:rsidR="00DE7374" w:rsidRPr="00903C83" w:rsidRDefault="00DE7374" w:rsidP="00DE7374">
      <w:pPr>
        <w:tabs>
          <w:tab w:val="left" w:pos="284"/>
        </w:tabs>
        <w:spacing w:after="0" w:line="360" w:lineRule="auto"/>
        <w:jc w:val="both"/>
        <w:rPr>
          <w:rFonts w:ascii="Calibri" w:hAnsi="Calibri"/>
          <w:bCs/>
          <w:color w:val="000000"/>
          <w:lang w:val="en-US"/>
        </w:rPr>
      </w:pPr>
      <w:r w:rsidRPr="00903C83">
        <w:rPr>
          <w:rFonts w:ascii="Calibri" w:hAnsi="Calibri"/>
          <w:bCs/>
          <w:noProof/>
          <w:color w:val="000000"/>
          <w:lang w:val="en-US"/>
        </w:rPr>
        <w:drawing>
          <wp:anchor distT="0" distB="0" distL="114300" distR="114300" simplePos="0" relativeHeight="251927552" behindDoc="0" locked="0" layoutInCell="1" allowOverlap="1" wp14:anchorId="43C4862B" wp14:editId="655BF291">
            <wp:simplePos x="0" y="0"/>
            <wp:positionH relativeFrom="margin">
              <wp:align>left</wp:align>
            </wp:positionH>
            <wp:positionV relativeFrom="paragraph">
              <wp:posOffset>59055</wp:posOffset>
            </wp:positionV>
            <wp:extent cx="2978150" cy="1969135"/>
            <wp:effectExtent l="0" t="0" r="0" b="0"/>
            <wp:wrapSquare wrapText="bothSides"/>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978150" cy="1969135"/>
                    </a:xfrm>
                    <a:prstGeom prst="rect">
                      <a:avLst/>
                    </a:prstGeom>
                    <a:noFill/>
                  </pic:spPr>
                </pic:pic>
              </a:graphicData>
            </a:graphic>
            <wp14:sizeRelH relativeFrom="page">
              <wp14:pctWidth>0</wp14:pctWidth>
            </wp14:sizeRelH>
            <wp14:sizeRelV relativeFrom="page">
              <wp14:pctHeight>0</wp14:pctHeight>
            </wp14:sizeRelV>
          </wp:anchor>
        </w:drawing>
      </w:r>
      <w:r w:rsidRPr="00903C83">
        <w:rPr>
          <w:rFonts w:ascii="Calibri" w:hAnsi="Calibri"/>
          <w:bCs/>
          <w:color w:val="000000"/>
          <w:lang w:val="en-US"/>
        </w:rPr>
        <w:t xml:space="preserve">Nearly 7% of residents stated that they had diabetes mellitus – including over 5% of people of working age, and </w:t>
      </w:r>
      <w:r>
        <w:rPr>
          <w:rFonts w:ascii="Calibri" w:hAnsi="Calibri"/>
          <w:bCs/>
          <w:color w:val="000000"/>
          <w:lang w:val="en-US"/>
        </w:rPr>
        <w:t>more than</w:t>
      </w:r>
      <w:r w:rsidRPr="00903C83">
        <w:rPr>
          <w:rFonts w:ascii="Calibri" w:hAnsi="Calibri"/>
          <w:bCs/>
          <w:color w:val="000000"/>
          <w:lang w:val="en-US"/>
        </w:rPr>
        <w:t xml:space="preserve"> 20% of residents aged 65 or more. Its prevalence was similar among men and women.</w:t>
      </w:r>
    </w:p>
    <w:p w14:paraId="74257628" w14:textId="77777777" w:rsidR="00DE7374" w:rsidRDefault="00DE7374" w:rsidP="00DE7374">
      <w:pPr>
        <w:tabs>
          <w:tab w:val="left" w:pos="284"/>
        </w:tabs>
        <w:spacing w:after="0" w:line="360" w:lineRule="auto"/>
        <w:jc w:val="both"/>
        <w:rPr>
          <w:rFonts w:ascii="Calibri" w:hAnsi="Calibri"/>
          <w:b/>
          <w:color w:val="000000"/>
          <w:lang w:val="en-US"/>
        </w:rPr>
      </w:pPr>
    </w:p>
    <w:p w14:paraId="5C32DF21" w14:textId="77777777" w:rsidR="00DE7374" w:rsidRDefault="00DE7374" w:rsidP="00DE7374">
      <w:pPr>
        <w:tabs>
          <w:tab w:val="left" w:pos="284"/>
        </w:tabs>
        <w:spacing w:after="0"/>
        <w:jc w:val="both"/>
        <w:rPr>
          <w:rFonts w:ascii="Calibri" w:hAnsi="Calibri"/>
          <w:b/>
          <w:color w:val="000000"/>
          <w:lang w:val="en-US"/>
        </w:rPr>
      </w:pPr>
      <w:r w:rsidRPr="00AE2063">
        <w:rPr>
          <w:rFonts w:ascii="Calibri" w:hAnsi="Calibri"/>
          <w:bCs/>
          <w:color w:val="7F7F7F" w:themeColor="text1" w:themeTint="80"/>
          <w:sz w:val="20"/>
          <w:szCs w:val="20"/>
          <w:lang w:val="en-US"/>
        </w:rPr>
        <w:t xml:space="preserve">Per cent of residents with </w:t>
      </w:r>
      <w:r>
        <w:rPr>
          <w:rFonts w:ascii="Calibri" w:hAnsi="Calibri"/>
          <w:bCs/>
          <w:color w:val="7F7F7F" w:themeColor="text1" w:themeTint="80"/>
          <w:sz w:val="20"/>
          <w:szCs w:val="20"/>
          <w:lang w:val="en-US"/>
        </w:rPr>
        <w:t>diabetes</w:t>
      </w:r>
      <w:r w:rsidRPr="00AE2063">
        <w:rPr>
          <w:rFonts w:ascii="Calibri" w:hAnsi="Calibri"/>
          <w:bCs/>
          <w:color w:val="7F7F7F" w:themeColor="text1" w:themeTint="80"/>
          <w:sz w:val="20"/>
          <w:szCs w:val="20"/>
          <w:lang w:val="en-US"/>
        </w:rPr>
        <w:t>, by sex and age: Greater Dandenong, 2021</w:t>
      </w:r>
    </w:p>
    <w:p w14:paraId="26A6E5E8" w14:textId="77777777" w:rsidR="00DE7374" w:rsidRDefault="00DE7374" w:rsidP="00DE7374">
      <w:pPr>
        <w:tabs>
          <w:tab w:val="left" w:pos="284"/>
        </w:tabs>
        <w:spacing w:after="0" w:line="360" w:lineRule="auto"/>
        <w:jc w:val="both"/>
        <w:rPr>
          <w:rFonts w:ascii="Calibri" w:hAnsi="Calibri"/>
          <w:b/>
          <w:color w:val="000000"/>
          <w:lang w:val="en-US"/>
        </w:rPr>
      </w:pPr>
    </w:p>
    <w:p w14:paraId="6BCEC4DA" w14:textId="77777777" w:rsidR="00DE7374" w:rsidRPr="009E7C98" w:rsidRDefault="00DE7374" w:rsidP="00DE7374">
      <w:pPr>
        <w:tabs>
          <w:tab w:val="left" w:pos="284"/>
        </w:tabs>
        <w:spacing w:after="0"/>
        <w:jc w:val="both"/>
        <w:rPr>
          <w:rFonts w:ascii="Calibri" w:hAnsi="Calibri"/>
          <w:bCs/>
          <w:i/>
          <w:iCs/>
          <w:color w:val="000000"/>
          <w:lang w:val="en-US"/>
        </w:rPr>
      </w:pPr>
      <w:r w:rsidRPr="00BF1F77">
        <w:rPr>
          <w:rFonts w:ascii="Calibri" w:hAnsi="Calibri"/>
          <w:bCs/>
          <w:noProof/>
          <w:color w:val="000000"/>
          <w:lang w:val="en-US"/>
        </w:rPr>
        <w:drawing>
          <wp:anchor distT="0" distB="0" distL="114300" distR="114300" simplePos="0" relativeHeight="251926528" behindDoc="0" locked="0" layoutInCell="1" allowOverlap="1" wp14:anchorId="13758171" wp14:editId="1DF37A95">
            <wp:simplePos x="0" y="0"/>
            <wp:positionH relativeFrom="margin">
              <wp:posOffset>3077210</wp:posOffset>
            </wp:positionH>
            <wp:positionV relativeFrom="paragraph">
              <wp:posOffset>55880</wp:posOffset>
            </wp:positionV>
            <wp:extent cx="3041650" cy="2012315"/>
            <wp:effectExtent l="0" t="0" r="6350" b="6985"/>
            <wp:wrapSquare wrapText="bothSides"/>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3041650" cy="2012315"/>
                    </a:xfrm>
                    <a:prstGeom prst="rect">
                      <a:avLst/>
                    </a:prstGeom>
                    <a:noFill/>
                  </pic:spPr>
                </pic:pic>
              </a:graphicData>
            </a:graphic>
            <wp14:sizeRelH relativeFrom="page">
              <wp14:pctWidth>0</wp14:pctWidth>
            </wp14:sizeRelH>
            <wp14:sizeRelV relativeFrom="page">
              <wp14:pctHeight>0</wp14:pctHeight>
            </wp14:sizeRelV>
          </wp:anchor>
        </w:drawing>
      </w:r>
      <w:r w:rsidRPr="009E7C98">
        <w:rPr>
          <w:rFonts w:ascii="Calibri" w:hAnsi="Calibri"/>
          <w:bCs/>
          <w:i/>
          <w:iCs/>
          <w:color w:val="000000"/>
          <w:lang w:val="en-US"/>
        </w:rPr>
        <w:t>Dementia</w:t>
      </w:r>
    </w:p>
    <w:p w14:paraId="7662DBA6" w14:textId="77777777" w:rsidR="00DE7374" w:rsidRPr="00170035" w:rsidRDefault="00DE7374" w:rsidP="00DE7374">
      <w:pPr>
        <w:tabs>
          <w:tab w:val="left" w:pos="284"/>
        </w:tabs>
        <w:spacing w:after="0" w:line="360" w:lineRule="auto"/>
        <w:jc w:val="both"/>
        <w:rPr>
          <w:rFonts w:ascii="Calibri" w:hAnsi="Calibri"/>
          <w:bCs/>
          <w:color w:val="000000"/>
          <w:lang w:val="en-US"/>
        </w:rPr>
      </w:pPr>
      <w:r w:rsidRPr="00BF1F77">
        <w:rPr>
          <w:rFonts w:ascii="Calibri" w:hAnsi="Calibri"/>
          <w:bCs/>
          <w:color w:val="000000"/>
          <w:lang w:val="en-US"/>
        </w:rPr>
        <w:t>The Census findings indicated that dementia affected approximately 1% of residents, including slightly more women than men. Dementia was almost wholly confined to residents aged 65 years or more, among whom it afflicted approximately 5.4% of residents.</w:t>
      </w:r>
    </w:p>
    <w:p w14:paraId="49916444" w14:textId="77777777" w:rsidR="00DE7374" w:rsidRDefault="00DE7374" w:rsidP="00DE7374">
      <w:pPr>
        <w:tabs>
          <w:tab w:val="left" w:pos="284"/>
        </w:tabs>
        <w:spacing w:after="0"/>
        <w:jc w:val="both"/>
        <w:rPr>
          <w:rFonts w:ascii="Calibri" w:hAnsi="Calibri"/>
          <w:b/>
          <w:color w:val="000000"/>
          <w:lang w:val="en-US"/>
        </w:rPr>
      </w:pPr>
      <w:r w:rsidRPr="00AE2063">
        <w:rPr>
          <w:rFonts w:ascii="Calibri" w:hAnsi="Calibri"/>
          <w:bCs/>
          <w:color w:val="7F7F7F" w:themeColor="text1" w:themeTint="80"/>
          <w:sz w:val="20"/>
          <w:szCs w:val="20"/>
          <w:lang w:val="en-US"/>
        </w:rPr>
        <w:t xml:space="preserve">Per cent of residents with </w:t>
      </w:r>
      <w:r>
        <w:rPr>
          <w:rFonts w:ascii="Calibri" w:hAnsi="Calibri"/>
          <w:bCs/>
          <w:color w:val="7F7F7F" w:themeColor="text1" w:themeTint="80"/>
          <w:sz w:val="20"/>
          <w:szCs w:val="20"/>
          <w:lang w:val="en-US"/>
        </w:rPr>
        <w:t>dementia</w:t>
      </w:r>
      <w:r w:rsidRPr="00AE2063">
        <w:rPr>
          <w:rFonts w:ascii="Calibri" w:hAnsi="Calibri"/>
          <w:bCs/>
          <w:color w:val="7F7F7F" w:themeColor="text1" w:themeTint="80"/>
          <w:sz w:val="20"/>
          <w:szCs w:val="20"/>
          <w:lang w:val="en-US"/>
        </w:rPr>
        <w:t>, by sex and age: Greater Dandenong, 2021</w:t>
      </w:r>
    </w:p>
    <w:p w14:paraId="224F3FE5" w14:textId="77777777" w:rsidR="00B70A36" w:rsidRDefault="00B70A36" w:rsidP="00DE7374">
      <w:pPr>
        <w:tabs>
          <w:tab w:val="left" w:pos="284"/>
        </w:tabs>
        <w:spacing w:after="0" w:line="360" w:lineRule="auto"/>
        <w:jc w:val="both"/>
        <w:rPr>
          <w:rFonts w:ascii="Calibri" w:hAnsi="Calibri"/>
          <w:bCs/>
          <w:i/>
          <w:iCs/>
          <w:color w:val="000000"/>
          <w:lang w:val="en-US"/>
        </w:rPr>
      </w:pPr>
    </w:p>
    <w:p w14:paraId="69C0735F" w14:textId="6C12A4F5" w:rsidR="00DE7374" w:rsidRDefault="00DE7374" w:rsidP="00DE7374">
      <w:pPr>
        <w:tabs>
          <w:tab w:val="left" w:pos="284"/>
        </w:tabs>
        <w:spacing w:after="0" w:line="360" w:lineRule="auto"/>
        <w:jc w:val="both"/>
        <w:rPr>
          <w:rFonts w:ascii="Calibri" w:hAnsi="Calibri"/>
          <w:bCs/>
          <w:i/>
          <w:iCs/>
          <w:color w:val="000000"/>
          <w:lang w:val="en-US"/>
        </w:rPr>
      </w:pPr>
      <w:r w:rsidRPr="00BF1F77">
        <w:rPr>
          <w:rFonts w:ascii="Calibri" w:hAnsi="Calibri"/>
          <w:b/>
          <w:noProof/>
          <w:color w:val="000000"/>
          <w:lang w:val="en-US"/>
        </w:rPr>
        <w:drawing>
          <wp:anchor distT="0" distB="0" distL="114300" distR="114300" simplePos="0" relativeHeight="251928576" behindDoc="0" locked="0" layoutInCell="1" allowOverlap="1" wp14:anchorId="20B27841" wp14:editId="79BC0C15">
            <wp:simplePos x="0" y="0"/>
            <wp:positionH relativeFrom="margin">
              <wp:align>left</wp:align>
            </wp:positionH>
            <wp:positionV relativeFrom="paragraph">
              <wp:posOffset>273685</wp:posOffset>
            </wp:positionV>
            <wp:extent cx="3111500" cy="2125345"/>
            <wp:effectExtent l="0" t="0" r="0" b="8255"/>
            <wp:wrapSquare wrapText="bothSides"/>
            <wp:docPr id="279" name="Picture 27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3113828" cy="2126965"/>
                    </a:xfrm>
                    <a:prstGeom prst="rect">
                      <a:avLst/>
                    </a:prstGeom>
                    <a:noFill/>
                  </pic:spPr>
                </pic:pic>
              </a:graphicData>
            </a:graphic>
            <wp14:sizeRelH relativeFrom="page">
              <wp14:pctWidth>0</wp14:pctWidth>
            </wp14:sizeRelH>
            <wp14:sizeRelV relativeFrom="page">
              <wp14:pctHeight>0</wp14:pctHeight>
            </wp14:sizeRelV>
          </wp:anchor>
        </w:drawing>
      </w:r>
      <w:r w:rsidRPr="009E7C98">
        <w:rPr>
          <w:rFonts w:ascii="Calibri" w:hAnsi="Calibri"/>
          <w:bCs/>
          <w:i/>
          <w:iCs/>
          <w:color w:val="000000"/>
          <w:lang w:val="en-US"/>
        </w:rPr>
        <w:t>Asthma</w:t>
      </w:r>
    </w:p>
    <w:p w14:paraId="1716E838" w14:textId="77777777" w:rsidR="00DE7374" w:rsidRPr="00170035" w:rsidRDefault="00DE7374" w:rsidP="00DE7374">
      <w:pPr>
        <w:tabs>
          <w:tab w:val="left" w:pos="284"/>
        </w:tabs>
        <w:spacing w:after="0" w:line="360" w:lineRule="auto"/>
        <w:jc w:val="both"/>
        <w:rPr>
          <w:rFonts w:ascii="Calibri" w:hAnsi="Calibri"/>
          <w:bCs/>
          <w:color w:val="000000"/>
          <w:lang w:val="en-US"/>
        </w:rPr>
      </w:pPr>
      <w:r w:rsidRPr="00BF1F77">
        <w:rPr>
          <w:rFonts w:ascii="Calibri" w:hAnsi="Calibri"/>
          <w:bCs/>
          <w:color w:val="000000"/>
          <w:lang w:val="en-US"/>
        </w:rPr>
        <w:t xml:space="preserve">The prevalence of asthma was relatively uniform across the lifespan as well as between women and men. </w:t>
      </w:r>
      <w:r>
        <w:rPr>
          <w:rFonts w:ascii="Calibri" w:hAnsi="Calibri"/>
          <w:bCs/>
          <w:color w:val="000000"/>
          <w:lang w:val="en-US"/>
        </w:rPr>
        <w:t>Among children,</w:t>
      </w:r>
      <w:r w:rsidRPr="00BF1F77">
        <w:rPr>
          <w:rFonts w:ascii="Calibri" w:hAnsi="Calibri"/>
          <w:bCs/>
          <w:color w:val="000000"/>
          <w:lang w:val="en-US"/>
        </w:rPr>
        <w:t xml:space="preserve"> it was more widespread among boys than girls, affecting 7.2% of males aged 0 to 14 years, and 4.7% of females of this age.</w:t>
      </w:r>
    </w:p>
    <w:p w14:paraId="64D7649D" w14:textId="77777777" w:rsidR="00DE7374" w:rsidRDefault="00DE7374" w:rsidP="00DE7374">
      <w:pPr>
        <w:tabs>
          <w:tab w:val="left" w:pos="284"/>
        </w:tabs>
        <w:spacing w:after="0"/>
        <w:jc w:val="both"/>
        <w:rPr>
          <w:rFonts w:ascii="Calibri" w:hAnsi="Calibri"/>
          <w:b/>
          <w:color w:val="000000"/>
          <w:lang w:val="en-US"/>
        </w:rPr>
      </w:pPr>
      <w:r w:rsidRPr="00AE2063">
        <w:rPr>
          <w:rFonts w:ascii="Calibri" w:hAnsi="Calibri"/>
          <w:bCs/>
          <w:color w:val="7F7F7F" w:themeColor="text1" w:themeTint="80"/>
          <w:sz w:val="20"/>
          <w:szCs w:val="20"/>
          <w:lang w:val="en-US"/>
        </w:rPr>
        <w:t xml:space="preserve">Per cent of residents with </w:t>
      </w:r>
      <w:r>
        <w:rPr>
          <w:rFonts w:ascii="Calibri" w:hAnsi="Calibri"/>
          <w:bCs/>
          <w:color w:val="7F7F7F" w:themeColor="text1" w:themeTint="80"/>
          <w:sz w:val="20"/>
          <w:szCs w:val="20"/>
          <w:lang w:val="en-US"/>
        </w:rPr>
        <w:t>asthma</w:t>
      </w:r>
      <w:r w:rsidRPr="00AE2063">
        <w:rPr>
          <w:rFonts w:ascii="Calibri" w:hAnsi="Calibri"/>
          <w:bCs/>
          <w:color w:val="7F7F7F" w:themeColor="text1" w:themeTint="80"/>
          <w:sz w:val="20"/>
          <w:szCs w:val="20"/>
          <w:lang w:val="en-US"/>
        </w:rPr>
        <w:t>, by sex and age: Greater Dandenong, 2021</w:t>
      </w:r>
    </w:p>
    <w:p w14:paraId="363BC4AF" w14:textId="77777777" w:rsidR="00DE7374" w:rsidRDefault="00DE7374" w:rsidP="00DE7374">
      <w:pPr>
        <w:tabs>
          <w:tab w:val="left" w:pos="284"/>
        </w:tabs>
        <w:spacing w:after="0" w:line="360" w:lineRule="auto"/>
        <w:jc w:val="both"/>
        <w:rPr>
          <w:rFonts w:ascii="Calibri" w:hAnsi="Calibri"/>
          <w:bCs/>
          <w:i/>
          <w:iCs/>
          <w:color w:val="000000"/>
          <w:lang w:val="en-US"/>
        </w:rPr>
      </w:pPr>
    </w:p>
    <w:p w14:paraId="6A9F44FF" w14:textId="77777777" w:rsidR="00B70A36" w:rsidRDefault="00B70A36" w:rsidP="00DE7374">
      <w:pPr>
        <w:tabs>
          <w:tab w:val="left" w:pos="284"/>
        </w:tabs>
        <w:spacing w:after="0" w:line="360" w:lineRule="auto"/>
        <w:jc w:val="both"/>
        <w:rPr>
          <w:rFonts w:ascii="Calibri" w:hAnsi="Calibri"/>
          <w:bCs/>
          <w:i/>
          <w:iCs/>
          <w:color w:val="000000"/>
          <w:lang w:val="en-US"/>
        </w:rPr>
      </w:pPr>
    </w:p>
    <w:p w14:paraId="366837AE" w14:textId="5552F574" w:rsidR="00DE7374" w:rsidRPr="002701A8" w:rsidRDefault="00DE7374" w:rsidP="00DE7374">
      <w:pPr>
        <w:tabs>
          <w:tab w:val="left" w:pos="284"/>
        </w:tabs>
        <w:spacing w:after="0" w:line="360" w:lineRule="auto"/>
        <w:jc w:val="both"/>
        <w:rPr>
          <w:rFonts w:ascii="Calibri" w:hAnsi="Calibri"/>
          <w:bCs/>
          <w:i/>
          <w:iCs/>
          <w:color w:val="000000"/>
          <w:lang w:val="en-US"/>
        </w:rPr>
      </w:pPr>
      <w:r w:rsidRPr="00BF1F77">
        <w:rPr>
          <w:rFonts w:ascii="Calibri" w:hAnsi="Calibri"/>
          <w:bCs/>
          <w:noProof/>
          <w:color w:val="000000"/>
          <w:lang w:val="en-US"/>
        </w:rPr>
        <w:drawing>
          <wp:anchor distT="0" distB="0" distL="114300" distR="114300" simplePos="0" relativeHeight="251929600" behindDoc="0" locked="0" layoutInCell="1" allowOverlap="1" wp14:anchorId="3E2883DB" wp14:editId="335736B6">
            <wp:simplePos x="0" y="0"/>
            <wp:positionH relativeFrom="margin">
              <wp:align>right</wp:align>
            </wp:positionH>
            <wp:positionV relativeFrom="paragraph">
              <wp:posOffset>215900</wp:posOffset>
            </wp:positionV>
            <wp:extent cx="3089910" cy="2044700"/>
            <wp:effectExtent l="0" t="0" r="0" b="0"/>
            <wp:wrapSquare wrapText="bothSides"/>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3089910" cy="2044700"/>
                    </a:xfrm>
                    <a:prstGeom prst="rect">
                      <a:avLst/>
                    </a:prstGeom>
                    <a:noFill/>
                  </pic:spPr>
                </pic:pic>
              </a:graphicData>
            </a:graphic>
            <wp14:sizeRelH relativeFrom="page">
              <wp14:pctWidth>0</wp14:pctWidth>
            </wp14:sizeRelH>
            <wp14:sizeRelV relativeFrom="page">
              <wp14:pctHeight>0</wp14:pctHeight>
            </wp14:sizeRelV>
          </wp:anchor>
        </w:drawing>
      </w:r>
      <w:r w:rsidRPr="002701A8">
        <w:rPr>
          <w:rFonts w:ascii="Calibri" w:hAnsi="Calibri"/>
          <w:bCs/>
          <w:i/>
          <w:iCs/>
          <w:color w:val="000000"/>
          <w:lang w:val="en-US"/>
        </w:rPr>
        <w:t>Heart Disease</w:t>
      </w:r>
    </w:p>
    <w:p w14:paraId="572CDEC2" w14:textId="77777777" w:rsidR="00DE7374" w:rsidRPr="00170035" w:rsidRDefault="00DE7374" w:rsidP="00DE7374">
      <w:pPr>
        <w:tabs>
          <w:tab w:val="left" w:pos="284"/>
        </w:tabs>
        <w:spacing w:after="0" w:line="360" w:lineRule="auto"/>
        <w:jc w:val="both"/>
        <w:rPr>
          <w:rFonts w:ascii="Calibri" w:hAnsi="Calibri"/>
          <w:bCs/>
          <w:color w:val="000000"/>
          <w:lang w:val="en-US"/>
        </w:rPr>
      </w:pPr>
      <w:r w:rsidRPr="00BF1F77">
        <w:rPr>
          <w:rFonts w:ascii="Calibri" w:hAnsi="Calibri"/>
          <w:bCs/>
          <w:noProof/>
          <w:color w:val="000000"/>
          <w:lang w:val="en-US"/>
        </w:rPr>
        <w:t>The findings of the 2021 Census indicated that approximatley 3.5% of Greater Dandenong residents had heart disease. The prevalence of such conditions rose stteply with age, to 15% of people aged 65 or more</w:t>
      </w:r>
      <w:r>
        <w:rPr>
          <w:rFonts w:ascii="Calibri" w:hAnsi="Calibri"/>
          <w:bCs/>
          <w:noProof/>
          <w:color w:val="000000"/>
          <w:lang w:val="en-US"/>
        </w:rPr>
        <w:t>, and was most widespread among men</w:t>
      </w:r>
      <w:r w:rsidRPr="00BF1F77">
        <w:rPr>
          <w:rFonts w:ascii="Calibri" w:hAnsi="Calibri"/>
          <w:bCs/>
          <w:noProof/>
          <w:color w:val="000000"/>
          <w:lang w:val="en-US"/>
        </w:rPr>
        <w:t>.</w:t>
      </w:r>
      <w:r w:rsidRPr="00BF1F77">
        <w:rPr>
          <w:rFonts w:ascii="Calibri" w:hAnsi="Calibri"/>
          <w:bCs/>
          <w:color w:val="000000"/>
          <w:lang w:val="en-US"/>
        </w:rPr>
        <w:t xml:space="preserve"> </w:t>
      </w:r>
    </w:p>
    <w:p w14:paraId="6F6A9C6E" w14:textId="77777777" w:rsidR="00DE7374" w:rsidRDefault="00DE7374" w:rsidP="00DE7374">
      <w:pPr>
        <w:tabs>
          <w:tab w:val="left" w:pos="284"/>
        </w:tabs>
        <w:spacing w:after="0"/>
        <w:jc w:val="both"/>
        <w:rPr>
          <w:rFonts w:ascii="Calibri" w:hAnsi="Calibri"/>
          <w:b/>
          <w:color w:val="000000"/>
          <w:lang w:val="en-US"/>
        </w:rPr>
      </w:pPr>
      <w:r w:rsidRPr="00AE2063">
        <w:rPr>
          <w:rFonts w:ascii="Calibri" w:hAnsi="Calibri"/>
          <w:bCs/>
          <w:color w:val="7F7F7F" w:themeColor="text1" w:themeTint="80"/>
          <w:sz w:val="20"/>
          <w:szCs w:val="20"/>
          <w:lang w:val="en-US"/>
        </w:rPr>
        <w:t xml:space="preserve">Per cent of residents with </w:t>
      </w:r>
      <w:r>
        <w:rPr>
          <w:rFonts w:ascii="Calibri" w:hAnsi="Calibri"/>
          <w:bCs/>
          <w:color w:val="7F7F7F" w:themeColor="text1" w:themeTint="80"/>
          <w:sz w:val="20"/>
          <w:szCs w:val="20"/>
          <w:lang w:val="en-US"/>
        </w:rPr>
        <w:t>heart disease</w:t>
      </w:r>
      <w:r w:rsidRPr="00AE2063">
        <w:rPr>
          <w:rFonts w:ascii="Calibri" w:hAnsi="Calibri"/>
          <w:bCs/>
          <w:color w:val="7F7F7F" w:themeColor="text1" w:themeTint="80"/>
          <w:sz w:val="20"/>
          <w:szCs w:val="20"/>
          <w:lang w:val="en-US"/>
        </w:rPr>
        <w:t>, by sex and age: Greater Dandenong, 2021</w:t>
      </w:r>
    </w:p>
    <w:p w14:paraId="68000DA3" w14:textId="2F57E03F" w:rsidR="00DE7374" w:rsidRPr="009E7C98" w:rsidRDefault="00DE7374" w:rsidP="00DE7374">
      <w:pPr>
        <w:tabs>
          <w:tab w:val="left" w:pos="284"/>
        </w:tabs>
        <w:spacing w:after="0" w:line="360" w:lineRule="auto"/>
        <w:jc w:val="both"/>
        <w:rPr>
          <w:rFonts w:ascii="Calibri" w:hAnsi="Calibri"/>
          <w:bCs/>
          <w:i/>
          <w:iCs/>
          <w:color w:val="000000"/>
          <w:lang w:val="en-US"/>
        </w:rPr>
      </w:pPr>
      <w:r w:rsidRPr="009E7C98">
        <w:rPr>
          <w:rFonts w:ascii="Calibri" w:hAnsi="Calibri"/>
          <w:bCs/>
          <w:i/>
          <w:iCs/>
          <w:color w:val="000000"/>
          <w:lang w:val="en-US"/>
        </w:rPr>
        <w:lastRenderedPageBreak/>
        <w:t>Kidney Disease</w:t>
      </w:r>
    </w:p>
    <w:p w14:paraId="651812C9" w14:textId="77777777" w:rsidR="00DE7374" w:rsidRDefault="00DE7374" w:rsidP="00DE7374">
      <w:pPr>
        <w:tabs>
          <w:tab w:val="left" w:pos="284"/>
        </w:tabs>
        <w:spacing w:after="0" w:line="360" w:lineRule="auto"/>
        <w:jc w:val="both"/>
        <w:rPr>
          <w:rFonts w:ascii="Calibri" w:hAnsi="Calibri"/>
          <w:bCs/>
          <w:color w:val="000000"/>
          <w:lang w:val="en-US"/>
        </w:rPr>
      </w:pPr>
      <w:r w:rsidRPr="00FD30EA">
        <w:rPr>
          <w:rFonts w:ascii="Calibri" w:hAnsi="Calibri"/>
          <w:bCs/>
          <w:noProof/>
          <w:color w:val="000000"/>
          <w:lang w:val="en-US"/>
        </w:rPr>
        <w:drawing>
          <wp:anchor distT="0" distB="0" distL="114300" distR="114300" simplePos="0" relativeHeight="251930624" behindDoc="0" locked="0" layoutInCell="1" allowOverlap="1" wp14:anchorId="33DAA8E7" wp14:editId="668E7604">
            <wp:simplePos x="0" y="0"/>
            <wp:positionH relativeFrom="margin">
              <wp:align>left</wp:align>
            </wp:positionH>
            <wp:positionV relativeFrom="paragraph">
              <wp:posOffset>53975</wp:posOffset>
            </wp:positionV>
            <wp:extent cx="3300730" cy="2184400"/>
            <wp:effectExtent l="0" t="0" r="0" b="6350"/>
            <wp:wrapSquare wrapText="bothSides"/>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308383" cy="2189337"/>
                    </a:xfrm>
                    <a:prstGeom prst="rect">
                      <a:avLst/>
                    </a:prstGeom>
                    <a:noFill/>
                  </pic:spPr>
                </pic:pic>
              </a:graphicData>
            </a:graphic>
            <wp14:sizeRelH relativeFrom="page">
              <wp14:pctWidth>0</wp14:pctWidth>
            </wp14:sizeRelH>
            <wp14:sizeRelV relativeFrom="page">
              <wp14:pctHeight>0</wp14:pctHeight>
            </wp14:sizeRelV>
          </wp:anchor>
        </w:drawing>
      </w:r>
    </w:p>
    <w:p w14:paraId="67958A6D" w14:textId="7A35736E" w:rsidR="00DE7374" w:rsidRPr="00FD30EA" w:rsidRDefault="00DE7374" w:rsidP="00DE7374">
      <w:pPr>
        <w:tabs>
          <w:tab w:val="left" w:pos="284"/>
        </w:tabs>
        <w:spacing w:after="0" w:line="360" w:lineRule="auto"/>
        <w:jc w:val="both"/>
        <w:rPr>
          <w:rFonts w:ascii="Calibri" w:hAnsi="Calibri"/>
          <w:bCs/>
          <w:color w:val="000000"/>
          <w:lang w:val="en-US"/>
        </w:rPr>
      </w:pPr>
      <w:r w:rsidRPr="00FD30EA">
        <w:rPr>
          <w:rFonts w:ascii="Calibri" w:hAnsi="Calibri"/>
          <w:bCs/>
          <w:color w:val="000000"/>
          <w:lang w:val="en-US"/>
        </w:rPr>
        <w:t>Kidney disease affected approximately 1% of residents, most of them in their older age, and featuring similar proportions of men and women</w:t>
      </w:r>
      <w:r w:rsidR="00FA33DE">
        <w:rPr>
          <w:rFonts w:ascii="Calibri" w:hAnsi="Calibri"/>
          <w:bCs/>
          <w:color w:val="000000"/>
          <w:lang w:val="en-US"/>
        </w:rPr>
        <w:t>.</w:t>
      </w:r>
    </w:p>
    <w:p w14:paraId="6EEC5687" w14:textId="77777777" w:rsidR="00DE7374" w:rsidRDefault="00DE7374" w:rsidP="00DE7374">
      <w:pPr>
        <w:tabs>
          <w:tab w:val="left" w:pos="284"/>
        </w:tabs>
        <w:spacing w:after="0" w:line="360" w:lineRule="auto"/>
        <w:jc w:val="both"/>
        <w:rPr>
          <w:rFonts w:ascii="Calibri" w:hAnsi="Calibri"/>
          <w:b/>
          <w:color w:val="000000"/>
          <w:lang w:val="en-US"/>
        </w:rPr>
      </w:pPr>
    </w:p>
    <w:p w14:paraId="7BC07E90" w14:textId="77777777" w:rsidR="00DE7374" w:rsidRDefault="00DE7374" w:rsidP="00DE7374">
      <w:pPr>
        <w:tabs>
          <w:tab w:val="left" w:pos="284"/>
        </w:tabs>
        <w:spacing w:after="0"/>
        <w:jc w:val="both"/>
        <w:rPr>
          <w:rFonts w:ascii="Calibri" w:hAnsi="Calibri"/>
          <w:b/>
          <w:color w:val="000000"/>
          <w:lang w:val="en-US"/>
        </w:rPr>
      </w:pPr>
      <w:r w:rsidRPr="00AE2063">
        <w:rPr>
          <w:rFonts w:ascii="Calibri" w:hAnsi="Calibri"/>
          <w:bCs/>
          <w:color w:val="7F7F7F" w:themeColor="text1" w:themeTint="80"/>
          <w:sz w:val="20"/>
          <w:szCs w:val="20"/>
          <w:lang w:val="en-US"/>
        </w:rPr>
        <w:t xml:space="preserve">Per cent of residents with </w:t>
      </w:r>
      <w:r>
        <w:rPr>
          <w:rFonts w:ascii="Calibri" w:hAnsi="Calibri"/>
          <w:bCs/>
          <w:color w:val="7F7F7F" w:themeColor="text1" w:themeTint="80"/>
          <w:sz w:val="20"/>
          <w:szCs w:val="20"/>
          <w:lang w:val="en-US"/>
        </w:rPr>
        <w:t>kidney disease</w:t>
      </w:r>
      <w:r w:rsidRPr="00AE2063">
        <w:rPr>
          <w:rFonts w:ascii="Calibri" w:hAnsi="Calibri"/>
          <w:bCs/>
          <w:color w:val="7F7F7F" w:themeColor="text1" w:themeTint="80"/>
          <w:sz w:val="20"/>
          <w:szCs w:val="20"/>
          <w:lang w:val="en-US"/>
        </w:rPr>
        <w:t>, by sex and age: Greater Dandenong, 2021</w:t>
      </w:r>
    </w:p>
    <w:p w14:paraId="22C44E87" w14:textId="77777777" w:rsidR="00DE7374" w:rsidRDefault="00DE7374" w:rsidP="00DE7374">
      <w:pPr>
        <w:tabs>
          <w:tab w:val="left" w:pos="284"/>
        </w:tabs>
        <w:spacing w:after="0" w:line="360" w:lineRule="auto"/>
        <w:jc w:val="both"/>
        <w:rPr>
          <w:rFonts w:ascii="Calibri" w:hAnsi="Calibri"/>
          <w:b/>
          <w:color w:val="000000"/>
          <w:lang w:val="en-US"/>
        </w:rPr>
      </w:pPr>
    </w:p>
    <w:p w14:paraId="494FC3E1" w14:textId="77777777" w:rsidR="00DE7374" w:rsidRDefault="00DE7374" w:rsidP="00DE7374">
      <w:pPr>
        <w:tabs>
          <w:tab w:val="left" w:pos="284"/>
        </w:tabs>
        <w:spacing w:after="0" w:line="360" w:lineRule="auto"/>
        <w:jc w:val="both"/>
        <w:rPr>
          <w:rFonts w:ascii="Calibri" w:hAnsi="Calibri"/>
          <w:b/>
          <w:color w:val="000000"/>
          <w:lang w:val="en-US"/>
        </w:rPr>
      </w:pPr>
    </w:p>
    <w:p w14:paraId="1E7E61B0" w14:textId="77777777" w:rsidR="00A26F54" w:rsidRDefault="00A26F54" w:rsidP="00DE7374">
      <w:pPr>
        <w:tabs>
          <w:tab w:val="left" w:pos="284"/>
        </w:tabs>
        <w:spacing w:after="0" w:line="360" w:lineRule="auto"/>
        <w:jc w:val="both"/>
        <w:rPr>
          <w:rFonts w:ascii="Calibri" w:hAnsi="Calibri"/>
          <w:b/>
          <w:color w:val="000000"/>
          <w:lang w:val="en-US"/>
        </w:rPr>
      </w:pPr>
    </w:p>
    <w:p w14:paraId="141A69A1" w14:textId="35126A22" w:rsidR="00DE7374" w:rsidRPr="009C24D6" w:rsidRDefault="00DE7374" w:rsidP="00DE7374">
      <w:pPr>
        <w:tabs>
          <w:tab w:val="left" w:pos="284"/>
        </w:tabs>
        <w:spacing w:after="0" w:line="360" w:lineRule="auto"/>
        <w:jc w:val="both"/>
        <w:rPr>
          <w:rFonts w:ascii="Calibri" w:hAnsi="Calibri"/>
          <w:bCs/>
          <w:color w:val="000000"/>
          <w:lang w:val="en-US"/>
        </w:rPr>
      </w:pPr>
      <w:r w:rsidRPr="009C24D6">
        <w:rPr>
          <w:rFonts w:ascii="Calibri" w:hAnsi="Calibri"/>
          <w:bCs/>
          <w:color w:val="000000"/>
          <w:lang w:val="en-US"/>
        </w:rPr>
        <w:t>Lung Disease</w:t>
      </w:r>
    </w:p>
    <w:p w14:paraId="545305A0" w14:textId="77777777" w:rsidR="00DE7374" w:rsidRPr="00FD30EA" w:rsidRDefault="00DE7374" w:rsidP="00DE7374">
      <w:pPr>
        <w:tabs>
          <w:tab w:val="left" w:pos="284"/>
        </w:tabs>
        <w:spacing w:after="0" w:line="360" w:lineRule="auto"/>
        <w:jc w:val="both"/>
        <w:rPr>
          <w:rFonts w:ascii="Calibri" w:hAnsi="Calibri"/>
          <w:bCs/>
          <w:color w:val="000000"/>
          <w:lang w:val="en-US"/>
        </w:rPr>
      </w:pPr>
      <w:r w:rsidRPr="00FD30EA">
        <w:rPr>
          <w:rFonts w:ascii="Calibri" w:hAnsi="Calibri"/>
          <w:bCs/>
          <w:noProof/>
          <w:color w:val="000000"/>
          <w:lang w:val="en-US"/>
        </w:rPr>
        <w:drawing>
          <wp:anchor distT="0" distB="0" distL="114300" distR="114300" simplePos="0" relativeHeight="251931648" behindDoc="0" locked="0" layoutInCell="1" allowOverlap="1" wp14:anchorId="025257F7" wp14:editId="2C055069">
            <wp:simplePos x="0" y="0"/>
            <wp:positionH relativeFrom="margin">
              <wp:align>right</wp:align>
            </wp:positionH>
            <wp:positionV relativeFrom="paragraph">
              <wp:posOffset>118745</wp:posOffset>
            </wp:positionV>
            <wp:extent cx="3474720" cy="2298700"/>
            <wp:effectExtent l="0" t="0" r="0" b="6350"/>
            <wp:wrapSquare wrapText="bothSides"/>
            <wp:docPr id="282" name="Picture 28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474720" cy="2298700"/>
                    </a:xfrm>
                    <a:prstGeom prst="rect">
                      <a:avLst/>
                    </a:prstGeom>
                    <a:noFill/>
                  </pic:spPr>
                </pic:pic>
              </a:graphicData>
            </a:graphic>
            <wp14:sizeRelH relativeFrom="page">
              <wp14:pctWidth>0</wp14:pctWidth>
            </wp14:sizeRelH>
            <wp14:sizeRelV relativeFrom="page">
              <wp14:pctHeight>0</wp14:pctHeight>
            </wp14:sizeRelV>
          </wp:anchor>
        </w:drawing>
      </w:r>
      <w:r w:rsidRPr="00FD30EA">
        <w:rPr>
          <w:rFonts w:ascii="Calibri" w:hAnsi="Calibri"/>
          <w:bCs/>
          <w:color w:val="000000"/>
          <w:lang w:val="en-US"/>
        </w:rPr>
        <w:t xml:space="preserve">Lung diseases, including chronic obstructive pulmonary diseases such as emphysema and bronchiectasis, </w:t>
      </w:r>
      <w:r>
        <w:rPr>
          <w:rFonts w:ascii="Calibri" w:hAnsi="Calibri"/>
          <w:bCs/>
          <w:color w:val="000000"/>
          <w:lang w:val="en-US"/>
        </w:rPr>
        <w:t>were recorded among</w:t>
      </w:r>
      <w:r w:rsidRPr="00FD30EA">
        <w:rPr>
          <w:rFonts w:ascii="Calibri" w:hAnsi="Calibri"/>
          <w:bCs/>
          <w:color w:val="000000"/>
          <w:lang w:val="en-US"/>
        </w:rPr>
        <w:t xml:space="preserve"> approximately 1% of residents, chiefly those in their older age.</w:t>
      </w:r>
    </w:p>
    <w:p w14:paraId="100BB78D" w14:textId="77777777" w:rsidR="00DE7374" w:rsidRPr="005B1E5E" w:rsidRDefault="00DE7374" w:rsidP="00DE7374">
      <w:pPr>
        <w:tabs>
          <w:tab w:val="left" w:pos="284"/>
        </w:tabs>
        <w:spacing w:after="0" w:line="360" w:lineRule="auto"/>
        <w:jc w:val="both"/>
        <w:rPr>
          <w:rFonts w:ascii="Calibri" w:hAnsi="Calibri"/>
          <w:b/>
          <w:color w:val="000000"/>
          <w:sz w:val="8"/>
          <w:szCs w:val="8"/>
          <w:lang w:val="en-US"/>
        </w:rPr>
      </w:pPr>
    </w:p>
    <w:p w14:paraId="176600DD" w14:textId="0FD1F007" w:rsidR="00DE7374" w:rsidRDefault="00DE7374" w:rsidP="00A26F54">
      <w:pPr>
        <w:tabs>
          <w:tab w:val="left" w:pos="284"/>
        </w:tabs>
        <w:spacing w:after="0"/>
        <w:jc w:val="both"/>
        <w:rPr>
          <w:rFonts w:ascii="Calibri" w:hAnsi="Calibri"/>
          <w:bCs/>
          <w:color w:val="7F7F7F" w:themeColor="text1" w:themeTint="80"/>
          <w:sz w:val="20"/>
          <w:szCs w:val="20"/>
          <w:lang w:val="en-US"/>
        </w:rPr>
      </w:pPr>
      <w:r w:rsidRPr="00AE2063">
        <w:rPr>
          <w:rFonts w:ascii="Calibri" w:hAnsi="Calibri"/>
          <w:bCs/>
          <w:color w:val="7F7F7F" w:themeColor="text1" w:themeTint="80"/>
          <w:sz w:val="20"/>
          <w:szCs w:val="20"/>
          <w:lang w:val="en-US"/>
        </w:rPr>
        <w:t>Per cent of residents with arthritis, by sex and age: Greater Dandenong, 2021</w:t>
      </w:r>
    </w:p>
    <w:p w14:paraId="03F1E336" w14:textId="71A6379A" w:rsidR="00A26F54" w:rsidRDefault="00A26F54" w:rsidP="00A26F54">
      <w:pPr>
        <w:tabs>
          <w:tab w:val="left" w:pos="284"/>
        </w:tabs>
        <w:spacing w:after="0"/>
        <w:jc w:val="both"/>
        <w:rPr>
          <w:rFonts w:ascii="Calibri" w:hAnsi="Calibri"/>
          <w:bCs/>
          <w:color w:val="7F7F7F" w:themeColor="text1" w:themeTint="80"/>
          <w:sz w:val="20"/>
          <w:szCs w:val="20"/>
          <w:lang w:val="en-US"/>
        </w:rPr>
      </w:pPr>
    </w:p>
    <w:p w14:paraId="10AFF680" w14:textId="4990412D" w:rsidR="00A26F54" w:rsidRDefault="00A26F54" w:rsidP="00A26F54">
      <w:pPr>
        <w:tabs>
          <w:tab w:val="left" w:pos="284"/>
        </w:tabs>
        <w:spacing w:after="0"/>
        <w:jc w:val="both"/>
        <w:rPr>
          <w:rFonts w:ascii="Calibri" w:hAnsi="Calibri"/>
          <w:bCs/>
          <w:color w:val="7F7F7F" w:themeColor="text1" w:themeTint="80"/>
          <w:sz w:val="20"/>
          <w:szCs w:val="20"/>
          <w:lang w:val="en-US"/>
        </w:rPr>
      </w:pPr>
    </w:p>
    <w:p w14:paraId="3E21296C" w14:textId="193EF86B" w:rsidR="00A26F54" w:rsidRDefault="00A26F54" w:rsidP="00A26F54">
      <w:pPr>
        <w:tabs>
          <w:tab w:val="left" w:pos="284"/>
        </w:tabs>
        <w:spacing w:after="0"/>
        <w:jc w:val="both"/>
        <w:rPr>
          <w:rFonts w:ascii="Calibri" w:hAnsi="Calibri"/>
          <w:bCs/>
          <w:color w:val="7F7F7F" w:themeColor="text1" w:themeTint="80"/>
          <w:sz w:val="20"/>
          <w:szCs w:val="20"/>
          <w:lang w:val="en-US"/>
        </w:rPr>
      </w:pPr>
    </w:p>
    <w:p w14:paraId="1FCCCEBB" w14:textId="0F2395B5" w:rsidR="00A26F54" w:rsidRDefault="00A26F54" w:rsidP="00A26F54">
      <w:pPr>
        <w:tabs>
          <w:tab w:val="left" w:pos="284"/>
        </w:tabs>
        <w:spacing w:after="0"/>
        <w:jc w:val="both"/>
        <w:rPr>
          <w:rFonts w:ascii="Calibri" w:hAnsi="Calibri"/>
          <w:bCs/>
          <w:color w:val="7F7F7F" w:themeColor="text1" w:themeTint="80"/>
          <w:sz w:val="20"/>
          <w:szCs w:val="20"/>
          <w:lang w:val="en-US"/>
        </w:rPr>
      </w:pPr>
    </w:p>
    <w:p w14:paraId="6332F5F4" w14:textId="77777777" w:rsidR="00A26F54" w:rsidRPr="00A26F54" w:rsidRDefault="00A26F54" w:rsidP="00A26F54">
      <w:pPr>
        <w:tabs>
          <w:tab w:val="left" w:pos="284"/>
        </w:tabs>
        <w:spacing w:after="0"/>
        <w:jc w:val="both"/>
        <w:rPr>
          <w:rFonts w:ascii="Calibri" w:hAnsi="Calibri"/>
          <w:b/>
          <w:color w:val="000000"/>
          <w:lang w:val="en-US"/>
        </w:rPr>
      </w:pPr>
    </w:p>
    <w:p w14:paraId="3F3BE28C" w14:textId="77777777" w:rsidR="00DE7374" w:rsidRPr="009C24D6" w:rsidRDefault="00DE7374" w:rsidP="00DE7374">
      <w:pPr>
        <w:tabs>
          <w:tab w:val="left" w:pos="284"/>
        </w:tabs>
        <w:spacing w:after="0" w:line="360" w:lineRule="auto"/>
        <w:jc w:val="both"/>
        <w:rPr>
          <w:rFonts w:ascii="Calibri" w:hAnsi="Calibri"/>
          <w:bCs/>
          <w:i/>
          <w:iCs/>
          <w:color w:val="000000"/>
          <w:lang w:val="en-US"/>
        </w:rPr>
      </w:pPr>
      <w:r w:rsidRPr="009C24D6">
        <w:rPr>
          <w:rFonts w:ascii="Calibri" w:hAnsi="Calibri"/>
          <w:bCs/>
          <w:i/>
          <w:iCs/>
          <w:color w:val="000000"/>
          <w:lang w:val="en-US"/>
        </w:rPr>
        <w:t>Stroke</w:t>
      </w:r>
    </w:p>
    <w:p w14:paraId="776EDA8A" w14:textId="77777777" w:rsidR="00DE7374" w:rsidRPr="00170035" w:rsidRDefault="00DE7374" w:rsidP="00DE7374">
      <w:pPr>
        <w:tabs>
          <w:tab w:val="left" w:pos="284"/>
        </w:tabs>
        <w:spacing w:after="0" w:line="360" w:lineRule="auto"/>
        <w:jc w:val="both"/>
        <w:rPr>
          <w:rFonts w:ascii="Calibri" w:hAnsi="Calibri"/>
          <w:b/>
          <w:color w:val="000000"/>
          <w:lang w:val="en-US"/>
        </w:rPr>
      </w:pPr>
      <w:r>
        <w:rPr>
          <w:rFonts w:ascii="Calibri" w:hAnsi="Calibri"/>
          <w:b/>
          <w:noProof/>
          <w:color w:val="000000"/>
          <w:lang w:val="en-US"/>
        </w:rPr>
        <w:drawing>
          <wp:anchor distT="0" distB="0" distL="114300" distR="114300" simplePos="0" relativeHeight="251932672" behindDoc="0" locked="0" layoutInCell="1" allowOverlap="1" wp14:anchorId="62EA9008" wp14:editId="5BA4631D">
            <wp:simplePos x="0" y="0"/>
            <wp:positionH relativeFrom="margin">
              <wp:align>left</wp:align>
            </wp:positionH>
            <wp:positionV relativeFrom="paragraph">
              <wp:posOffset>532130</wp:posOffset>
            </wp:positionV>
            <wp:extent cx="3321050" cy="2196465"/>
            <wp:effectExtent l="0" t="0" r="0" b="0"/>
            <wp:wrapSquare wrapText="bothSides"/>
            <wp:docPr id="283" name="Picture 28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ar chart&#10;&#10;Description automatically generated"/>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3321050" cy="2196465"/>
                    </a:xfrm>
                    <a:prstGeom prst="rect">
                      <a:avLst/>
                    </a:prstGeom>
                    <a:noFill/>
                  </pic:spPr>
                </pic:pic>
              </a:graphicData>
            </a:graphic>
            <wp14:sizeRelH relativeFrom="page">
              <wp14:pctWidth>0</wp14:pctWidth>
            </wp14:sizeRelH>
            <wp14:sizeRelV relativeFrom="page">
              <wp14:pctHeight>0</wp14:pctHeight>
            </wp14:sizeRelV>
          </wp:anchor>
        </w:drawing>
      </w:r>
      <w:r w:rsidRPr="00FD30EA">
        <w:rPr>
          <w:rFonts w:ascii="Calibri" w:hAnsi="Calibri"/>
          <w:bCs/>
          <w:color w:val="000000"/>
          <w:lang w:val="en-US"/>
        </w:rPr>
        <w:t xml:space="preserve">About 1% of residents </w:t>
      </w:r>
      <w:r>
        <w:rPr>
          <w:rFonts w:ascii="Calibri" w:hAnsi="Calibri"/>
          <w:bCs/>
          <w:color w:val="000000"/>
          <w:lang w:val="en-US"/>
        </w:rPr>
        <w:t xml:space="preserve">stated that they </w:t>
      </w:r>
      <w:r w:rsidRPr="00FD30EA">
        <w:rPr>
          <w:rFonts w:ascii="Calibri" w:hAnsi="Calibri"/>
          <w:bCs/>
          <w:color w:val="000000"/>
          <w:lang w:val="en-US"/>
        </w:rPr>
        <w:t>were living with the effects of stroke. Here too, those affected with such conditions were largely in their older age, where males predominated.</w:t>
      </w:r>
    </w:p>
    <w:p w14:paraId="72C2DD7C" w14:textId="77777777" w:rsidR="00DE7374" w:rsidRDefault="00DE7374" w:rsidP="00DE7374">
      <w:pPr>
        <w:tabs>
          <w:tab w:val="left" w:pos="284"/>
        </w:tabs>
        <w:spacing w:after="0" w:line="360" w:lineRule="auto"/>
        <w:jc w:val="both"/>
        <w:rPr>
          <w:rFonts w:ascii="Calibri" w:hAnsi="Calibri"/>
          <w:b/>
          <w:color w:val="000000"/>
          <w:lang w:val="en-US"/>
        </w:rPr>
      </w:pPr>
    </w:p>
    <w:p w14:paraId="38B7D9E7" w14:textId="77777777" w:rsidR="00DE7374" w:rsidRDefault="00DE7374" w:rsidP="00DE7374">
      <w:pPr>
        <w:tabs>
          <w:tab w:val="left" w:pos="284"/>
        </w:tabs>
        <w:spacing w:after="0"/>
        <w:jc w:val="both"/>
        <w:rPr>
          <w:rFonts w:ascii="Calibri" w:hAnsi="Calibri"/>
          <w:b/>
          <w:color w:val="000000"/>
          <w:lang w:val="en-US"/>
        </w:rPr>
      </w:pPr>
      <w:r w:rsidRPr="00AE2063">
        <w:rPr>
          <w:rFonts w:ascii="Calibri" w:hAnsi="Calibri"/>
          <w:bCs/>
          <w:color w:val="7F7F7F" w:themeColor="text1" w:themeTint="80"/>
          <w:sz w:val="20"/>
          <w:szCs w:val="20"/>
          <w:lang w:val="en-US"/>
        </w:rPr>
        <w:t xml:space="preserve">Per cent of residents with </w:t>
      </w:r>
      <w:r>
        <w:rPr>
          <w:rFonts w:ascii="Calibri" w:hAnsi="Calibri"/>
          <w:bCs/>
          <w:color w:val="7F7F7F" w:themeColor="text1" w:themeTint="80"/>
          <w:sz w:val="20"/>
          <w:szCs w:val="20"/>
          <w:lang w:val="en-US"/>
        </w:rPr>
        <w:t>stroke</w:t>
      </w:r>
      <w:r w:rsidRPr="00AE2063">
        <w:rPr>
          <w:rFonts w:ascii="Calibri" w:hAnsi="Calibri"/>
          <w:bCs/>
          <w:color w:val="7F7F7F" w:themeColor="text1" w:themeTint="80"/>
          <w:sz w:val="20"/>
          <w:szCs w:val="20"/>
          <w:lang w:val="en-US"/>
        </w:rPr>
        <w:t>, by sex and age: Greater Dandenong, 2021</w:t>
      </w:r>
    </w:p>
    <w:p w14:paraId="002F5680" w14:textId="39B297D4" w:rsidR="00DE7374" w:rsidRDefault="00DE7374" w:rsidP="00DE7374">
      <w:pPr>
        <w:tabs>
          <w:tab w:val="left" w:pos="284"/>
        </w:tabs>
        <w:spacing w:after="0" w:line="360" w:lineRule="auto"/>
        <w:jc w:val="both"/>
        <w:rPr>
          <w:rFonts w:ascii="Calibri" w:hAnsi="Calibri"/>
          <w:b/>
          <w:color w:val="000000"/>
          <w:lang w:val="en-US"/>
        </w:rPr>
      </w:pPr>
    </w:p>
    <w:p w14:paraId="18E29671" w14:textId="77777777" w:rsidR="00A26F54" w:rsidRDefault="00A26F54" w:rsidP="00DE7374">
      <w:pPr>
        <w:tabs>
          <w:tab w:val="left" w:pos="284"/>
        </w:tabs>
        <w:spacing w:after="0" w:line="360" w:lineRule="auto"/>
        <w:jc w:val="both"/>
        <w:rPr>
          <w:rFonts w:ascii="Calibri" w:hAnsi="Calibri"/>
          <w:bCs/>
          <w:i/>
          <w:iCs/>
          <w:color w:val="000000"/>
          <w:lang w:val="en-US"/>
        </w:rPr>
      </w:pPr>
    </w:p>
    <w:p w14:paraId="1B0C04E3" w14:textId="77777777" w:rsidR="00A26F54" w:rsidRDefault="00A26F54" w:rsidP="00DE7374">
      <w:pPr>
        <w:tabs>
          <w:tab w:val="left" w:pos="284"/>
        </w:tabs>
        <w:spacing w:after="0" w:line="360" w:lineRule="auto"/>
        <w:jc w:val="both"/>
        <w:rPr>
          <w:rFonts w:ascii="Calibri" w:hAnsi="Calibri"/>
          <w:bCs/>
          <w:i/>
          <w:iCs/>
          <w:color w:val="000000"/>
          <w:lang w:val="en-US"/>
        </w:rPr>
      </w:pPr>
    </w:p>
    <w:p w14:paraId="0126D4B1" w14:textId="77777777" w:rsidR="00A26F54" w:rsidRDefault="00A26F54" w:rsidP="00DE7374">
      <w:pPr>
        <w:tabs>
          <w:tab w:val="left" w:pos="284"/>
        </w:tabs>
        <w:spacing w:after="0" w:line="360" w:lineRule="auto"/>
        <w:jc w:val="both"/>
        <w:rPr>
          <w:rFonts w:ascii="Calibri" w:hAnsi="Calibri"/>
          <w:bCs/>
          <w:i/>
          <w:iCs/>
          <w:color w:val="000000"/>
          <w:lang w:val="en-US"/>
        </w:rPr>
      </w:pPr>
    </w:p>
    <w:p w14:paraId="0AF1B52C" w14:textId="77777777" w:rsidR="00A26F54" w:rsidRDefault="00A26F54" w:rsidP="00DE7374">
      <w:pPr>
        <w:tabs>
          <w:tab w:val="left" w:pos="284"/>
        </w:tabs>
        <w:spacing w:after="0" w:line="360" w:lineRule="auto"/>
        <w:jc w:val="both"/>
        <w:rPr>
          <w:rFonts w:ascii="Calibri" w:hAnsi="Calibri"/>
          <w:bCs/>
          <w:i/>
          <w:iCs/>
          <w:color w:val="000000"/>
          <w:lang w:val="en-US"/>
        </w:rPr>
      </w:pPr>
    </w:p>
    <w:p w14:paraId="66AA5A02" w14:textId="77777777" w:rsidR="00A26F54" w:rsidRDefault="00A26F54" w:rsidP="00DE7374">
      <w:pPr>
        <w:tabs>
          <w:tab w:val="left" w:pos="284"/>
        </w:tabs>
        <w:spacing w:after="0" w:line="360" w:lineRule="auto"/>
        <w:jc w:val="both"/>
        <w:rPr>
          <w:rFonts w:ascii="Calibri" w:hAnsi="Calibri"/>
          <w:bCs/>
          <w:i/>
          <w:iCs/>
          <w:color w:val="000000"/>
          <w:lang w:val="en-US"/>
        </w:rPr>
      </w:pPr>
    </w:p>
    <w:p w14:paraId="6A862FE9" w14:textId="77777777" w:rsidR="00A26F54" w:rsidRDefault="00A26F54" w:rsidP="00DE7374">
      <w:pPr>
        <w:tabs>
          <w:tab w:val="left" w:pos="284"/>
        </w:tabs>
        <w:spacing w:after="0" w:line="360" w:lineRule="auto"/>
        <w:jc w:val="both"/>
        <w:rPr>
          <w:rFonts w:ascii="Calibri" w:hAnsi="Calibri"/>
          <w:bCs/>
          <w:i/>
          <w:iCs/>
          <w:color w:val="000000"/>
          <w:lang w:val="en-US"/>
        </w:rPr>
      </w:pPr>
    </w:p>
    <w:p w14:paraId="5D763E78" w14:textId="77777777" w:rsidR="00A26F54" w:rsidRDefault="00A26F54" w:rsidP="00DE7374">
      <w:pPr>
        <w:tabs>
          <w:tab w:val="left" w:pos="284"/>
        </w:tabs>
        <w:spacing w:after="0" w:line="360" w:lineRule="auto"/>
        <w:jc w:val="both"/>
        <w:rPr>
          <w:rFonts w:ascii="Calibri" w:hAnsi="Calibri"/>
          <w:bCs/>
          <w:i/>
          <w:iCs/>
          <w:color w:val="000000"/>
          <w:lang w:val="en-US"/>
        </w:rPr>
      </w:pPr>
    </w:p>
    <w:p w14:paraId="33162F56" w14:textId="38E8FE72" w:rsidR="00DE7374" w:rsidRDefault="00DE7374" w:rsidP="00DE7374">
      <w:pPr>
        <w:tabs>
          <w:tab w:val="left" w:pos="284"/>
        </w:tabs>
        <w:spacing w:after="0" w:line="360" w:lineRule="auto"/>
        <w:jc w:val="both"/>
        <w:rPr>
          <w:rFonts w:ascii="Calibri" w:hAnsi="Calibri"/>
          <w:bCs/>
          <w:i/>
          <w:iCs/>
          <w:color w:val="000000"/>
          <w:lang w:val="en-US"/>
        </w:rPr>
      </w:pPr>
      <w:r w:rsidRPr="003D3751">
        <w:rPr>
          <w:rFonts w:ascii="Calibri" w:hAnsi="Calibri"/>
          <w:bCs/>
          <w:i/>
          <w:iCs/>
          <w:color w:val="000000"/>
          <w:lang w:val="en-US"/>
        </w:rPr>
        <w:lastRenderedPageBreak/>
        <w:t>Chronic Illnesses: All ages</w:t>
      </w:r>
    </w:p>
    <w:p w14:paraId="7522D0FB" w14:textId="674FD601" w:rsidR="00DE7374" w:rsidRPr="00FD30EA" w:rsidRDefault="00DE7374" w:rsidP="00DE7374">
      <w:pPr>
        <w:tabs>
          <w:tab w:val="left" w:pos="284"/>
        </w:tabs>
        <w:spacing w:after="0" w:line="360" w:lineRule="auto"/>
        <w:jc w:val="both"/>
        <w:rPr>
          <w:rFonts w:ascii="Calibri" w:hAnsi="Calibri"/>
          <w:bCs/>
          <w:color w:val="000000"/>
          <w:lang w:val="en-US"/>
        </w:rPr>
      </w:pPr>
      <w:r w:rsidRPr="00FD30EA">
        <w:rPr>
          <w:rFonts w:ascii="Calibri" w:hAnsi="Calibri"/>
          <w:bCs/>
          <w:color w:val="000000"/>
          <w:lang w:val="en-US"/>
        </w:rPr>
        <w:t xml:space="preserve">This and two accompanying charts, </w:t>
      </w:r>
      <w:r>
        <w:rPr>
          <w:rFonts w:ascii="Calibri" w:hAnsi="Calibri"/>
          <w:bCs/>
          <w:color w:val="000000"/>
          <w:lang w:val="en-US"/>
        </w:rPr>
        <w:t xml:space="preserve">further </w:t>
      </w:r>
      <w:r w:rsidRPr="00FD30EA">
        <w:rPr>
          <w:rFonts w:ascii="Calibri" w:hAnsi="Calibri"/>
          <w:bCs/>
          <w:color w:val="000000"/>
          <w:lang w:val="en-US"/>
        </w:rPr>
        <w:t>below, illustrate the prevalence of these chronic conditions among Greater Dandenong residents.</w:t>
      </w:r>
    </w:p>
    <w:p w14:paraId="53B81422" w14:textId="240F40E2" w:rsidR="00DE7374" w:rsidRPr="00FD30EA" w:rsidRDefault="00DE7374" w:rsidP="00DE7374">
      <w:pPr>
        <w:tabs>
          <w:tab w:val="left" w:pos="284"/>
        </w:tabs>
        <w:spacing w:after="0" w:line="360" w:lineRule="auto"/>
        <w:jc w:val="both"/>
        <w:rPr>
          <w:rFonts w:ascii="Calibri" w:hAnsi="Calibri"/>
          <w:bCs/>
          <w:color w:val="000000"/>
          <w:lang w:val="en-US"/>
        </w:rPr>
      </w:pPr>
      <w:r w:rsidRPr="00FD30EA">
        <w:rPr>
          <w:rFonts w:ascii="Calibri" w:hAnsi="Calibri"/>
          <w:bCs/>
          <w:color w:val="000000"/>
          <w:lang w:val="en-US"/>
        </w:rPr>
        <w:t>Asthma, diabetes mellitus and arthritis are the most common, each affecting over</w:t>
      </w:r>
      <w:r>
        <w:rPr>
          <w:rFonts w:ascii="Calibri" w:hAnsi="Calibri"/>
          <w:bCs/>
          <w:color w:val="000000"/>
          <w:lang w:val="en-US"/>
        </w:rPr>
        <w:t xml:space="preserve"> </w:t>
      </w:r>
      <w:r w:rsidRPr="00FD30EA">
        <w:rPr>
          <w:rFonts w:ascii="Calibri" w:hAnsi="Calibri"/>
          <w:bCs/>
          <w:color w:val="000000"/>
          <w:lang w:val="en-US"/>
        </w:rPr>
        <w:t xml:space="preserve">6 % of </w:t>
      </w:r>
      <w:r>
        <w:rPr>
          <w:rFonts w:ascii="Calibri" w:hAnsi="Calibri"/>
          <w:bCs/>
          <w:color w:val="000000"/>
          <w:lang w:val="en-US"/>
        </w:rPr>
        <w:t>residents</w:t>
      </w:r>
      <w:r w:rsidRPr="00FD30EA">
        <w:rPr>
          <w:rFonts w:ascii="Calibri" w:hAnsi="Calibri"/>
          <w:bCs/>
          <w:color w:val="000000"/>
          <w:lang w:val="en-US"/>
        </w:rPr>
        <w:t>.</w:t>
      </w:r>
    </w:p>
    <w:p w14:paraId="57E94C5E" w14:textId="0E3AB0E7" w:rsidR="00DE7374" w:rsidRPr="00FD30EA" w:rsidRDefault="001C0639" w:rsidP="00DE7374">
      <w:pPr>
        <w:tabs>
          <w:tab w:val="left" w:pos="284"/>
        </w:tabs>
        <w:spacing w:after="0" w:line="360" w:lineRule="auto"/>
        <w:jc w:val="both"/>
        <w:rPr>
          <w:rFonts w:ascii="Calibri" w:hAnsi="Calibri"/>
          <w:bCs/>
          <w:i/>
          <w:iCs/>
          <w:color w:val="000000"/>
          <w:sz w:val="8"/>
          <w:szCs w:val="8"/>
          <w:lang w:val="en-US"/>
        </w:rPr>
      </w:pPr>
      <w:r w:rsidRPr="00FD30EA">
        <w:rPr>
          <w:rFonts w:ascii="Calibri" w:hAnsi="Calibri"/>
          <w:b/>
          <w:noProof/>
          <w:color w:val="000000"/>
          <w:lang w:val="en-US"/>
        </w:rPr>
        <w:drawing>
          <wp:anchor distT="0" distB="0" distL="114300" distR="114300" simplePos="0" relativeHeight="252106752" behindDoc="0" locked="0" layoutInCell="1" allowOverlap="1" wp14:anchorId="67350F4A" wp14:editId="7CA14E81">
            <wp:simplePos x="0" y="0"/>
            <wp:positionH relativeFrom="margin">
              <wp:align>left</wp:align>
            </wp:positionH>
            <wp:positionV relativeFrom="paragraph">
              <wp:posOffset>26035</wp:posOffset>
            </wp:positionV>
            <wp:extent cx="3032125" cy="2193290"/>
            <wp:effectExtent l="0" t="0" r="0" b="0"/>
            <wp:wrapSquare wrapText="bothSides"/>
            <wp:docPr id="284" name="Picture 284"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Chart, bar chart, histogram&#10;&#10;Description automatically generated"/>
                    <pic:cNvPicPr>
                      <a:picLocks noChangeAspect="1" noChangeArrowheads="1"/>
                    </pic:cNvPicPr>
                  </pic:nvPicPr>
                  <pic:blipFill rotWithShape="1">
                    <a:blip r:embed="rId237">
                      <a:extLst>
                        <a:ext uri="{28A0092B-C50C-407E-A947-70E740481C1C}">
                          <a14:useLocalDpi xmlns:a14="http://schemas.microsoft.com/office/drawing/2010/main" val="0"/>
                        </a:ext>
                      </a:extLst>
                    </a:blip>
                    <a:srcRect t="8248" b="2059"/>
                    <a:stretch/>
                  </pic:blipFill>
                  <pic:spPr bwMode="auto">
                    <a:xfrm>
                      <a:off x="0" y="0"/>
                      <a:ext cx="3032125" cy="2193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7D55B5" w14:textId="313D0D79" w:rsidR="00A26F54" w:rsidRDefault="00A26F54" w:rsidP="00DE7374">
      <w:pPr>
        <w:tabs>
          <w:tab w:val="left" w:pos="284"/>
        </w:tabs>
        <w:spacing w:after="0"/>
        <w:jc w:val="both"/>
        <w:rPr>
          <w:rFonts w:ascii="Calibri" w:hAnsi="Calibri"/>
          <w:bCs/>
          <w:color w:val="7F7F7F" w:themeColor="text1" w:themeTint="80"/>
          <w:sz w:val="20"/>
          <w:szCs w:val="20"/>
          <w:lang w:val="en-US"/>
        </w:rPr>
      </w:pPr>
    </w:p>
    <w:p w14:paraId="232F9D42" w14:textId="2D8F6174" w:rsidR="00A26F54" w:rsidRDefault="00A26F54" w:rsidP="00DE7374">
      <w:pPr>
        <w:tabs>
          <w:tab w:val="left" w:pos="284"/>
        </w:tabs>
        <w:spacing w:after="0"/>
        <w:jc w:val="both"/>
        <w:rPr>
          <w:rFonts w:ascii="Calibri" w:hAnsi="Calibri"/>
          <w:bCs/>
          <w:color w:val="7F7F7F" w:themeColor="text1" w:themeTint="80"/>
          <w:sz w:val="20"/>
          <w:szCs w:val="20"/>
          <w:lang w:val="en-US"/>
        </w:rPr>
      </w:pPr>
    </w:p>
    <w:p w14:paraId="2C23A132" w14:textId="24ACB1FF" w:rsidR="00DE7374" w:rsidRPr="002701A8" w:rsidRDefault="00DE7374" w:rsidP="00DE7374">
      <w:pPr>
        <w:tabs>
          <w:tab w:val="left" w:pos="284"/>
        </w:tabs>
        <w:spacing w:after="0"/>
        <w:jc w:val="both"/>
        <w:rPr>
          <w:rFonts w:ascii="Calibri" w:hAnsi="Calibri"/>
          <w:bCs/>
          <w:color w:val="7F7F7F" w:themeColor="text1" w:themeTint="80"/>
          <w:sz w:val="20"/>
          <w:szCs w:val="20"/>
          <w:lang w:val="en-US"/>
        </w:rPr>
      </w:pPr>
      <w:r w:rsidRPr="002701A8">
        <w:rPr>
          <w:rFonts w:ascii="Calibri" w:hAnsi="Calibri"/>
          <w:bCs/>
          <w:color w:val="7F7F7F" w:themeColor="text1" w:themeTint="80"/>
          <w:sz w:val="20"/>
          <w:szCs w:val="20"/>
          <w:lang w:val="en-US"/>
        </w:rPr>
        <w:t>Prevalence of Selected Chronic Illnesses: persons of all ages, Greater Dandenong, 2021</w:t>
      </w:r>
    </w:p>
    <w:p w14:paraId="6DEBB5FB" w14:textId="2E948D19" w:rsidR="00DE7374" w:rsidRDefault="00DE7374" w:rsidP="00DE7374">
      <w:pPr>
        <w:tabs>
          <w:tab w:val="left" w:pos="284"/>
        </w:tabs>
        <w:spacing w:after="0" w:line="360" w:lineRule="auto"/>
        <w:jc w:val="both"/>
        <w:rPr>
          <w:rFonts w:ascii="Calibri" w:hAnsi="Calibri"/>
          <w:bCs/>
          <w:i/>
          <w:iCs/>
          <w:color w:val="000000"/>
          <w:lang w:val="en-US"/>
        </w:rPr>
      </w:pPr>
    </w:p>
    <w:p w14:paraId="06B14E94" w14:textId="71B25FCD" w:rsidR="00DE7374" w:rsidRDefault="00DE7374" w:rsidP="00DE7374">
      <w:pPr>
        <w:tabs>
          <w:tab w:val="left" w:pos="284"/>
        </w:tabs>
        <w:spacing w:after="0" w:line="360" w:lineRule="auto"/>
        <w:jc w:val="both"/>
        <w:rPr>
          <w:rFonts w:ascii="Calibri" w:hAnsi="Calibri"/>
          <w:bCs/>
          <w:i/>
          <w:iCs/>
          <w:color w:val="000000"/>
          <w:lang w:val="en-US"/>
        </w:rPr>
      </w:pPr>
    </w:p>
    <w:p w14:paraId="63122DE3" w14:textId="47BE0C28" w:rsidR="00A26F54" w:rsidRDefault="00A26F54" w:rsidP="00DE7374">
      <w:pPr>
        <w:tabs>
          <w:tab w:val="left" w:pos="284"/>
        </w:tabs>
        <w:spacing w:after="0" w:line="360" w:lineRule="auto"/>
        <w:jc w:val="both"/>
        <w:rPr>
          <w:rFonts w:ascii="Calibri" w:hAnsi="Calibri"/>
          <w:bCs/>
          <w:i/>
          <w:iCs/>
          <w:color w:val="000000"/>
          <w:lang w:val="en-US"/>
        </w:rPr>
      </w:pPr>
    </w:p>
    <w:p w14:paraId="72C700BF" w14:textId="7498ABC4" w:rsidR="00A26F54" w:rsidRDefault="00A26F54" w:rsidP="00DE7374">
      <w:pPr>
        <w:tabs>
          <w:tab w:val="left" w:pos="284"/>
        </w:tabs>
        <w:spacing w:after="0" w:line="360" w:lineRule="auto"/>
        <w:jc w:val="both"/>
        <w:rPr>
          <w:rFonts w:ascii="Calibri" w:hAnsi="Calibri"/>
          <w:bCs/>
          <w:i/>
          <w:iCs/>
          <w:color w:val="000000"/>
          <w:lang w:val="en-US"/>
        </w:rPr>
      </w:pPr>
    </w:p>
    <w:p w14:paraId="2E29EC0D" w14:textId="1A32C169" w:rsidR="00A26F54" w:rsidRDefault="00A26F54" w:rsidP="00DE7374">
      <w:pPr>
        <w:tabs>
          <w:tab w:val="left" w:pos="284"/>
        </w:tabs>
        <w:spacing w:after="0" w:line="360" w:lineRule="auto"/>
        <w:jc w:val="both"/>
        <w:rPr>
          <w:rFonts w:ascii="Calibri" w:hAnsi="Calibri"/>
          <w:bCs/>
          <w:i/>
          <w:iCs/>
          <w:color w:val="000000"/>
          <w:lang w:val="en-US"/>
        </w:rPr>
      </w:pPr>
    </w:p>
    <w:p w14:paraId="5B2048EC" w14:textId="74BF769E" w:rsidR="00DE7374" w:rsidRDefault="001C0639" w:rsidP="00DE7374">
      <w:pPr>
        <w:tabs>
          <w:tab w:val="left" w:pos="284"/>
        </w:tabs>
        <w:spacing w:after="0" w:line="360" w:lineRule="auto"/>
        <w:jc w:val="both"/>
        <w:rPr>
          <w:rFonts w:ascii="Calibri" w:hAnsi="Calibri"/>
          <w:bCs/>
          <w:i/>
          <w:iCs/>
          <w:color w:val="000000"/>
          <w:lang w:val="en-US"/>
        </w:rPr>
      </w:pPr>
      <w:r>
        <w:rPr>
          <w:rFonts w:ascii="Calibri" w:hAnsi="Calibri"/>
          <w:noProof/>
          <w:color w:val="000000"/>
          <w:lang w:val="en-US"/>
        </w:rPr>
        <w:drawing>
          <wp:anchor distT="0" distB="0" distL="114300" distR="114300" simplePos="0" relativeHeight="251937792" behindDoc="0" locked="0" layoutInCell="1" allowOverlap="1" wp14:anchorId="7B684CDF" wp14:editId="4C1FBE08">
            <wp:simplePos x="0" y="0"/>
            <wp:positionH relativeFrom="margin">
              <wp:posOffset>4785678</wp:posOffset>
            </wp:positionH>
            <wp:positionV relativeFrom="paragraph">
              <wp:posOffset>6668</wp:posOffset>
            </wp:positionV>
            <wp:extent cx="1224980" cy="1057275"/>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bby gardening 1.jp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1224980" cy="1057275"/>
                    </a:xfrm>
                    <a:prstGeom prst="rect">
                      <a:avLst/>
                    </a:prstGeom>
                    <a:ln>
                      <a:noFill/>
                    </a:ln>
                    <a:effectLst>
                      <a:softEdge rad="127000"/>
                    </a:effectLst>
                  </pic:spPr>
                </pic:pic>
              </a:graphicData>
            </a:graphic>
            <wp14:sizeRelH relativeFrom="margin">
              <wp14:pctWidth>0</wp14:pctWidth>
            </wp14:sizeRelH>
            <wp14:sizeRelV relativeFrom="margin">
              <wp14:pctHeight>0</wp14:pctHeight>
            </wp14:sizeRelV>
          </wp:anchor>
        </w:drawing>
      </w:r>
    </w:p>
    <w:p w14:paraId="694F0FB8" w14:textId="3EA1C2A6" w:rsidR="00A26F54" w:rsidRDefault="001C0639" w:rsidP="00DE7374">
      <w:pPr>
        <w:tabs>
          <w:tab w:val="left" w:pos="284"/>
        </w:tabs>
        <w:spacing w:after="0" w:line="360" w:lineRule="auto"/>
        <w:jc w:val="both"/>
        <w:rPr>
          <w:rFonts w:ascii="Calibri" w:hAnsi="Calibri"/>
          <w:bCs/>
          <w:i/>
          <w:iCs/>
          <w:color w:val="000000"/>
          <w:lang w:val="en-US"/>
        </w:rPr>
      </w:pPr>
      <w:r>
        <w:rPr>
          <w:rFonts w:ascii="Calibri" w:hAnsi="Calibri"/>
          <w:b/>
          <w:noProof/>
          <w:color w:val="000000"/>
          <w:lang w:val="en-US"/>
        </w:rPr>
        <w:drawing>
          <wp:anchor distT="0" distB="0" distL="114300" distR="114300" simplePos="0" relativeHeight="251934720" behindDoc="0" locked="0" layoutInCell="1" allowOverlap="1" wp14:anchorId="069BE492" wp14:editId="7DC15299">
            <wp:simplePos x="0" y="0"/>
            <wp:positionH relativeFrom="margin">
              <wp:posOffset>2936875</wp:posOffset>
            </wp:positionH>
            <wp:positionV relativeFrom="paragraph">
              <wp:posOffset>240030</wp:posOffset>
            </wp:positionV>
            <wp:extent cx="3129915" cy="2522855"/>
            <wp:effectExtent l="0" t="0" r="0" b="0"/>
            <wp:wrapSquare wrapText="bothSides"/>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9">
                      <a:extLst>
                        <a:ext uri="{28A0092B-C50C-407E-A947-70E740481C1C}">
                          <a14:useLocalDpi xmlns:a14="http://schemas.microsoft.com/office/drawing/2010/main" val="0"/>
                        </a:ext>
                      </a:extLst>
                    </a:blip>
                    <a:srcRect t="5811" r="1961" b="2579"/>
                    <a:stretch/>
                  </pic:blipFill>
                  <pic:spPr bwMode="auto">
                    <a:xfrm>
                      <a:off x="0" y="0"/>
                      <a:ext cx="3129915" cy="2522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9A78AE" w14:textId="345C4513" w:rsidR="00DE7374" w:rsidRPr="003D3751" w:rsidRDefault="00DE7374" w:rsidP="00DE7374">
      <w:pPr>
        <w:tabs>
          <w:tab w:val="left" w:pos="284"/>
        </w:tabs>
        <w:spacing w:after="0" w:line="360" w:lineRule="auto"/>
        <w:jc w:val="both"/>
        <w:rPr>
          <w:rFonts w:ascii="Calibri" w:hAnsi="Calibri"/>
          <w:bCs/>
          <w:i/>
          <w:iCs/>
          <w:color w:val="000000"/>
          <w:lang w:val="en-US"/>
        </w:rPr>
      </w:pPr>
      <w:r w:rsidRPr="003D3751">
        <w:rPr>
          <w:rFonts w:ascii="Calibri" w:hAnsi="Calibri"/>
          <w:bCs/>
          <w:i/>
          <w:iCs/>
          <w:color w:val="000000"/>
          <w:lang w:val="en-US"/>
        </w:rPr>
        <w:t xml:space="preserve">Chronic Illnesses: </w:t>
      </w:r>
      <w:r>
        <w:rPr>
          <w:rFonts w:ascii="Calibri" w:hAnsi="Calibri"/>
          <w:bCs/>
          <w:i/>
          <w:iCs/>
          <w:color w:val="000000"/>
          <w:lang w:val="en-US"/>
        </w:rPr>
        <w:t>persons aged 15-24</w:t>
      </w:r>
    </w:p>
    <w:p w14:paraId="411450C0" w14:textId="7EFBD490" w:rsidR="00DE7374" w:rsidRPr="00FD30EA" w:rsidRDefault="00DE7374" w:rsidP="00DE7374">
      <w:pPr>
        <w:tabs>
          <w:tab w:val="left" w:pos="284"/>
        </w:tabs>
        <w:spacing w:after="0" w:line="360" w:lineRule="auto"/>
        <w:jc w:val="both"/>
        <w:rPr>
          <w:rFonts w:ascii="Calibri" w:hAnsi="Calibri"/>
          <w:bCs/>
          <w:color w:val="000000"/>
          <w:lang w:val="en-US"/>
        </w:rPr>
      </w:pPr>
      <w:r w:rsidRPr="00FD30EA">
        <w:rPr>
          <w:rFonts w:ascii="Calibri" w:hAnsi="Calibri"/>
          <w:bCs/>
          <w:color w:val="000000"/>
          <w:lang w:val="en-US"/>
        </w:rPr>
        <w:t>Among young people though, asthma and mental health conditions predominate among the chronic conditions affecting this age group.</w:t>
      </w:r>
    </w:p>
    <w:p w14:paraId="6EE1F0DC" w14:textId="77777777" w:rsidR="00DE7374" w:rsidRDefault="00DE7374" w:rsidP="00DE7374">
      <w:pPr>
        <w:tabs>
          <w:tab w:val="left" w:pos="284"/>
        </w:tabs>
        <w:spacing w:after="0" w:line="360" w:lineRule="auto"/>
        <w:jc w:val="both"/>
        <w:rPr>
          <w:rFonts w:ascii="Calibri" w:hAnsi="Calibri"/>
          <w:b/>
          <w:color w:val="000000"/>
          <w:lang w:val="en-US"/>
        </w:rPr>
      </w:pPr>
    </w:p>
    <w:p w14:paraId="6CE21B89" w14:textId="3C48F4A7" w:rsidR="00DE7374" w:rsidRPr="002701A8" w:rsidRDefault="00DE7374" w:rsidP="00DE7374">
      <w:pPr>
        <w:tabs>
          <w:tab w:val="left" w:pos="284"/>
        </w:tabs>
        <w:spacing w:after="0"/>
        <w:jc w:val="both"/>
        <w:rPr>
          <w:rFonts w:ascii="Calibri" w:hAnsi="Calibri"/>
          <w:bCs/>
          <w:color w:val="7F7F7F" w:themeColor="text1" w:themeTint="80"/>
          <w:sz w:val="20"/>
          <w:szCs w:val="20"/>
          <w:lang w:val="en-US"/>
        </w:rPr>
      </w:pPr>
      <w:r w:rsidRPr="002701A8">
        <w:rPr>
          <w:rFonts w:ascii="Calibri" w:hAnsi="Calibri"/>
          <w:bCs/>
          <w:color w:val="7F7F7F" w:themeColor="text1" w:themeTint="80"/>
          <w:sz w:val="20"/>
          <w:szCs w:val="20"/>
          <w:lang w:val="en-US"/>
        </w:rPr>
        <w:t xml:space="preserve">Prevalence of Selected Chronic Illnesses: persons </w:t>
      </w:r>
      <w:r>
        <w:rPr>
          <w:rFonts w:ascii="Calibri" w:hAnsi="Calibri"/>
          <w:bCs/>
          <w:color w:val="7F7F7F" w:themeColor="text1" w:themeTint="80"/>
          <w:sz w:val="20"/>
          <w:szCs w:val="20"/>
          <w:lang w:val="en-US"/>
        </w:rPr>
        <w:t>aged 20-24</w:t>
      </w:r>
      <w:r w:rsidRPr="002701A8">
        <w:rPr>
          <w:rFonts w:ascii="Calibri" w:hAnsi="Calibri"/>
          <w:bCs/>
          <w:color w:val="7F7F7F" w:themeColor="text1" w:themeTint="80"/>
          <w:sz w:val="20"/>
          <w:szCs w:val="20"/>
          <w:lang w:val="en-US"/>
        </w:rPr>
        <w:t>, Greater Dandenong, 2021</w:t>
      </w:r>
    </w:p>
    <w:p w14:paraId="39473B19" w14:textId="74D6EFEE" w:rsidR="00DE7374" w:rsidRDefault="00DE7374" w:rsidP="00DE7374">
      <w:pPr>
        <w:tabs>
          <w:tab w:val="left" w:pos="284"/>
        </w:tabs>
        <w:spacing w:after="0" w:line="360" w:lineRule="auto"/>
        <w:jc w:val="both"/>
        <w:rPr>
          <w:rFonts w:ascii="Calibri" w:hAnsi="Calibri"/>
          <w:b/>
          <w:color w:val="000000"/>
          <w:lang w:val="en-US"/>
        </w:rPr>
      </w:pPr>
    </w:p>
    <w:p w14:paraId="7C85ABEB" w14:textId="7F8BDD43" w:rsidR="00DE7374" w:rsidRDefault="00DE7374" w:rsidP="00DE7374">
      <w:pPr>
        <w:tabs>
          <w:tab w:val="left" w:pos="284"/>
        </w:tabs>
        <w:spacing w:after="0" w:line="360" w:lineRule="auto"/>
        <w:jc w:val="both"/>
        <w:rPr>
          <w:rFonts w:ascii="Calibri" w:hAnsi="Calibri"/>
          <w:b/>
          <w:color w:val="000000"/>
          <w:lang w:val="en-US"/>
        </w:rPr>
      </w:pPr>
    </w:p>
    <w:p w14:paraId="33B4606E" w14:textId="77777777" w:rsidR="001C0639" w:rsidRDefault="001C0639" w:rsidP="00DE7374">
      <w:pPr>
        <w:tabs>
          <w:tab w:val="left" w:pos="284"/>
        </w:tabs>
        <w:spacing w:after="0" w:line="360" w:lineRule="auto"/>
        <w:jc w:val="both"/>
        <w:rPr>
          <w:rFonts w:ascii="Calibri" w:hAnsi="Calibri"/>
          <w:b/>
          <w:color w:val="000000"/>
          <w:lang w:val="en-US"/>
        </w:rPr>
      </w:pPr>
    </w:p>
    <w:p w14:paraId="4659D6A2" w14:textId="77777777" w:rsidR="001C0639" w:rsidRDefault="001C0639" w:rsidP="00DE7374">
      <w:pPr>
        <w:tabs>
          <w:tab w:val="left" w:pos="284"/>
        </w:tabs>
        <w:spacing w:after="0" w:line="360" w:lineRule="auto"/>
        <w:jc w:val="both"/>
        <w:rPr>
          <w:rFonts w:ascii="Calibri" w:hAnsi="Calibri"/>
          <w:b/>
          <w:color w:val="000000"/>
          <w:lang w:val="en-US"/>
        </w:rPr>
      </w:pPr>
    </w:p>
    <w:p w14:paraId="2F215514" w14:textId="7A77C76E" w:rsidR="00DE7374" w:rsidRDefault="001C0639" w:rsidP="00DE7374">
      <w:pPr>
        <w:tabs>
          <w:tab w:val="left" w:pos="284"/>
        </w:tabs>
        <w:spacing w:after="0" w:line="360" w:lineRule="auto"/>
        <w:jc w:val="both"/>
        <w:rPr>
          <w:rFonts w:ascii="Calibri" w:hAnsi="Calibri"/>
          <w:b/>
          <w:color w:val="000000"/>
          <w:lang w:val="en-US"/>
        </w:rPr>
      </w:pPr>
      <w:r w:rsidRPr="0094182C">
        <w:rPr>
          <w:rFonts w:ascii="Calibri" w:hAnsi="Calibri"/>
          <w:bCs/>
          <w:noProof/>
          <w:color w:val="000000"/>
          <w:lang w:val="en-US"/>
        </w:rPr>
        <w:drawing>
          <wp:anchor distT="0" distB="0" distL="114300" distR="114300" simplePos="0" relativeHeight="251935744" behindDoc="0" locked="0" layoutInCell="1" allowOverlap="1" wp14:anchorId="79BF24AF" wp14:editId="4F95DB82">
            <wp:simplePos x="0" y="0"/>
            <wp:positionH relativeFrom="margin">
              <wp:posOffset>93980</wp:posOffset>
            </wp:positionH>
            <wp:positionV relativeFrom="paragraph">
              <wp:posOffset>255588</wp:posOffset>
            </wp:positionV>
            <wp:extent cx="2844800" cy="2299335"/>
            <wp:effectExtent l="0" t="0" r="0" b="5715"/>
            <wp:wrapSquare wrapText="bothSides"/>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pic:cNvPicPr>
                      <a:picLocks noChangeAspect="1" noChangeArrowheads="1"/>
                    </pic:cNvPicPr>
                  </pic:nvPicPr>
                  <pic:blipFill rotWithShape="1">
                    <a:blip r:embed="rId240">
                      <a:extLst>
                        <a:ext uri="{28A0092B-C50C-407E-A947-70E740481C1C}">
                          <a14:useLocalDpi xmlns:a14="http://schemas.microsoft.com/office/drawing/2010/main" val="0"/>
                        </a:ext>
                      </a:extLst>
                    </a:blip>
                    <a:srcRect t="5540" r="2309" b="2926"/>
                    <a:stretch/>
                  </pic:blipFill>
                  <pic:spPr bwMode="auto">
                    <a:xfrm>
                      <a:off x="0" y="0"/>
                      <a:ext cx="2844800" cy="2299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C999BD" w14:textId="10D29A57" w:rsidR="00DE7374" w:rsidRPr="003D3751" w:rsidRDefault="00DE7374" w:rsidP="00DE7374">
      <w:pPr>
        <w:tabs>
          <w:tab w:val="left" w:pos="284"/>
        </w:tabs>
        <w:spacing w:after="0" w:line="360" w:lineRule="auto"/>
        <w:jc w:val="both"/>
        <w:rPr>
          <w:rFonts w:ascii="Calibri" w:hAnsi="Calibri"/>
          <w:bCs/>
          <w:i/>
          <w:iCs/>
          <w:color w:val="000000"/>
          <w:lang w:val="en-US"/>
        </w:rPr>
      </w:pPr>
      <w:r w:rsidRPr="003D3751">
        <w:rPr>
          <w:rFonts w:ascii="Calibri" w:hAnsi="Calibri"/>
          <w:bCs/>
          <w:i/>
          <w:iCs/>
          <w:color w:val="000000"/>
          <w:lang w:val="en-US"/>
        </w:rPr>
        <w:t xml:space="preserve">Chronic Illnesses: </w:t>
      </w:r>
      <w:r>
        <w:rPr>
          <w:rFonts w:ascii="Calibri" w:hAnsi="Calibri"/>
          <w:bCs/>
          <w:i/>
          <w:iCs/>
          <w:color w:val="000000"/>
          <w:lang w:val="en-US"/>
        </w:rPr>
        <w:t>persons aged 65 or more</w:t>
      </w:r>
    </w:p>
    <w:p w14:paraId="4D1BA759" w14:textId="33C440D5" w:rsidR="00DE7374" w:rsidRPr="0094182C" w:rsidRDefault="00DE7374" w:rsidP="00DE7374">
      <w:pPr>
        <w:tabs>
          <w:tab w:val="left" w:pos="284"/>
        </w:tabs>
        <w:spacing w:after="0" w:line="360" w:lineRule="auto"/>
        <w:jc w:val="both"/>
        <w:rPr>
          <w:rFonts w:ascii="Calibri" w:hAnsi="Calibri"/>
          <w:bCs/>
          <w:color w:val="000000"/>
          <w:lang w:val="en-US"/>
        </w:rPr>
      </w:pPr>
      <w:r w:rsidRPr="0094182C">
        <w:rPr>
          <w:rFonts w:ascii="Calibri" w:hAnsi="Calibri"/>
          <w:bCs/>
          <w:color w:val="000000"/>
          <w:lang w:val="en-US"/>
        </w:rPr>
        <w:t>By contrast, among people aged 65 years or more, all of these chronic conditions affect an appreciable number of Greater Dandeno</w:t>
      </w:r>
      <w:r>
        <w:rPr>
          <w:rFonts w:ascii="Calibri" w:hAnsi="Calibri"/>
          <w:bCs/>
          <w:color w:val="000000"/>
          <w:lang w:val="en-US"/>
        </w:rPr>
        <w:t>n</w:t>
      </w:r>
      <w:r w:rsidRPr="0094182C">
        <w:rPr>
          <w:rFonts w:ascii="Calibri" w:hAnsi="Calibri"/>
          <w:bCs/>
          <w:color w:val="000000"/>
          <w:lang w:val="en-US"/>
        </w:rPr>
        <w:t>g residents</w:t>
      </w:r>
      <w:r>
        <w:rPr>
          <w:rFonts w:ascii="Calibri" w:hAnsi="Calibri"/>
          <w:bCs/>
          <w:color w:val="000000"/>
          <w:lang w:val="en-US"/>
        </w:rPr>
        <w:t>. A</w:t>
      </w:r>
      <w:r w:rsidRPr="0094182C">
        <w:rPr>
          <w:rFonts w:ascii="Calibri" w:hAnsi="Calibri"/>
          <w:bCs/>
          <w:color w:val="000000"/>
          <w:lang w:val="en-US"/>
        </w:rPr>
        <w:t>mong them</w:t>
      </w:r>
      <w:r>
        <w:rPr>
          <w:rFonts w:ascii="Calibri" w:hAnsi="Calibri"/>
          <w:bCs/>
          <w:color w:val="000000"/>
          <w:lang w:val="en-US"/>
        </w:rPr>
        <w:t xml:space="preserve"> are</w:t>
      </w:r>
      <w:r w:rsidRPr="0094182C">
        <w:rPr>
          <w:rFonts w:ascii="Calibri" w:hAnsi="Calibri"/>
          <w:bCs/>
          <w:color w:val="000000"/>
          <w:lang w:val="en-US"/>
        </w:rPr>
        <w:t xml:space="preserve"> diabetes mellitus and heart disease, </w:t>
      </w:r>
      <w:r>
        <w:rPr>
          <w:rFonts w:ascii="Calibri" w:hAnsi="Calibri"/>
          <w:bCs/>
          <w:color w:val="000000"/>
          <w:lang w:val="en-US"/>
        </w:rPr>
        <w:t>which each affect</w:t>
      </w:r>
      <w:r w:rsidRPr="0094182C">
        <w:rPr>
          <w:rFonts w:ascii="Calibri" w:hAnsi="Calibri"/>
          <w:bCs/>
          <w:color w:val="000000"/>
          <w:lang w:val="en-US"/>
        </w:rPr>
        <w:t xml:space="preserve"> </w:t>
      </w:r>
      <w:r>
        <w:rPr>
          <w:rFonts w:ascii="Calibri" w:hAnsi="Calibri"/>
          <w:bCs/>
          <w:color w:val="000000"/>
          <w:lang w:val="en-US"/>
        </w:rPr>
        <w:t>at least</w:t>
      </w:r>
      <w:r w:rsidRPr="0094182C">
        <w:rPr>
          <w:rFonts w:ascii="Calibri" w:hAnsi="Calibri"/>
          <w:bCs/>
          <w:color w:val="000000"/>
          <w:lang w:val="en-US"/>
        </w:rPr>
        <w:t xml:space="preserve"> one in six older residents.</w:t>
      </w:r>
    </w:p>
    <w:p w14:paraId="38EFEA4F" w14:textId="77777777" w:rsidR="00DE7374" w:rsidRDefault="00DE7374" w:rsidP="00DE7374">
      <w:pPr>
        <w:tabs>
          <w:tab w:val="left" w:pos="284"/>
        </w:tabs>
        <w:spacing w:after="0" w:line="360" w:lineRule="auto"/>
        <w:jc w:val="both"/>
        <w:rPr>
          <w:rFonts w:ascii="Calibri" w:hAnsi="Calibri"/>
          <w:b/>
          <w:color w:val="000000"/>
          <w:lang w:val="en-US"/>
        </w:rPr>
      </w:pPr>
    </w:p>
    <w:p w14:paraId="045AAC57" w14:textId="1514143A" w:rsidR="00DE7374" w:rsidRPr="001C0639" w:rsidRDefault="00DE7374" w:rsidP="001C0639">
      <w:pPr>
        <w:tabs>
          <w:tab w:val="left" w:pos="284"/>
        </w:tabs>
        <w:spacing w:after="0"/>
        <w:jc w:val="both"/>
        <w:rPr>
          <w:rFonts w:ascii="Calibri" w:hAnsi="Calibri"/>
          <w:bCs/>
          <w:color w:val="7F7F7F" w:themeColor="text1" w:themeTint="80"/>
          <w:sz w:val="20"/>
          <w:szCs w:val="20"/>
          <w:lang w:val="en-US"/>
        </w:rPr>
      </w:pPr>
      <w:r w:rsidRPr="002701A8">
        <w:rPr>
          <w:rFonts w:ascii="Calibri" w:hAnsi="Calibri"/>
          <w:bCs/>
          <w:color w:val="7F7F7F" w:themeColor="text1" w:themeTint="80"/>
          <w:sz w:val="20"/>
          <w:szCs w:val="20"/>
          <w:lang w:val="en-US"/>
        </w:rPr>
        <w:t xml:space="preserve">Prevalence of Selected Chronic Illnesses: persons </w:t>
      </w:r>
      <w:r>
        <w:rPr>
          <w:rFonts w:ascii="Calibri" w:hAnsi="Calibri"/>
          <w:bCs/>
          <w:color w:val="7F7F7F" w:themeColor="text1" w:themeTint="80"/>
          <w:sz w:val="20"/>
          <w:szCs w:val="20"/>
          <w:lang w:val="en-US"/>
        </w:rPr>
        <w:t>aged 65+</w:t>
      </w:r>
      <w:r w:rsidRPr="002701A8">
        <w:rPr>
          <w:rFonts w:ascii="Calibri" w:hAnsi="Calibri"/>
          <w:bCs/>
          <w:color w:val="7F7F7F" w:themeColor="text1" w:themeTint="80"/>
          <w:sz w:val="20"/>
          <w:szCs w:val="20"/>
          <w:lang w:val="en-US"/>
        </w:rPr>
        <w:t>, Greater Dandenong, 2021</w:t>
      </w:r>
    </w:p>
    <w:p w14:paraId="59C4687E" w14:textId="129F3495" w:rsidR="00DE7374" w:rsidRDefault="00DE7374">
      <w:r>
        <w:br w:type="page"/>
      </w:r>
    </w:p>
    <w:p w14:paraId="1A62B9B0" w14:textId="77777777" w:rsidR="00DE7374" w:rsidRPr="004137A9" w:rsidRDefault="00DE7374" w:rsidP="00DE7374">
      <w:pPr>
        <w:pBdr>
          <w:top w:val="single" w:sz="4" w:space="1" w:color="auto"/>
          <w:bottom w:val="single" w:sz="4" w:space="1" w:color="auto"/>
        </w:pBdr>
        <w:tabs>
          <w:tab w:val="center" w:pos="4678"/>
        </w:tabs>
        <w:jc w:val="center"/>
        <w:rPr>
          <w:rFonts w:ascii="Calibri" w:eastAsia="PMingLiU" w:hAnsi="Calibri"/>
          <w:noProof/>
          <w:sz w:val="32"/>
          <w:szCs w:val="32"/>
          <w:lang w:val="en-US" w:eastAsia="zh-TW"/>
        </w:rPr>
      </w:pPr>
      <w:r>
        <w:rPr>
          <w:rFonts w:ascii="Calibri" w:eastAsia="PMingLiU" w:hAnsi="Calibri"/>
          <w:noProof/>
          <w:sz w:val="32"/>
          <w:szCs w:val="32"/>
          <w:lang w:val="en-US" w:eastAsia="zh-TW"/>
        </w:rPr>
        <w:lastRenderedPageBreak/>
        <w:t>Exercise, Sport and Physical</w:t>
      </w:r>
      <w:r w:rsidRPr="004137A9">
        <w:rPr>
          <w:rFonts w:ascii="Calibri" w:eastAsia="PMingLiU" w:hAnsi="Calibri"/>
          <w:noProof/>
          <w:sz w:val="32"/>
          <w:szCs w:val="32"/>
          <w:lang w:val="en-US" w:eastAsia="zh-TW"/>
        </w:rPr>
        <w:t xml:space="preserve"> Recreation</w:t>
      </w:r>
    </w:p>
    <w:p w14:paraId="587A5380" w14:textId="77777777" w:rsidR="00DE7374" w:rsidRPr="00250720" w:rsidRDefault="00DE7374" w:rsidP="00DE7374">
      <w:pPr>
        <w:spacing w:after="0" w:line="360" w:lineRule="auto"/>
        <w:jc w:val="both"/>
        <w:rPr>
          <w:rFonts w:ascii="Calibri" w:hAnsi="Calibri"/>
          <w:b/>
          <w:sz w:val="12"/>
          <w:szCs w:val="12"/>
          <w:lang w:val="en-US"/>
        </w:rPr>
      </w:pPr>
    </w:p>
    <w:p w14:paraId="67E2490A" w14:textId="77777777" w:rsidR="00DE7374" w:rsidRPr="000A087A" w:rsidRDefault="00DE7374" w:rsidP="00DE7374">
      <w:pPr>
        <w:spacing w:after="0" w:line="360" w:lineRule="auto"/>
        <w:jc w:val="both"/>
        <w:rPr>
          <w:rFonts w:ascii="Calibri" w:hAnsi="Calibri"/>
          <w:b/>
          <w:lang w:val="en-US"/>
        </w:rPr>
      </w:pPr>
      <w:r>
        <w:rPr>
          <w:rFonts w:ascii="Calibri" w:hAnsi="Calibri"/>
          <w:noProof/>
          <w:lang w:val="en-US"/>
        </w:rPr>
        <w:drawing>
          <wp:anchor distT="0" distB="0" distL="114300" distR="114300" simplePos="0" relativeHeight="251940864" behindDoc="0" locked="0" layoutInCell="1" allowOverlap="1" wp14:anchorId="304649DA" wp14:editId="138BEE64">
            <wp:simplePos x="0" y="0"/>
            <wp:positionH relativeFrom="column">
              <wp:posOffset>4332605</wp:posOffset>
            </wp:positionH>
            <wp:positionV relativeFrom="paragraph">
              <wp:posOffset>52705</wp:posOffset>
            </wp:positionV>
            <wp:extent cx="1871345" cy="1337945"/>
            <wp:effectExtent l="0" t="0" r="0" b="0"/>
            <wp:wrapSquare wrapText="bothSides"/>
            <wp:docPr id="294" name="Picture 1" descr="netball.png"/>
            <wp:cNvGraphicFramePr/>
            <a:graphic xmlns:a="http://schemas.openxmlformats.org/drawingml/2006/main">
              <a:graphicData uri="http://schemas.openxmlformats.org/drawingml/2006/picture">
                <pic:pic xmlns:pic="http://schemas.openxmlformats.org/drawingml/2006/picture">
                  <pic:nvPicPr>
                    <pic:cNvPr id="161" name="Picture 160" descr="netball.png"/>
                    <pic:cNvPicPr>
                      <a:picLocks/>
                    </pic:cNvPicPr>
                  </pic:nvPicPr>
                  <pic:blipFill>
                    <a:blip r:embed="rId241" cstate="print"/>
                    <a:stretch>
                      <a:fillRect/>
                    </a:stretch>
                  </pic:blipFill>
                  <pic:spPr>
                    <a:xfrm>
                      <a:off x="0" y="0"/>
                      <a:ext cx="1871345" cy="1337945"/>
                    </a:xfrm>
                    <a:prstGeom prst="rect">
                      <a:avLst/>
                    </a:prstGeom>
                    <a:ln>
                      <a:noFill/>
                    </a:ln>
                    <a:effectLst>
                      <a:softEdge rad="317500"/>
                    </a:effectLst>
                  </pic:spPr>
                </pic:pic>
              </a:graphicData>
            </a:graphic>
            <wp14:sizeRelH relativeFrom="margin">
              <wp14:pctWidth>0</wp14:pctWidth>
            </wp14:sizeRelH>
            <wp14:sizeRelV relativeFrom="margin">
              <wp14:pctHeight>0</wp14:pctHeight>
            </wp14:sizeRelV>
          </wp:anchor>
        </w:drawing>
      </w:r>
      <w:r>
        <w:rPr>
          <w:rFonts w:ascii="Calibri" w:hAnsi="Calibri"/>
          <w:b/>
          <w:lang w:val="en-US"/>
        </w:rPr>
        <w:t>Benefits of Physical Activity</w:t>
      </w:r>
    </w:p>
    <w:p w14:paraId="6F18E1EA" w14:textId="77777777" w:rsidR="00DE7374" w:rsidRDefault="00DE7374" w:rsidP="00DE7374">
      <w:pPr>
        <w:spacing w:after="0" w:line="360" w:lineRule="auto"/>
        <w:jc w:val="both"/>
        <w:rPr>
          <w:rFonts w:ascii="Calibri" w:hAnsi="Calibri"/>
          <w:lang w:val="en-US"/>
        </w:rPr>
      </w:pPr>
      <w:r>
        <w:rPr>
          <w:rFonts w:ascii="Calibri" w:hAnsi="Calibri"/>
          <w:lang w:val="en-US"/>
        </w:rPr>
        <w:t>Physical activity</w:t>
      </w:r>
      <w:r w:rsidRPr="00E44BA1">
        <w:rPr>
          <w:rFonts w:ascii="Calibri" w:hAnsi="Calibri"/>
          <w:lang w:val="en-US"/>
        </w:rPr>
        <w:t xml:space="preserve"> among children and adults </w:t>
      </w:r>
      <w:r>
        <w:rPr>
          <w:rFonts w:ascii="Calibri" w:hAnsi="Calibri"/>
          <w:lang w:val="en-US"/>
        </w:rPr>
        <w:t xml:space="preserve">reduces </w:t>
      </w:r>
      <w:r w:rsidRPr="00E44BA1">
        <w:rPr>
          <w:rFonts w:ascii="Calibri" w:hAnsi="Calibri"/>
          <w:lang w:val="en-US"/>
        </w:rPr>
        <w:t>heart disease</w:t>
      </w:r>
      <w:r>
        <w:rPr>
          <w:rFonts w:ascii="Calibri" w:hAnsi="Calibri"/>
          <w:lang w:val="en-US"/>
        </w:rPr>
        <w:t>; helps prevent</w:t>
      </w:r>
      <w:r w:rsidRPr="00E44BA1">
        <w:rPr>
          <w:rFonts w:ascii="Calibri" w:hAnsi="Calibri"/>
          <w:lang w:val="en-US"/>
        </w:rPr>
        <w:t xml:space="preserve"> stroke</w:t>
      </w:r>
      <w:r>
        <w:rPr>
          <w:rFonts w:ascii="Calibri" w:hAnsi="Calibri"/>
          <w:lang w:val="en-US"/>
        </w:rPr>
        <w:t xml:space="preserve"> </w:t>
      </w:r>
      <w:r w:rsidRPr="00E44BA1">
        <w:rPr>
          <w:rFonts w:ascii="Calibri" w:hAnsi="Calibri"/>
          <w:lang w:val="en-US"/>
        </w:rPr>
        <w:t>and high blood pressure;</w:t>
      </w:r>
      <w:r>
        <w:rPr>
          <w:rFonts w:ascii="Calibri" w:hAnsi="Calibri"/>
          <w:lang w:val="en-US"/>
        </w:rPr>
        <w:t xml:space="preserve"> minimizes</w:t>
      </w:r>
      <w:r w:rsidRPr="00E44BA1">
        <w:rPr>
          <w:rFonts w:ascii="Calibri" w:hAnsi="Calibri"/>
          <w:lang w:val="en-US"/>
        </w:rPr>
        <w:t xml:space="preserve"> the </w:t>
      </w:r>
      <w:r>
        <w:rPr>
          <w:rFonts w:ascii="Calibri" w:hAnsi="Calibri"/>
          <w:lang w:val="en-US"/>
        </w:rPr>
        <w:t>probability</w:t>
      </w:r>
      <w:r w:rsidRPr="00E44BA1">
        <w:rPr>
          <w:rFonts w:ascii="Calibri" w:hAnsi="Calibri"/>
          <w:lang w:val="en-US"/>
        </w:rPr>
        <w:t xml:space="preserve"> of developing type</w:t>
      </w:r>
      <w:r>
        <w:rPr>
          <w:rFonts w:ascii="Calibri" w:hAnsi="Calibri"/>
          <w:lang w:val="en-US"/>
        </w:rPr>
        <w:t>-</w:t>
      </w:r>
      <w:r w:rsidRPr="00E44BA1">
        <w:rPr>
          <w:rFonts w:ascii="Calibri" w:hAnsi="Calibri"/>
          <w:lang w:val="en-US"/>
        </w:rPr>
        <w:t xml:space="preserve">two diabetes; </w:t>
      </w:r>
      <w:r>
        <w:rPr>
          <w:rFonts w:ascii="Calibri" w:hAnsi="Calibri"/>
          <w:lang w:val="en-US"/>
        </w:rPr>
        <w:t xml:space="preserve">lowers the prospect of breast and colon cancer; </w:t>
      </w:r>
      <w:r w:rsidRPr="00E44BA1">
        <w:rPr>
          <w:rFonts w:ascii="Calibri" w:hAnsi="Calibri"/>
          <w:lang w:val="en-US"/>
        </w:rPr>
        <w:t>build</w:t>
      </w:r>
      <w:r>
        <w:rPr>
          <w:rFonts w:ascii="Calibri" w:hAnsi="Calibri"/>
          <w:lang w:val="en-US"/>
        </w:rPr>
        <w:t>s</w:t>
      </w:r>
      <w:r w:rsidRPr="00E44BA1">
        <w:rPr>
          <w:rFonts w:ascii="Calibri" w:hAnsi="Calibri"/>
          <w:lang w:val="en-US"/>
        </w:rPr>
        <w:t xml:space="preserve"> healthy bones,</w:t>
      </w:r>
      <w:r>
        <w:rPr>
          <w:rFonts w:ascii="Calibri" w:hAnsi="Calibri"/>
          <w:lang w:val="en-US"/>
        </w:rPr>
        <w:t xml:space="preserve"> muscles and joints; and promotes</w:t>
      </w:r>
      <w:r w:rsidRPr="00E44BA1">
        <w:rPr>
          <w:rFonts w:ascii="Calibri" w:hAnsi="Calibri"/>
          <w:lang w:val="en-US"/>
        </w:rPr>
        <w:t xml:space="preserve"> mental health and social </w:t>
      </w:r>
      <w:r>
        <w:rPr>
          <w:rFonts w:ascii="Calibri" w:hAnsi="Calibri"/>
          <w:lang w:val="en-US"/>
        </w:rPr>
        <w:t>connection.</w:t>
      </w:r>
    </w:p>
    <w:p w14:paraId="289FD3AE" w14:textId="77777777" w:rsidR="00DE7374" w:rsidRPr="00250720" w:rsidRDefault="00DE7374" w:rsidP="00DE7374">
      <w:pPr>
        <w:spacing w:after="0"/>
        <w:jc w:val="both"/>
        <w:rPr>
          <w:rFonts w:ascii="Calibri" w:hAnsi="Calibri"/>
          <w:b/>
          <w:sz w:val="8"/>
          <w:szCs w:val="8"/>
          <w:lang w:val="en-US"/>
        </w:rPr>
      </w:pPr>
    </w:p>
    <w:p w14:paraId="168895DA" w14:textId="77777777" w:rsidR="00DE7374" w:rsidRPr="000A087A" w:rsidRDefault="00DE7374" w:rsidP="00DE7374">
      <w:pPr>
        <w:spacing w:after="0" w:line="360" w:lineRule="auto"/>
        <w:jc w:val="both"/>
        <w:rPr>
          <w:rFonts w:ascii="Calibri" w:hAnsi="Calibri"/>
          <w:b/>
          <w:lang w:val="en-US"/>
        </w:rPr>
      </w:pPr>
      <w:r w:rsidRPr="000A087A">
        <w:rPr>
          <w:rFonts w:ascii="Calibri" w:hAnsi="Calibri"/>
          <w:b/>
          <w:lang w:val="en-US"/>
        </w:rPr>
        <w:t xml:space="preserve">Physical Activity </w:t>
      </w:r>
      <w:r>
        <w:rPr>
          <w:rFonts w:ascii="Calibri" w:hAnsi="Calibri"/>
          <w:b/>
          <w:lang w:val="en-US"/>
        </w:rPr>
        <w:t>a</w:t>
      </w:r>
      <w:r w:rsidRPr="000A087A">
        <w:rPr>
          <w:rFonts w:ascii="Calibri" w:hAnsi="Calibri"/>
          <w:b/>
          <w:lang w:val="en-US"/>
        </w:rPr>
        <w:t>mong the General Population</w:t>
      </w:r>
    </w:p>
    <w:p w14:paraId="10E9854B" w14:textId="77777777" w:rsidR="00DE7374" w:rsidRDefault="00DE7374" w:rsidP="00DE7374">
      <w:pPr>
        <w:spacing w:after="0" w:line="360" w:lineRule="auto"/>
        <w:jc w:val="both"/>
      </w:pPr>
      <w:r>
        <w:rPr>
          <w:noProof/>
          <w:lang w:val="en-US"/>
        </w:rPr>
        <w:drawing>
          <wp:anchor distT="0" distB="0" distL="114300" distR="114300" simplePos="0" relativeHeight="251942912" behindDoc="0" locked="0" layoutInCell="1" allowOverlap="1" wp14:anchorId="7A451CA9" wp14:editId="48697149">
            <wp:simplePos x="0" y="0"/>
            <wp:positionH relativeFrom="column">
              <wp:posOffset>22860</wp:posOffset>
            </wp:positionH>
            <wp:positionV relativeFrom="paragraph">
              <wp:posOffset>35560</wp:posOffset>
            </wp:positionV>
            <wp:extent cx="3206750" cy="2446020"/>
            <wp:effectExtent l="0" t="0" r="0" b="0"/>
            <wp:wrapSquare wrapText="bothSides"/>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3206750" cy="2446020"/>
                    </a:xfrm>
                    <a:prstGeom prst="rect">
                      <a:avLst/>
                    </a:prstGeom>
                    <a:noFill/>
                  </pic:spPr>
                </pic:pic>
              </a:graphicData>
            </a:graphic>
            <wp14:sizeRelH relativeFrom="margin">
              <wp14:pctWidth>0</wp14:pctWidth>
            </wp14:sizeRelH>
            <wp14:sizeRelV relativeFrom="margin">
              <wp14:pctHeight>0</wp14:pctHeight>
            </wp14:sizeRelV>
          </wp:anchor>
        </w:drawing>
      </w:r>
    </w:p>
    <w:p w14:paraId="69AB5174" w14:textId="77777777" w:rsidR="00DE7374" w:rsidRPr="00BB194E" w:rsidRDefault="00DE7374" w:rsidP="00DE7374">
      <w:pPr>
        <w:spacing w:after="0" w:line="360" w:lineRule="auto"/>
        <w:jc w:val="both"/>
      </w:pPr>
      <w:r>
        <w:t>The 2018 National Health Survey found that a</w:t>
      </w:r>
      <w:r w:rsidRPr="00BB194E">
        <w:t>pproximately one in ten 15</w:t>
      </w:r>
      <w:r>
        <w:t xml:space="preserve"> </w:t>
      </w:r>
      <w:r w:rsidRPr="00BB194E">
        <w:t>to 17 year-olds obtain no exercise</w:t>
      </w:r>
      <w:r>
        <w:t xml:space="preserve"> in a typical week. </w:t>
      </w:r>
      <w:r w:rsidRPr="00BB194E">
        <w:t xml:space="preserve">This figure </w:t>
      </w:r>
      <w:r>
        <w:t>rose</w:t>
      </w:r>
      <w:r w:rsidRPr="00BB194E">
        <w:t xml:space="preserve"> gradually throughout adulthood to nearly one in five people aged 55-64, before </w:t>
      </w:r>
      <w:r>
        <w:t>swelling</w:t>
      </w:r>
      <w:r w:rsidRPr="00BB194E">
        <w:t xml:space="preserve"> in older age to over half of </w:t>
      </w:r>
      <w:r>
        <w:t>Australians</w:t>
      </w:r>
      <w:r w:rsidRPr="00BB194E">
        <w:t xml:space="preserve"> aged 85 years or more.</w:t>
      </w:r>
    </w:p>
    <w:p w14:paraId="6C60CCB8" w14:textId="77777777" w:rsidR="00DE7374" w:rsidRPr="008654C3" w:rsidRDefault="00DE7374" w:rsidP="00DE7374">
      <w:pPr>
        <w:spacing w:after="0" w:line="360" w:lineRule="auto"/>
        <w:jc w:val="both"/>
        <w:rPr>
          <w:sz w:val="8"/>
          <w:szCs w:val="8"/>
        </w:rPr>
      </w:pPr>
    </w:p>
    <w:p w14:paraId="589A992A" w14:textId="77777777" w:rsidR="00DE7374" w:rsidRPr="00973C5B" w:rsidRDefault="00DE7374" w:rsidP="00DE7374">
      <w:pPr>
        <w:spacing w:after="0"/>
        <w:jc w:val="both"/>
        <w:rPr>
          <w:color w:val="7F7F7F" w:themeColor="text1" w:themeTint="80"/>
          <w:sz w:val="20"/>
          <w:szCs w:val="20"/>
        </w:rPr>
      </w:pPr>
      <w:r w:rsidRPr="00973C5B">
        <w:rPr>
          <w:color w:val="7F7F7F" w:themeColor="text1" w:themeTint="80"/>
          <w:sz w:val="20"/>
          <w:szCs w:val="20"/>
        </w:rPr>
        <w:t>Per cent of persons who engage in no physical exercise in a typical week: Australia, 2018</w:t>
      </w:r>
    </w:p>
    <w:p w14:paraId="3DF2D6DF" w14:textId="77777777" w:rsidR="00DE7374" w:rsidRPr="008654C3" w:rsidRDefault="00DE7374" w:rsidP="00DE7374">
      <w:pPr>
        <w:spacing w:after="0" w:line="360" w:lineRule="auto"/>
        <w:jc w:val="both"/>
        <w:rPr>
          <w:sz w:val="8"/>
          <w:szCs w:val="8"/>
        </w:rPr>
      </w:pPr>
    </w:p>
    <w:p w14:paraId="2829F118" w14:textId="77777777" w:rsidR="00DE7374" w:rsidRPr="00BB194E" w:rsidRDefault="00DE7374" w:rsidP="00DE7374">
      <w:pPr>
        <w:spacing w:after="0" w:line="360" w:lineRule="auto"/>
        <w:jc w:val="both"/>
      </w:pPr>
      <w:r>
        <w:t>The</w:t>
      </w:r>
      <w:r w:rsidRPr="00BB194E">
        <w:t xml:space="preserve"> proportion of people </w:t>
      </w:r>
      <w:r>
        <w:t>who obtain</w:t>
      </w:r>
      <w:r w:rsidRPr="00BB194E">
        <w:t xml:space="preserve"> no exercise each week </w:t>
      </w:r>
      <w:r>
        <w:t>was</w:t>
      </w:r>
      <w:r w:rsidRPr="00BB194E">
        <w:t xml:space="preserve"> strikingly similar among women and men.</w:t>
      </w:r>
    </w:p>
    <w:p w14:paraId="1A93FF40" w14:textId="77777777" w:rsidR="00B70A36" w:rsidRDefault="00B70A36" w:rsidP="00DE7374">
      <w:pPr>
        <w:spacing w:after="0" w:line="360" w:lineRule="auto"/>
        <w:jc w:val="both"/>
        <w:rPr>
          <w:sz w:val="10"/>
          <w:szCs w:val="10"/>
        </w:rPr>
      </w:pPr>
    </w:p>
    <w:p w14:paraId="6C12F584" w14:textId="7B26CD04" w:rsidR="00DE7374" w:rsidRPr="00250720" w:rsidRDefault="00DE7374" w:rsidP="00DE7374">
      <w:pPr>
        <w:spacing w:after="0" w:line="360" w:lineRule="auto"/>
        <w:jc w:val="both"/>
        <w:rPr>
          <w:sz w:val="10"/>
          <w:szCs w:val="10"/>
        </w:rPr>
      </w:pPr>
      <w:r w:rsidRPr="00250720">
        <w:rPr>
          <w:noProof/>
          <w:sz w:val="10"/>
          <w:szCs w:val="10"/>
          <w:lang w:val="en-US"/>
        </w:rPr>
        <w:drawing>
          <wp:anchor distT="0" distB="0" distL="114300" distR="114300" simplePos="0" relativeHeight="251939840" behindDoc="0" locked="0" layoutInCell="1" allowOverlap="1" wp14:anchorId="102BDAF5" wp14:editId="7D7BAFE2">
            <wp:simplePos x="0" y="0"/>
            <wp:positionH relativeFrom="column">
              <wp:posOffset>2872105</wp:posOffset>
            </wp:positionH>
            <wp:positionV relativeFrom="paragraph">
              <wp:posOffset>253365</wp:posOffset>
            </wp:positionV>
            <wp:extent cx="3214370" cy="2311400"/>
            <wp:effectExtent l="0" t="0" r="5080" b="0"/>
            <wp:wrapSquare wrapText="bothSides"/>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3214370" cy="2311400"/>
                    </a:xfrm>
                    <a:prstGeom prst="rect">
                      <a:avLst/>
                    </a:prstGeom>
                    <a:noFill/>
                  </pic:spPr>
                </pic:pic>
              </a:graphicData>
            </a:graphic>
            <wp14:sizeRelH relativeFrom="margin">
              <wp14:pctWidth>0</wp14:pctWidth>
            </wp14:sizeRelH>
            <wp14:sizeRelV relativeFrom="margin">
              <wp14:pctHeight>0</wp14:pctHeight>
            </wp14:sizeRelV>
          </wp:anchor>
        </w:drawing>
      </w:r>
    </w:p>
    <w:p w14:paraId="2E61B3F4" w14:textId="77777777" w:rsidR="00DE7374" w:rsidRPr="006D2ADC" w:rsidRDefault="00DE7374" w:rsidP="00DE7374">
      <w:pPr>
        <w:spacing w:after="0" w:line="360" w:lineRule="auto"/>
        <w:jc w:val="both"/>
        <w:rPr>
          <w:rFonts w:ascii="Calibri" w:hAnsi="Calibri"/>
          <w:b/>
        </w:rPr>
      </w:pPr>
      <w:r w:rsidRPr="002E6D0C">
        <w:rPr>
          <w:rFonts w:ascii="Calibri" w:hAnsi="Calibri"/>
          <w:b/>
        </w:rPr>
        <w:t xml:space="preserve">Sedentary behaviour </w:t>
      </w:r>
    </w:p>
    <w:p w14:paraId="754159CD" w14:textId="77777777" w:rsidR="00DE7374" w:rsidRDefault="00DE7374" w:rsidP="00DE7374">
      <w:pPr>
        <w:spacing w:after="0" w:line="360" w:lineRule="auto"/>
        <w:jc w:val="both"/>
      </w:pPr>
      <w:r>
        <w:rPr>
          <w:rFonts w:ascii="Calibri" w:hAnsi="Calibri"/>
          <w:b/>
          <w:noProof/>
          <w:lang w:val="en-US"/>
        </w:rPr>
        <w:drawing>
          <wp:anchor distT="0" distB="0" distL="114300" distR="114300" simplePos="0" relativeHeight="251941888" behindDoc="0" locked="0" layoutInCell="1" allowOverlap="1" wp14:anchorId="0D176ADD" wp14:editId="566B5A34">
            <wp:simplePos x="0" y="0"/>
            <wp:positionH relativeFrom="margin">
              <wp:posOffset>4240530</wp:posOffset>
            </wp:positionH>
            <wp:positionV relativeFrom="paragraph">
              <wp:posOffset>927735</wp:posOffset>
            </wp:positionV>
            <wp:extent cx="1495425" cy="1028700"/>
            <wp:effectExtent l="0" t="0" r="9525" b="0"/>
            <wp:wrapSquare wrapText="bothSides"/>
            <wp:docPr id="298" name="Picture 3" descr="soccer.jpg"/>
            <wp:cNvGraphicFramePr/>
            <a:graphic xmlns:a="http://schemas.openxmlformats.org/drawingml/2006/main">
              <a:graphicData uri="http://schemas.openxmlformats.org/drawingml/2006/picture">
                <pic:pic xmlns:pic="http://schemas.openxmlformats.org/drawingml/2006/picture">
                  <pic:nvPicPr>
                    <pic:cNvPr id="167" name="Picture 166" descr="soccer.jpg"/>
                    <pic:cNvPicPr>
                      <a:picLocks/>
                    </pic:cNvPicPr>
                  </pic:nvPicPr>
                  <pic:blipFill>
                    <a:blip r:embed="rId244" cstate="print"/>
                    <a:stretch>
                      <a:fillRect/>
                    </a:stretch>
                  </pic:blipFill>
                  <pic:spPr>
                    <a:xfrm>
                      <a:off x="0" y="0"/>
                      <a:ext cx="1495425" cy="1028700"/>
                    </a:xfrm>
                    <a:prstGeom prst="rect">
                      <a:avLst/>
                    </a:prstGeom>
                    <a:ln>
                      <a:noFill/>
                    </a:ln>
                    <a:effectLst>
                      <a:softEdge rad="317500"/>
                    </a:effectLst>
                  </pic:spPr>
                </pic:pic>
              </a:graphicData>
            </a:graphic>
            <wp14:sizeRelH relativeFrom="margin">
              <wp14:pctWidth>0</wp14:pctWidth>
            </wp14:sizeRelH>
            <wp14:sizeRelV relativeFrom="margin">
              <wp14:pctHeight>0</wp14:pctHeight>
            </wp14:sizeRelV>
          </wp:anchor>
        </w:drawing>
      </w:r>
      <w:r>
        <w:t xml:space="preserve">The 2018 National Health Survey also revealed that by </w:t>
      </w:r>
      <w:r w:rsidRPr="00BB194E">
        <w:t>their mid-20s, most people in paid employment spend nearly half their working days seated at work</w:t>
      </w:r>
      <w:r>
        <w:t xml:space="preserve"> – a trend seen among both women and men</w:t>
      </w:r>
      <w:r w:rsidRPr="00BB194E">
        <w:t xml:space="preserve">. </w:t>
      </w:r>
    </w:p>
    <w:p w14:paraId="671EF638" w14:textId="77777777" w:rsidR="00DE7374" w:rsidRPr="001F3E33" w:rsidRDefault="00DE7374" w:rsidP="00DE7374">
      <w:pPr>
        <w:spacing w:after="0" w:line="360" w:lineRule="auto"/>
        <w:jc w:val="both"/>
        <w:rPr>
          <w:sz w:val="12"/>
          <w:szCs w:val="12"/>
        </w:rPr>
      </w:pPr>
    </w:p>
    <w:p w14:paraId="29D8C026" w14:textId="77777777" w:rsidR="00DE7374" w:rsidRPr="00973C5B" w:rsidRDefault="00DE7374" w:rsidP="00DE7374">
      <w:pPr>
        <w:spacing w:after="0"/>
        <w:jc w:val="both"/>
        <w:rPr>
          <w:color w:val="7F7F7F" w:themeColor="text1" w:themeTint="80"/>
          <w:sz w:val="20"/>
          <w:szCs w:val="20"/>
        </w:rPr>
      </w:pPr>
      <w:r w:rsidRPr="00973C5B">
        <w:rPr>
          <w:color w:val="7F7F7F" w:themeColor="text1" w:themeTint="80"/>
          <w:sz w:val="20"/>
          <w:szCs w:val="20"/>
        </w:rPr>
        <w:t xml:space="preserve">Per cent of </w:t>
      </w:r>
      <w:r>
        <w:rPr>
          <w:color w:val="7F7F7F" w:themeColor="text1" w:themeTint="80"/>
          <w:sz w:val="20"/>
          <w:szCs w:val="20"/>
        </w:rPr>
        <w:t xml:space="preserve">employed </w:t>
      </w:r>
      <w:r w:rsidRPr="00973C5B">
        <w:rPr>
          <w:color w:val="7F7F7F" w:themeColor="text1" w:themeTint="80"/>
          <w:sz w:val="20"/>
          <w:szCs w:val="20"/>
        </w:rPr>
        <w:t xml:space="preserve">persons who </w:t>
      </w:r>
      <w:r>
        <w:rPr>
          <w:color w:val="7F7F7F" w:themeColor="text1" w:themeTint="80"/>
          <w:sz w:val="20"/>
          <w:szCs w:val="20"/>
        </w:rPr>
        <w:t>spend most of their working days seated, by age and sex</w:t>
      </w:r>
      <w:r w:rsidRPr="00973C5B">
        <w:rPr>
          <w:color w:val="7F7F7F" w:themeColor="text1" w:themeTint="80"/>
          <w:sz w:val="20"/>
          <w:szCs w:val="20"/>
        </w:rPr>
        <w:t>: Australia, 2018</w:t>
      </w:r>
    </w:p>
    <w:p w14:paraId="7B504AAB" w14:textId="3AB40A33" w:rsidR="00DE7374" w:rsidRDefault="00DE7374" w:rsidP="00DE7374">
      <w:pPr>
        <w:spacing w:after="0" w:line="360" w:lineRule="auto"/>
        <w:jc w:val="both"/>
        <w:rPr>
          <w:sz w:val="12"/>
          <w:szCs w:val="12"/>
        </w:rPr>
      </w:pPr>
    </w:p>
    <w:p w14:paraId="27F8191A" w14:textId="77777777" w:rsidR="00B70A36" w:rsidRPr="001F3E33" w:rsidRDefault="00B70A36" w:rsidP="00DE7374">
      <w:pPr>
        <w:spacing w:after="0" w:line="360" w:lineRule="auto"/>
        <w:jc w:val="both"/>
        <w:rPr>
          <w:sz w:val="12"/>
          <w:szCs w:val="12"/>
        </w:rPr>
      </w:pPr>
    </w:p>
    <w:p w14:paraId="524D6C4B" w14:textId="77777777" w:rsidR="00DE7374" w:rsidRDefault="00DE7374" w:rsidP="00DE7374">
      <w:pPr>
        <w:spacing w:after="0" w:line="360" w:lineRule="auto"/>
        <w:jc w:val="both"/>
        <w:rPr>
          <w:rFonts w:ascii="Calibri" w:hAnsi="Calibri"/>
          <w:i/>
          <w:lang w:val="en-US"/>
        </w:rPr>
      </w:pPr>
      <w:r w:rsidRPr="000A087A">
        <w:rPr>
          <w:rFonts w:ascii="Calibri" w:hAnsi="Calibri"/>
          <w:i/>
          <w:lang w:val="en-US"/>
        </w:rPr>
        <w:t>Local Measures</w:t>
      </w:r>
      <w:r>
        <w:rPr>
          <w:rFonts w:ascii="Calibri" w:hAnsi="Calibri"/>
          <w:i/>
          <w:lang w:val="en-US"/>
        </w:rPr>
        <w:t xml:space="preserve"> of Physical Activity</w:t>
      </w:r>
    </w:p>
    <w:p w14:paraId="7F4061EB" w14:textId="77777777" w:rsidR="00DE7374" w:rsidRPr="00250720" w:rsidRDefault="00DE7374" w:rsidP="00DE7374">
      <w:pPr>
        <w:spacing w:after="0" w:line="360" w:lineRule="auto"/>
        <w:jc w:val="both"/>
        <w:rPr>
          <w:rFonts w:ascii="Calibri" w:hAnsi="Calibri"/>
          <w:lang w:val="en-US"/>
        </w:rPr>
      </w:pPr>
      <w:r>
        <w:rPr>
          <w:rFonts w:ascii="Calibri" w:hAnsi="Calibri"/>
          <w:lang w:val="en-US"/>
        </w:rPr>
        <w:t xml:space="preserve">Surveys paint a picture of physical activity among residents of Greater Dandenong. </w:t>
      </w:r>
      <w:r>
        <w:rPr>
          <w:rFonts w:ascii="Calibri" w:hAnsi="Calibri"/>
          <w:color w:val="000000"/>
        </w:rPr>
        <w:t>The 2017 Victorian Population Health Survey reported that 44% of adults in Greater Dandenong engaged in insufficient exercise, compared with 51% of those across Victoria.</w:t>
      </w:r>
      <w:r>
        <w:rPr>
          <w:rFonts w:ascii="Calibri" w:hAnsi="Calibri"/>
          <w:lang w:val="en-US"/>
        </w:rPr>
        <w:t xml:space="preserve"> </w:t>
      </w:r>
      <w:r w:rsidRPr="00595802">
        <w:rPr>
          <w:rFonts w:ascii="Calibri" w:hAnsi="Calibri"/>
          <w:color w:val="000000"/>
        </w:rPr>
        <w:t xml:space="preserve">The </w:t>
      </w:r>
      <w:r>
        <w:rPr>
          <w:rFonts w:ascii="Calibri" w:hAnsi="Calibri"/>
          <w:color w:val="000000"/>
        </w:rPr>
        <w:t xml:space="preserve">earlier, </w:t>
      </w:r>
      <w:r w:rsidRPr="00595802">
        <w:rPr>
          <w:rFonts w:ascii="Calibri" w:hAnsi="Calibri"/>
          <w:color w:val="000000"/>
        </w:rPr>
        <w:t>2015 VicHealth Indicators Survey</w:t>
      </w:r>
      <w:r>
        <w:rPr>
          <w:rFonts w:ascii="Calibri" w:hAnsi="Calibri"/>
          <w:color w:val="000000"/>
        </w:rPr>
        <w:t>,</w:t>
      </w:r>
      <w:r w:rsidRPr="00595802">
        <w:rPr>
          <w:rFonts w:ascii="Calibri" w:hAnsi="Calibri"/>
          <w:color w:val="000000"/>
        </w:rPr>
        <w:t xml:space="preserve"> documented the proportion of residents who </w:t>
      </w:r>
      <w:r>
        <w:rPr>
          <w:rFonts w:ascii="Calibri" w:hAnsi="Calibri"/>
          <w:color w:val="000000"/>
        </w:rPr>
        <w:t>did not engage in</w:t>
      </w:r>
      <w:r w:rsidRPr="00595802">
        <w:rPr>
          <w:rFonts w:ascii="Calibri" w:hAnsi="Calibri"/>
          <w:color w:val="000000"/>
        </w:rPr>
        <w:t xml:space="preserve"> physical activity for 30 minutes or more</w:t>
      </w:r>
      <w:r>
        <w:rPr>
          <w:rFonts w:ascii="Calibri" w:hAnsi="Calibri"/>
          <w:color w:val="000000"/>
        </w:rPr>
        <w:t xml:space="preserve"> on any day of the </w:t>
      </w:r>
      <w:r>
        <w:rPr>
          <w:rFonts w:ascii="Calibri" w:hAnsi="Calibri"/>
          <w:color w:val="000000"/>
        </w:rPr>
        <w:lastRenderedPageBreak/>
        <w:t>week</w:t>
      </w:r>
      <w:r w:rsidRPr="00595802">
        <w:rPr>
          <w:rFonts w:ascii="Calibri" w:hAnsi="Calibri"/>
          <w:color w:val="000000"/>
        </w:rPr>
        <w:t>. Results ranged from 33% for Greater Dandenong</w:t>
      </w:r>
      <w:r>
        <w:rPr>
          <w:rFonts w:ascii="Calibri" w:hAnsi="Calibri"/>
          <w:color w:val="000000"/>
        </w:rPr>
        <w:t>,</w:t>
      </w:r>
      <w:r w:rsidRPr="00595802">
        <w:rPr>
          <w:rFonts w:ascii="Calibri" w:hAnsi="Calibri"/>
          <w:color w:val="000000"/>
        </w:rPr>
        <w:t xml:space="preserve"> to 7% among residents of Port Phillip, with an overall figure of 18% among metropolitan residents.</w:t>
      </w:r>
      <w:r>
        <w:rPr>
          <w:rFonts w:ascii="Calibri" w:hAnsi="Calibri"/>
          <w:color w:val="000000"/>
        </w:rPr>
        <w:t xml:space="preserve"> </w:t>
      </w:r>
    </w:p>
    <w:p w14:paraId="40427487" w14:textId="77777777" w:rsidR="00DE7374" w:rsidRPr="00DE7374" w:rsidRDefault="00DE7374" w:rsidP="00DE7374">
      <w:pPr>
        <w:spacing w:after="0" w:line="360" w:lineRule="auto"/>
        <w:jc w:val="both"/>
        <w:rPr>
          <w:rFonts w:ascii="Calibri" w:hAnsi="Calibri"/>
          <w:b/>
          <w:sz w:val="12"/>
          <w:szCs w:val="12"/>
        </w:rPr>
      </w:pPr>
    </w:p>
    <w:p w14:paraId="63F96B0E" w14:textId="390B9A57" w:rsidR="00DE7374" w:rsidRDefault="00DE7374" w:rsidP="00DE7374">
      <w:pPr>
        <w:spacing w:after="0" w:line="360" w:lineRule="auto"/>
        <w:jc w:val="both"/>
        <w:rPr>
          <w:rFonts w:ascii="Calibri" w:hAnsi="Calibri"/>
          <w:b/>
        </w:rPr>
      </w:pPr>
      <w:r>
        <w:rPr>
          <w:rFonts w:ascii="Calibri" w:hAnsi="Calibri"/>
          <w:b/>
        </w:rPr>
        <w:t>Popular Types of</w:t>
      </w:r>
      <w:r w:rsidRPr="00797DDC">
        <w:rPr>
          <w:rFonts w:ascii="Calibri" w:hAnsi="Calibri"/>
          <w:b/>
        </w:rPr>
        <w:t xml:space="preserve"> Sport and</w:t>
      </w:r>
      <w:r>
        <w:rPr>
          <w:rFonts w:ascii="Calibri" w:hAnsi="Calibri"/>
          <w:b/>
        </w:rPr>
        <w:t xml:space="preserve"> other</w:t>
      </w:r>
      <w:r w:rsidRPr="00797DDC">
        <w:rPr>
          <w:rFonts w:ascii="Calibri" w:hAnsi="Calibri"/>
          <w:b/>
        </w:rPr>
        <w:t xml:space="preserve"> Physical Recreation</w:t>
      </w:r>
    </w:p>
    <w:p w14:paraId="728CED7F" w14:textId="77777777" w:rsidR="00DE7374" w:rsidRDefault="00DE7374" w:rsidP="00DE7374">
      <w:pPr>
        <w:spacing w:after="0" w:line="360" w:lineRule="auto"/>
        <w:jc w:val="both"/>
        <w:rPr>
          <w:rFonts w:cstheme="minorHAnsi"/>
        </w:rPr>
      </w:pPr>
      <w:r>
        <w:rPr>
          <w:noProof/>
          <w:lang w:val="en-US"/>
        </w:rPr>
        <w:drawing>
          <wp:anchor distT="0" distB="0" distL="114300" distR="114300" simplePos="0" relativeHeight="251943936" behindDoc="0" locked="0" layoutInCell="1" allowOverlap="1" wp14:anchorId="6F706663" wp14:editId="4614DA94">
            <wp:simplePos x="0" y="0"/>
            <wp:positionH relativeFrom="margin">
              <wp:align>right</wp:align>
            </wp:positionH>
            <wp:positionV relativeFrom="paragraph">
              <wp:posOffset>885190</wp:posOffset>
            </wp:positionV>
            <wp:extent cx="1685925" cy="985837"/>
            <wp:effectExtent l="0" t="0" r="0" b="5080"/>
            <wp:wrapNone/>
            <wp:docPr id="302" name="Picture 4" descr="swimming.png"/>
            <wp:cNvGraphicFramePr/>
            <a:graphic xmlns:a="http://schemas.openxmlformats.org/drawingml/2006/main">
              <a:graphicData uri="http://schemas.openxmlformats.org/drawingml/2006/picture">
                <pic:pic xmlns:pic="http://schemas.openxmlformats.org/drawingml/2006/picture">
                  <pic:nvPicPr>
                    <pic:cNvPr id="170" name="Picture 169" descr="swimming.png"/>
                    <pic:cNvPicPr>
                      <a:picLocks/>
                    </pic:cNvPicPr>
                  </pic:nvPicPr>
                  <pic:blipFill>
                    <a:blip r:embed="rId245" cstate="print"/>
                    <a:stretch>
                      <a:fillRect/>
                    </a:stretch>
                  </pic:blipFill>
                  <pic:spPr>
                    <a:xfrm>
                      <a:off x="0" y="0"/>
                      <a:ext cx="1685925" cy="985837"/>
                    </a:xfrm>
                    <a:prstGeom prst="rect">
                      <a:avLst/>
                    </a:prstGeom>
                    <a:ln>
                      <a:noFill/>
                    </a:ln>
                    <a:effectLst>
                      <a:softEdge rad="317500"/>
                    </a:effectLst>
                  </pic:spPr>
                </pic:pic>
              </a:graphicData>
            </a:graphic>
            <wp14:sizeRelH relativeFrom="margin">
              <wp14:pctWidth>0</wp14:pctWidth>
            </wp14:sizeRelH>
            <wp14:sizeRelV relativeFrom="margin">
              <wp14:pctHeight>0</wp14:pctHeight>
            </wp14:sizeRelV>
          </wp:anchor>
        </w:drawing>
      </w:r>
      <w:r>
        <w:rPr>
          <w:rFonts w:cstheme="minorHAnsi"/>
        </w:rPr>
        <w:t xml:space="preserve">The 2021 Ausplay Sports Participation Survey shed light upon the participation of Australians in a range of sporting and physical recreation pursuits, focusing upon activities during the previous 12 months. While results at a municipal level were not generated by the survey, its findings contribute to an understanding of the activities in which residents of Greater Dandenong </w:t>
      </w:r>
      <w:r w:rsidRPr="008654C3">
        <w:rPr>
          <w:rFonts w:cstheme="minorHAnsi"/>
          <w:i/>
          <w:iCs/>
        </w:rPr>
        <w:t>may</w:t>
      </w:r>
      <w:r>
        <w:rPr>
          <w:rFonts w:cstheme="minorHAnsi"/>
        </w:rPr>
        <w:t xml:space="preserve"> engage, and how their patterns of participation may vary with age and sex.</w:t>
      </w:r>
    </w:p>
    <w:p w14:paraId="3FA54C36" w14:textId="77777777" w:rsidR="00DE7374" w:rsidRPr="00DE7374" w:rsidRDefault="00DE7374" w:rsidP="00DE7374">
      <w:pPr>
        <w:spacing w:after="0" w:line="360" w:lineRule="auto"/>
        <w:jc w:val="both"/>
        <w:rPr>
          <w:rFonts w:ascii="Calibri" w:hAnsi="Calibri"/>
          <w:b/>
          <w:sz w:val="12"/>
          <w:szCs w:val="12"/>
        </w:rPr>
      </w:pPr>
    </w:p>
    <w:p w14:paraId="036C90E0" w14:textId="77777777" w:rsidR="00DE7374" w:rsidRPr="002C326E" w:rsidRDefault="00DE7374" w:rsidP="00DE7374">
      <w:pPr>
        <w:spacing w:after="0" w:line="312" w:lineRule="auto"/>
        <w:jc w:val="both"/>
        <w:rPr>
          <w:rFonts w:cstheme="minorHAnsi"/>
          <w:i/>
          <w:iCs/>
        </w:rPr>
      </w:pPr>
      <w:r w:rsidRPr="002C326E">
        <w:rPr>
          <w:rFonts w:cstheme="minorHAnsi"/>
          <w:i/>
          <w:iCs/>
        </w:rPr>
        <w:t>All age groups</w:t>
      </w:r>
    </w:p>
    <w:p w14:paraId="76FE8796" w14:textId="77777777" w:rsidR="00DE7374" w:rsidRPr="00836A94" w:rsidRDefault="00DE7374" w:rsidP="00DE7374">
      <w:pPr>
        <w:spacing w:after="0" w:line="312" w:lineRule="auto"/>
        <w:jc w:val="both"/>
        <w:rPr>
          <w:rFonts w:cstheme="minorHAnsi"/>
        </w:rPr>
      </w:pPr>
      <w:r>
        <w:rPr>
          <w:rFonts w:cstheme="minorHAnsi"/>
          <w:noProof/>
        </w:rPr>
        <w:drawing>
          <wp:anchor distT="0" distB="0" distL="114300" distR="114300" simplePos="0" relativeHeight="251949056" behindDoc="0" locked="0" layoutInCell="1" allowOverlap="1" wp14:anchorId="291227EC" wp14:editId="38925F81">
            <wp:simplePos x="0" y="0"/>
            <wp:positionH relativeFrom="column">
              <wp:posOffset>-952</wp:posOffset>
            </wp:positionH>
            <wp:positionV relativeFrom="paragraph">
              <wp:posOffset>-1587</wp:posOffset>
            </wp:positionV>
            <wp:extent cx="4407870" cy="3638550"/>
            <wp:effectExtent l="0" t="0" r="0" b="0"/>
            <wp:wrapSquare wrapText="bothSides"/>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6">
                      <a:extLst>
                        <a:ext uri="{28A0092B-C50C-407E-A947-70E740481C1C}">
                          <a14:useLocalDpi xmlns:a14="http://schemas.microsoft.com/office/drawing/2010/main" val="0"/>
                        </a:ext>
                      </a:extLst>
                    </a:blip>
                    <a:srcRect r="11175"/>
                    <a:stretch/>
                  </pic:blipFill>
                  <pic:spPr bwMode="auto">
                    <a:xfrm>
                      <a:off x="0" y="0"/>
                      <a:ext cx="4407870" cy="3638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A477C3" w14:textId="77777777" w:rsidR="00DE7374" w:rsidRDefault="00DE7374" w:rsidP="00DE7374">
      <w:pPr>
        <w:spacing w:after="0" w:line="312" w:lineRule="auto"/>
        <w:jc w:val="both"/>
        <w:rPr>
          <w:rFonts w:cstheme="minorHAnsi"/>
        </w:rPr>
      </w:pPr>
      <w:r>
        <w:rPr>
          <w:rFonts w:cstheme="minorHAnsi"/>
        </w:rPr>
        <w:t>Popular physical pastimes among Australians include walking – accounting for nearly half of those surveyed – as well as fitness, athletics, swimming and cycling.</w:t>
      </w:r>
    </w:p>
    <w:p w14:paraId="49932777" w14:textId="77777777" w:rsidR="00DE7374" w:rsidRDefault="00DE7374" w:rsidP="00DE7374">
      <w:pPr>
        <w:spacing w:after="0" w:line="312" w:lineRule="auto"/>
        <w:jc w:val="both"/>
        <w:rPr>
          <w:rFonts w:cstheme="minorHAnsi"/>
        </w:rPr>
      </w:pPr>
    </w:p>
    <w:p w14:paraId="2D5DDFD7" w14:textId="77777777" w:rsidR="00DE7374" w:rsidRDefault="00DE7374" w:rsidP="00DE7374">
      <w:pPr>
        <w:spacing w:after="0" w:line="312" w:lineRule="auto"/>
        <w:jc w:val="both"/>
        <w:rPr>
          <w:rFonts w:cstheme="minorHAnsi"/>
        </w:rPr>
      </w:pPr>
      <w:r>
        <w:rPr>
          <w:noProof/>
          <w:lang w:val="en-US"/>
        </w:rPr>
        <w:drawing>
          <wp:anchor distT="0" distB="0" distL="114300" distR="114300" simplePos="0" relativeHeight="251950080" behindDoc="0" locked="0" layoutInCell="1" allowOverlap="1" wp14:anchorId="62669860" wp14:editId="14F083C7">
            <wp:simplePos x="0" y="0"/>
            <wp:positionH relativeFrom="margin">
              <wp:posOffset>3265805</wp:posOffset>
            </wp:positionH>
            <wp:positionV relativeFrom="paragraph">
              <wp:posOffset>131445</wp:posOffset>
            </wp:positionV>
            <wp:extent cx="1011039" cy="1519238"/>
            <wp:effectExtent l="0" t="0" r="0" b="5080"/>
            <wp:wrapNone/>
            <wp:docPr id="304" name="Picture 43" descr="Sport Gener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 General 2.jpg"/>
                    <pic:cNvPicPr/>
                  </pic:nvPicPr>
                  <pic:blipFill>
                    <a:blip r:embed="rId247" cstate="print"/>
                    <a:stretch>
                      <a:fillRect/>
                    </a:stretch>
                  </pic:blipFill>
                  <pic:spPr>
                    <a:xfrm>
                      <a:off x="0" y="0"/>
                      <a:ext cx="1011039" cy="1519238"/>
                    </a:xfrm>
                    <a:prstGeom prst="rect">
                      <a:avLst/>
                    </a:prstGeom>
                    <a:ln>
                      <a:noFill/>
                    </a:ln>
                    <a:effectLst>
                      <a:softEdge rad="127000"/>
                    </a:effectLst>
                  </pic:spPr>
                </pic:pic>
              </a:graphicData>
            </a:graphic>
            <wp14:sizeRelH relativeFrom="margin">
              <wp14:pctWidth>0</wp14:pctWidth>
            </wp14:sizeRelH>
            <wp14:sizeRelV relativeFrom="margin">
              <wp14:pctHeight>0</wp14:pctHeight>
            </wp14:sizeRelV>
          </wp:anchor>
        </w:drawing>
      </w:r>
    </w:p>
    <w:p w14:paraId="05610C42" w14:textId="77777777" w:rsidR="00DE7374" w:rsidRDefault="00DE7374" w:rsidP="00DE7374">
      <w:pPr>
        <w:spacing w:after="0" w:line="312" w:lineRule="auto"/>
        <w:jc w:val="both"/>
        <w:rPr>
          <w:rFonts w:cstheme="minorHAnsi"/>
        </w:rPr>
      </w:pPr>
    </w:p>
    <w:p w14:paraId="771FE896" w14:textId="77777777" w:rsidR="00DE7374" w:rsidRPr="002C326E" w:rsidRDefault="00DE7374" w:rsidP="00DE7374">
      <w:pPr>
        <w:spacing w:after="0"/>
        <w:jc w:val="both"/>
        <w:rPr>
          <w:rFonts w:cstheme="minorHAnsi"/>
          <w:color w:val="7F7F7F" w:themeColor="text1" w:themeTint="80"/>
          <w:sz w:val="20"/>
          <w:szCs w:val="20"/>
        </w:rPr>
      </w:pPr>
      <w:r w:rsidRPr="002C326E">
        <w:rPr>
          <w:rFonts w:cstheme="minorHAnsi"/>
          <w:color w:val="7F7F7F" w:themeColor="text1" w:themeTint="80"/>
          <w:sz w:val="20"/>
          <w:szCs w:val="20"/>
        </w:rPr>
        <w:t>Per cent of persons of all ages who participate in sport and physical recreation, by type of activity: persons of all ages, Australia, 2021</w:t>
      </w:r>
    </w:p>
    <w:p w14:paraId="1E2AAD91" w14:textId="77777777" w:rsidR="00DE7374" w:rsidRDefault="00DE7374" w:rsidP="00DE7374">
      <w:pPr>
        <w:spacing w:after="0" w:line="312" w:lineRule="auto"/>
        <w:jc w:val="both"/>
        <w:rPr>
          <w:rFonts w:cstheme="minorHAnsi"/>
          <w:i/>
          <w:iCs/>
        </w:rPr>
      </w:pPr>
    </w:p>
    <w:p w14:paraId="66515CE1" w14:textId="77777777" w:rsidR="00DE7374" w:rsidRDefault="00DE7374" w:rsidP="00DE7374">
      <w:pPr>
        <w:spacing w:after="0" w:line="312" w:lineRule="auto"/>
        <w:jc w:val="both"/>
        <w:rPr>
          <w:rFonts w:cstheme="minorHAnsi"/>
          <w:i/>
          <w:iCs/>
          <w:sz w:val="8"/>
          <w:szCs w:val="8"/>
        </w:rPr>
      </w:pPr>
    </w:p>
    <w:p w14:paraId="5A650F56" w14:textId="77777777" w:rsidR="00DE7374" w:rsidRDefault="00DE7374" w:rsidP="00DE7374">
      <w:pPr>
        <w:spacing w:after="0" w:line="312" w:lineRule="auto"/>
        <w:jc w:val="both"/>
        <w:rPr>
          <w:rFonts w:cstheme="minorHAnsi"/>
          <w:i/>
          <w:iCs/>
          <w:sz w:val="8"/>
          <w:szCs w:val="8"/>
        </w:rPr>
      </w:pPr>
    </w:p>
    <w:p w14:paraId="35AEDBD5" w14:textId="73E7B45D" w:rsidR="00DE7374" w:rsidRDefault="00DE7374" w:rsidP="00DE7374">
      <w:pPr>
        <w:spacing w:after="0" w:line="360" w:lineRule="auto"/>
        <w:jc w:val="both"/>
        <w:rPr>
          <w:rFonts w:ascii="Calibri" w:hAnsi="Calibri"/>
          <w:b/>
          <w:sz w:val="12"/>
          <w:szCs w:val="12"/>
        </w:rPr>
      </w:pPr>
    </w:p>
    <w:p w14:paraId="1AFF3D49" w14:textId="77777777" w:rsidR="00B70A36" w:rsidRPr="00DE7374" w:rsidRDefault="00B70A36" w:rsidP="00DE7374">
      <w:pPr>
        <w:spacing w:after="0" w:line="360" w:lineRule="auto"/>
        <w:jc w:val="both"/>
        <w:rPr>
          <w:rFonts w:ascii="Calibri" w:hAnsi="Calibri"/>
          <w:b/>
          <w:sz w:val="12"/>
          <w:szCs w:val="12"/>
        </w:rPr>
      </w:pPr>
    </w:p>
    <w:p w14:paraId="7EE40FB1" w14:textId="77777777" w:rsidR="00DE7374" w:rsidRPr="00E44C6F" w:rsidRDefault="00DE7374" w:rsidP="00DE7374">
      <w:pPr>
        <w:spacing w:after="0" w:line="312" w:lineRule="auto"/>
        <w:jc w:val="both"/>
        <w:rPr>
          <w:rFonts w:cstheme="minorHAnsi"/>
          <w:i/>
          <w:iCs/>
        </w:rPr>
      </w:pPr>
      <w:r>
        <w:rPr>
          <w:rFonts w:cstheme="minorHAnsi"/>
          <w:noProof/>
        </w:rPr>
        <w:drawing>
          <wp:anchor distT="0" distB="0" distL="114300" distR="114300" simplePos="0" relativeHeight="251957248" behindDoc="0" locked="0" layoutInCell="1" allowOverlap="1" wp14:anchorId="69FC2828" wp14:editId="099D6F96">
            <wp:simplePos x="0" y="0"/>
            <wp:positionH relativeFrom="margin">
              <wp:align>left</wp:align>
            </wp:positionH>
            <wp:positionV relativeFrom="paragraph">
              <wp:posOffset>3810</wp:posOffset>
            </wp:positionV>
            <wp:extent cx="3771900" cy="2569210"/>
            <wp:effectExtent l="0" t="0" r="0" b="2540"/>
            <wp:wrapSquare wrapText="bothSides"/>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48">
                      <a:extLst>
                        <a:ext uri="{28A0092B-C50C-407E-A947-70E740481C1C}">
                          <a14:useLocalDpi xmlns:a14="http://schemas.microsoft.com/office/drawing/2010/main" val="0"/>
                        </a:ext>
                      </a:extLst>
                    </a:blip>
                    <a:srcRect l="2448" r="7931"/>
                    <a:stretch/>
                  </pic:blipFill>
                  <pic:spPr bwMode="auto">
                    <a:xfrm>
                      <a:off x="0" y="0"/>
                      <a:ext cx="3771900" cy="2569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C326E">
        <w:rPr>
          <w:rFonts w:cstheme="minorHAnsi"/>
          <w:i/>
          <w:iCs/>
        </w:rPr>
        <w:t xml:space="preserve">Persons aged </w:t>
      </w:r>
      <w:r>
        <w:rPr>
          <w:rFonts w:cstheme="minorHAnsi"/>
          <w:i/>
          <w:iCs/>
        </w:rPr>
        <w:t>12-14</w:t>
      </w:r>
      <w:r w:rsidRPr="002C326E">
        <w:rPr>
          <w:rFonts w:cstheme="minorHAnsi"/>
          <w:i/>
          <w:iCs/>
        </w:rPr>
        <w:t xml:space="preserve"> years</w:t>
      </w:r>
    </w:p>
    <w:p w14:paraId="7254ACEC" w14:textId="52A32C57" w:rsidR="00DE7374" w:rsidRDefault="00DE7374" w:rsidP="00DE7374">
      <w:pPr>
        <w:spacing w:after="0" w:line="312" w:lineRule="auto"/>
        <w:jc w:val="both"/>
        <w:rPr>
          <w:rFonts w:cstheme="minorHAnsi"/>
        </w:rPr>
      </w:pPr>
      <w:r>
        <w:rPr>
          <w:rFonts w:cstheme="minorHAnsi"/>
        </w:rPr>
        <w:t>Children aged 12 to 14 years were most inclined towards sporting activities, such as soccer, swimming, basketball, Australian football and netball – each accounting for the participation of at least 10% of people in this age group.</w:t>
      </w:r>
    </w:p>
    <w:p w14:paraId="435E3113" w14:textId="77777777" w:rsidR="00DE7374" w:rsidRDefault="00DE7374" w:rsidP="00DE7374">
      <w:pPr>
        <w:spacing w:after="0" w:line="312" w:lineRule="auto"/>
        <w:jc w:val="both"/>
        <w:rPr>
          <w:rFonts w:cstheme="minorHAnsi"/>
        </w:rPr>
      </w:pPr>
    </w:p>
    <w:p w14:paraId="34705074" w14:textId="21240A28" w:rsidR="00DE7374" w:rsidRPr="00DE7374" w:rsidRDefault="00DE7374" w:rsidP="00DE7374">
      <w:pPr>
        <w:spacing w:after="0" w:line="240" w:lineRule="auto"/>
        <w:jc w:val="both"/>
        <w:rPr>
          <w:rFonts w:cstheme="minorHAnsi"/>
        </w:rPr>
      </w:pPr>
      <w:r w:rsidRPr="002C326E">
        <w:rPr>
          <w:rFonts w:cstheme="minorHAnsi"/>
          <w:color w:val="7F7F7F" w:themeColor="text1" w:themeTint="80"/>
          <w:sz w:val="20"/>
          <w:szCs w:val="20"/>
        </w:rPr>
        <w:t xml:space="preserve">Per cent of persons who participate in sport and physical recreation, by type of activity: persons </w:t>
      </w:r>
      <w:r>
        <w:rPr>
          <w:rFonts w:cstheme="minorHAnsi"/>
          <w:color w:val="7F7F7F" w:themeColor="text1" w:themeTint="80"/>
          <w:sz w:val="20"/>
          <w:szCs w:val="20"/>
        </w:rPr>
        <w:t>aged 12-14</w:t>
      </w:r>
      <w:r w:rsidRPr="002C326E">
        <w:rPr>
          <w:rFonts w:cstheme="minorHAnsi"/>
          <w:color w:val="7F7F7F" w:themeColor="text1" w:themeTint="80"/>
          <w:sz w:val="20"/>
          <w:szCs w:val="20"/>
        </w:rPr>
        <w:t>, Australia, 2021</w:t>
      </w:r>
    </w:p>
    <w:p w14:paraId="53CB3FD7" w14:textId="2876C040" w:rsidR="00DE7374" w:rsidRDefault="00DE7374" w:rsidP="00DE7374">
      <w:pPr>
        <w:spacing w:after="0" w:line="312" w:lineRule="auto"/>
        <w:jc w:val="both"/>
        <w:rPr>
          <w:rFonts w:cstheme="minorHAnsi"/>
        </w:rPr>
      </w:pPr>
    </w:p>
    <w:p w14:paraId="375D02CF" w14:textId="3E21308B" w:rsidR="00DE7374" w:rsidRDefault="00DE7374" w:rsidP="00DE7374">
      <w:pPr>
        <w:spacing w:after="0" w:line="312" w:lineRule="auto"/>
        <w:jc w:val="both"/>
        <w:rPr>
          <w:rFonts w:cstheme="minorHAnsi"/>
        </w:rPr>
      </w:pPr>
    </w:p>
    <w:p w14:paraId="064181AA" w14:textId="7EA67353" w:rsidR="00DE7374" w:rsidRPr="002C326E" w:rsidRDefault="00DE7374" w:rsidP="00DE7374">
      <w:pPr>
        <w:spacing w:after="0" w:line="312" w:lineRule="auto"/>
        <w:jc w:val="both"/>
        <w:rPr>
          <w:rFonts w:cstheme="minorHAnsi"/>
          <w:i/>
          <w:iCs/>
        </w:rPr>
      </w:pPr>
      <w:r w:rsidRPr="002C326E">
        <w:rPr>
          <w:rFonts w:cstheme="minorHAnsi"/>
          <w:i/>
          <w:iCs/>
          <w:noProof/>
        </w:rPr>
        <w:lastRenderedPageBreak/>
        <w:drawing>
          <wp:anchor distT="0" distB="0" distL="114300" distR="114300" simplePos="0" relativeHeight="251944960" behindDoc="0" locked="0" layoutInCell="1" allowOverlap="1" wp14:anchorId="795AEE9D" wp14:editId="3CC5303E">
            <wp:simplePos x="0" y="0"/>
            <wp:positionH relativeFrom="margin">
              <wp:posOffset>1767174</wp:posOffset>
            </wp:positionH>
            <wp:positionV relativeFrom="paragraph">
              <wp:posOffset>85911</wp:posOffset>
            </wp:positionV>
            <wp:extent cx="4413885" cy="3676650"/>
            <wp:effectExtent l="0" t="0" r="5715" b="0"/>
            <wp:wrapSquare wrapText="bothSides"/>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4413885" cy="3676650"/>
                    </a:xfrm>
                    <a:prstGeom prst="rect">
                      <a:avLst/>
                    </a:prstGeom>
                    <a:noFill/>
                  </pic:spPr>
                </pic:pic>
              </a:graphicData>
            </a:graphic>
            <wp14:sizeRelH relativeFrom="page">
              <wp14:pctWidth>0</wp14:pctWidth>
            </wp14:sizeRelH>
            <wp14:sizeRelV relativeFrom="page">
              <wp14:pctHeight>0</wp14:pctHeight>
            </wp14:sizeRelV>
          </wp:anchor>
        </w:drawing>
      </w:r>
      <w:r w:rsidRPr="002C326E">
        <w:rPr>
          <w:rFonts w:cstheme="minorHAnsi"/>
          <w:i/>
          <w:iCs/>
        </w:rPr>
        <w:t>Persons aged 18-24 years</w:t>
      </w:r>
    </w:p>
    <w:p w14:paraId="1A180EA8" w14:textId="194E5B54"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61344" behindDoc="0" locked="0" layoutInCell="1" allowOverlap="1" wp14:anchorId="77CE73ED" wp14:editId="4585FA1F">
            <wp:simplePos x="0" y="0"/>
            <wp:positionH relativeFrom="column">
              <wp:posOffset>4354319</wp:posOffset>
            </wp:positionH>
            <wp:positionV relativeFrom="paragraph">
              <wp:posOffset>1054750</wp:posOffset>
            </wp:positionV>
            <wp:extent cx="1482090" cy="990600"/>
            <wp:effectExtent l="0" t="0" r="3810" b="0"/>
            <wp:wrapSquare wrapText="bothSides"/>
            <wp:docPr id="308" name="Picture 308" descr="A baby in a poo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baby in a pool&#10;&#10;Description automatically generated with low confidence"/>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1482090" cy="99060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r>
        <w:rPr>
          <w:rFonts w:cstheme="minorHAnsi"/>
        </w:rPr>
        <w:t>Among young people, fitness, athletics, swimming, basketball, soccer and walking rose to prominence among their favoured sporting and physical recreation activities. Each attracted the participation of over a fifth of all young Australian adults, including nearly half in the case of fitness and gym.</w:t>
      </w:r>
    </w:p>
    <w:p w14:paraId="27F709D7"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58272" behindDoc="0" locked="0" layoutInCell="1" allowOverlap="1" wp14:anchorId="5F7CFF1C" wp14:editId="5953C09E">
            <wp:simplePos x="0" y="0"/>
            <wp:positionH relativeFrom="column">
              <wp:posOffset>4424363</wp:posOffset>
            </wp:positionH>
            <wp:positionV relativeFrom="paragraph">
              <wp:posOffset>214313</wp:posOffset>
            </wp:positionV>
            <wp:extent cx="1496695" cy="838200"/>
            <wp:effectExtent l="0" t="0" r="8255" b="0"/>
            <wp:wrapSquare wrapText="bothSides"/>
            <wp:docPr id="310" name="Picture 310" descr="A person playing tenni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erson playing tennis&#10;&#10;Description automatically generated with medium confidence"/>
                    <pic:cNvPicPr/>
                  </pic:nvPicPr>
                  <pic:blipFill>
                    <a:blip r:embed="rId251">
                      <a:extLst>
                        <a:ext uri="{28A0092B-C50C-407E-A947-70E740481C1C}">
                          <a14:useLocalDpi xmlns:a14="http://schemas.microsoft.com/office/drawing/2010/main" val="0"/>
                        </a:ext>
                      </a:extLst>
                    </a:blip>
                    <a:stretch>
                      <a:fillRect/>
                    </a:stretch>
                  </pic:blipFill>
                  <pic:spPr>
                    <a:xfrm>
                      <a:off x="0" y="0"/>
                      <a:ext cx="1496695" cy="83820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p>
    <w:p w14:paraId="4B414988" w14:textId="77777777" w:rsidR="00DE7374" w:rsidRPr="002C326E" w:rsidRDefault="00DE7374" w:rsidP="00DE7374">
      <w:pPr>
        <w:spacing w:after="0"/>
        <w:jc w:val="both"/>
        <w:rPr>
          <w:rFonts w:cstheme="minorHAnsi"/>
          <w:color w:val="7F7F7F" w:themeColor="text1" w:themeTint="80"/>
          <w:sz w:val="20"/>
          <w:szCs w:val="20"/>
        </w:rPr>
      </w:pPr>
      <w:r w:rsidRPr="002C326E">
        <w:rPr>
          <w:rFonts w:cstheme="minorHAnsi"/>
          <w:color w:val="7F7F7F" w:themeColor="text1" w:themeTint="80"/>
          <w:sz w:val="20"/>
          <w:szCs w:val="20"/>
        </w:rPr>
        <w:t xml:space="preserve">Per cent of persons who participate in sport and physical recreation, by type of activity: persons </w:t>
      </w:r>
      <w:r>
        <w:rPr>
          <w:rFonts w:cstheme="minorHAnsi"/>
          <w:color w:val="7F7F7F" w:themeColor="text1" w:themeTint="80"/>
          <w:sz w:val="20"/>
          <w:szCs w:val="20"/>
        </w:rPr>
        <w:t>aged 18-24</w:t>
      </w:r>
      <w:r w:rsidRPr="002C326E">
        <w:rPr>
          <w:rFonts w:cstheme="minorHAnsi"/>
          <w:color w:val="7F7F7F" w:themeColor="text1" w:themeTint="80"/>
          <w:sz w:val="20"/>
          <w:szCs w:val="20"/>
        </w:rPr>
        <w:t>, Australia, 2021</w:t>
      </w:r>
    </w:p>
    <w:p w14:paraId="22AECABD" w14:textId="77777777" w:rsidR="00DE7374" w:rsidRDefault="00DE7374" w:rsidP="00DE7374">
      <w:pPr>
        <w:spacing w:after="0" w:line="312" w:lineRule="auto"/>
        <w:jc w:val="both"/>
        <w:rPr>
          <w:rFonts w:cstheme="minorHAnsi"/>
        </w:rPr>
      </w:pPr>
    </w:p>
    <w:p w14:paraId="26A47074" w14:textId="77777777" w:rsidR="00DE7374" w:rsidRDefault="00DE7374" w:rsidP="00DE7374">
      <w:pPr>
        <w:spacing w:after="0" w:line="312" w:lineRule="auto"/>
        <w:jc w:val="both"/>
        <w:rPr>
          <w:rFonts w:cstheme="minorHAnsi"/>
        </w:rPr>
      </w:pPr>
    </w:p>
    <w:p w14:paraId="0D7AEA09" w14:textId="77777777" w:rsidR="00DE7374" w:rsidRDefault="00DE7374" w:rsidP="00DE7374">
      <w:pPr>
        <w:spacing w:after="0" w:line="312" w:lineRule="auto"/>
        <w:jc w:val="both"/>
        <w:rPr>
          <w:rFonts w:cstheme="minorHAnsi"/>
        </w:rPr>
      </w:pPr>
    </w:p>
    <w:p w14:paraId="3F711138" w14:textId="77777777" w:rsidR="00DE7374" w:rsidRDefault="00DE7374" w:rsidP="00DE7374">
      <w:pPr>
        <w:spacing w:after="0" w:line="312" w:lineRule="auto"/>
        <w:jc w:val="both"/>
        <w:rPr>
          <w:rFonts w:cstheme="minorHAnsi"/>
        </w:rPr>
      </w:pPr>
    </w:p>
    <w:p w14:paraId="6FAE62CA" w14:textId="77777777" w:rsidR="00DE7374" w:rsidRPr="002C326E" w:rsidRDefault="00DE7374" w:rsidP="00DE7374">
      <w:pPr>
        <w:spacing w:after="0" w:line="312" w:lineRule="auto"/>
        <w:jc w:val="both"/>
        <w:rPr>
          <w:rFonts w:cstheme="minorHAnsi"/>
          <w:i/>
          <w:iCs/>
        </w:rPr>
      </w:pPr>
      <w:r w:rsidRPr="002C326E">
        <w:rPr>
          <w:rFonts w:cstheme="minorHAnsi"/>
          <w:i/>
          <w:iCs/>
        </w:rPr>
        <w:t>Older people, aged 65 or more</w:t>
      </w:r>
    </w:p>
    <w:p w14:paraId="1010CA3C"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45984" behindDoc="0" locked="0" layoutInCell="1" allowOverlap="1" wp14:anchorId="7D11595E" wp14:editId="1D9E618A">
            <wp:simplePos x="0" y="0"/>
            <wp:positionH relativeFrom="margin">
              <wp:posOffset>13335</wp:posOffset>
            </wp:positionH>
            <wp:positionV relativeFrom="paragraph">
              <wp:posOffset>5080</wp:posOffset>
            </wp:positionV>
            <wp:extent cx="4528820" cy="3771900"/>
            <wp:effectExtent l="0" t="0" r="5080" b="0"/>
            <wp:wrapSquare wrapText="bothSides"/>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4528820" cy="3771900"/>
                    </a:xfrm>
                    <a:prstGeom prst="rect">
                      <a:avLst/>
                    </a:prstGeom>
                    <a:noFill/>
                  </pic:spPr>
                </pic:pic>
              </a:graphicData>
            </a:graphic>
            <wp14:sizeRelH relativeFrom="page">
              <wp14:pctWidth>0</wp14:pctWidth>
            </wp14:sizeRelH>
            <wp14:sizeRelV relativeFrom="page">
              <wp14:pctHeight>0</wp14:pctHeight>
            </wp14:sizeRelV>
          </wp:anchor>
        </w:drawing>
      </w:r>
    </w:p>
    <w:p w14:paraId="6F2B142B" w14:textId="77777777" w:rsidR="00DE7374" w:rsidRDefault="00DE7374" w:rsidP="00DE7374">
      <w:pPr>
        <w:spacing w:after="0" w:line="312" w:lineRule="auto"/>
        <w:jc w:val="both"/>
        <w:rPr>
          <w:rFonts w:cstheme="minorHAnsi"/>
        </w:rPr>
      </w:pPr>
      <w:r>
        <w:rPr>
          <w:rFonts w:cstheme="minorHAnsi"/>
        </w:rPr>
        <w:t>Among older people, walking, fitness, swimming and cycling, remain popular. They are joined by activities such as golf, bowls, Pilates yoga and fishing - sports which chiefly attract people in their middle or older age.</w:t>
      </w:r>
    </w:p>
    <w:p w14:paraId="62B1B48C"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60320" behindDoc="0" locked="0" layoutInCell="1" allowOverlap="1" wp14:anchorId="60109E4F" wp14:editId="789618DC">
            <wp:simplePos x="0" y="0"/>
            <wp:positionH relativeFrom="column">
              <wp:posOffset>2779713</wp:posOffset>
            </wp:positionH>
            <wp:positionV relativeFrom="paragraph">
              <wp:posOffset>193358</wp:posOffset>
            </wp:positionV>
            <wp:extent cx="1344295" cy="914400"/>
            <wp:effectExtent l="0" t="0" r="8255" b="0"/>
            <wp:wrapSquare wrapText="bothSides"/>
            <wp:docPr id="313" name="Picture 313" descr="A group of people playing gol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group of people playing golf&#10;&#10;Description automatically generated with medium confidence"/>
                    <pic:cNvPicPr/>
                  </pic:nvPicPr>
                  <pic:blipFill>
                    <a:blip r:embed="rId253">
                      <a:extLst>
                        <a:ext uri="{28A0092B-C50C-407E-A947-70E740481C1C}">
                          <a14:useLocalDpi xmlns:a14="http://schemas.microsoft.com/office/drawing/2010/main" val="0"/>
                        </a:ext>
                      </a:extLst>
                    </a:blip>
                    <a:stretch>
                      <a:fillRect/>
                    </a:stretch>
                  </pic:blipFill>
                  <pic:spPr>
                    <a:xfrm>
                      <a:off x="0" y="0"/>
                      <a:ext cx="1344295" cy="91440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p>
    <w:p w14:paraId="566853AC" w14:textId="77777777" w:rsidR="00DE7374" w:rsidRDefault="00DE7374" w:rsidP="00DE7374">
      <w:pPr>
        <w:spacing w:after="0" w:line="312" w:lineRule="auto"/>
        <w:jc w:val="both"/>
        <w:rPr>
          <w:rFonts w:cstheme="minorHAnsi"/>
        </w:rPr>
      </w:pPr>
    </w:p>
    <w:p w14:paraId="7B5ECE23" w14:textId="77777777" w:rsidR="00DE7374" w:rsidRPr="002C326E" w:rsidRDefault="00DE7374" w:rsidP="00DE7374">
      <w:pPr>
        <w:spacing w:after="0"/>
        <w:jc w:val="both"/>
        <w:rPr>
          <w:rFonts w:cstheme="minorHAnsi"/>
          <w:color w:val="7F7F7F" w:themeColor="text1" w:themeTint="80"/>
          <w:sz w:val="20"/>
          <w:szCs w:val="20"/>
        </w:rPr>
      </w:pPr>
      <w:r w:rsidRPr="002C326E">
        <w:rPr>
          <w:rFonts w:cstheme="minorHAnsi"/>
          <w:color w:val="7F7F7F" w:themeColor="text1" w:themeTint="80"/>
          <w:sz w:val="20"/>
          <w:szCs w:val="20"/>
        </w:rPr>
        <w:t xml:space="preserve">Per cent of persons who participate in sport and physical recreation, by type of activity: persons </w:t>
      </w:r>
      <w:r>
        <w:rPr>
          <w:rFonts w:cstheme="minorHAnsi"/>
          <w:color w:val="7F7F7F" w:themeColor="text1" w:themeTint="80"/>
          <w:sz w:val="20"/>
          <w:szCs w:val="20"/>
        </w:rPr>
        <w:t>aged 65+</w:t>
      </w:r>
      <w:r w:rsidRPr="002C326E">
        <w:rPr>
          <w:rFonts w:cstheme="minorHAnsi"/>
          <w:color w:val="7F7F7F" w:themeColor="text1" w:themeTint="80"/>
          <w:sz w:val="20"/>
          <w:szCs w:val="20"/>
        </w:rPr>
        <w:t>, Australia, 2021</w:t>
      </w:r>
    </w:p>
    <w:p w14:paraId="7F17210D" w14:textId="77777777" w:rsidR="00DE7374" w:rsidRDefault="00DE7374" w:rsidP="00DE7374">
      <w:pPr>
        <w:spacing w:after="0" w:line="312" w:lineRule="auto"/>
        <w:jc w:val="both"/>
        <w:rPr>
          <w:rFonts w:cstheme="minorHAnsi"/>
        </w:rPr>
      </w:pPr>
    </w:p>
    <w:p w14:paraId="355BF82B" w14:textId="77777777" w:rsidR="00DE7374" w:rsidRDefault="00DE7374" w:rsidP="00DE7374">
      <w:pPr>
        <w:spacing w:after="0" w:line="312" w:lineRule="auto"/>
        <w:jc w:val="both"/>
        <w:rPr>
          <w:rFonts w:cstheme="minorHAnsi"/>
        </w:rPr>
      </w:pPr>
    </w:p>
    <w:p w14:paraId="244C5A9F" w14:textId="77777777" w:rsidR="00DE7374" w:rsidRPr="002C326E" w:rsidRDefault="00DE7374" w:rsidP="00DE7374">
      <w:pPr>
        <w:spacing w:after="0" w:line="312" w:lineRule="auto"/>
        <w:jc w:val="both"/>
        <w:rPr>
          <w:rFonts w:cstheme="minorHAnsi"/>
          <w:i/>
          <w:iCs/>
        </w:rPr>
      </w:pPr>
      <w:r>
        <w:rPr>
          <w:rFonts w:cstheme="minorHAnsi"/>
          <w:noProof/>
        </w:rPr>
        <w:lastRenderedPageBreak/>
        <w:drawing>
          <wp:anchor distT="0" distB="0" distL="114300" distR="114300" simplePos="0" relativeHeight="251947008" behindDoc="0" locked="0" layoutInCell="1" allowOverlap="1" wp14:anchorId="314499CC" wp14:editId="2FCCF3EA">
            <wp:simplePos x="0" y="0"/>
            <wp:positionH relativeFrom="column">
              <wp:posOffset>1632585</wp:posOffset>
            </wp:positionH>
            <wp:positionV relativeFrom="paragraph">
              <wp:posOffset>0</wp:posOffset>
            </wp:positionV>
            <wp:extent cx="4333875" cy="3692525"/>
            <wp:effectExtent l="0" t="0" r="9525" b="3175"/>
            <wp:wrapSquare wrapText="bothSides"/>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4">
                      <a:extLst>
                        <a:ext uri="{28A0092B-C50C-407E-A947-70E740481C1C}">
                          <a14:useLocalDpi xmlns:a14="http://schemas.microsoft.com/office/drawing/2010/main" val="0"/>
                        </a:ext>
                      </a:extLst>
                    </a:blip>
                    <a:srcRect r="2248"/>
                    <a:stretch/>
                  </pic:blipFill>
                  <pic:spPr bwMode="auto">
                    <a:xfrm>
                      <a:off x="0" y="0"/>
                      <a:ext cx="4333875" cy="3692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C326E">
        <w:rPr>
          <w:rFonts w:cstheme="minorHAnsi"/>
          <w:i/>
          <w:iCs/>
        </w:rPr>
        <w:t>Males</w:t>
      </w:r>
    </w:p>
    <w:p w14:paraId="203D46CD" w14:textId="77777777" w:rsidR="00DE7374" w:rsidRDefault="00DE7374" w:rsidP="00DE7374">
      <w:pPr>
        <w:spacing w:after="0" w:line="312" w:lineRule="auto"/>
        <w:jc w:val="both"/>
        <w:rPr>
          <w:rFonts w:cstheme="minorHAnsi"/>
        </w:rPr>
      </w:pPr>
      <w:r>
        <w:rPr>
          <w:rFonts w:cstheme="minorHAnsi"/>
        </w:rPr>
        <w:t>Aside from age, there are also wide differences in participation in sport and physical recreation, between women and men.</w:t>
      </w:r>
    </w:p>
    <w:p w14:paraId="69D1F36C" w14:textId="77777777" w:rsidR="00DE7374" w:rsidRDefault="00DE7374" w:rsidP="00DE7374">
      <w:pPr>
        <w:spacing w:after="0" w:line="312" w:lineRule="auto"/>
        <w:jc w:val="both"/>
        <w:rPr>
          <w:rFonts w:cstheme="minorHAnsi"/>
        </w:rPr>
      </w:pPr>
      <w:r>
        <w:rPr>
          <w:rFonts w:cstheme="minorHAnsi"/>
        </w:rPr>
        <w:t>Among males overall, walking, fitness or gym, athletics, cycling, swimming, golf, soccer, basketball and cricket are among the most popular</w:t>
      </w:r>
      <w:r>
        <w:rPr>
          <w:rFonts w:cstheme="minorHAnsi"/>
          <w:noProof/>
        </w:rPr>
        <w:drawing>
          <wp:anchor distT="0" distB="0" distL="114300" distR="114300" simplePos="0" relativeHeight="251959296" behindDoc="0" locked="0" layoutInCell="1" allowOverlap="1" wp14:anchorId="64B61273" wp14:editId="37EEB9B1">
            <wp:simplePos x="0" y="0"/>
            <wp:positionH relativeFrom="column">
              <wp:posOffset>4726305</wp:posOffset>
            </wp:positionH>
            <wp:positionV relativeFrom="paragraph">
              <wp:posOffset>198120</wp:posOffset>
            </wp:positionV>
            <wp:extent cx="1240155" cy="885825"/>
            <wp:effectExtent l="0" t="0" r="0" b="9525"/>
            <wp:wrapSquare wrapText="bothSides"/>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55">
                      <a:extLst>
                        <a:ext uri="{28A0092B-C50C-407E-A947-70E740481C1C}">
                          <a14:useLocalDpi xmlns:a14="http://schemas.microsoft.com/office/drawing/2010/main" val="0"/>
                        </a:ext>
                      </a:extLst>
                    </a:blip>
                    <a:stretch>
                      <a:fillRect/>
                    </a:stretch>
                  </pic:blipFill>
                  <pic:spPr>
                    <a:xfrm>
                      <a:off x="0" y="0"/>
                      <a:ext cx="1240155" cy="885825"/>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p>
    <w:p w14:paraId="367464FB" w14:textId="77777777" w:rsidR="00DE7374" w:rsidRDefault="00DE7374" w:rsidP="00DE7374">
      <w:pPr>
        <w:spacing w:after="0" w:line="312" w:lineRule="auto"/>
        <w:jc w:val="both"/>
        <w:rPr>
          <w:rFonts w:cstheme="minorHAnsi"/>
        </w:rPr>
      </w:pPr>
    </w:p>
    <w:p w14:paraId="2A52B67E" w14:textId="77777777" w:rsidR="00DE7374" w:rsidRPr="002C326E" w:rsidRDefault="00DE7374" w:rsidP="00DE7374">
      <w:pPr>
        <w:spacing w:after="0"/>
        <w:jc w:val="both"/>
        <w:rPr>
          <w:rFonts w:cstheme="minorHAnsi"/>
          <w:color w:val="7F7F7F" w:themeColor="text1" w:themeTint="80"/>
          <w:sz w:val="20"/>
          <w:szCs w:val="20"/>
        </w:rPr>
      </w:pPr>
      <w:r w:rsidRPr="002C326E">
        <w:rPr>
          <w:rFonts w:cstheme="minorHAnsi"/>
          <w:color w:val="7F7F7F" w:themeColor="text1" w:themeTint="80"/>
          <w:sz w:val="20"/>
          <w:szCs w:val="20"/>
        </w:rPr>
        <w:t xml:space="preserve">Per cent of persons of all ages who participate in sport and physical recreation, by type of activity: </w:t>
      </w:r>
      <w:r>
        <w:rPr>
          <w:rFonts w:cstheme="minorHAnsi"/>
          <w:color w:val="7F7F7F" w:themeColor="text1" w:themeTint="80"/>
          <w:sz w:val="20"/>
          <w:szCs w:val="20"/>
        </w:rPr>
        <w:t>males</w:t>
      </w:r>
      <w:r w:rsidRPr="002C326E">
        <w:rPr>
          <w:rFonts w:cstheme="minorHAnsi"/>
          <w:color w:val="7F7F7F" w:themeColor="text1" w:themeTint="80"/>
          <w:sz w:val="20"/>
          <w:szCs w:val="20"/>
        </w:rPr>
        <w:t>, Australia, 2021</w:t>
      </w:r>
    </w:p>
    <w:p w14:paraId="422FDA49" w14:textId="77777777" w:rsidR="00DE7374" w:rsidRDefault="00DE7374" w:rsidP="00DE7374">
      <w:pPr>
        <w:spacing w:after="0" w:line="312" w:lineRule="auto"/>
        <w:jc w:val="both"/>
        <w:rPr>
          <w:rFonts w:cstheme="minorHAnsi"/>
        </w:rPr>
      </w:pPr>
    </w:p>
    <w:p w14:paraId="40D60C8B" w14:textId="77777777" w:rsidR="00DE7374" w:rsidRDefault="00DE7374" w:rsidP="00DE7374">
      <w:pPr>
        <w:spacing w:after="0" w:line="312" w:lineRule="auto"/>
        <w:jc w:val="both"/>
        <w:rPr>
          <w:rFonts w:cstheme="minorHAnsi"/>
        </w:rPr>
      </w:pPr>
    </w:p>
    <w:p w14:paraId="6EAC0B28"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67488" behindDoc="0" locked="0" layoutInCell="1" allowOverlap="1" wp14:anchorId="5C569510" wp14:editId="00A177E2">
            <wp:simplePos x="0" y="0"/>
            <wp:positionH relativeFrom="column">
              <wp:posOffset>3587750</wp:posOffset>
            </wp:positionH>
            <wp:positionV relativeFrom="paragraph">
              <wp:posOffset>5080</wp:posOffset>
            </wp:positionV>
            <wp:extent cx="1059180" cy="704850"/>
            <wp:effectExtent l="0" t="0" r="7620" b="0"/>
            <wp:wrapSquare wrapText="bothSides"/>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1059180" cy="70485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p>
    <w:p w14:paraId="5934F57E" w14:textId="77777777" w:rsidR="00DE7374" w:rsidRDefault="00DE7374" w:rsidP="00DE7374">
      <w:pPr>
        <w:spacing w:after="0" w:line="312" w:lineRule="auto"/>
        <w:jc w:val="both"/>
        <w:rPr>
          <w:rFonts w:cstheme="minorHAnsi"/>
        </w:rPr>
      </w:pPr>
    </w:p>
    <w:p w14:paraId="5FBAB545" w14:textId="77777777" w:rsidR="00DE7374" w:rsidRDefault="00DE7374" w:rsidP="00DE7374">
      <w:pPr>
        <w:spacing w:after="0" w:line="312" w:lineRule="auto"/>
        <w:jc w:val="both"/>
        <w:rPr>
          <w:rFonts w:cstheme="minorHAnsi"/>
        </w:rPr>
      </w:pPr>
    </w:p>
    <w:p w14:paraId="18C8F162" w14:textId="77777777" w:rsidR="00DE7374" w:rsidRDefault="00DE7374" w:rsidP="00DE7374">
      <w:pPr>
        <w:spacing w:after="0" w:line="312" w:lineRule="auto"/>
        <w:jc w:val="both"/>
        <w:rPr>
          <w:rFonts w:cstheme="minorHAnsi"/>
        </w:rPr>
      </w:pPr>
    </w:p>
    <w:p w14:paraId="6FE103DB" w14:textId="77777777" w:rsidR="00DE7374" w:rsidRPr="002C326E" w:rsidRDefault="00DE7374" w:rsidP="00DE7374">
      <w:pPr>
        <w:spacing w:after="0" w:line="312" w:lineRule="auto"/>
        <w:jc w:val="both"/>
        <w:rPr>
          <w:rFonts w:cstheme="minorHAnsi"/>
          <w:i/>
          <w:iCs/>
        </w:rPr>
      </w:pPr>
      <w:r w:rsidRPr="002C326E">
        <w:rPr>
          <w:rFonts w:cstheme="minorHAnsi"/>
          <w:i/>
          <w:iCs/>
        </w:rPr>
        <w:t>Females</w:t>
      </w:r>
    </w:p>
    <w:p w14:paraId="265DDECC"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48032" behindDoc="0" locked="0" layoutInCell="1" allowOverlap="1" wp14:anchorId="4D80D040" wp14:editId="61C1F51A">
            <wp:simplePos x="0" y="0"/>
            <wp:positionH relativeFrom="column">
              <wp:posOffset>-952</wp:posOffset>
            </wp:positionH>
            <wp:positionV relativeFrom="paragraph">
              <wp:posOffset>-1587</wp:posOffset>
            </wp:positionV>
            <wp:extent cx="4376737" cy="3726286"/>
            <wp:effectExtent l="0" t="0" r="5080" b="7620"/>
            <wp:wrapSquare wrapText="bothSides"/>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7">
                      <a:extLst>
                        <a:ext uri="{28A0092B-C50C-407E-A947-70E740481C1C}">
                          <a14:useLocalDpi xmlns:a14="http://schemas.microsoft.com/office/drawing/2010/main" val="0"/>
                        </a:ext>
                      </a:extLst>
                    </a:blip>
                    <a:srcRect r="7712"/>
                    <a:stretch/>
                  </pic:blipFill>
                  <pic:spPr bwMode="auto">
                    <a:xfrm>
                      <a:off x="0" y="0"/>
                      <a:ext cx="4376737" cy="37262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3903DC" w14:textId="77777777" w:rsidR="00DE7374" w:rsidRDefault="00DE7374" w:rsidP="00DE7374">
      <w:pPr>
        <w:spacing w:after="0" w:line="312" w:lineRule="auto"/>
        <w:jc w:val="both"/>
        <w:rPr>
          <w:rFonts w:cstheme="minorHAnsi"/>
        </w:rPr>
      </w:pPr>
      <w:r>
        <w:rPr>
          <w:rFonts w:cstheme="minorHAnsi"/>
        </w:rPr>
        <w:t>A similar pattern is seen among women, with walking, fitness, athletics and cycling among the most popular activities. Others, distinctly popular among females, include yoga, Pilates, netball, dancing, equestrian sports and others.</w:t>
      </w:r>
    </w:p>
    <w:p w14:paraId="78560142" w14:textId="77777777" w:rsidR="00DE7374" w:rsidRDefault="00DE7374" w:rsidP="00DE7374">
      <w:pPr>
        <w:spacing w:after="0" w:line="312" w:lineRule="auto"/>
        <w:jc w:val="both"/>
        <w:rPr>
          <w:rFonts w:cstheme="minorHAnsi"/>
        </w:rPr>
      </w:pPr>
      <w:r w:rsidRPr="00B12608">
        <w:rPr>
          <w:rFonts w:ascii="Calibri" w:hAnsi="Calibri"/>
          <w:i/>
          <w:noProof/>
          <w:color w:val="000000" w:themeColor="text1"/>
          <w:lang w:val="en-US"/>
        </w:rPr>
        <w:drawing>
          <wp:anchor distT="0" distB="0" distL="114300" distR="114300" simplePos="0" relativeHeight="251951104" behindDoc="0" locked="0" layoutInCell="1" allowOverlap="1" wp14:anchorId="68E4C12E" wp14:editId="2AD400A4">
            <wp:simplePos x="0" y="0"/>
            <wp:positionH relativeFrom="column">
              <wp:posOffset>2755900</wp:posOffset>
            </wp:positionH>
            <wp:positionV relativeFrom="paragraph">
              <wp:posOffset>5715</wp:posOffset>
            </wp:positionV>
            <wp:extent cx="1552575" cy="1485900"/>
            <wp:effectExtent l="0" t="0" r="9525" b="0"/>
            <wp:wrapSquare wrapText="bothSides"/>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 table tennis 1.jpg"/>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1552575" cy="1485900"/>
                    </a:xfrm>
                    <a:prstGeom prst="rect">
                      <a:avLst/>
                    </a:prstGeom>
                    <a:ln>
                      <a:noFill/>
                    </a:ln>
                    <a:effectLst>
                      <a:softEdge rad="317500"/>
                    </a:effectLst>
                  </pic:spPr>
                </pic:pic>
              </a:graphicData>
            </a:graphic>
          </wp:anchor>
        </w:drawing>
      </w:r>
    </w:p>
    <w:p w14:paraId="167B4860" w14:textId="77777777" w:rsidR="00DE7374" w:rsidRPr="002C326E" w:rsidRDefault="00DE7374" w:rsidP="00DE7374">
      <w:pPr>
        <w:spacing w:after="0"/>
        <w:jc w:val="both"/>
        <w:rPr>
          <w:rFonts w:cstheme="minorHAnsi"/>
          <w:color w:val="7F7F7F" w:themeColor="text1" w:themeTint="80"/>
          <w:sz w:val="20"/>
          <w:szCs w:val="20"/>
        </w:rPr>
      </w:pPr>
      <w:r w:rsidRPr="002C326E">
        <w:rPr>
          <w:rFonts w:cstheme="minorHAnsi"/>
          <w:color w:val="7F7F7F" w:themeColor="text1" w:themeTint="80"/>
          <w:sz w:val="20"/>
          <w:szCs w:val="20"/>
        </w:rPr>
        <w:t xml:space="preserve">Per cent of persons of all ages who participate in sport and physical recreation, by type of activity: </w:t>
      </w:r>
      <w:r>
        <w:rPr>
          <w:rFonts w:cstheme="minorHAnsi"/>
          <w:color w:val="7F7F7F" w:themeColor="text1" w:themeTint="80"/>
          <w:sz w:val="20"/>
          <w:szCs w:val="20"/>
        </w:rPr>
        <w:t>females</w:t>
      </w:r>
      <w:r w:rsidRPr="002C326E">
        <w:rPr>
          <w:rFonts w:cstheme="minorHAnsi"/>
          <w:color w:val="7F7F7F" w:themeColor="text1" w:themeTint="80"/>
          <w:sz w:val="20"/>
          <w:szCs w:val="20"/>
        </w:rPr>
        <w:t>, Australia, 2021</w:t>
      </w:r>
    </w:p>
    <w:p w14:paraId="1294470C" w14:textId="77777777" w:rsidR="00DE7374" w:rsidRDefault="00DE7374" w:rsidP="00DE7374">
      <w:pPr>
        <w:spacing w:after="0" w:line="312" w:lineRule="auto"/>
        <w:jc w:val="both"/>
        <w:rPr>
          <w:rFonts w:cstheme="minorHAnsi"/>
        </w:rPr>
      </w:pPr>
    </w:p>
    <w:p w14:paraId="5D76455D" w14:textId="77777777" w:rsidR="00DE7374" w:rsidRDefault="00DE7374" w:rsidP="00DE7374">
      <w:pPr>
        <w:spacing w:after="0" w:line="312" w:lineRule="auto"/>
        <w:jc w:val="both"/>
        <w:rPr>
          <w:rFonts w:cstheme="minorHAnsi"/>
        </w:rPr>
      </w:pPr>
    </w:p>
    <w:p w14:paraId="1D4FEEDB" w14:textId="77777777" w:rsidR="00DE7374" w:rsidRPr="00EB2D59" w:rsidRDefault="00DE7374" w:rsidP="00DE7374">
      <w:pPr>
        <w:spacing w:after="0" w:line="312" w:lineRule="auto"/>
        <w:jc w:val="both"/>
        <w:rPr>
          <w:rFonts w:cstheme="minorHAnsi"/>
          <w:b/>
          <w:bCs/>
        </w:rPr>
      </w:pPr>
      <w:r>
        <w:rPr>
          <w:rFonts w:cstheme="minorHAnsi"/>
          <w:b/>
          <w:bCs/>
        </w:rPr>
        <w:lastRenderedPageBreak/>
        <w:t>P</w:t>
      </w:r>
      <w:r w:rsidRPr="00EB2D59">
        <w:rPr>
          <w:rFonts w:cstheme="minorHAnsi"/>
          <w:b/>
          <w:bCs/>
        </w:rPr>
        <w:t>articipation in Popular Sports, by Age and Sex</w:t>
      </w:r>
    </w:p>
    <w:p w14:paraId="1E8B1AE2" w14:textId="77777777" w:rsidR="00DE7374" w:rsidRDefault="00DE7374" w:rsidP="00DE7374">
      <w:pPr>
        <w:spacing w:after="0" w:line="312" w:lineRule="auto"/>
        <w:jc w:val="both"/>
        <w:rPr>
          <w:rFonts w:cstheme="minorHAnsi"/>
        </w:rPr>
      </w:pPr>
      <w:r>
        <w:rPr>
          <w:rFonts w:cstheme="minorHAnsi"/>
        </w:rPr>
        <w:t>The 2021 Ausplay Survey also documented variations in the prevalence of sport and physical recreation pursuits among people of different ages. Examples of these trends, as they apply to some of the more popular activities, are presented here.</w:t>
      </w:r>
    </w:p>
    <w:p w14:paraId="599302FA" w14:textId="77777777" w:rsidR="00DE7374" w:rsidRDefault="00DE7374" w:rsidP="00DE7374">
      <w:pPr>
        <w:spacing w:after="0" w:line="312" w:lineRule="auto"/>
        <w:jc w:val="both"/>
        <w:rPr>
          <w:rFonts w:cstheme="minorHAnsi"/>
        </w:rPr>
      </w:pPr>
    </w:p>
    <w:p w14:paraId="77E61778" w14:textId="77777777" w:rsidR="00DE7374" w:rsidRPr="00EB2D59" w:rsidRDefault="00DE7374" w:rsidP="00DE7374">
      <w:pPr>
        <w:spacing w:after="0" w:line="312" w:lineRule="auto"/>
        <w:jc w:val="both"/>
        <w:rPr>
          <w:rFonts w:cstheme="minorHAnsi"/>
          <w:i/>
          <w:iCs/>
        </w:rPr>
      </w:pPr>
      <w:r>
        <w:rPr>
          <w:rFonts w:cstheme="minorHAnsi"/>
          <w:noProof/>
        </w:rPr>
        <w:drawing>
          <wp:anchor distT="0" distB="0" distL="114300" distR="114300" simplePos="0" relativeHeight="251952128" behindDoc="0" locked="0" layoutInCell="1" allowOverlap="1" wp14:anchorId="222961E1" wp14:editId="289CC776">
            <wp:simplePos x="0" y="0"/>
            <wp:positionH relativeFrom="column">
              <wp:posOffset>2551430</wp:posOffset>
            </wp:positionH>
            <wp:positionV relativeFrom="paragraph">
              <wp:posOffset>37148</wp:posOffset>
            </wp:positionV>
            <wp:extent cx="3543300" cy="2133600"/>
            <wp:effectExtent l="0" t="0" r="0" b="0"/>
            <wp:wrapSquare wrapText="bothSides"/>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3543300" cy="2133600"/>
                    </a:xfrm>
                    <a:prstGeom prst="rect">
                      <a:avLst/>
                    </a:prstGeom>
                    <a:noFill/>
                  </pic:spPr>
                </pic:pic>
              </a:graphicData>
            </a:graphic>
            <wp14:sizeRelH relativeFrom="page">
              <wp14:pctWidth>0</wp14:pctWidth>
            </wp14:sizeRelH>
            <wp14:sizeRelV relativeFrom="page">
              <wp14:pctHeight>0</wp14:pctHeight>
            </wp14:sizeRelV>
          </wp:anchor>
        </w:drawing>
      </w:r>
      <w:r w:rsidRPr="00EB2D59">
        <w:rPr>
          <w:rFonts w:cstheme="minorHAnsi"/>
          <w:i/>
          <w:iCs/>
        </w:rPr>
        <w:t>Walking (recreational)</w:t>
      </w:r>
    </w:p>
    <w:p w14:paraId="511F50F3" w14:textId="77777777" w:rsidR="00DE7374" w:rsidRDefault="00DE7374" w:rsidP="00DE7374">
      <w:pPr>
        <w:spacing w:after="0" w:line="312" w:lineRule="auto"/>
        <w:jc w:val="both"/>
        <w:rPr>
          <w:rFonts w:cstheme="minorHAnsi"/>
        </w:rPr>
      </w:pPr>
      <w:r>
        <w:rPr>
          <w:rFonts w:cstheme="minorHAnsi"/>
        </w:rPr>
        <w:t>The proportion of Australians who engage in walking for exercise rises with age, from about one in six teenagers, to two-thirds of people aged 65 years or more.</w:t>
      </w:r>
    </w:p>
    <w:p w14:paraId="39716BF2" w14:textId="77777777" w:rsidR="00DE7374" w:rsidRDefault="00DE7374" w:rsidP="00DE7374">
      <w:pPr>
        <w:spacing w:after="0" w:line="312" w:lineRule="auto"/>
        <w:jc w:val="both"/>
        <w:rPr>
          <w:rFonts w:cstheme="minorHAnsi"/>
        </w:rPr>
      </w:pPr>
      <w:r>
        <w:rPr>
          <w:rFonts w:cstheme="minorHAnsi"/>
        </w:rPr>
        <w:t>Walking is decisively more popular among females than males.</w:t>
      </w:r>
    </w:p>
    <w:p w14:paraId="4F46EB72" w14:textId="77777777" w:rsidR="00DE7374" w:rsidRPr="00AA2A7A" w:rsidRDefault="00DE7374" w:rsidP="00DE7374">
      <w:pPr>
        <w:spacing w:after="0" w:line="312" w:lineRule="auto"/>
        <w:jc w:val="both"/>
        <w:rPr>
          <w:rFonts w:cstheme="minorHAnsi"/>
          <w:sz w:val="8"/>
          <w:szCs w:val="8"/>
        </w:rPr>
      </w:pPr>
    </w:p>
    <w:p w14:paraId="6EC347A8" w14:textId="77777777" w:rsidR="00DE7374" w:rsidRPr="00AA2A7A" w:rsidRDefault="00DE7374" w:rsidP="00DE7374">
      <w:pPr>
        <w:spacing w:after="0" w:line="240" w:lineRule="auto"/>
        <w:jc w:val="both"/>
        <w:rPr>
          <w:rFonts w:cstheme="minorHAnsi"/>
          <w:color w:val="7F7F7F" w:themeColor="text1" w:themeTint="80"/>
          <w:sz w:val="20"/>
          <w:szCs w:val="20"/>
        </w:rPr>
      </w:pPr>
      <w:r w:rsidRPr="0034544A">
        <w:rPr>
          <w:rFonts w:cstheme="minorHAnsi"/>
          <w:color w:val="7F7F7F" w:themeColor="text1" w:themeTint="80"/>
          <w:sz w:val="20"/>
          <w:szCs w:val="20"/>
        </w:rPr>
        <w:t>Participation in walking, by age and sex: Australia, 2021</w:t>
      </w:r>
    </w:p>
    <w:p w14:paraId="54A0F0AA" w14:textId="77777777" w:rsidR="00DE7374" w:rsidRDefault="00DE7374" w:rsidP="00DE7374">
      <w:pPr>
        <w:spacing w:after="0" w:line="312" w:lineRule="auto"/>
        <w:jc w:val="both"/>
        <w:rPr>
          <w:rFonts w:cstheme="minorHAnsi"/>
        </w:rPr>
      </w:pPr>
    </w:p>
    <w:p w14:paraId="3D3D94AE" w14:textId="77777777" w:rsidR="00DE7374" w:rsidRDefault="00DE7374" w:rsidP="00DE7374">
      <w:pPr>
        <w:spacing w:after="0" w:line="312" w:lineRule="auto"/>
        <w:jc w:val="both"/>
        <w:rPr>
          <w:rFonts w:cstheme="minorHAnsi"/>
        </w:rPr>
      </w:pPr>
    </w:p>
    <w:p w14:paraId="7E7DB8C4"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66464" behindDoc="0" locked="0" layoutInCell="1" allowOverlap="1" wp14:anchorId="219CC1BA" wp14:editId="15C0B778">
            <wp:simplePos x="0" y="0"/>
            <wp:positionH relativeFrom="margin">
              <wp:posOffset>2118360</wp:posOffset>
            </wp:positionH>
            <wp:positionV relativeFrom="paragraph">
              <wp:posOffset>5715</wp:posOffset>
            </wp:positionV>
            <wp:extent cx="1100455" cy="769620"/>
            <wp:effectExtent l="0" t="0" r="4445" b="0"/>
            <wp:wrapSquare wrapText="bothSides"/>
            <wp:docPr id="128" name="Picture 128" descr="A picture containing floor, indoor, sport, h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floor, indoor, sport, hard&#10;&#10;Description automatically generated"/>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1100455" cy="76962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p>
    <w:p w14:paraId="38262413" w14:textId="77777777" w:rsidR="00DE7374" w:rsidRPr="00AA2A7A" w:rsidRDefault="00DE7374" w:rsidP="00DE7374">
      <w:pPr>
        <w:spacing w:after="0" w:line="312" w:lineRule="auto"/>
        <w:jc w:val="both"/>
        <w:rPr>
          <w:rFonts w:cstheme="minorHAnsi"/>
          <w:i/>
          <w:iCs/>
        </w:rPr>
      </w:pPr>
      <w:r w:rsidRPr="00AA2A7A">
        <w:rPr>
          <w:rFonts w:cstheme="minorHAnsi"/>
          <w:i/>
          <w:iCs/>
        </w:rPr>
        <w:t>Fitness/Gym</w:t>
      </w:r>
      <w:r w:rsidRPr="00E0217A">
        <w:rPr>
          <w:rFonts w:cstheme="minorHAnsi"/>
          <w:noProof/>
        </w:rPr>
        <w:t xml:space="preserve"> </w:t>
      </w:r>
    </w:p>
    <w:p w14:paraId="2A42C3E5"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54176" behindDoc="0" locked="0" layoutInCell="1" allowOverlap="1" wp14:anchorId="1D4B213B" wp14:editId="66469578">
            <wp:simplePos x="0" y="0"/>
            <wp:positionH relativeFrom="column">
              <wp:posOffset>-952</wp:posOffset>
            </wp:positionH>
            <wp:positionV relativeFrom="paragraph">
              <wp:posOffset>1270</wp:posOffset>
            </wp:positionV>
            <wp:extent cx="3566302" cy="2147887"/>
            <wp:effectExtent l="0" t="0" r="0" b="5080"/>
            <wp:wrapSquare wrapText="bothSides"/>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566302" cy="2147887"/>
                    </a:xfrm>
                    <a:prstGeom prst="rect">
                      <a:avLst/>
                    </a:prstGeom>
                    <a:noFill/>
                  </pic:spPr>
                </pic:pic>
              </a:graphicData>
            </a:graphic>
            <wp14:sizeRelH relativeFrom="page">
              <wp14:pctWidth>0</wp14:pctWidth>
            </wp14:sizeRelH>
            <wp14:sizeRelV relativeFrom="page">
              <wp14:pctHeight>0</wp14:pctHeight>
            </wp14:sizeRelV>
          </wp:anchor>
        </w:drawing>
      </w:r>
    </w:p>
    <w:p w14:paraId="5E61FD9C" w14:textId="77777777" w:rsidR="00DE7374" w:rsidRDefault="00DE7374" w:rsidP="00DE7374">
      <w:pPr>
        <w:spacing w:after="0" w:line="312" w:lineRule="auto"/>
        <w:jc w:val="both"/>
        <w:rPr>
          <w:rFonts w:cstheme="minorHAnsi"/>
        </w:rPr>
      </w:pPr>
      <w:r>
        <w:rPr>
          <w:rFonts w:cstheme="minorHAnsi"/>
        </w:rPr>
        <w:t>Levels of participation in fitness or gym is more stable across the lifespan, rising to 42% among young adults, then declining moderately with age to 30% among people aged 65 or more.</w:t>
      </w:r>
    </w:p>
    <w:p w14:paraId="704B2635" w14:textId="77777777" w:rsidR="00DE7374" w:rsidRDefault="00DE7374" w:rsidP="00DE7374">
      <w:pPr>
        <w:spacing w:after="0" w:line="312" w:lineRule="auto"/>
        <w:jc w:val="both"/>
        <w:rPr>
          <w:rFonts w:cstheme="minorHAnsi"/>
        </w:rPr>
      </w:pPr>
    </w:p>
    <w:p w14:paraId="0E05A59C" w14:textId="77777777" w:rsidR="00DE7374" w:rsidRPr="00DE7374" w:rsidRDefault="00DE7374" w:rsidP="00DE7374">
      <w:pPr>
        <w:spacing w:after="0" w:line="240" w:lineRule="auto"/>
        <w:jc w:val="both"/>
        <w:rPr>
          <w:rFonts w:cstheme="minorHAnsi"/>
          <w:color w:val="7F7F7F" w:themeColor="text1" w:themeTint="80"/>
          <w:sz w:val="20"/>
          <w:szCs w:val="20"/>
        </w:rPr>
      </w:pPr>
      <w:r w:rsidRPr="00DE7374">
        <w:rPr>
          <w:rFonts w:cstheme="minorHAnsi"/>
          <w:color w:val="7F7F7F" w:themeColor="text1" w:themeTint="80"/>
          <w:sz w:val="20"/>
          <w:szCs w:val="20"/>
        </w:rPr>
        <w:t>Participation in fitness or gym, by age and sex: Australia, 2021</w:t>
      </w:r>
    </w:p>
    <w:p w14:paraId="09AF09F2" w14:textId="77777777" w:rsidR="00DE7374" w:rsidRDefault="00DE7374" w:rsidP="00DE7374">
      <w:pPr>
        <w:spacing w:after="0" w:line="312" w:lineRule="auto"/>
        <w:jc w:val="both"/>
        <w:rPr>
          <w:rFonts w:cstheme="minorHAnsi"/>
        </w:rPr>
      </w:pPr>
    </w:p>
    <w:p w14:paraId="1B1D4C34" w14:textId="77777777" w:rsidR="00DE7374" w:rsidRDefault="00DE7374" w:rsidP="00DE7374">
      <w:pPr>
        <w:spacing w:after="0" w:line="312" w:lineRule="auto"/>
        <w:jc w:val="both"/>
        <w:rPr>
          <w:rFonts w:cstheme="minorHAnsi"/>
        </w:rPr>
      </w:pPr>
    </w:p>
    <w:p w14:paraId="4E011EB6"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64416" behindDoc="0" locked="0" layoutInCell="1" allowOverlap="1" wp14:anchorId="3CE10FE9" wp14:editId="212C2607">
            <wp:simplePos x="0" y="0"/>
            <wp:positionH relativeFrom="margin">
              <wp:posOffset>4718050</wp:posOffset>
            </wp:positionH>
            <wp:positionV relativeFrom="paragraph">
              <wp:posOffset>150495</wp:posOffset>
            </wp:positionV>
            <wp:extent cx="1125220" cy="750570"/>
            <wp:effectExtent l="0" t="0" r="0" b="0"/>
            <wp:wrapSquare wrapText="bothSides"/>
            <wp:docPr id="130" name="Picture 130" descr="A group of people in a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group of people in a pool&#10;&#10;Description automatically generated"/>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1125220" cy="750570"/>
                    </a:xfrm>
                    <a:prstGeom prst="rect">
                      <a:avLst/>
                    </a:prstGeom>
                    <a:effectLst>
                      <a:softEdge rad="165100"/>
                    </a:effectLst>
                  </pic:spPr>
                </pic:pic>
              </a:graphicData>
            </a:graphic>
            <wp14:sizeRelH relativeFrom="page">
              <wp14:pctWidth>0</wp14:pctWidth>
            </wp14:sizeRelH>
            <wp14:sizeRelV relativeFrom="page">
              <wp14:pctHeight>0</wp14:pctHeight>
            </wp14:sizeRelV>
          </wp:anchor>
        </w:drawing>
      </w:r>
    </w:p>
    <w:p w14:paraId="1C041252" w14:textId="77777777" w:rsidR="00DE7374" w:rsidRDefault="00DE7374" w:rsidP="00DE7374">
      <w:pPr>
        <w:spacing w:after="0" w:line="312" w:lineRule="auto"/>
        <w:jc w:val="both"/>
        <w:rPr>
          <w:rFonts w:cstheme="minorHAnsi"/>
        </w:rPr>
      </w:pPr>
      <w:r>
        <w:rPr>
          <w:rFonts w:cstheme="minorHAnsi"/>
        </w:rPr>
        <w:t>Swimming</w:t>
      </w:r>
    </w:p>
    <w:p w14:paraId="633FA456"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63392" behindDoc="0" locked="0" layoutInCell="1" allowOverlap="1" wp14:anchorId="35BB9FDA" wp14:editId="79F048B5">
            <wp:simplePos x="0" y="0"/>
            <wp:positionH relativeFrom="margin">
              <wp:posOffset>2283460</wp:posOffset>
            </wp:positionH>
            <wp:positionV relativeFrom="paragraph">
              <wp:posOffset>4445</wp:posOffset>
            </wp:positionV>
            <wp:extent cx="3684905" cy="2219325"/>
            <wp:effectExtent l="0" t="0" r="0" b="9525"/>
            <wp:wrapSquare wrapText="bothSides"/>
            <wp:docPr id="131" name="Picture 13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bar chart&#10;&#10;Description automatically generated"/>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684905" cy="221932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rPr>
        <w:t>Similarly, swimming is enjoyed by about one-fifth of people in most age ranges, retaining its popularity among those aged 65 years or more.</w:t>
      </w:r>
    </w:p>
    <w:p w14:paraId="1B905B33" w14:textId="77777777" w:rsidR="00DE7374" w:rsidRDefault="00DE7374" w:rsidP="00DE7374">
      <w:pPr>
        <w:spacing w:after="0" w:line="312" w:lineRule="auto"/>
        <w:jc w:val="both"/>
        <w:rPr>
          <w:rFonts w:cstheme="minorHAnsi"/>
        </w:rPr>
      </w:pPr>
    </w:p>
    <w:p w14:paraId="0C0772D8" w14:textId="77777777" w:rsidR="00DE7374" w:rsidRDefault="00DE7374" w:rsidP="00DE7374">
      <w:pPr>
        <w:spacing w:after="0" w:line="312" w:lineRule="auto"/>
        <w:jc w:val="both"/>
        <w:rPr>
          <w:rFonts w:cstheme="minorHAnsi"/>
        </w:rPr>
      </w:pPr>
    </w:p>
    <w:p w14:paraId="14CD8E9B" w14:textId="77777777" w:rsidR="00DE7374" w:rsidRPr="00DE7374" w:rsidRDefault="00DE7374" w:rsidP="00DE7374">
      <w:pPr>
        <w:spacing w:after="0" w:line="240" w:lineRule="auto"/>
        <w:jc w:val="both"/>
        <w:rPr>
          <w:rFonts w:cstheme="minorHAnsi"/>
          <w:color w:val="7F7F7F" w:themeColor="text1" w:themeTint="80"/>
          <w:sz w:val="20"/>
          <w:szCs w:val="20"/>
        </w:rPr>
      </w:pPr>
      <w:r w:rsidRPr="00DE7374">
        <w:rPr>
          <w:rFonts w:cstheme="minorHAnsi"/>
          <w:color w:val="7F7F7F" w:themeColor="text1" w:themeTint="80"/>
          <w:sz w:val="20"/>
          <w:szCs w:val="20"/>
        </w:rPr>
        <w:t>Participation in swimming, by age and sex: Australia, 2021</w:t>
      </w:r>
    </w:p>
    <w:p w14:paraId="2CE48463" w14:textId="77777777" w:rsidR="00DE7374" w:rsidRDefault="00DE7374" w:rsidP="00DE7374">
      <w:pPr>
        <w:spacing w:after="0" w:line="312" w:lineRule="auto"/>
        <w:jc w:val="both"/>
        <w:rPr>
          <w:rFonts w:cstheme="minorHAnsi"/>
        </w:rPr>
      </w:pPr>
    </w:p>
    <w:p w14:paraId="55B786A8" w14:textId="77777777" w:rsidR="00DE7374" w:rsidRDefault="00DE7374" w:rsidP="00DE7374">
      <w:pPr>
        <w:spacing w:after="0" w:line="312" w:lineRule="auto"/>
        <w:jc w:val="both"/>
        <w:rPr>
          <w:rFonts w:cstheme="minorHAnsi"/>
        </w:rPr>
      </w:pPr>
    </w:p>
    <w:p w14:paraId="7CB5B9D0" w14:textId="77777777" w:rsidR="00DE7374" w:rsidRDefault="00DE7374" w:rsidP="00DE7374">
      <w:pPr>
        <w:spacing w:after="0" w:line="312" w:lineRule="auto"/>
        <w:jc w:val="both"/>
        <w:rPr>
          <w:rFonts w:cstheme="minorHAnsi"/>
        </w:rPr>
      </w:pPr>
    </w:p>
    <w:p w14:paraId="62A65825" w14:textId="77777777" w:rsidR="00DE7374" w:rsidRDefault="00DE7374" w:rsidP="00DE7374">
      <w:pPr>
        <w:spacing w:after="0" w:line="312" w:lineRule="auto"/>
        <w:jc w:val="both"/>
        <w:rPr>
          <w:rFonts w:cstheme="minorHAnsi"/>
        </w:rPr>
      </w:pPr>
    </w:p>
    <w:p w14:paraId="22907FC0" w14:textId="77777777" w:rsidR="00DE7374" w:rsidRPr="00AA2A7A" w:rsidRDefault="00DE7374" w:rsidP="00DE7374">
      <w:pPr>
        <w:spacing w:after="0" w:line="312" w:lineRule="auto"/>
        <w:jc w:val="both"/>
        <w:rPr>
          <w:rFonts w:cstheme="minorHAnsi"/>
          <w:i/>
          <w:iCs/>
        </w:rPr>
      </w:pPr>
      <w:r w:rsidRPr="00AA2A7A">
        <w:rPr>
          <w:rFonts w:cstheme="minorHAnsi"/>
          <w:i/>
          <w:iCs/>
        </w:rPr>
        <w:lastRenderedPageBreak/>
        <w:t>Athletics, Track and Field</w:t>
      </w:r>
    </w:p>
    <w:p w14:paraId="1C81A957" w14:textId="77777777" w:rsidR="00DE7374" w:rsidRDefault="00DE7374" w:rsidP="00DE7374">
      <w:pPr>
        <w:spacing w:after="0" w:line="312" w:lineRule="auto"/>
        <w:jc w:val="both"/>
        <w:rPr>
          <w:rFonts w:cstheme="minorHAnsi"/>
        </w:rPr>
      </w:pPr>
      <w:r w:rsidRPr="00AA2A7A">
        <w:rPr>
          <w:rFonts w:cstheme="minorHAnsi"/>
          <w:i/>
          <w:iCs/>
          <w:noProof/>
        </w:rPr>
        <w:drawing>
          <wp:anchor distT="0" distB="0" distL="114300" distR="114300" simplePos="0" relativeHeight="251953152" behindDoc="0" locked="0" layoutInCell="1" allowOverlap="1" wp14:anchorId="122231C8" wp14:editId="44DC7A08">
            <wp:simplePos x="0" y="0"/>
            <wp:positionH relativeFrom="column">
              <wp:posOffset>55880</wp:posOffset>
            </wp:positionH>
            <wp:positionV relativeFrom="paragraph">
              <wp:posOffset>635</wp:posOffset>
            </wp:positionV>
            <wp:extent cx="3604895" cy="2238375"/>
            <wp:effectExtent l="0" t="0" r="0" b="9525"/>
            <wp:wrapSquare wrapText="bothSides"/>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604895" cy="223837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rPr>
        <w:t>Athletics is popular among young and middle-aged people, before declining steeply in older age.</w:t>
      </w:r>
    </w:p>
    <w:p w14:paraId="354A381C" w14:textId="77777777" w:rsidR="00DE7374" w:rsidRDefault="00DE7374" w:rsidP="00DE7374">
      <w:pPr>
        <w:spacing w:after="0" w:line="312" w:lineRule="auto"/>
        <w:jc w:val="both"/>
        <w:rPr>
          <w:rFonts w:cstheme="minorHAnsi"/>
        </w:rPr>
      </w:pPr>
    </w:p>
    <w:p w14:paraId="7B576B47" w14:textId="77777777" w:rsidR="00DE7374" w:rsidRDefault="00DE7374" w:rsidP="00DE7374">
      <w:pPr>
        <w:spacing w:after="0" w:line="312" w:lineRule="auto"/>
        <w:jc w:val="both"/>
        <w:rPr>
          <w:rFonts w:cstheme="minorHAnsi"/>
        </w:rPr>
      </w:pPr>
    </w:p>
    <w:p w14:paraId="63BB6C37" w14:textId="77777777" w:rsidR="00DE7374" w:rsidRPr="0034544A" w:rsidRDefault="00DE7374" w:rsidP="00DE7374">
      <w:pPr>
        <w:spacing w:after="0" w:line="240" w:lineRule="auto"/>
        <w:jc w:val="both"/>
        <w:rPr>
          <w:rFonts w:cstheme="minorHAnsi"/>
          <w:color w:val="7F7F7F" w:themeColor="text1" w:themeTint="80"/>
          <w:sz w:val="20"/>
          <w:szCs w:val="20"/>
        </w:rPr>
      </w:pPr>
      <w:r w:rsidRPr="0034544A">
        <w:rPr>
          <w:rFonts w:cstheme="minorHAnsi"/>
          <w:color w:val="7F7F7F" w:themeColor="text1" w:themeTint="80"/>
          <w:sz w:val="20"/>
          <w:szCs w:val="20"/>
        </w:rPr>
        <w:t>Participation in athletics, by age and sex: Australia, 2021</w:t>
      </w:r>
    </w:p>
    <w:p w14:paraId="283369B3" w14:textId="77777777" w:rsidR="00DE7374" w:rsidRDefault="00DE7374" w:rsidP="00DE7374">
      <w:pPr>
        <w:spacing w:after="0" w:line="312" w:lineRule="auto"/>
        <w:jc w:val="both"/>
        <w:rPr>
          <w:rFonts w:cstheme="minorHAnsi"/>
        </w:rPr>
      </w:pPr>
    </w:p>
    <w:p w14:paraId="576ACB32" w14:textId="77777777" w:rsidR="00DE7374" w:rsidRDefault="00DE7374" w:rsidP="00DE7374">
      <w:pPr>
        <w:spacing w:after="0" w:line="312" w:lineRule="auto"/>
        <w:jc w:val="both"/>
        <w:rPr>
          <w:rFonts w:cstheme="minorHAnsi"/>
        </w:rPr>
      </w:pPr>
    </w:p>
    <w:p w14:paraId="37022ED5" w14:textId="77777777" w:rsidR="00DE7374" w:rsidRDefault="00DE7374" w:rsidP="00DE7374">
      <w:pPr>
        <w:spacing w:after="0" w:line="312" w:lineRule="auto"/>
        <w:jc w:val="both"/>
        <w:rPr>
          <w:rFonts w:cstheme="minorHAnsi"/>
        </w:rPr>
      </w:pPr>
    </w:p>
    <w:p w14:paraId="69CB69E8" w14:textId="77777777" w:rsidR="00DE7374" w:rsidRDefault="00DE7374" w:rsidP="00DE7374">
      <w:pPr>
        <w:spacing w:after="0" w:line="312" w:lineRule="auto"/>
        <w:jc w:val="both"/>
        <w:rPr>
          <w:rFonts w:cstheme="minorHAnsi"/>
        </w:rPr>
      </w:pPr>
    </w:p>
    <w:p w14:paraId="3BAAE2E4" w14:textId="77777777" w:rsidR="00DE7374" w:rsidRDefault="00DE7374" w:rsidP="00DE7374">
      <w:pPr>
        <w:spacing w:after="0" w:line="312" w:lineRule="auto"/>
        <w:jc w:val="both"/>
        <w:rPr>
          <w:rFonts w:cstheme="minorHAnsi"/>
        </w:rPr>
      </w:pPr>
    </w:p>
    <w:p w14:paraId="25CF171A" w14:textId="77777777" w:rsidR="00DE7374" w:rsidRDefault="00DE7374" w:rsidP="00DE7374">
      <w:pPr>
        <w:spacing w:after="0" w:line="312" w:lineRule="auto"/>
        <w:jc w:val="both"/>
        <w:rPr>
          <w:rFonts w:cstheme="minorHAnsi"/>
        </w:rPr>
      </w:pPr>
    </w:p>
    <w:p w14:paraId="14B604DC" w14:textId="77777777" w:rsidR="00DE7374" w:rsidRDefault="00DE7374" w:rsidP="00DE7374">
      <w:pPr>
        <w:spacing w:after="0" w:line="312" w:lineRule="auto"/>
        <w:jc w:val="both"/>
        <w:rPr>
          <w:rFonts w:cstheme="minorHAnsi"/>
        </w:rPr>
      </w:pPr>
    </w:p>
    <w:p w14:paraId="25E5192E"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62368" behindDoc="0" locked="0" layoutInCell="1" allowOverlap="1" wp14:anchorId="59425D78" wp14:editId="6208B941">
            <wp:simplePos x="0" y="0"/>
            <wp:positionH relativeFrom="column">
              <wp:posOffset>4846955</wp:posOffset>
            </wp:positionH>
            <wp:positionV relativeFrom="paragraph">
              <wp:posOffset>99695</wp:posOffset>
            </wp:positionV>
            <wp:extent cx="1038225" cy="744220"/>
            <wp:effectExtent l="0" t="0" r="9525" b="0"/>
            <wp:wrapSquare wrapText="bothSides"/>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1038225" cy="74422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r>
        <w:rPr>
          <w:rFonts w:cstheme="minorHAnsi"/>
          <w:noProof/>
        </w:rPr>
        <w:drawing>
          <wp:anchor distT="0" distB="0" distL="114300" distR="114300" simplePos="0" relativeHeight="251955200" behindDoc="0" locked="0" layoutInCell="1" allowOverlap="1" wp14:anchorId="03B7EBB4" wp14:editId="41D9F9E2">
            <wp:simplePos x="0" y="0"/>
            <wp:positionH relativeFrom="column">
              <wp:posOffset>2228215</wp:posOffset>
            </wp:positionH>
            <wp:positionV relativeFrom="paragraph">
              <wp:posOffset>127635</wp:posOffset>
            </wp:positionV>
            <wp:extent cx="3803531" cy="2290763"/>
            <wp:effectExtent l="0" t="0" r="6985" b="0"/>
            <wp:wrapSquare wrapText="bothSides"/>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3803531" cy="2290763"/>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rPr>
        <w:t>Soccer</w:t>
      </w:r>
    </w:p>
    <w:p w14:paraId="6103C875" w14:textId="77777777" w:rsidR="00DE7374" w:rsidRDefault="00DE7374" w:rsidP="00DE7374">
      <w:pPr>
        <w:spacing w:after="0" w:line="312" w:lineRule="auto"/>
        <w:jc w:val="both"/>
        <w:rPr>
          <w:rFonts w:cstheme="minorHAnsi"/>
        </w:rPr>
      </w:pPr>
      <w:r>
        <w:rPr>
          <w:rFonts w:cstheme="minorHAnsi"/>
        </w:rPr>
        <w:t>Soccer is popular among teenagers, with about one-fifth participating in this sport. Its popularity wanes sharply though, among older people.</w:t>
      </w:r>
    </w:p>
    <w:p w14:paraId="692E2D08" w14:textId="77777777" w:rsidR="00DE7374" w:rsidRDefault="00DE7374" w:rsidP="00DE7374">
      <w:pPr>
        <w:spacing w:after="0" w:line="312" w:lineRule="auto"/>
        <w:jc w:val="both"/>
        <w:rPr>
          <w:rFonts w:cstheme="minorHAnsi"/>
        </w:rPr>
      </w:pPr>
      <w:r>
        <w:rPr>
          <w:rFonts w:cstheme="minorHAnsi"/>
        </w:rPr>
        <w:t>Levels of participation in soccer are about three times higher among men than women.</w:t>
      </w:r>
    </w:p>
    <w:p w14:paraId="2B8287C4" w14:textId="77777777" w:rsidR="00DE7374" w:rsidRDefault="00DE7374" w:rsidP="00DE7374">
      <w:pPr>
        <w:spacing w:after="0" w:line="312" w:lineRule="auto"/>
        <w:jc w:val="both"/>
        <w:rPr>
          <w:rFonts w:cstheme="minorHAnsi"/>
        </w:rPr>
      </w:pPr>
    </w:p>
    <w:p w14:paraId="499F2758" w14:textId="77777777" w:rsidR="00DE7374" w:rsidRPr="0034544A" w:rsidRDefault="00DE7374" w:rsidP="00DE7374">
      <w:pPr>
        <w:spacing w:after="0" w:line="240" w:lineRule="auto"/>
        <w:jc w:val="both"/>
        <w:rPr>
          <w:rFonts w:cstheme="minorHAnsi"/>
          <w:color w:val="7F7F7F" w:themeColor="text1" w:themeTint="80"/>
          <w:sz w:val="20"/>
          <w:szCs w:val="20"/>
        </w:rPr>
      </w:pPr>
      <w:r w:rsidRPr="0034544A">
        <w:rPr>
          <w:rFonts w:cstheme="minorHAnsi"/>
          <w:color w:val="7F7F7F" w:themeColor="text1" w:themeTint="80"/>
          <w:sz w:val="20"/>
          <w:szCs w:val="20"/>
        </w:rPr>
        <w:t>Participation in soccer, by age and sex: Australia, 2021</w:t>
      </w:r>
    </w:p>
    <w:p w14:paraId="79B53D32" w14:textId="77777777" w:rsidR="00DE7374" w:rsidRDefault="00DE7374" w:rsidP="00DE7374">
      <w:pPr>
        <w:spacing w:after="0" w:line="312" w:lineRule="auto"/>
        <w:jc w:val="both"/>
        <w:rPr>
          <w:rFonts w:cstheme="minorHAnsi"/>
        </w:rPr>
      </w:pPr>
    </w:p>
    <w:p w14:paraId="38F9AC63" w14:textId="77777777" w:rsidR="00DE7374" w:rsidRDefault="00DE7374" w:rsidP="00DE7374">
      <w:pPr>
        <w:spacing w:after="0" w:line="312" w:lineRule="auto"/>
        <w:jc w:val="both"/>
        <w:rPr>
          <w:rFonts w:cstheme="minorHAnsi"/>
        </w:rPr>
      </w:pPr>
    </w:p>
    <w:p w14:paraId="5D572A4E" w14:textId="77777777" w:rsidR="00DE7374" w:rsidRDefault="00DE7374" w:rsidP="00DE7374">
      <w:pPr>
        <w:spacing w:after="0" w:line="312" w:lineRule="auto"/>
        <w:jc w:val="both"/>
        <w:rPr>
          <w:rFonts w:cstheme="minorHAnsi"/>
        </w:rPr>
      </w:pPr>
    </w:p>
    <w:p w14:paraId="73FED217" w14:textId="77777777" w:rsidR="00DE7374" w:rsidRPr="00EB2D59" w:rsidRDefault="00DE7374" w:rsidP="00DE7374">
      <w:pPr>
        <w:spacing w:after="0" w:line="312" w:lineRule="auto"/>
        <w:jc w:val="both"/>
        <w:rPr>
          <w:rFonts w:cstheme="minorHAnsi"/>
          <w:i/>
          <w:iCs/>
        </w:rPr>
      </w:pPr>
      <w:r w:rsidRPr="00EB2D59">
        <w:rPr>
          <w:rFonts w:cstheme="minorHAnsi"/>
          <w:i/>
          <w:iCs/>
        </w:rPr>
        <w:t>Yoga</w:t>
      </w:r>
    </w:p>
    <w:p w14:paraId="11CEC1CE"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56224" behindDoc="0" locked="0" layoutInCell="1" allowOverlap="1" wp14:anchorId="6254345B" wp14:editId="53697E6B">
            <wp:simplePos x="0" y="0"/>
            <wp:positionH relativeFrom="column">
              <wp:posOffset>-952</wp:posOffset>
            </wp:positionH>
            <wp:positionV relativeFrom="paragraph">
              <wp:posOffset>0</wp:posOffset>
            </wp:positionV>
            <wp:extent cx="3803015" cy="2290452"/>
            <wp:effectExtent l="0" t="0" r="6985" b="0"/>
            <wp:wrapSquare wrapText="bothSides"/>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803015" cy="2290452"/>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rPr>
        <w:t>Yoga rises to the peak of its popularity among young adults, with substantial levels of participation persisting among people in their older age.</w:t>
      </w:r>
    </w:p>
    <w:p w14:paraId="43EDC2A5" w14:textId="77777777" w:rsidR="00DE7374" w:rsidRDefault="00DE7374" w:rsidP="00DE7374">
      <w:pPr>
        <w:spacing w:after="0" w:line="312" w:lineRule="auto"/>
        <w:jc w:val="both"/>
        <w:rPr>
          <w:rFonts w:cstheme="minorHAnsi"/>
        </w:rPr>
      </w:pPr>
      <w:r>
        <w:rPr>
          <w:rFonts w:cstheme="minorHAnsi"/>
        </w:rPr>
        <w:t>This activity is about five times more popular among women than men.</w:t>
      </w:r>
    </w:p>
    <w:p w14:paraId="1351005F" w14:textId="77777777" w:rsidR="00DE7374" w:rsidRDefault="00DE7374" w:rsidP="00DE7374">
      <w:pPr>
        <w:spacing w:after="0" w:line="312" w:lineRule="auto"/>
        <w:jc w:val="both"/>
        <w:rPr>
          <w:rFonts w:cstheme="minorHAnsi"/>
        </w:rPr>
      </w:pPr>
    </w:p>
    <w:p w14:paraId="2587FA7B" w14:textId="77777777" w:rsidR="00DE7374" w:rsidRPr="0034544A" w:rsidRDefault="00DE7374" w:rsidP="00DE7374">
      <w:pPr>
        <w:spacing w:after="0" w:line="240" w:lineRule="auto"/>
        <w:jc w:val="both"/>
        <w:rPr>
          <w:rFonts w:cstheme="minorHAnsi"/>
          <w:color w:val="7F7F7F" w:themeColor="text1" w:themeTint="80"/>
          <w:sz w:val="20"/>
          <w:szCs w:val="20"/>
        </w:rPr>
      </w:pPr>
      <w:r w:rsidRPr="0034544A">
        <w:rPr>
          <w:rFonts w:cstheme="minorHAnsi"/>
          <w:color w:val="7F7F7F" w:themeColor="text1" w:themeTint="80"/>
          <w:sz w:val="20"/>
          <w:szCs w:val="20"/>
        </w:rPr>
        <w:t>Participation in yoga, by age and sex: Australia, 2021</w:t>
      </w:r>
    </w:p>
    <w:p w14:paraId="6CA0FC79" w14:textId="77777777" w:rsidR="00DE7374" w:rsidRDefault="00DE7374" w:rsidP="00DE7374">
      <w:pPr>
        <w:spacing w:after="0" w:line="312" w:lineRule="auto"/>
        <w:jc w:val="both"/>
        <w:rPr>
          <w:rFonts w:cstheme="minorHAnsi"/>
        </w:rPr>
      </w:pPr>
    </w:p>
    <w:p w14:paraId="7702AC35" w14:textId="77777777" w:rsidR="00DE7374" w:rsidRDefault="00DE7374" w:rsidP="00DE7374">
      <w:pPr>
        <w:spacing w:after="0" w:line="312" w:lineRule="auto"/>
        <w:jc w:val="both"/>
        <w:rPr>
          <w:rFonts w:cstheme="minorHAnsi"/>
        </w:rPr>
      </w:pPr>
    </w:p>
    <w:p w14:paraId="3C957001" w14:textId="77777777" w:rsidR="00DE7374" w:rsidRDefault="00DE7374" w:rsidP="00DE7374">
      <w:pPr>
        <w:spacing w:after="0" w:line="312" w:lineRule="auto"/>
        <w:jc w:val="both"/>
        <w:rPr>
          <w:rFonts w:cstheme="minorHAnsi"/>
        </w:rPr>
      </w:pPr>
    </w:p>
    <w:p w14:paraId="4BF6AEDA" w14:textId="77777777" w:rsidR="00DE7374" w:rsidRDefault="00DE7374" w:rsidP="00DE7374">
      <w:pPr>
        <w:spacing w:after="0" w:line="312" w:lineRule="auto"/>
        <w:jc w:val="both"/>
        <w:rPr>
          <w:rFonts w:cstheme="minorHAnsi"/>
        </w:rPr>
      </w:pPr>
    </w:p>
    <w:p w14:paraId="519ECEE4" w14:textId="77777777" w:rsidR="00DE7374" w:rsidRPr="00B11774" w:rsidRDefault="00DE7374" w:rsidP="00DE7374">
      <w:pPr>
        <w:spacing w:after="0"/>
        <w:jc w:val="both"/>
        <w:rPr>
          <w:rFonts w:cstheme="minorHAnsi"/>
          <w:b/>
          <w:bCs/>
        </w:rPr>
      </w:pPr>
      <w:r w:rsidRPr="00B11774">
        <w:rPr>
          <w:rFonts w:cstheme="minorHAnsi"/>
          <w:b/>
          <w:bCs/>
        </w:rPr>
        <w:lastRenderedPageBreak/>
        <w:t>Participation in Sporting Clubs and Associations</w:t>
      </w:r>
    </w:p>
    <w:p w14:paraId="5473D7AB" w14:textId="20F98E62" w:rsidR="00DE7374" w:rsidRDefault="00DE7374" w:rsidP="00DE7374">
      <w:pPr>
        <w:spacing w:after="0" w:line="312" w:lineRule="auto"/>
        <w:jc w:val="both"/>
        <w:rPr>
          <w:rFonts w:cstheme="minorHAnsi"/>
        </w:rPr>
      </w:pPr>
      <w:r>
        <w:rPr>
          <w:rFonts w:cstheme="minorHAnsi"/>
        </w:rPr>
        <w:t>In 2019, Eime et al</w:t>
      </w:r>
      <w:r>
        <w:rPr>
          <w:rStyle w:val="FootnoteReference"/>
          <w:rFonts w:cstheme="minorHAnsi"/>
        </w:rPr>
        <w:footnoteReference w:id="21"/>
      </w:r>
      <w:r>
        <w:rPr>
          <w:rFonts w:cstheme="minorHAnsi"/>
        </w:rPr>
        <w:t xml:space="preserve">, </w:t>
      </w:r>
      <w:r w:rsidR="001E57CD">
        <w:rPr>
          <w:rFonts w:cstheme="minorHAnsi"/>
        </w:rPr>
        <w:t>investigated</w:t>
      </w:r>
      <w:r>
        <w:rPr>
          <w:rFonts w:cstheme="minorHAnsi"/>
        </w:rPr>
        <w:t xml:space="preserve"> levels of participation by Victorians in sporting activities through membership in sporting </w:t>
      </w:r>
      <w:r w:rsidRPr="00B11774">
        <w:rPr>
          <w:rFonts w:cstheme="minorHAnsi"/>
        </w:rPr>
        <w:t>clubs affiliated with any of ten major State Sport Associations</w:t>
      </w:r>
      <w:r>
        <w:rPr>
          <w:rFonts w:cstheme="minorHAnsi"/>
        </w:rPr>
        <w:t xml:space="preserve">: </w:t>
      </w:r>
      <w:r w:rsidRPr="00B11774">
        <w:rPr>
          <w:rFonts w:cstheme="minorHAnsi"/>
        </w:rPr>
        <w:t>Australian football, Basketball, Cricket, Football (Soccer), Gymnastics, Hockey, Netball, Sailing, Swimming, and Tennis</w:t>
      </w:r>
      <w:r>
        <w:rPr>
          <w:rFonts w:cstheme="minorHAnsi"/>
        </w:rPr>
        <w:t xml:space="preserve">. This study generated information concerning residents of each Victorian municipality and about differences in levels of participation among males and females. </w:t>
      </w:r>
    </w:p>
    <w:p w14:paraId="7B25A8F6"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65440" behindDoc="0" locked="0" layoutInCell="1" allowOverlap="1" wp14:anchorId="1123B646" wp14:editId="22146862">
            <wp:simplePos x="0" y="0"/>
            <wp:positionH relativeFrom="margin">
              <wp:posOffset>2277110</wp:posOffset>
            </wp:positionH>
            <wp:positionV relativeFrom="paragraph">
              <wp:posOffset>6985</wp:posOffset>
            </wp:positionV>
            <wp:extent cx="3815080" cy="2371090"/>
            <wp:effectExtent l="0" t="0" r="0" b="0"/>
            <wp:wrapSquare wrapText="bothSides"/>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66">
                      <a:extLst>
                        <a:ext uri="{28A0092B-C50C-407E-A947-70E740481C1C}">
                          <a14:useLocalDpi xmlns:a14="http://schemas.microsoft.com/office/drawing/2010/main" val="0"/>
                        </a:ext>
                      </a:extLst>
                    </a:blip>
                    <a:srcRect r="3397"/>
                    <a:stretch/>
                  </pic:blipFill>
                  <pic:spPr bwMode="auto">
                    <a:xfrm>
                      <a:off x="0" y="0"/>
                      <a:ext cx="3815080" cy="2371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inorHAnsi"/>
        </w:rPr>
        <w:t>Participation by Greater Dandenong residents was about one-third of the State average and the lowest in Victoria.</w:t>
      </w:r>
    </w:p>
    <w:p w14:paraId="6ECFF082" w14:textId="77777777" w:rsidR="00DE7374" w:rsidRDefault="00DE7374" w:rsidP="00DE7374">
      <w:pPr>
        <w:spacing w:after="0" w:line="312" w:lineRule="auto"/>
        <w:jc w:val="both"/>
        <w:rPr>
          <w:rFonts w:cstheme="minorHAnsi"/>
        </w:rPr>
      </w:pPr>
    </w:p>
    <w:p w14:paraId="3A4A90E8" w14:textId="77777777" w:rsidR="00DE7374" w:rsidRPr="007A4C29" w:rsidRDefault="00DE7374" w:rsidP="00DE7374">
      <w:pPr>
        <w:spacing w:after="0" w:line="240" w:lineRule="auto"/>
        <w:jc w:val="both"/>
        <w:rPr>
          <w:rFonts w:cstheme="minorHAnsi"/>
          <w:color w:val="7F7F7F" w:themeColor="text1" w:themeTint="80"/>
          <w:sz w:val="20"/>
          <w:szCs w:val="20"/>
        </w:rPr>
      </w:pPr>
      <w:r w:rsidRPr="007A4C29">
        <w:rPr>
          <w:rFonts w:cstheme="minorHAnsi"/>
          <w:color w:val="7F7F7F" w:themeColor="text1" w:themeTint="80"/>
          <w:sz w:val="20"/>
          <w:szCs w:val="20"/>
        </w:rPr>
        <w:t>Participation in sporting clubs by sex: Greater Dandenong</w:t>
      </w:r>
      <w:r>
        <w:rPr>
          <w:rFonts w:cstheme="minorHAnsi"/>
          <w:color w:val="7F7F7F" w:themeColor="text1" w:themeTint="80"/>
          <w:sz w:val="20"/>
          <w:szCs w:val="20"/>
        </w:rPr>
        <w:t xml:space="preserve"> and Victoria</w:t>
      </w:r>
      <w:r w:rsidRPr="007A4C29">
        <w:rPr>
          <w:rFonts w:cstheme="minorHAnsi"/>
          <w:color w:val="7F7F7F" w:themeColor="text1" w:themeTint="80"/>
          <w:sz w:val="20"/>
          <w:szCs w:val="20"/>
        </w:rPr>
        <w:t>, 201</w:t>
      </w:r>
      <w:r>
        <w:rPr>
          <w:rFonts w:cstheme="minorHAnsi"/>
          <w:color w:val="7F7F7F" w:themeColor="text1" w:themeTint="80"/>
          <w:sz w:val="20"/>
          <w:szCs w:val="20"/>
        </w:rPr>
        <w:t>9</w:t>
      </w:r>
    </w:p>
    <w:p w14:paraId="59A5DA7D" w14:textId="77777777" w:rsidR="00DE7374" w:rsidRDefault="00DE7374" w:rsidP="00DE7374">
      <w:pPr>
        <w:spacing w:after="0" w:line="312" w:lineRule="auto"/>
        <w:jc w:val="both"/>
        <w:rPr>
          <w:rFonts w:cstheme="minorHAnsi"/>
        </w:rPr>
      </w:pPr>
    </w:p>
    <w:p w14:paraId="4ABBCED1" w14:textId="77777777" w:rsidR="00DE7374" w:rsidRDefault="00DE7374" w:rsidP="00DE7374">
      <w:pPr>
        <w:spacing w:after="0" w:line="312" w:lineRule="auto"/>
        <w:jc w:val="both"/>
        <w:rPr>
          <w:rFonts w:cstheme="minorHAnsi"/>
        </w:rPr>
      </w:pPr>
    </w:p>
    <w:p w14:paraId="21FA06DD" w14:textId="77777777" w:rsidR="00DE7374" w:rsidRDefault="00DE7374" w:rsidP="00DE7374">
      <w:pPr>
        <w:spacing w:after="0" w:line="312" w:lineRule="auto"/>
        <w:jc w:val="both"/>
        <w:rPr>
          <w:rFonts w:cstheme="minorHAnsi"/>
        </w:rPr>
      </w:pPr>
    </w:p>
    <w:p w14:paraId="0FE60516" w14:textId="77777777" w:rsidR="00DE7374" w:rsidRDefault="00DE7374" w:rsidP="00DE7374">
      <w:pPr>
        <w:spacing w:after="0" w:line="312" w:lineRule="auto"/>
        <w:jc w:val="both"/>
        <w:rPr>
          <w:rFonts w:cstheme="minorHAnsi"/>
        </w:rPr>
      </w:pPr>
    </w:p>
    <w:p w14:paraId="065DC455" w14:textId="77777777" w:rsidR="00DE7374" w:rsidRDefault="00DE7374" w:rsidP="00DE7374">
      <w:pPr>
        <w:spacing w:after="0" w:line="312" w:lineRule="auto"/>
        <w:jc w:val="both"/>
        <w:rPr>
          <w:rFonts w:cstheme="minorHAnsi"/>
        </w:rPr>
      </w:pPr>
    </w:p>
    <w:p w14:paraId="5641B237" w14:textId="77777777" w:rsidR="00DE7374" w:rsidRDefault="00DE7374" w:rsidP="00DE7374">
      <w:pPr>
        <w:spacing w:after="0" w:line="312" w:lineRule="auto"/>
        <w:jc w:val="both"/>
        <w:rPr>
          <w:rFonts w:cstheme="minorHAnsi"/>
        </w:rPr>
      </w:pPr>
    </w:p>
    <w:p w14:paraId="315ED0CE"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68512" behindDoc="0" locked="0" layoutInCell="1" allowOverlap="1" wp14:anchorId="03F53FFC" wp14:editId="72A46BDA">
            <wp:simplePos x="0" y="0"/>
            <wp:positionH relativeFrom="margin">
              <wp:posOffset>52705</wp:posOffset>
            </wp:positionH>
            <wp:positionV relativeFrom="paragraph">
              <wp:posOffset>120015</wp:posOffset>
            </wp:positionV>
            <wp:extent cx="3617595" cy="2557145"/>
            <wp:effectExtent l="0" t="0" r="1905" b="0"/>
            <wp:wrapSquare wrapText="bothSides"/>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3617595" cy="2557145"/>
                    </a:xfrm>
                    <a:prstGeom prst="rect">
                      <a:avLst/>
                    </a:prstGeom>
                    <a:noFill/>
                  </pic:spPr>
                </pic:pic>
              </a:graphicData>
            </a:graphic>
            <wp14:sizeRelH relativeFrom="page">
              <wp14:pctWidth>0</wp14:pctWidth>
            </wp14:sizeRelH>
            <wp14:sizeRelV relativeFrom="page">
              <wp14:pctHeight>0</wp14:pctHeight>
            </wp14:sizeRelV>
          </wp:anchor>
        </w:drawing>
      </w:r>
    </w:p>
    <w:p w14:paraId="1D7D4D19" w14:textId="77777777" w:rsidR="00DE7374" w:rsidRDefault="00DE7374" w:rsidP="00DE7374">
      <w:pPr>
        <w:spacing w:after="0" w:line="312" w:lineRule="auto"/>
        <w:jc w:val="both"/>
        <w:rPr>
          <w:rFonts w:cstheme="minorHAnsi"/>
        </w:rPr>
      </w:pPr>
      <w:r>
        <w:rPr>
          <w:rFonts w:cstheme="minorHAnsi"/>
        </w:rPr>
        <w:t>A further notable trend is that the participation rate among females was less than half that for males.</w:t>
      </w:r>
    </w:p>
    <w:p w14:paraId="6B037EE3" w14:textId="77777777" w:rsidR="00DE7374" w:rsidRDefault="00DE7374" w:rsidP="00DE7374">
      <w:pPr>
        <w:spacing w:after="0" w:line="312" w:lineRule="auto"/>
        <w:jc w:val="both"/>
        <w:rPr>
          <w:rFonts w:cstheme="minorHAnsi"/>
        </w:rPr>
      </w:pPr>
    </w:p>
    <w:p w14:paraId="0027BD42" w14:textId="77777777" w:rsidR="00DE7374" w:rsidRPr="007A4C29" w:rsidRDefault="00DE7374" w:rsidP="00DE7374">
      <w:pPr>
        <w:spacing w:after="0" w:line="240" w:lineRule="auto"/>
        <w:jc w:val="both"/>
        <w:rPr>
          <w:rFonts w:cstheme="minorHAnsi"/>
          <w:color w:val="7F7F7F" w:themeColor="text1" w:themeTint="80"/>
          <w:sz w:val="20"/>
          <w:szCs w:val="20"/>
        </w:rPr>
      </w:pPr>
      <w:r>
        <w:rPr>
          <w:rFonts w:cstheme="minorHAnsi"/>
          <w:color w:val="7F7F7F" w:themeColor="text1" w:themeTint="80"/>
          <w:sz w:val="20"/>
          <w:szCs w:val="20"/>
        </w:rPr>
        <w:t>P</w:t>
      </w:r>
      <w:r w:rsidRPr="007A4C29">
        <w:rPr>
          <w:rFonts w:cstheme="minorHAnsi"/>
          <w:color w:val="7F7F7F" w:themeColor="text1" w:themeTint="80"/>
          <w:sz w:val="20"/>
          <w:szCs w:val="20"/>
        </w:rPr>
        <w:t>articipation in sporting clubs by age and sex: Greater Dandenong, 201</w:t>
      </w:r>
      <w:r>
        <w:rPr>
          <w:rFonts w:cstheme="minorHAnsi"/>
          <w:color w:val="7F7F7F" w:themeColor="text1" w:themeTint="80"/>
          <w:sz w:val="20"/>
          <w:szCs w:val="20"/>
        </w:rPr>
        <w:t>9</w:t>
      </w:r>
    </w:p>
    <w:p w14:paraId="0F944AF2" w14:textId="77777777" w:rsidR="00DE7374" w:rsidRDefault="00DE7374" w:rsidP="00DE7374">
      <w:pPr>
        <w:spacing w:after="0" w:line="312" w:lineRule="auto"/>
        <w:jc w:val="both"/>
        <w:rPr>
          <w:rFonts w:cstheme="minorHAnsi"/>
        </w:rPr>
      </w:pPr>
    </w:p>
    <w:p w14:paraId="470BE1B5" w14:textId="77777777" w:rsidR="00DE7374" w:rsidRDefault="00DE7374" w:rsidP="00DE7374">
      <w:pPr>
        <w:spacing w:after="0" w:line="312" w:lineRule="auto"/>
        <w:jc w:val="both"/>
        <w:rPr>
          <w:rFonts w:cstheme="minorHAnsi"/>
        </w:rPr>
      </w:pPr>
    </w:p>
    <w:p w14:paraId="2DDEC304" w14:textId="77777777" w:rsidR="00DE7374" w:rsidRDefault="00DE7374" w:rsidP="00DE7374">
      <w:pPr>
        <w:spacing w:after="0" w:line="312" w:lineRule="auto"/>
        <w:jc w:val="both"/>
        <w:rPr>
          <w:rFonts w:cstheme="minorHAnsi"/>
        </w:rPr>
      </w:pPr>
    </w:p>
    <w:p w14:paraId="55EC2979" w14:textId="77777777" w:rsidR="00DE7374" w:rsidRDefault="00DE7374" w:rsidP="00DE7374">
      <w:pPr>
        <w:spacing w:after="0" w:line="312" w:lineRule="auto"/>
        <w:jc w:val="both"/>
        <w:rPr>
          <w:rFonts w:cstheme="minorHAnsi"/>
        </w:rPr>
      </w:pPr>
    </w:p>
    <w:p w14:paraId="5FFFE990" w14:textId="77777777" w:rsidR="00DE7374" w:rsidRDefault="00DE7374" w:rsidP="00DE7374">
      <w:pPr>
        <w:spacing w:after="0" w:line="312" w:lineRule="auto"/>
        <w:jc w:val="both"/>
        <w:rPr>
          <w:rFonts w:cstheme="minorHAnsi"/>
        </w:rPr>
      </w:pPr>
    </w:p>
    <w:p w14:paraId="77B014A6" w14:textId="77777777" w:rsidR="00DE7374" w:rsidRDefault="00DE7374" w:rsidP="00DE7374">
      <w:pPr>
        <w:spacing w:after="0" w:line="312" w:lineRule="auto"/>
        <w:jc w:val="both"/>
        <w:rPr>
          <w:rFonts w:cstheme="minorHAnsi"/>
        </w:rPr>
      </w:pPr>
    </w:p>
    <w:p w14:paraId="39150E41" w14:textId="77777777" w:rsidR="00DE7374" w:rsidRDefault="00DE7374" w:rsidP="00DE7374">
      <w:pPr>
        <w:spacing w:after="0" w:line="312" w:lineRule="auto"/>
        <w:jc w:val="both"/>
        <w:rPr>
          <w:rFonts w:cstheme="minorHAnsi"/>
        </w:rPr>
      </w:pPr>
    </w:p>
    <w:p w14:paraId="77D0A774" w14:textId="77777777" w:rsidR="00DE7374" w:rsidRDefault="00DE7374" w:rsidP="00DE7374">
      <w:pPr>
        <w:spacing w:after="0" w:line="312" w:lineRule="auto"/>
        <w:jc w:val="both"/>
        <w:rPr>
          <w:rFonts w:cstheme="minorHAnsi"/>
        </w:rPr>
      </w:pPr>
      <w:r>
        <w:rPr>
          <w:rFonts w:cstheme="minorHAnsi"/>
        </w:rPr>
        <w:t xml:space="preserve">Rates of participation in sporting clubs by Greater Dandenong residents declined from 22% of children to less than 1% among people aged 50 years or more. Among females, rates of participation among children aged 4 to 14 years was substantially lower than among males. </w:t>
      </w:r>
    </w:p>
    <w:p w14:paraId="1AB51729" w14:textId="77777777" w:rsidR="00DE7374" w:rsidRPr="00836A94" w:rsidRDefault="00DE7374" w:rsidP="00DE7374">
      <w:pPr>
        <w:spacing w:after="0" w:line="312" w:lineRule="auto"/>
        <w:jc w:val="both"/>
        <w:rPr>
          <w:rFonts w:cstheme="minorHAnsi"/>
        </w:rPr>
      </w:pPr>
      <w:r>
        <w:rPr>
          <w:rFonts w:cstheme="minorHAnsi"/>
        </w:rPr>
        <w:t>In succeeding years, this disparity widens as participation among females descends to less than 2% among those aged 25 years or more.</w:t>
      </w:r>
    </w:p>
    <w:p w14:paraId="00B101DD" w14:textId="21A12493" w:rsidR="00B53C77" w:rsidRDefault="00B53C77" w:rsidP="00DE7374">
      <w:pPr>
        <w:spacing w:after="0" w:line="360" w:lineRule="auto"/>
      </w:pPr>
    </w:p>
    <w:p w14:paraId="3E04D21A" w14:textId="59FD0559" w:rsidR="00DE7374" w:rsidRDefault="00DE7374" w:rsidP="00DE7374">
      <w:pPr>
        <w:spacing w:after="0" w:line="360" w:lineRule="auto"/>
      </w:pPr>
    </w:p>
    <w:p w14:paraId="1D0DC47B" w14:textId="77777777" w:rsidR="00DD0DF2" w:rsidRPr="001C0639" w:rsidRDefault="00DD0DF2" w:rsidP="001C0639">
      <w:pPr>
        <w:pBdr>
          <w:top w:val="single" w:sz="4" w:space="1" w:color="auto"/>
          <w:bottom w:val="single" w:sz="4" w:space="1" w:color="auto"/>
        </w:pBdr>
        <w:tabs>
          <w:tab w:val="center" w:pos="4678"/>
        </w:tabs>
        <w:jc w:val="center"/>
        <w:rPr>
          <w:rFonts w:ascii="Calibri" w:eastAsia="PMingLiU" w:hAnsi="Calibri"/>
          <w:noProof/>
          <w:sz w:val="32"/>
          <w:szCs w:val="32"/>
          <w:lang w:val="en-US" w:eastAsia="zh-TW"/>
        </w:rPr>
      </w:pPr>
      <w:r w:rsidRPr="001C0639">
        <w:rPr>
          <w:rFonts w:ascii="Calibri" w:eastAsia="PMingLiU" w:hAnsi="Calibri"/>
          <w:noProof/>
          <w:sz w:val="32"/>
          <w:szCs w:val="32"/>
          <w:lang w:val="en-US" w:eastAsia="zh-TW"/>
        </w:rPr>
        <w:lastRenderedPageBreak/>
        <w:t>Mortality</w:t>
      </w:r>
    </w:p>
    <w:p w14:paraId="34375244" w14:textId="77777777" w:rsidR="00DD0DF2" w:rsidRPr="00C45CAF" w:rsidRDefault="00DD0DF2" w:rsidP="00DD0DF2">
      <w:pPr>
        <w:spacing w:after="0" w:line="360" w:lineRule="auto"/>
        <w:jc w:val="both"/>
        <w:rPr>
          <w:rFonts w:ascii="Calibri" w:hAnsi="Calibri"/>
          <w:b/>
          <w:sz w:val="10"/>
          <w:szCs w:val="10"/>
        </w:rPr>
      </w:pPr>
      <w:r>
        <w:rPr>
          <w:rFonts w:ascii="Calibri" w:hAnsi="Calibri"/>
          <w:b/>
          <w:noProof/>
          <w:lang w:eastAsia="en-AU"/>
        </w:rPr>
        <w:drawing>
          <wp:anchor distT="0" distB="0" distL="114300" distR="114300" simplePos="0" relativeHeight="251971584" behindDoc="1" locked="0" layoutInCell="1" allowOverlap="1" wp14:anchorId="277237AB" wp14:editId="63CE67D9">
            <wp:simplePos x="0" y="0"/>
            <wp:positionH relativeFrom="column">
              <wp:posOffset>4223385</wp:posOffset>
            </wp:positionH>
            <wp:positionV relativeFrom="paragraph">
              <wp:posOffset>15875</wp:posOffset>
            </wp:positionV>
            <wp:extent cx="1943100" cy="1381125"/>
            <wp:effectExtent l="0" t="0" r="0" b="9525"/>
            <wp:wrapTight wrapText="bothSides">
              <wp:wrapPolygon edited="0">
                <wp:start x="847" y="0"/>
                <wp:lineTo x="0" y="596"/>
                <wp:lineTo x="0" y="21153"/>
                <wp:lineTo x="847" y="21451"/>
                <wp:lineTo x="20541" y="21451"/>
                <wp:lineTo x="21388" y="21153"/>
                <wp:lineTo x="21388" y="596"/>
                <wp:lineTo x="20541" y="0"/>
                <wp:lineTo x="847" y="0"/>
              </wp:wrapPolygon>
            </wp:wrapTight>
            <wp:docPr id="140" name="Picture 51" descr="White 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White rose"/>
                    <pic:cNvPicPr>
                      <a:picLocks noChangeAspect="1" noChangeArrowheads="1"/>
                    </pic:cNvPicPr>
                  </pic:nvPicPr>
                  <pic:blipFill>
                    <a:blip r:embed="rId208" cstate="print"/>
                    <a:srcRect t="4781" r="9596" b="16675"/>
                    <a:stretch>
                      <a:fillRect/>
                    </a:stretch>
                  </pic:blipFill>
                  <pic:spPr bwMode="auto">
                    <a:xfrm>
                      <a:off x="0" y="0"/>
                      <a:ext cx="1943100" cy="1381125"/>
                    </a:xfrm>
                    <a:prstGeom prst="rect">
                      <a:avLst/>
                    </a:prstGeom>
                    <a:ln>
                      <a:noFill/>
                    </a:ln>
                    <a:effectLst>
                      <a:softEdge rad="112500"/>
                    </a:effectLst>
                  </pic:spPr>
                </pic:pic>
              </a:graphicData>
            </a:graphic>
          </wp:anchor>
        </w:drawing>
      </w:r>
    </w:p>
    <w:p w14:paraId="495BBB4B" w14:textId="77777777" w:rsidR="00DD0DF2" w:rsidRPr="0030596D" w:rsidRDefault="00DD0DF2" w:rsidP="00DD0DF2">
      <w:pPr>
        <w:spacing w:after="0" w:line="360" w:lineRule="auto"/>
        <w:jc w:val="both"/>
        <w:rPr>
          <w:rFonts w:ascii="Calibri" w:hAnsi="Calibri"/>
          <w:b/>
        </w:rPr>
      </w:pPr>
      <w:r w:rsidRPr="0030596D">
        <w:rPr>
          <w:rFonts w:ascii="Calibri" w:hAnsi="Calibri"/>
          <w:b/>
        </w:rPr>
        <w:t>Life Expectancy</w:t>
      </w:r>
    </w:p>
    <w:p w14:paraId="5F2CF5C0" w14:textId="77777777" w:rsidR="00DD0DF2" w:rsidRPr="00977ADB" w:rsidRDefault="00DD0DF2" w:rsidP="00DD0DF2">
      <w:pPr>
        <w:spacing w:after="0" w:line="360" w:lineRule="auto"/>
        <w:jc w:val="both"/>
        <w:rPr>
          <w:rFonts w:ascii="Calibri" w:hAnsi="Calibri"/>
        </w:rPr>
      </w:pPr>
      <w:r>
        <w:rPr>
          <w:rFonts w:ascii="Calibri" w:hAnsi="Calibri"/>
          <w:noProof/>
          <w:color w:val="808080"/>
          <w:sz w:val="20"/>
          <w:szCs w:val="20"/>
        </w:rPr>
        <w:drawing>
          <wp:anchor distT="0" distB="0" distL="114300" distR="114300" simplePos="0" relativeHeight="251970560" behindDoc="0" locked="0" layoutInCell="1" allowOverlap="1" wp14:anchorId="0072D52D" wp14:editId="5068D957">
            <wp:simplePos x="0" y="0"/>
            <wp:positionH relativeFrom="column">
              <wp:posOffset>-1270</wp:posOffset>
            </wp:positionH>
            <wp:positionV relativeFrom="paragraph">
              <wp:posOffset>1024890</wp:posOffset>
            </wp:positionV>
            <wp:extent cx="3865880" cy="2776220"/>
            <wp:effectExtent l="0" t="0" r="1270" b="5080"/>
            <wp:wrapSquare wrapText="bothSides"/>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3865880" cy="2776220"/>
                    </a:xfrm>
                    <a:prstGeom prst="rect">
                      <a:avLst/>
                    </a:prstGeom>
                    <a:noFill/>
                  </pic:spPr>
                </pic:pic>
              </a:graphicData>
            </a:graphic>
            <wp14:sizeRelH relativeFrom="page">
              <wp14:pctWidth>0</wp14:pctWidth>
            </wp14:sizeRelH>
            <wp14:sizeRelV relativeFrom="page">
              <wp14:pctHeight>0</wp14:pctHeight>
            </wp14:sizeRelV>
          </wp:anchor>
        </w:drawing>
      </w:r>
      <w:r w:rsidRPr="00977ADB">
        <w:rPr>
          <w:rFonts w:ascii="Calibri" w:hAnsi="Calibri"/>
        </w:rPr>
        <w:t xml:space="preserve">Life expectancy from birth provides </w:t>
      </w:r>
      <w:r>
        <w:rPr>
          <w:rFonts w:ascii="Calibri" w:hAnsi="Calibri"/>
        </w:rPr>
        <w:t>an</w:t>
      </w:r>
      <w:r w:rsidRPr="00977ADB">
        <w:rPr>
          <w:rFonts w:ascii="Calibri" w:hAnsi="Calibri"/>
        </w:rPr>
        <w:t xml:space="preserve"> indication of physical health. </w:t>
      </w:r>
      <w:r>
        <w:rPr>
          <w:rFonts w:ascii="Calibri" w:hAnsi="Calibri"/>
        </w:rPr>
        <w:t>In the 1880s, Australian life expectancy from birth was 47 years among males and 51 among females. By 2020, this figure had reached 82 years in Victoria</w:t>
      </w:r>
      <w:r w:rsidRPr="00977ADB">
        <w:rPr>
          <w:rFonts w:ascii="Calibri" w:hAnsi="Calibri"/>
        </w:rPr>
        <w:t>.</w:t>
      </w:r>
      <w:r>
        <w:rPr>
          <w:rStyle w:val="FootnoteReference"/>
          <w:rFonts w:ascii="Calibri" w:hAnsi="Calibri"/>
        </w:rPr>
        <w:footnoteReference w:id="22"/>
      </w:r>
    </w:p>
    <w:p w14:paraId="5ADCA7DB" w14:textId="77777777" w:rsidR="00DD0DF2" w:rsidRPr="000F26D0" w:rsidRDefault="00DD0DF2" w:rsidP="00DD0DF2">
      <w:pPr>
        <w:spacing w:after="0"/>
        <w:jc w:val="both"/>
        <w:rPr>
          <w:rFonts w:ascii="Calibri" w:hAnsi="Calibri"/>
          <w:color w:val="808080"/>
          <w:sz w:val="20"/>
          <w:szCs w:val="20"/>
        </w:rPr>
      </w:pPr>
      <w:r w:rsidRPr="000F26D0">
        <w:rPr>
          <w:rFonts w:ascii="Calibri" w:hAnsi="Calibri"/>
          <w:color w:val="808080"/>
          <w:sz w:val="20"/>
          <w:szCs w:val="20"/>
        </w:rPr>
        <w:t xml:space="preserve">Life Expectancy by Sex: Victoria, </w:t>
      </w:r>
      <w:r>
        <w:rPr>
          <w:rFonts w:ascii="Calibri" w:hAnsi="Calibri"/>
          <w:color w:val="808080"/>
          <w:sz w:val="20"/>
          <w:szCs w:val="20"/>
        </w:rPr>
        <w:t>199</w:t>
      </w:r>
      <w:r w:rsidRPr="000F26D0">
        <w:rPr>
          <w:rFonts w:ascii="Calibri" w:hAnsi="Calibri"/>
          <w:color w:val="808080"/>
          <w:sz w:val="20"/>
          <w:szCs w:val="20"/>
        </w:rPr>
        <w:t>0 to 20</w:t>
      </w:r>
      <w:r>
        <w:rPr>
          <w:rFonts w:ascii="Calibri" w:hAnsi="Calibri"/>
          <w:color w:val="808080"/>
          <w:sz w:val="20"/>
          <w:szCs w:val="20"/>
        </w:rPr>
        <w:t>20</w:t>
      </w:r>
    </w:p>
    <w:p w14:paraId="5E2065FB" w14:textId="77777777" w:rsidR="00DD0DF2" w:rsidRDefault="00DD0DF2" w:rsidP="00DD0DF2">
      <w:pPr>
        <w:spacing w:after="0" w:line="360" w:lineRule="auto"/>
        <w:jc w:val="both"/>
        <w:rPr>
          <w:rFonts w:ascii="Calibri" w:hAnsi="Calibri"/>
        </w:rPr>
      </w:pPr>
    </w:p>
    <w:p w14:paraId="1BF53DD4" w14:textId="77777777" w:rsidR="00DD0DF2" w:rsidRDefault="00DD0DF2" w:rsidP="00DD0DF2">
      <w:pPr>
        <w:spacing w:after="0" w:line="360" w:lineRule="auto"/>
        <w:jc w:val="both"/>
        <w:rPr>
          <w:rFonts w:ascii="Calibri" w:hAnsi="Calibri"/>
        </w:rPr>
      </w:pPr>
    </w:p>
    <w:p w14:paraId="2A51BA38" w14:textId="77777777" w:rsidR="00DD0DF2" w:rsidRDefault="00DD0DF2" w:rsidP="00DD0DF2">
      <w:pPr>
        <w:spacing w:after="0" w:line="360" w:lineRule="auto"/>
        <w:jc w:val="both"/>
        <w:rPr>
          <w:rFonts w:ascii="Calibri" w:hAnsi="Calibri"/>
        </w:rPr>
      </w:pPr>
      <w:r w:rsidRPr="00977ADB">
        <w:rPr>
          <w:rFonts w:ascii="Calibri" w:hAnsi="Calibri"/>
        </w:rPr>
        <w:t xml:space="preserve">In </w:t>
      </w:r>
      <w:r>
        <w:rPr>
          <w:rFonts w:ascii="Calibri" w:hAnsi="Calibri"/>
        </w:rPr>
        <w:t>2020</w:t>
      </w:r>
      <w:r w:rsidRPr="00977ADB">
        <w:rPr>
          <w:rFonts w:ascii="Calibri" w:hAnsi="Calibri"/>
        </w:rPr>
        <w:t xml:space="preserve"> life expectancy </w:t>
      </w:r>
      <w:r>
        <w:rPr>
          <w:rFonts w:ascii="Calibri" w:hAnsi="Calibri"/>
        </w:rPr>
        <w:t xml:space="preserve">in Greater Dandenong </w:t>
      </w:r>
      <w:r w:rsidRPr="00977ADB">
        <w:rPr>
          <w:rFonts w:ascii="Calibri" w:hAnsi="Calibri"/>
        </w:rPr>
        <w:t xml:space="preserve">was </w:t>
      </w:r>
      <w:r>
        <w:rPr>
          <w:rFonts w:ascii="Calibri" w:hAnsi="Calibri"/>
        </w:rPr>
        <w:t>estimated at 82 (including 84 among women and 79 among men), the same as the Victorian level.</w:t>
      </w:r>
    </w:p>
    <w:p w14:paraId="1C61C5C5" w14:textId="77777777" w:rsidR="00DD0DF2" w:rsidRDefault="00DD0DF2" w:rsidP="00DD0DF2">
      <w:pPr>
        <w:spacing w:after="0" w:line="360" w:lineRule="auto"/>
        <w:jc w:val="both"/>
        <w:rPr>
          <w:rFonts w:ascii="Calibri" w:hAnsi="Calibri"/>
        </w:rPr>
      </w:pPr>
    </w:p>
    <w:p w14:paraId="6DECDEB8" w14:textId="77777777" w:rsidR="00DD0DF2" w:rsidRDefault="00DD0DF2" w:rsidP="00DD0DF2">
      <w:pPr>
        <w:spacing w:after="0" w:line="360" w:lineRule="auto"/>
        <w:jc w:val="both"/>
        <w:rPr>
          <w:rFonts w:ascii="Calibri" w:hAnsi="Calibri"/>
        </w:rPr>
      </w:pPr>
    </w:p>
    <w:p w14:paraId="332935FA" w14:textId="77777777" w:rsidR="00DD0DF2" w:rsidRDefault="00DD0DF2" w:rsidP="00DD0DF2">
      <w:pPr>
        <w:spacing w:after="0" w:line="360" w:lineRule="auto"/>
        <w:jc w:val="both"/>
        <w:rPr>
          <w:rFonts w:ascii="Calibri" w:hAnsi="Calibri"/>
        </w:rPr>
      </w:pPr>
    </w:p>
    <w:p w14:paraId="4F08787C" w14:textId="77777777" w:rsidR="00DD0DF2" w:rsidRDefault="00DD0DF2" w:rsidP="00DD0DF2">
      <w:pPr>
        <w:spacing w:after="0" w:line="360" w:lineRule="auto"/>
        <w:jc w:val="both"/>
        <w:rPr>
          <w:rFonts w:ascii="Calibri" w:hAnsi="Calibri"/>
        </w:rPr>
      </w:pPr>
    </w:p>
    <w:p w14:paraId="1302FD86" w14:textId="77777777" w:rsidR="00DD0DF2" w:rsidRDefault="00DD0DF2" w:rsidP="00DD0DF2">
      <w:pPr>
        <w:spacing w:after="0" w:line="360" w:lineRule="auto"/>
        <w:jc w:val="both"/>
        <w:rPr>
          <w:rFonts w:ascii="Calibri" w:hAnsi="Calibri"/>
        </w:rPr>
      </w:pPr>
    </w:p>
    <w:p w14:paraId="74C4B44D" w14:textId="77777777" w:rsidR="00DD0DF2" w:rsidRPr="00903528" w:rsidRDefault="00DD0DF2" w:rsidP="00DD0DF2">
      <w:pPr>
        <w:spacing w:after="0"/>
        <w:ind w:left="3686"/>
        <w:rPr>
          <w:rFonts w:ascii="Calibri" w:hAnsi="Calibri"/>
          <w:color w:val="808080"/>
          <w:sz w:val="20"/>
          <w:szCs w:val="20"/>
        </w:rPr>
      </w:pPr>
      <w:r>
        <w:rPr>
          <w:rFonts w:ascii="Calibri" w:hAnsi="Calibri"/>
          <w:color w:val="808080"/>
          <w:sz w:val="20"/>
          <w:szCs w:val="20"/>
        </w:rPr>
        <w:t>Probability of Death within a Year, by Age and Sex: Australia, 2016-2020</w:t>
      </w:r>
    </w:p>
    <w:p w14:paraId="3945D7C6" w14:textId="77777777" w:rsidR="00DD0DF2" w:rsidRDefault="00DD0DF2" w:rsidP="00DD0DF2">
      <w:pPr>
        <w:spacing w:after="0" w:line="360" w:lineRule="auto"/>
        <w:jc w:val="both"/>
        <w:rPr>
          <w:rFonts w:ascii="Calibri" w:hAnsi="Calibri"/>
        </w:rPr>
      </w:pPr>
      <w:r>
        <w:rPr>
          <w:rFonts w:ascii="Calibri" w:hAnsi="Calibri"/>
          <w:b/>
          <w:noProof/>
        </w:rPr>
        <w:drawing>
          <wp:anchor distT="0" distB="0" distL="114300" distR="114300" simplePos="0" relativeHeight="251972608" behindDoc="0" locked="0" layoutInCell="1" allowOverlap="1" wp14:anchorId="6166CF13" wp14:editId="4022E37E">
            <wp:simplePos x="0" y="0"/>
            <wp:positionH relativeFrom="column">
              <wp:posOffset>1632585</wp:posOffset>
            </wp:positionH>
            <wp:positionV relativeFrom="paragraph">
              <wp:posOffset>93980</wp:posOffset>
            </wp:positionV>
            <wp:extent cx="4427855" cy="3213735"/>
            <wp:effectExtent l="0" t="0" r="0" b="5715"/>
            <wp:wrapSquare wrapText="bothSides"/>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427855" cy="3213735"/>
                    </a:xfrm>
                    <a:prstGeom prst="rect">
                      <a:avLst/>
                    </a:prstGeom>
                    <a:noFill/>
                  </pic:spPr>
                </pic:pic>
              </a:graphicData>
            </a:graphic>
            <wp14:sizeRelH relativeFrom="page">
              <wp14:pctWidth>0</wp14:pctWidth>
            </wp14:sizeRelH>
            <wp14:sizeRelV relativeFrom="page">
              <wp14:pctHeight>0</wp14:pctHeight>
            </wp14:sizeRelV>
          </wp:anchor>
        </w:drawing>
      </w:r>
    </w:p>
    <w:p w14:paraId="47738CB0" w14:textId="77777777" w:rsidR="00DD0DF2" w:rsidRPr="00567D76" w:rsidRDefault="00DD0DF2" w:rsidP="00DD0DF2">
      <w:pPr>
        <w:spacing w:after="0" w:line="360" w:lineRule="auto"/>
        <w:jc w:val="both"/>
        <w:rPr>
          <w:rFonts w:ascii="Calibri" w:hAnsi="Calibri"/>
          <w:b/>
        </w:rPr>
      </w:pPr>
      <w:r w:rsidRPr="00567D76">
        <w:rPr>
          <w:rFonts w:ascii="Calibri" w:hAnsi="Calibri"/>
          <w:b/>
        </w:rPr>
        <w:t>Mortality Rate</w:t>
      </w:r>
      <w:r>
        <w:rPr>
          <w:rFonts w:ascii="Calibri" w:hAnsi="Calibri"/>
          <w:b/>
        </w:rPr>
        <w:t>s</w:t>
      </w:r>
    </w:p>
    <w:p w14:paraId="36E919E6" w14:textId="77777777" w:rsidR="00DD0DF2" w:rsidRDefault="00DD0DF2" w:rsidP="00DD0DF2">
      <w:pPr>
        <w:spacing w:after="0" w:line="360" w:lineRule="auto"/>
        <w:jc w:val="both"/>
        <w:rPr>
          <w:rFonts w:ascii="Calibri" w:hAnsi="Calibri"/>
        </w:rPr>
      </w:pPr>
      <w:r>
        <w:rPr>
          <w:rFonts w:ascii="Calibri" w:hAnsi="Calibri"/>
        </w:rPr>
        <w:t xml:space="preserve">Australian </w:t>
      </w:r>
      <w:r w:rsidRPr="00B75D7F">
        <w:rPr>
          <w:rFonts w:ascii="Calibri" w:hAnsi="Calibri"/>
        </w:rPr>
        <w:t>mortality rate</w:t>
      </w:r>
      <w:r>
        <w:rPr>
          <w:rFonts w:ascii="Calibri" w:hAnsi="Calibri"/>
        </w:rPr>
        <w:t>s remain</w:t>
      </w:r>
      <w:r w:rsidRPr="00B75D7F">
        <w:rPr>
          <w:rFonts w:ascii="Calibri" w:hAnsi="Calibri"/>
        </w:rPr>
        <w:t xml:space="preserve"> below 10 per </w:t>
      </w:r>
      <w:r w:rsidRPr="00B75D7F">
        <w:rPr>
          <w:rFonts w:ascii="Calibri" w:hAnsi="Calibri"/>
          <w:color w:val="000000"/>
        </w:rPr>
        <w:t>1,000</w:t>
      </w:r>
      <w:r w:rsidRPr="00B75D7F">
        <w:rPr>
          <w:rFonts w:ascii="Calibri" w:hAnsi="Calibri"/>
        </w:rPr>
        <w:t xml:space="preserve"> persons, or 1%, in all age groups to 64 years</w:t>
      </w:r>
      <w:r>
        <w:rPr>
          <w:rFonts w:ascii="Calibri" w:hAnsi="Calibri"/>
        </w:rPr>
        <w:t>. Above that age, rates</w:t>
      </w:r>
      <w:r w:rsidRPr="00B75D7F">
        <w:rPr>
          <w:rFonts w:ascii="Calibri" w:hAnsi="Calibri"/>
        </w:rPr>
        <w:t xml:space="preserve"> </w:t>
      </w:r>
      <w:r>
        <w:rPr>
          <w:rFonts w:ascii="Calibri" w:hAnsi="Calibri"/>
        </w:rPr>
        <w:t>rise</w:t>
      </w:r>
      <w:r w:rsidRPr="00B75D7F">
        <w:rPr>
          <w:rFonts w:ascii="Calibri" w:hAnsi="Calibri"/>
        </w:rPr>
        <w:t xml:space="preserve"> </w:t>
      </w:r>
      <w:r>
        <w:rPr>
          <w:rFonts w:ascii="Calibri" w:hAnsi="Calibri"/>
        </w:rPr>
        <w:t>steeply</w:t>
      </w:r>
      <w:r w:rsidRPr="00B75D7F">
        <w:rPr>
          <w:rFonts w:ascii="Calibri" w:hAnsi="Calibri"/>
        </w:rPr>
        <w:t xml:space="preserve">. The diagram </w:t>
      </w:r>
      <w:r>
        <w:rPr>
          <w:rFonts w:ascii="Calibri" w:hAnsi="Calibri"/>
        </w:rPr>
        <w:t>at right</w:t>
      </w:r>
      <w:r w:rsidRPr="00B75D7F">
        <w:rPr>
          <w:rFonts w:ascii="Calibri" w:hAnsi="Calibri"/>
        </w:rPr>
        <w:t xml:space="preserve"> depict</w:t>
      </w:r>
      <w:r>
        <w:rPr>
          <w:rFonts w:ascii="Calibri" w:hAnsi="Calibri"/>
        </w:rPr>
        <w:t>s</w:t>
      </w:r>
      <w:r w:rsidRPr="00B75D7F">
        <w:rPr>
          <w:rFonts w:ascii="Calibri" w:hAnsi="Calibri"/>
        </w:rPr>
        <w:t xml:space="preserve"> the age-specific mortality rates for males and females in Australia, in 201</w:t>
      </w:r>
      <w:r>
        <w:rPr>
          <w:rFonts w:ascii="Calibri" w:hAnsi="Calibri"/>
        </w:rPr>
        <w:t>6-2020</w:t>
      </w:r>
      <w:r>
        <w:rPr>
          <w:rStyle w:val="FootnoteReference"/>
          <w:rFonts w:ascii="Calibri" w:hAnsi="Calibri"/>
        </w:rPr>
        <w:footnoteReference w:id="23"/>
      </w:r>
      <w:r w:rsidRPr="00B75D7F">
        <w:rPr>
          <w:rFonts w:ascii="Calibri" w:hAnsi="Calibri"/>
        </w:rPr>
        <w:t>.</w:t>
      </w:r>
    </w:p>
    <w:p w14:paraId="27935DDB" w14:textId="77777777" w:rsidR="00DD0DF2" w:rsidRDefault="00DD0DF2" w:rsidP="00DD0DF2">
      <w:pPr>
        <w:spacing w:after="0" w:line="360" w:lineRule="auto"/>
        <w:jc w:val="both"/>
        <w:rPr>
          <w:rFonts w:ascii="Calibri" w:hAnsi="Calibri"/>
          <w:b/>
        </w:rPr>
      </w:pPr>
    </w:p>
    <w:p w14:paraId="7E285BA3" w14:textId="77777777" w:rsidR="00DD0DF2" w:rsidRPr="00567D76" w:rsidRDefault="00DD0DF2" w:rsidP="00DD0DF2">
      <w:pPr>
        <w:spacing w:after="0" w:line="360" w:lineRule="auto"/>
        <w:jc w:val="both"/>
        <w:rPr>
          <w:rFonts w:ascii="Calibri" w:hAnsi="Calibri"/>
          <w:b/>
        </w:rPr>
      </w:pPr>
      <w:r w:rsidRPr="00567D76">
        <w:rPr>
          <w:rFonts w:ascii="Calibri" w:hAnsi="Calibri"/>
          <w:b/>
        </w:rPr>
        <w:lastRenderedPageBreak/>
        <w:t>Mortality Trends</w:t>
      </w:r>
    </w:p>
    <w:p w14:paraId="6D506C74" w14:textId="77777777" w:rsidR="00DD0DF2" w:rsidRPr="00B75D7F" w:rsidRDefault="00DD0DF2" w:rsidP="00DD0DF2">
      <w:pPr>
        <w:spacing w:after="0" w:line="360" w:lineRule="auto"/>
        <w:jc w:val="both"/>
        <w:rPr>
          <w:rFonts w:ascii="Calibri" w:hAnsi="Calibri"/>
        </w:rPr>
      </w:pPr>
      <w:r w:rsidRPr="00B75D7F">
        <w:rPr>
          <w:rFonts w:ascii="Calibri" w:hAnsi="Calibri"/>
        </w:rPr>
        <w:t>Improvements in health care, nutrition, hygiene, road safety and other conditions, have contributed to a marked decline in death rates across Australia in the past half century. B</w:t>
      </w:r>
      <w:r>
        <w:rPr>
          <w:rFonts w:ascii="Calibri" w:hAnsi="Calibri"/>
        </w:rPr>
        <w:t>etween 1980 and</w:t>
      </w:r>
      <w:r w:rsidRPr="00B75D7F">
        <w:rPr>
          <w:rFonts w:ascii="Calibri" w:hAnsi="Calibri"/>
        </w:rPr>
        <w:t xml:space="preserve"> 20</w:t>
      </w:r>
      <w:r>
        <w:rPr>
          <w:rFonts w:ascii="Calibri" w:hAnsi="Calibri"/>
        </w:rPr>
        <w:t>20</w:t>
      </w:r>
      <w:r w:rsidRPr="00B75D7F">
        <w:rPr>
          <w:rFonts w:ascii="Calibri" w:hAnsi="Calibri"/>
        </w:rPr>
        <w:t xml:space="preserve">, national mortality rates </w:t>
      </w:r>
      <w:r>
        <w:rPr>
          <w:rFonts w:ascii="Calibri" w:hAnsi="Calibri"/>
        </w:rPr>
        <w:t>declined by over 60% among people aged</w:t>
      </w:r>
      <w:r w:rsidRPr="00B75D7F">
        <w:rPr>
          <w:rFonts w:ascii="Calibri" w:hAnsi="Calibri"/>
        </w:rPr>
        <w:t xml:space="preserve"> </w:t>
      </w:r>
      <w:r>
        <w:rPr>
          <w:rFonts w:ascii="Calibri" w:hAnsi="Calibri"/>
        </w:rPr>
        <w:t>less than 25</w:t>
      </w:r>
      <w:r w:rsidRPr="00B75D7F">
        <w:rPr>
          <w:rFonts w:ascii="Calibri" w:hAnsi="Calibri"/>
        </w:rPr>
        <w:t>.</w:t>
      </w:r>
      <w:r>
        <w:rPr>
          <w:rStyle w:val="FootnoteReference"/>
          <w:rFonts w:ascii="Calibri" w:hAnsi="Calibri"/>
        </w:rPr>
        <w:footnoteReference w:id="24"/>
      </w:r>
      <w:r>
        <w:rPr>
          <w:rFonts w:ascii="Calibri" w:hAnsi="Calibri"/>
        </w:rPr>
        <w:t xml:space="preserve"> </w:t>
      </w:r>
    </w:p>
    <w:p w14:paraId="415DA23D" w14:textId="77777777" w:rsidR="00DD0DF2" w:rsidRDefault="00DD0DF2" w:rsidP="00DD0DF2">
      <w:pPr>
        <w:spacing w:after="0"/>
        <w:jc w:val="both"/>
        <w:rPr>
          <w:rFonts w:ascii="Calibri" w:hAnsi="Calibri"/>
          <w:color w:val="7F7F7F"/>
          <w:sz w:val="20"/>
          <w:szCs w:val="20"/>
        </w:rPr>
      </w:pPr>
      <w:r>
        <w:rPr>
          <w:rFonts w:ascii="Calibri" w:hAnsi="Calibri"/>
          <w:noProof/>
          <w:color w:val="7F7F7F"/>
          <w:sz w:val="20"/>
          <w:szCs w:val="20"/>
        </w:rPr>
        <w:drawing>
          <wp:anchor distT="0" distB="0" distL="114300" distR="114300" simplePos="0" relativeHeight="251975680" behindDoc="0" locked="0" layoutInCell="1" allowOverlap="1" wp14:anchorId="157E3F94" wp14:editId="2759CC56">
            <wp:simplePos x="0" y="0"/>
            <wp:positionH relativeFrom="column">
              <wp:posOffset>-1270</wp:posOffset>
            </wp:positionH>
            <wp:positionV relativeFrom="paragraph">
              <wp:posOffset>1270</wp:posOffset>
            </wp:positionV>
            <wp:extent cx="3621405" cy="2800350"/>
            <wp:effectExtent l="0" t="0" r="0" b="0"/>
            <wp:wrapSquare wrapText="bothSides"/>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3621405" cy="2800350"/>
                    </a:xfrm>
                    <a:prstGeom prst="rect">
                      <a:avLst/>
                    </a:prstGeom>
                    <a:noFill/>
                  </pic:spPr>
                </pic:pic>
              </a:graphicData>
            </a:graphic>
            <wp14:sizeRelH relativeFrom="page">
              <wp14:pctWidth>0</wp14:pctWidth>
            </wp14:sizeRelH>
            <wp14:sizeRelV relativeFrom="page">
              <wp14:pctHeight>0</wp14:pctHeight>
            </wp14:sizeRelV>
          </wp:anchor>
        </w:drawing>
      </w:r>
      <w:r w:rsidRPr="00903528">
        <w:rPr>
          <w:rFonts w:ascii="Calibri" w:hAnsi="Calibri"/>
          <w:color w:val="7F7F7F"/>
          <w:sz w:val="20"/>
          <w:szCs w:val="20"/>
        </w:rPr>
        <w:t>Infant Mortality Rate: Australia, 1901 to 20</w:t>
      </w:r>
      <w:r>
        <w:rPr>
          <w:rFonts w:ascii="Calibri" w:hAnsi="Calibri"/>
          <w:color w:val="7F7F7F"/>
          <w:sz w:val="20"/>
          <w:szCs w:val="20"/>
        </w:rPr>
        <w:t>20</w:t>
      </w:r>
    </w:p>
    <w:p w14:paraId="4025E0FE" w14:textId="77777777" w:rsidR="00DD0DF2" w:rsidRPr="00A94802" w:rsidRDefault="00DD0DF2" w:rsidP="00DD0DF2">
      <w:pPr>
        <w:spacing w:after="0"/>
        <w:jc w:val="both"/>
        <w:rPr>
          <w:rFonts w:ascii="Calibri" w:hAnsi="Calibri"/>
          <w:color w:val="7F7F7F"/>
          <w:sz w:val="12"/>
          <w:szCs w:val="12"/>
        </w:rPr>
      </w:pPr>
    </w:p>
    <w:p w14:paraId="08353A28" w14:textId="77777777" w:rsidR="00DD0DF2" w:rsidRDefault="00DD0DF2" w:rsidP="00DD0DF2">
      <w:pPr>
        <w:spacing w:after="0" w:line="360" w:lineRule="auto"/>
        <w:jc w:val="both"/>
        <w:rPr>
          <w:rFonts w:ascii="Calibri" w:hAnsi="Calibri"/>
        </w:rPr>
      </w:pPr>
      <w:r w:rsidRPr="00B75D7F">
        <w:rPr>
          <w:rFonts w:ascii="Calibri" w:hAnsi="Calibri"/>
        </w:rPr>
        <w:t xml:space="preserve">Still more </w:t>
      </w:r>
      <w:r>
        <w:rPr>
          <w:rFonts w:ascii="Calibri" w:hAnsi="Calibri"/>
        </w:rPr>
        <w:t>pronounced</w:t>
      </w:r>
      <w:r w:rsidRPr="00B75D7F">
        <w:rPr>
          <w:rFonts w:ascii="Calibri" w:hAnsi="Calibri"/>
        </w:rPr>
        <w:t xml:space="preserve"> has been the decrease in infant mortality in Australia, with rates falling from 250 per 1,000 in 1850, to 104 by the opening years of the twentieth century, </w:t>
      </w:r>
      <w:r>
        <w:rPr>
          <w:rFonts w:ascii="Calibri" w:hAnsi="Calibri"/>
        </w:rPr>
        <w:t>before plunging</w:t>
      </w:r>
      <w:r w:rsidRPr="00B75D7F">
        <w:rPr>
          <w:rFonts w:ascii="Calibri" w:hAnsi="Calibri"/>
        </w:rPr>
        <w:t xml:space="preserve"> to </w:t>
      </w:r>
      <w:r>
        <w:rPr>
          <w:rFonts w:ascii="Calibri" w:hAnsi="Calibri"/>
        </w:rPr>
        <w:t>3.2</w:t>
      </w:r>
      <w:r w:rsidRPr="00B75D7F">
        <w:rPr>
          <w:rFonts w:ascii="Calibri" w:hAnsi="Calibri"/>
        </w:rPr>
        <w:t xml:space="preserve"> by 20</w:t>
      </w:r>
      <w:r>
        <w:rPr>
          <w:rFonts w:ascii="Calibri" w:hAnsi="Calibri"/>
        </w:rPr>
        <w:t>20</w:t>
      </w:r>
      <w:r>
        <w:rPr>
          <w:rStyle w:val="FootnoteReference"/>
          <w:rFonts w:ascii="Calibri" w:hAnsi="Calibri"/>
        </w:rPr>
        <w:footnoteReference w:id="25"/>
      </w:r>
      <w:r>
        <w:rPr>
          <w:rFonts w:ascii="Calibri" w:hAnsi="Calibri"/>
        </w:rPr>
        <w:t>.</w:t>
      </w:r>
      <w:r w:rsidRPr="00B75D7F">
        <w:rPr>
          <w:rFonts w:ascii="Calibri" w:hAnsi="Calibri"/>
        </w:rPr>
        <w:t xml:space="preserve"> </w:t>
      </w:r>
    </w:p>
    <w:p w14:paraId="7D04C7C0" w14:textId="391A7ABC" w:rsidR="00DD0DF2" w:rsidRPr="00B519DC" w:rsidRDefault="00DD0DF2" w:rsidP="00DD0DF2">
      <w:pPr>
        <w:spacing w:after="0" w:line="360" w:lineRule="auto"/>
        <w:jc w:val="both"/>
        <w:rPr>
          <w:rFonts w:ascii="Calibri" w:hAnsi="Calibri"/>
        </w:rPr>
      </w:pPr>
      <w:r>
        <w:rPr>
          <w:rFonts w:ascii="Calibri" w:hAnsi="Calibri"/>
        </w:rPr>
        <w:t>These declines are</w:t>
      </w:r>
      <w:r w:rsidRPr="00B75D7F">
        <w:rPr>
          <w:rFonts w:ascii="Calibri" w:hAnsi="Calibri"/>
        </w:rPr>
        <w:t xml:space="preserve"> attributed to conditions such as reduced exposure to infection through milk, food, water, sewerage; better education and hygiene; improved nutrition and housing; an increasing tendency to delay birth</w:t>
      </w:r>
      <w:r>
        <w:rPr>
          <w:rFonts w:ascii="Calibri" w:hAnsi="Calibri"/>
        </w:rPr>
        <w:t>,</w:t>
      </w:r>
      <w:r w:rsidRPr="00B75D7F">
        <w:rPr>
          <w:rFonts w:ascii="Calibri" w:hAnsi="Calibri"/>
        </w:rPr>
        <w:t xml:space="preserve"> coupled with longer birth intervals; and improved medical care and maternal </w:t>
      </w:r>
      <w:r w:rsidR="00EC0707" w:rsidRPr="00B75D7F">
        <w:rPr>
          <w:rFonts w:ascii="Calibri" w:hAnsi="Calibri"/>
        </w:rPr>
        <w:t>counse</w:t>
      </w:r>
      <w:r w:rsidR="00EC0707">
        <w:rPr>
          <w:rFonts w:ascii="Calibri" w:hAnsi="Calibri"/>
        </w:rPr>
        <w:t>l</w:t>
      </w:r>
      <w:r w:rsidR="00EC0707" w:rsidRPr="00B75D7F">
        <w:rPr>
          <w:rFonts w:ascii="Calibri" w:hAnsi="Calibri"/>
        </w:rPr>
        <w:t>ling</w:t>
      </w:r>
      <w:r w:rsidRPr="00B75D7F">
        <w:rPr>
          <w:rFonts w:ascii="Calibri" w:hAnsi="Calibri"/>
        </w:rPr>
        <w:t>.</w:t>
      </w:r>
    </w:p>
    <w:p w14:paraId="3B700BEF" w14:textId="77777777" w:rsidR="00DD0DF2" w:rsidRPr="000B4B0C" w:rsidRDefault="00DD0DF2" w:rsidP="00DD0DF2">
      <w:pPr>
        <w:spacing w:after="0" w:line="360" w:lineRule="auto"/>
        <w:jc w:val="both"/>
        <w:rPr>
          <w:rFonts w:ascii="Calibri" w:hAnsi="Calibri"/>
          <w:b/>
          <w:color w:val="000000"/>
          <w:sz w:val="8"/>
          <w:szCs w:val="8"/>
        </w:rPr>
      </w:pPr>
    </w:p>
    <w:p w14:paraId="54869AFA" w14:textId="77777777" w:rsidR="00DD0DF2" w:rsidRDefault="00DD0DF2" w:rsidP="00DD0DF2">
      <w:pPr>
        <w:spacing w:after="0" w:line="360" w:lineRule="auto"/>
        <w:jc w:val="both"/>
        <w:rPr>
          <w:rFonts w:ascii="Calibri" w:hAnsi="Calibri"/>
          <w:b/>
          <w:color w:val="000000"/>
        </w:rPr>
      </w:pPr>
      <w:r>
        <w:rPr>
          <w:rFonts w:ascii="Calibri" w:hAnsi="Calibri"/>
          <w:b/>
          <w:color w:val="000000"/>
        </w:rPr>
        <w:t>Mortality and Socioeconomic Disadvantage</w:t>
      </w:r>
    </w:p>
    <w:p w14:paraId="4AF449C7" w14:textId="77777777" w:rsidR="00DD0DF2" w:rsidRDefault="00DD0DF2" w:rsidP="00DD0DF2">
      <w:pPr>
        <w:spacing w:after="0" w:line="360" w:lineRule="auto"/>
        <w:jc w:val="both"/>
        <w:rPr>
          <w:rFonts w:ascii="Calibri" w:hAnsi="Calibri"/>
          <w:color w:val="000000"/>
        </w:rPr>
      </w:pPr>
      <w:r>
        <w:rPr>
          <w:rFonts w:ascii="Calibri" w:hAnsi="Calibri"/>
          <w:noProof/>
        </w:rPr>
        <w:drawing>
          <wp:anchor distT="0" distB="0" distL="114300" distR="114300" simplePos="0" relativeHeight="251974656" behindDoc="0" locked="0" layoutInCell="1" allowOverlap="1" wp14:anchorId="3B00C23B" wp14:editId="272813BF">
            <wp:simplePos x="0" y="0"/>
            <wp:positionH relativeFrom="column">
              <wp:posOffset>-1270</wp:posOffset>
            </wp:positionH>
            <wp:positionV relativeFrom="paragraph">
              <wp:posOffset>550545</wp:posOffset>
            </wp:positionV>
            <wp:extent cx="4610100" cy="3180715"/>
            <wp:effectExtent l="0" t="0" r="0" b="635"/>
            <wp:wrapSquare wrapText="bothSides"/>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71">
                      <a:extLst>
                        <a:ext uri="{28A0092B-C50C-407E-A947-70E740481C1C}">
                          <a14:useLocalDpi xmlns:a14="http://schemas.microsoft.com/office/drawing/2010/main" val="0"/>
                        </a:ext>
                      </a:extLst>
                    </a:blip>
                    <a:srcRect t="14063" r="9667"/>
                    <a:stretch/>
                  </pic:blipFill>
                  <pic:spPr bwMode="auto">
                    <a:xfrm>
                      <a:off x="0" y="0"/>
                      <a:ext cx="4610100" cy="3180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rPr>
        <w:t>Disadvantaged</w:t>
      </w:r>
      <w:r w:rsidRPr="00977ADB">
        <w:rPr>
          <w:rFonts w:ascii="Calibri" w:hAnsi="Calibri"/>
        </w:rPr>
        <w:t xml:space="preserve"> localities</w:t>
      </w:r>
      <w:r>
        <w:rPr>
          <w:rFonts w:ascii="Calibri" w:hAnsi="Calibri"/>
        </w:rPr>
        <w:t xml:space="preserve"> generally register higher mortality rates, after taking the age profile of the local population into account</w:t>
      </w:r>
      <w:r w:rsidRPr="00977ADB">
        <w:rPr>
          <w:rFonts w:ascii="Calibri" w:hAnsi="Calibri"/>
        </w:rPr>
        <w:t xml:space="preserve">. In </w:t>
      </w:r>
      <w:r>
        <w:rPr>
          <w:rFonts w:ascii="Calibri" w:hAnsi="Calibri"/>
        </w:rPr>
        <w:t xml:space="preserve">metropolitan Melbourne in 2020 </w:t>
      </w:r>
      <w:r w:rsidRPr="00977ADB">
        <w:rPr>
          <w:rFonts w:ascii="Calibri" w:hAnsi="Calibri"/>
        </w:rPr>
        <w:t xml:space="preserve">for instance, </w:t>
      </w:r>
      <w:r>
        <w:rPr>
          <w:rFonts w:ascii="Calibri" w:hAnsi="Calibri"/>
        </w:rPr>
        <w:t xml:space="preserve">the age-standardized mortality rates were highest, at about 6 per 1,000 population, in Greater Dandenong and lowest in more advantaged localities, such as Whitehorse, Manningham and Boroondara. </w:t>
      </w:r>
    </w:p>
    <w:p w14:paraId="18BF32C8" w14:textId="77777777" w:rsidR="00DD0DF2" w:rsidRPr="0002536C" w:rsidRDefault="00DD0DF2" w:rsidP="00DD0DF2">
      <w:pPr>
        <w:spacing w:after="0"/>
        <w:jc w:val="both"/>
        <w:rPr>
          <w:rFonts w:ascii="Calibri" w:hAnsi="Calibri"/>
          <w:color w:val="000000"/>
          <w:sz w:val="16"/>
          <w:szCs w:val="16"/>
        </w:rPr>
      </w:pPr>
    </w:p>
    <w:p w14:paraId="7A0BF42D" w14:textId="77777777" w:rsidR="00DD0DF2" w:rsidRPr="0002536C" w:rsidRDefault="00DD0DF2" w:rsidP="00DD0DF2">
      <w:pPr>
        <w:spacing w:after="0"/>
        <w:jc w:val="both"/>
        <w:rPr>
          <w:rFonts w:ascii="Calibri" w:hAnsi="Calibri"/>
          <w:color w:val="7F7F7F" w:themeColor="text1" w:themeTint="80"/>
          <w:sz w:val="20"/>
          <w:szCs w:val="20"/>
        </w:rPr>
      </w:pPr>
      <w:r w:rsidRPr="0002536C">
        <w:rPr>
          <w:rFonts w:ascii="Calibri" w:hAnsi="Calibri"/>
          <w:color w:val="7F7F7F" w:themeColor="text1" w:themeTint="80"/>
          <w:sz w:val="20"/>
          <w:szCs w:val="20"/>
        </w:rPr>
        <w:t>Correlation between standardized mortality rate 2017 and the SEIFA Index, 2016: Metropolitan municipalities</w:t>
      </w:r>
    </w:p>
    <w:p w14:paraId="37A3542A" w14:textId="77777777" w:rsidR="00DD0DF2" w:rsidRDefault="00DD0DF2" w:rsidP="00DD0DF2">
      <w:pPr>
        <w:spacing w:after="0" w:line="360" w:lineRule="auto"/>
        <w:jc w:val="both"/>
        <w:rPr>
          <w:rFonts w:ascii="Calibri" w:hAnsi="Calibri"/>
          <w:color w:val="000000"/>
        </w:rPr>
      </w:pPr>
      <w:r>
        <w:rPr>
          <w:rFonts w:ascii="Calibri" w:hAnsi="Calibri"/>
          <w:color w:val="000000"/>
        </w:rPr>
        <w:lastRenderedPageBreak/>
        <w:t>Similarly, the Commonwealth Government ‘Australia’s Health Tracker’</w:t>
      </w:r>
      <w:r>
        <w:rPr>
          <w:rStyle w:val="FootnoteReference"/>
          <w:rFonts w:ascii="Calibri" w:hAnsi="Calibri"/>
          <w:color w:val="000000"/>
        </w:rPr>
        <w:footnoteReference w:id="26"/>
      </w:r>
      <w:r>
        <w:rPr>
          <w:rFonts w:ascii="Calibri" w:hAnsi="Calibri"/>
          <w:color w:val="000000"/>
        </w:rPr>
        <w:t xml:space="preserve"> calculated rates of mortality by several major causes, finding that the most disadvantaged fifth featured substantially higher rates of mortality than the more disadvantaged areas:</w:t>
      </w:r>
    </w:p>
    <w:p w14:paraId="0FE0A5CE" w14:textId="77777777" w:rsidR="00DD0DF2" w:rsidRDefault="00DD0DF2" w:rsidP="00DD0DF2">
      <w:pPr>
        <w:tabs>
          <w:tab w:val="left" w:pos="5103"/>
        </w:tabs>
        <w:spacing w:after="0" w:line="360" w:lineRule="auto"/>
        <w:jc w:val="both"/>
        <w:rPr>
          <w:rFonts w:ascii="Calibri" w:hAnsi="Calibri"/>
          <w:b/>
          <w:color w:val="000000"/>
        </w:rPr>
      </w:pPr>
    </w:p>
    <w:p w14:paraId="38457B72" w14:textId="77777777" w:rsidR="00DD0DF2" w:rsidRDefault="00DD0DF2" w:rsidP="00DD0DF2">
      <w:pPr>
        <w:spacing w:after="0" w:line="360" w:lineRule="auto"/>
        <w:jc w:val="both"/>
        <w:rPr>
          <w:rFonts w:ascii="Calibri" w:hAnsi="Calibri"/>
        </w:rPr>
      </w:pPr>
      <w:r w:rsidRPr="000609D2">
        <w:rPr>
          <w:rFonts w:ascii="Calibri" w:hAnsi="Calibri"/>
          <w:b/>
          <w:color w:val="000000"/>
        </w:rPr>
        <w:t>Causes of Death</w:t>
      </w:r>
      <w:r w:rsidRPr="00B75D7F">
        <w:rPr>
          <w:rFonts w:ascii="Calibri" w:hAnsi="Calibri"/>
        </w:rPr>
        <w:t xml:space="preserve"> </w:t>
      </w:r>
    </w:p>
    <w:p w14:paraId="5C9D9350" w14:textId="77777777" w:rsidR="00DD0DF2" w:rsidRDefault="00DD0DF2" w:rsidP="00DD0DF2">
      <w:pPr>
        <w:spacing w:after="0" w:line="360" w:lineRule="auto"/>
        <w:jc w:val="both"/>
        <w:rPr>
          <w:rFonts w:ascii="Calibri" w:hAnsi="Calibri"/>
        </w:rPr>
      </w:pPr>
      <w:r w:rsidRPr="00B75D7F">
        <w:rPr>
          <w:rFonts w:ascii="Calibri" w:hAnsi="Calibri"/>
        </w:rPr>
        <w:t xml:space="preserve">Records of death in Victoria show </w:t>
      </w:r>
      <w:r>
        <w:rPr>
          <w:rFonts w:ascii="Calibri" w:hAnsi="Calibri"/>
        </w:rPr>
        <w:t>pronounced</w:t>
      </w:r>
      <w:r w:rsidRPr="00B75D7F">
        <w:rPr>
          <w:rFonts w:ascii="Calibri" w:hAnsi="Calibri"/>
        </w:rPr>
        <w:t xml:space="preserve"> variations in the pattern of mortality among different age groups.</w:t>
      </w:r>
      <w:r>
        <w:rPr>
          <w:rFonts w:ascii="Calibri" w:hAnsi="Calibri"/>
        </w:rPr>
        <w:t xml:space="preserve"> M</w:t>
      </w:r>
      <w:r w:rsidRPr="00B75D7F">
        <w:rPr>
          <w:rFonts w:ascii="Calibri" w:hAnsi="Calibri"/>
        </w:rPr>
        <w:t xml:space="preserve">ajor causes of death </w:t>
      </w:r>
      <w:r>
        <w:rPr>
          <w:rFonts w:ascii="Calibri" w:hAnsi="Calibri"/>
        </w:rPr>
        <w:t xml:space="preserve">in 1-14 year-olds, </w:t>
      </w:r>
      <w:r w:rsidRPr="00B75D7F">
        <w:rPr>
          <w:rFonts w:ascii="Calibri" w:hAnsi="Calibri"/>
        </w:rPr>
        <w:t>include drowning, cancers</w:t>
      </w:r>
      <w:r>
        <w:rPr>
          <w:rFonts w:ascii="Calibri" w:hAnsi="Calibri"/>
        </w:rPr>
        <w:t xml:space="preserve"> and exposure to heat and smoke</w:t>
      </w:r>
      <w:r w:rsidRPr="00B75D7F">
        <w:rPr>
          <w:rFonts w:ascii="Calibri" w:hAnsi="Calibri"/>
        </w:rPr>
        <w:t>. With increasing age, external causes preponderate, with suicide, transport accident, assaults and poisoning ac</w:t>
      </w:r>
      <w:r>
        <w:rPr>
          <w:rFonts w:ascii="Calibri" w:hAnsi="Calibri"/>
        </w:rPr>
        <w:t>counting for well over half</w:t>
      </w:r>
      <w:r w:rsidRPr="00B75D7F">
        <w:rPr>
          <w:rFonts w:ascii="Calibri" w:hAnsi="Calibri"/>
        </w:rPr>
        <w:t xml:space="preserve"> of all mortality among 15 to 24 year-olds. </w:t>
      </w:r>
    </w:p>
    <w:p w14:paraId="2429482B" w14:textId="77777777" w:rsidR="00DD0DF2" w:rsidRDefault="00DD0DF2" w:rsidP="00DD0DF2">
      <w:pPr>
        <w:spacing w:after="0" w:line="360" w:lineRule="auto"/>
        <w:jc w:val="both"/>
        <w:rPr>
          <w:rFonts w:ascii="Calibri" w:hAnsi="Calibri"/>
        </w:rPr>
      </w:pPr>
      <w:r w:rsidRPr="00B75D7F">
        <w:rPr>
          <w:rFonts w:ascii="Calibri" w:hAnsi="Calibri"/>
        </w:rPr>
        <w:t xml:space="preserve">By middle age, </w:t>
      </w:r>
      <w:r>
        <w:rPr>
          <w:rFonts w:ascii="Calibri" w:hAnsi="Calibri"/>
        </w:rPr>
        <w:t>suicide, transport accidents, poisonings are joined by cardiovascular disease and cancer as major causes of death</w:t>
      </w:r>
      <w:r w:rsidRPr="00B75D7F">
        <w:rPr>
          <w:rFonts w:ascii="Calibri" w:hAnsi="Calibri"/>
        </w:rPr>
        <w:t xml:space="preserve">, while in older age, </w:t>
      </w:r>
      <w:r>
        <w:rPr>
          <w:rFonts w:ascii="Calibri" w:hAnsi="Calibri"/>
        </w:rPr>
        <w:t>cancers, liver disorders, c</w:t>
      </w:r>
      <w:r w:rsidRPr="00A94802">
        <w:rPr>
          <w:rFonts w:ascii="Calibri" w:hAnsi="Calibri"/>
        </w:rPr>
        <w:t xml:space="preserve">hronic lower respiratory diseases </w:t>
      </w:r>
      <w:r>
        <w:rPr>
          <w:rFonts w:ascii="Calibri" w:hAnsi="Calibri"/>
        </w:rPr>
        <w:t>and cardiovascular conditions predominate</w:t>
      </w:r>
      <w:r w:rsidRPr="00B75D7F">
        <w:rPr>
          <w:rFonts w:ascii="Calibri" w:hAnsi="Calibri"/>
        </w:rPr>
        <w:t xml:space="preserve">, accounting for over a </w:t>
      </w:r>
      <w:r>
        <w:rPr>
          <w:rFonts w:ascii="Calibri" w:hAnsi="Calibri"/>
        </w:rPr>
        <w:t>half</w:t>
      </w:r>
      <w:r w:rsidRPr="00B75D7F">
        <w:rPr>
          <w:rFonts w:ascii="Calibri" w:hAnsi="Calibri"/>
        </w:rPr>
        <w:t xml:space="preserve"> of all deaths among people aged 85 years or more</w:t>
      </w:r>
      <w:r>
        <w:rPr>
          <w:rFonts w:ascii="Calibri" w:hAnsi="Calibri"/>
        </w:rPr>
        <w:t>.</w:t>
      </w:r>
    </w:p>
    <w:p w14:paraId="5EC266DF" w14:textId="77777777" w:rsidR="00DD0DF2" w:rsidRDefault="00DD0DF2" w:rsidP="00DD0DF2">
      <w:pPr>
        <w:spacing w:after="0" w:line="360" w:lineRule="auto"/>
        <w:jc w:val="both"/>
        <w:rPr>
          <w:rFonts w:ascii="Calibri" w:hAnsi="Calibri"/>
        </w:rPr>
      </w:pPr>
    </w:p>
    <w:p w14:paraId="62F15D44" w14:textId="77777777" w:rsidR="00DD0DF2" w:rsidRDefault="00DD0DF2" w:rsidP="00DD0DF2">
      <w:pPr>
        <w:spacing w:after="0"/>
        <w:jc w:val="both"/>
        <w:rPr>
          <w:rFonts w:ascii="Calibri" w:hAnsi="Calibri"/>
          <w:color w:val="808080"/>
        </w:rPr>
      </w:pPr>
      <w:r w:rsidRPr="00903528">
        <w:rPr>
          <w:rFonts w:ascii="Calibri" w:hAnsi="Calibri"/>
          <w:color w:val="808080"/>
          <w:sz w:val="20"/>
          <w:szCs w:val="20"/>
        </w:rPr>
        <w:t>Percent of Deaths</w:t>
      </w:r>
      <w:r>
        <w:rPr>
          <w:rFonts w:ascii="Calibri" w:hAnsi="Calibri"/>
          <w:color w:val="808080"/>
          <w:sz w:val="20"/>
          <w:szCs w:val="20"/>
        </w:rPr>
        <w:t>: Major Causes, all ages – Victoria, 2021</w:t>
      </w:r>
    </w:p>
    <w:p w14:paraId="6093D4E4" w14:textId="77777777" w:rsidR="00DD0DF2" w:rsidRPr="00A94802" w:rsidRDefault="00DD0DF2" w:rsidP="00DD0DF2">
      <w:pPr>
        <w:spacing w:after="0"/>
        <w:jc w:val="both"/>
        <w:rPr>
          <w:rFonts w:ascii="Calibri" w:hAnsi="Calibri"/>
          <w:color w:val="808080"/>
          <w:sz w:val="20"/>
          <w:szCs w:val="20"/>
        </w:rPr>
      </w:pPr>
      <w:r>
        <w:rPr>
          <w:rFonts w:ascii="Calibri" w:hAnsi="Calibri"/>
          <w:noProof/>
          <w:color w:val="808080"/>
        </w:rPr>
        <w:drawing>
          <wp:anchor distT="0" distB="0" distL="114300" distR="114300" simplePos="0" relativeHeight="251973632" behindDoc="0" locked="0" layoutInCell="1" allowOverlap="1" wp14:anchorId="478A56B6" wp14:editId="212D532B">
            <wp:simplePos x="0" y="0"/>
            <wp:positionH relativeFrom="column">
              <wp:posOffset>7837</wp:posOffset>
            </wp:positionH>
            <wp:positionV relativeFrom="paragraph">
              <wp:posOffset>80846</wp:posOffset>
            </wp:positionV>
            <wp:extent cx="4772660" cy="3014345"/>
            <wp:effectExtent l="0" t="0" r="8890" b="0"/>
            <wp:wrapSquare wrapText="bothSides"/>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2">
                      <a:extLst>
                        <a:ext uri="{28A0092B-C50C-407E-A947-70E740481C1C}">
                          <a14:useLocalDpi xmlns:a14="http://schemas.microsoft.com/office/drawing/2010/main" val="0"/>
                        </a:ext>
                      </a:extLst>
                    </a:blip>
                    <a:srcRect l="4456" t="3379" r="3050" b="5981"/>
                    <a:stretch/>
                  </pic:blipFill>
                  <pic:spPr bwMode="auto">
                    <a:xfrm>
                      <a:off x="0" y="0"/>
                      <a:ext cx="4772660" cy="3014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5B0AD8" w14:textId="77777777" w:rsidR="00DD0DF2" w:rsidRDefault="00DD0DF2" w:rsidP="00DD0DF2">
      <w:pPr>
        <w:spacing w:after="0" w:line="360" w:lineRule="auto"/>
        <w:jc w:val="both"/>
        <w:rPr>
          <w:rFonts w:ascii="Calibri" w:hAnsi="Calibri"/>
        </w:rPr>
      </w:pPr>
    </w:p>
    <w:p w14:paraId="19BBB60C" w14:textId="77777777" w:rsidR="00DD0DF2" w:rsidRDefault="00DD0DF2" w:rsidP="00DD0DF2">
      <w:pPr>
        <w:spacing w:after="0" w:line="360" w:lineRule="auto"/>
        <w:jc w:val="both"/>
        <w:rPr>
          <w:rFonts w:ascii="Calibri" w:hAnsi="Calibri"/>
        </w:rPr>
      </w:pPr>
    </w:p>
    <w:p w14:paraId="514398F7" w14:textId="77777777" w:rsidR="00DD0DF2" w:rsidRDefault="00DD0DF2" w:rsidP="00DD0DF2">
      <w:pPr>
        <w:spacing w:after="0" w:line="360" w:lineRule="auto"/>
        <w:jc w:val="both"/>
        <w:rPr>
          <w:rFonts w:ascii="Calibri" w:hAnsi="Calibri"/>
        </w:rPr>
      </w:pPr>
    </w:p>
    <w:p w14:paraId="295014D2" w14:textId="77777777" w:rsidR="00DD0DF2" w:rsidRDefault="00DD0DF2" w:rsidP="00DD0DF2">
      <w:pPr>
        <w:spacing w:after="0" w:line="360" w:lineRule="auto"/>
        <w:jc w:val="both"/>
        <w:rPr>
          <w:rFonts w:ascii="Calibri" w:hAnsi="Calibri"/>
        </w:rPr>
      </w:pPr>
    </w:p>
    <w:p w14:paraId="003B9502" w14:textId="77777777" w:rsidR="00DD0DF2" w:rsidRDefault="00DD0DF2" w:rsidP="00DD0DF2">
      <w:pPr>
        <w:spacing w:after="0" w:line="360" w:lineRule="auto"/>
        <w:jc w:val="both"/>
        <w:rPr>
          <w:rFonts w:ascii="Calibri" w:hAnsi="Calibri"/>
        </w:rPr>
      </w:pPr>
    </w:p>
    <w:p w14:paraId="08D0239B" w14:textId="77777777" w:rsidR="00DD0DF2" w:rsidRDefault="00DD0DF2" w:rsidP="00DD0DF2">
      <w:pPr>
        <w:spacing w:after="0" w:line="360" w:lineRule="auto"/>
        <w:jc w:val="both"/>
        <w:rPr>
          <w:rFonts w:ascii="Calibri" w:hAnsi="Calibri"/>
        </w:rPr>
      </w:pPr>
    </w:p>
    <w:p w14:paraId="33F2956D" w14:textId="77777777" w:rsidR="00DD0DF2" w:rsidRDefault="00DD0DF2" w:rsidP="00DD0DF2">
      <w:pPr>
        <w:spacing w:after="0" w:line="360" w:lineRule="auto"/>
        <w:jc w:val="both"/>
        <w:rPr>
          <w:rFonts w:ascii="Calibri" w:hAnsi="Calibri"/>
        </w:rPr>
      </w:pPr>
    </w:p>
    <w:p w14:paraId="7C5B4D94" w14:textId="77777777" w:rsidR="00DD0DF2" w:rsidRDefault="00DD0DF2" w:rsidP="00DD0DF2">
      <w:pPr>
        <w:spacing w:after="0" w:line="360" w:lineRule="auto"/>
        <w:jc w:val="both"/>
        <w:rPr>
          <w:rFonts w:ascii="Calibri" w:hAnsi="Calibri"/>
        </w:rPr>
      </w:pPr>
    </w:p>
    <w:p w14:paraId="55BC134C" w14:textId="77777777" w:rsidR="00DD0DF2" w:rsidRDefault="00DD0DF2" w:rsidP="00DD0DF2">
      <w:pPr>
        <w:spacing w:after="0" w:line="360" w:lineRule="auto"/>
        <w:jc w:val="both"/>
        <w:rPr>
          <w:rFonts w:ascii="Calibri" w:hAnsi="Calibri"/>
        </w:rPr>
      </w:pPr>
    </w:p>
    <w:p w14:paraId="2B3D3BD4" w14:textId="77777777" w:rsidR="00DD0DF2" w:rsidRDefault="00DD0DF2" w:rsidP="00DD0DF2">
      <w:pPr>
        <w:spacing w:after="0" w:line="360" w:lineRule="auto"/>
        <w:jc w:val="both"/>
        <w:rPr>
          <w:rFonts w:ascii="Calibri" w:hAnsi="Calibri"/>
        </w:rPr>
      </w:pPr>
    </w:p>
    <w:p w14:paraId="672CF919" w14:textId="77777777" w:rsidR="00DD0DF2" w:rsidRDefault="00DD0DF2" w:rsidP="00DD0DF2">
      <w:pPr>
        <w:spacing w:after="0" w:line="360" w:lineRule="auto"/>
        <w:jc w:val="both"/>
        <w:rPr>
          <w:rFonts w:ascii="Calibri" w:hAnsi="Calibri"/>
        </w:rPr>
      </w:pPr>
    </w:p>
    <w:p w14:paraId="435D200E" w14:textId="77777777" w:rsidR="00DD0DF2" w:rsidRDefault="00DD0DF2" w:rsidP="00DD0DF2">
      <w:pPr>
        <w:spacing w:after="0" w:line="360" w:lineRule="auto"/>
        <w:jc w:val="both"/>
        <w:rPr>
          <w:rFonts w:ascii="Calibri" w:hAnsi="Calibri"/>
        </w:rPr>
      </w:pPr>
    </w:p>
    <w:p w14:paraId="66A3891B" w14:textId="77777777" w:rsidR="00DD0DF2" w:rsidRDefault="00DD0DF2" w:rsidP="00DD0DF2">
      <w:pPr>
        <w:spacing w:after="0" w:line="360" w:lineRule="auto"/>
        <w:jc w:val="both"/>
        <w:rPr>
          <w:rFonts w:ascii="Calibri" w:hAnsi="Calibri"/>
        </w:rPr>
      </w:pPr>
    </w:p>
    <w:p w14:paraId="2ACFD0B6" w14:textId="77777777" w:rsidR="00DD0DF2" w:rsidRDefault="00DD0DF2" w:rsidP="00DD0DF2">
      <w:pPr>
        <w:spacing w:after="0" w:line="360" w:lineRule="auto"/>
        <w:jc w:val="both"/>
        <w:rPr>
          <w:rFonts w:ascii="Calibri" w:hAnsi="Calibri"/>
        </w:rPr>
      </w:pPr>
    </w:p>
    <w:p w14:paraId="0186B248" w14:textId="77777777" w:rsidR="00DD0DF2" w:rsidRDefault="00DD0DF2" w:rsidP="00DD0DF2">
      <w:pPr>
        <w:spacing w:after="0" w:line="360" w:lineRule="auto"/>
        <w:jc w:val="both"/>
        <w:rPr>
          <w:rFonts w:ascii="Calibri" w:hAnsi="Calibri"/>
        </w:rPr>
      </w:pPr>
      <w:r>
        <w:rPr>
          <w:rFonts w:ascii="Calibri" w:hAnsi="Calibri"/>
        </w:rPr>
        <w:t>In 2020, 1,047 residents of Greater Dandenong died</w:t>
      </w:r>
      <w:r w:rsidRPr="00B75D7F">
        <w:rPr>
          <w:rFonts w:ascii="Calibri" w:hAnsi="Calibri"/>
        </w:rPr>
        <w:t>, representing a standardi</w:t>
      </w:r>
      <w:r>
        <w:rPr>
          <w:rFonts w:ascii="Calibri" w:hAnsi="Calibri"/>
        </w:rPr>
        <w:t>z</w:t>
      </w:r>
      <w:r w:rsidRPr="00B75D7F">
        <w:rPr>
          <w:rFonts w:ascii="Calibri" w:hAnsi="Calibri"/>
        </w:rPr>
        <w:t xml:space="preserve">ed mortality rate of </w:t>
      </w:r>
      <w:r>
        <w:rPr>
          <w:rFonts w:ascii="Calibri" w:hAnsi="Calibri"/>
        </w:rPr>
        <w:t>5.2</w:t>
      </w:r>
      <w:r w:rsidRPr="00B75D7F">
        <w:rPr>
          <w:rFonts w:ascii="Calibri" w:hAnsi="Calibri"/>
        </w:rPr>
        <w:t xml:space="preserve"> – similar to the Victorian rate of 5.</w:t>
      </w:r>
      <w:r>
        <w:rPr>
          <w:rFonts w:ascii="Calibri" w:hAnsi="Calibri"/>
        </w:rPr>
        <w:t>5</w:t>
      </w:r>
      <w:r>
        <w:rPr>
          <w:rStyle w:val="FootnoteReference"/>
          <w:rFonts w:ascii="Calibri" w:hAnsi="Calibri"/>
        </w:rPr>
        <w:footnoteReference w:id="27"/>
      </w:r>
      <w:r w:rsidRPr="00B75D7F">
        <w:rPr>
          <w:rFonts w:ascii="Calibri" w:hAnsi="Calibri"/>
        </w:rPr>
        <w:t xml:space="preserve">. </w:t>
      </w:r>
    </w:p>
    <w:p w14:paraId="02CBD7DD" w14:textId="77777777" w:rsidR="00BE29A1" w:rsidRDefault="00BE29A1">
      <w:r>
        <w:br w:type="page"/>
      </w:r>
    </w:p>
    <w:p w14:paraId="07B8D7FA" w14:textId="6D8E2FC7" w:rsidR="005D7A31" w:rsidRPr="00915803" w:rsidRDefault="005D7A31" w:rsidP="005D7A31">
      <w:pPr>
        <w:pBdr>
          <w:top w:val="single" w:sz="4" w:space="1" w:color="auto"/>
          <w:bottom w:val="single" w:sz="4" w:space="1" w:color="auto"/>
        </w:pBdr>
        <w:tabs>
          <w:tab w:val="center" w:pos="4678"/>
        </w:tabs>
        <w:jc w:val="center"/>
        <w:rPr>
          <w:rFonts w:ascii="Calibri" w:hAnsi="Calibri"/>
          <w:sz w:val="32"/>
          <w:szCs w:val="32"/>
        </w:rPr>
      </w:pPr>
      <w:r w:rsidRPr="00915803">
        <w:rPr>
          <w:rFonts w:ascii="Calibri" w:hAnsi="Calibri"/>
          <w:noProof/>
          <w:sz w:val="32"/>
          <w:szCs w:val="32"/>
        </w:rPr>
        <w:lastRenderedPageBreak/>
        <w:t>Disability</w:t>
      </w:r>
    </w:p>
    <w:p w14:paraId="5942594E" w14:textId="77777777" w:rsidR="005D7A31" w:rsidRPr="005D7A31" w:rsidRDefault="005D7A31" w:rsidP="005D7A31">
      <w:pPr>
        <w:spacing w:after="0" w:line="360" w:lineRule="auto"/>
        <w:rPr>
          <w:sz w:val="8"/>
          <w:szCs w:val="8"/>
        </w:rPr>
      </w:pPr>
    </w:p>
    <w:p w14:paraId="6168DABE" w14:textId="77777777" w:rsidR="005D7A31" w:rsidRDefault="005D7A31" w:rsidP="005D7A31">
      <w:pPr>
        <w:spacing w:after="0" w:line="360" w:lineRule="auto"/>
        <w:jc w:val="both"/>
        <w:rPr>
          <w:rFonts w:ascii="Calibri" w:hAnsi="Calibri"/>
        </w:rPr>
      </w:pPr>
      <w:r>
        <w:rPr>
          <w:rFonts w:ascii="Calibri" w:hAnsi="Calibri"/>
        </w:rPr>
        <w:t xml:space="preserve">The 2021 Census inquired as to whether respondents had a severe or profound disability requiring them to obtain daily assistance with mobility, communication or personal care. For the purpose of convenience here, such persons are referred to as people with disabilities. </w:t>
      </w:r>
    </w:p>
    <w:p w14:paraId="0E9C9EA4" w14:textId="77777777" w:rsidR="005D7A31" w:rsidRPr="00C07CDB" w:rsidRDefault="005D7A31" w:rsidP="005D7A31">
      <w:pPr>
        <w:spacing w:after="0" w:line="360" w:lineRule="auto"/>
        <w:jc w:val="both"/>
        <w:rPr>
          <w:rFonts w:ascii="Calibri" w:hAnsi="Calibri"/>
        </w:rPr>
      </w:pPr>
      <w:r>
        <w:rPr>
          <w:rFonts w:ascii="Calibri" w:hAnsi="Calibri"/>
        </w:rPr>
        <w:t>Within Greater Dandenong, 11,473 residents, or 7.7% of the municipal population, recorded that they had such a disability, compared with 5.8% across Victoria. This percentage is somewhat higher than the level of 6.0%, recorded in the 2006 Census.</w:t>
      </w:r>
      <w:r w:rsidRPr="00C07CDB">
        <w:rPr>
          <w:rFonts w:ascii="Calibri" w:hAnsi="Calibri"/>
        </w:rPr>
        <w:t xml:space="preserve"> </w:t>
      </w:r>
      <w:r>
        <w:rPr>
          <w:rFonts w:ascii="Calibri" w:hAnsi="Calibri"/>
        </w:rPr>
        <w:t xml:space="preserve">About </w:t>
      </w:r>
      <w:r w:rsidRPr="00C07CDB">
        <w:rPr>
          <w:rFonts w:ascii="Calibri" w:hAnsi="Calibri"/>
        </w:rPr>
        <w:t xml:space="preserve">4,500 </w:t>
      </w:r>
      <w:r>
        <w:rPr>
          <w:rFonts w:ascii="Calibri" w:hAnsi="Calibri"/>
        </w:rPr>
        <w:t xml:space="preserve">residents, </w:t>
      </w:r>
      <w:r w:rsidRPr="00C07CDB">
        <w:rPr>
          <w:rFonts w:ascii="Calibri" w:hAnsi="Calibri"/>
        </w:rPr>
        <w:t>or about two-fifths (39%) of people with a disability</w:t>
      </w:r>
      <w:r>
        <w:rPr>
          <w:rFonts w:ascii="Calibri" w:hAnsi="Calibri"/>
        </w:rPr>
        <w:t>,</w:t>
      </w:r>
      <w:r w:rsidRPr="00C07CDB">
        <w:rPr>
          <w:rFonts w:ascii="Calibri" w:hAnsi="Calibri"/>
        </w:rPr>
        <w:t xml:space="preserve"> are aged less than 65.</w:t>
      </w:r>
    </w:p>
    <w:p w14:paraId="297EB778" w14:textId="77777777" w:rsidR="005D7A31" w:rsidRPr="00094216" w:rsidRDefault="005D7A31" w:rsidP="005D7A31">
      <w:pPr>
        <w:tabs>
          <w:tab w:val="left" w:pos="4536"/>
        </w:tabs>
        <w:spacing w:after="0" w:line="360" w:lineRule="auto"/>
        <w:jc w:val="both"/>
        <w:rPr>
          <w:rFonts w:ascii="Calibri" w:hAnsi="Calibri"/>
          <w:color w:val="7F7F7F"/>
        </w:rPr>
      </w:pPr>
      <w:r w:rsidRPr="00512570">
        <w:rPr>
          <w:rFonts w:ascii="Calibri" w:hAnsi="Calibri"/>
          <w:b/>
          <w:color w:val="000000"/>
        </w:rPr>
        <w:t>Age</w:t>
      </w:r>
      <w:r>
        <w:rPr>
          <w:rFonts w:ascii="Calibri" w:hAnsi="Calibri"/>
          <w:b/>
          <w:color w:val="000000"/>
        </w:rPr>
        <w:t xml:space="preserve">                                       </w:t>
      </w:r>
      <w:r w:rsidRPr="00094216">
        <w:rPr>
          <w:rFonts w:ascii="Calibri" w:hAnsi="Calibri"/>
          <w:color w:val="7F7F7F"/>
        </w:rPr>
        <w:t>Prevalence of Disability by Age: Greater Dandenong and metropolitan Melbourne, 20</w:t>
      </w:r>
      <w:r>
        <w:rPr>
          <w:rFonts w:ascii="Calibri" w:hAnsi="Calibri"/>
          <w:color w:val="7F7F7F"/>
        </w:rPr>
        <w:t>21</w:t>
      </w:r>
    </w:p>
    <w:p w14:paraId="7D5151C7" w14:textId="77777777" w:rsidR="005D7A31" w:rsidRDefault="005D7A31" w:rsidP="005D7A31">
      <w:pPr>
        <w:spacing w:after="0" w:line="360" w:lineRule="auto"/>
        <w:jc w:val="both"/>
        <w:rPr>
          <w:rFonts w:ascii="Calibri" w:hAnsi="Calibri"/>
        </w:rPr>
      </w:pPr>
      <w:r>
        <w:rPr>
          <w:rFonts w:ascii="Calibri" w:hAnsi="Calibri"/>
          <w:noProof/>
        </w:rPr>
        <w:drawing>
          <wp:anchor distT="0" distB="0" distL="114300" distR="114300" simplePos="0" relativeHeight="251977728" behindDoc="0" locked="0" layoutInCell="1" allowOverlap="1" wp14:anchorId="0063C437" wp14:editId="0E6B1487">
            <wp:simplePos x="0" y="0"/>
            <wp:positionH relativeFrom="column">
              <wp:posOffset>2226310</wp:posOffset>
            </wp:positionH>
            <wp:positionV relativeFrom="paragraph">
              <wp:posOffset>134620</wp:posOffset>
            </wp:positionV>
            <wp:extent cx="3836035" cy="2620010"/>
            <wp:effectExtent l="0" t="0" r="0" b="8890"/>
            <wp:wrapSquare wrapText="bothSides"/>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3836035" cy="262001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 xml:space="preserve">The prevalence of severe or profound disability rises markedly with age, from less than 3% among residents aged up to 5-14 years, less than 2% among those aged 20-39, rising to 15% of those aged 65-69, and 66% of those over 85 years. </w:t>
      </w:r>
    </w:p>
    <w:p w14:paraId="33BB41AB" w14:textId="77777777" w:rsidR="005D7A31" w:rsidRDefault="005D7A31" w:rsidP="005D7A31">
      <w:pPr>
        <w:spacing w:after="0" w:line="360" w:lineRule="auto"/>
        <w:jc w:val="both"/>
        <w:rPr>
          <w:rFonts w:ascii="Calibri" w:hAnsi="Calibri"/>
        </w:rPr>
      </w:pPr>
    </w:p>
    <w:p w14:paraId="31D3190F" w14:textId="77777777" w:rsidR="005D7A31" w:rsidRPr="00B70A36" w:rsidRDefault="005D7A31" w:rsidP="005D7A31">
      <w:pPr>
        <w:tabs>
          <w:tab w:val="left" w:pos="4536"/>
        </w:tabs>
        <w:spacing w:after="0"/>
        <w:jc w:val="both"/>
        <w:rPr>
          <w:rFonts w:ascii="Calibri" w:hAnsi="Calibri"/>
          <w:color w:val="7F7F7F"/>
          <w:sz w:val="20"/>
          <w:szCs w:val="20"/>
        </w:rPr>
      </w:pPr>
      <w:r w:rsidRPr="00B70A36">
        <w:rPr>
          <w:rFonts w:ascii="Calibri" w:hAnsi="Calibri"/>
          <w:color w:val="7F7F7F"/>
          <w:sz w:val="20"/>
          <w:szCs w:val="20"/>
        </w:rPr>
        <w:t>Number of Persons with a Disability, by Gender:</w:t>
      </w:r>
      <w:r w:rsidRPr="00B70A36">
        <w:rPr>
          <w:rFonts w:ascii="Calibri" w:hAnsi="Calibri"/>
          <w:b/>
          <w:color w:val="7F7F7F"/>
          <w:sz w:val="20"/>
          <w:szCs w:val="20"/>
        </w:rPr>
        <w:t xml:space="preserve"> </w:t>
      </w:r>
      <w:r w:rsidRPr="00B70A36">
        <w:rPr>
          <w:rFonts w:ascii="Calibri" w:hAnsi="Calibri"/>
          <w:color w:val="7F7F7F"/>
          <w:sz w:val="20"/>
          <w:szCs w:val="20"/>
        </w:rPr>
        <w:t>Greater Dandenong, 2021</w:t>
      </w:r>
    </w:p>
    <w:p w14:paraId="0A75296C" w14:textId="77777777" w:rsidR="005D7A31" w:rsidRDefault="005D7A31" w:rsidP="005D7A31">
      <w:pPr>
        <w:tabs>
          <w:tab w:val="left" w:pos="4536"/>
        </w:tabs>
        <w:spacing w:after="0"/>
        <w:jc w:val="both"/>
        <w:rPr>
          <w:rFonts w:ascii="Calibri" w:hAnsi="Calibri"/>
          <w:color w:val="7F7F7F"/>
        </w:rPr>
      </w:pPr>
    </w:p>
    <w:p w14:paraId="4BC2C6F6" w14:textId="77777777" w:rsidR="005D7A31" w:rsidRDefault="005D7A31" w:rsidP="005D7A31">
      <w:pPr>
        <w:tabs>
          <w:tab w:val="left" w:pos="4536"/>
        </w:tabs>
        <w:spacing w:after="0"/>
        <w:jc w:val="both"/>
        <w:rPr>
          <w:rFonts w:ascii="Calibri" w:hAnsi="Calibri"/>
          <w:color w:val="7F7F7F"/>
        </w:rPr>
      </w:pPr>
    </w:p>
    <w:p w14:paraId="5F22B1B2" w14:textId="77777777" w:rsidR="005D7A31" w:rsidRDefault="005D7A31" w:rsidP="005D7A31">
      <w:pPr>
        <w:tabs>
          <w:tab w:val="left" w:pos="4536"/>
        </w:tabs>
        <w:spacing w:after="0"/>
        <w:jc w:val="both"/>
        <w:rPr>
          <w:rFonts w:ascii="Calibri" w:hAnsi="Calibri"/>
          <w:color w:val="7F7F7F"/>
        </w:rPr>
      </w:pPr>
    </w:p>
    <w:p w14:paraId="2B0DE382" w14:textId="4ECE65C2" w:rsidR="005D7A31" w:rsidRPr="00094216" w:rsidRDefault="005D7A31" w:rsidP="005D7A31">
      <w:pPr>
        <w:tabs>
          <w:tab w:val="left" w:pos="4536"/>
        </w:tabs>
        <w:spacing w:after="0"/>
        <w:jc w:val="both"/>
        <w:rPr>
          <w:rFonts w:ascii="Calibri" w:hAnsi="Calibri"/>
          <w:color w:val="7F7F7F"/>
        </w:rPr>
      </w:pPr>
      <w:r w:rsidRPr="00E27010">
        <w:rPr>
          <w:rFonts w:ascii="Calibri" w:hAnsi="Calibri"/>
          <w:b/>
        </w:rPr>
        <w:t>Gender</w:t>
      </w:r>
    </w:p>
    <w:p w14:paraId="4EDDC76B" w14:textId="77777777" w:rsidR="005D7A31" w:rsidRDefault="005D7A31" w:rsidP="005D7A31">
      <w:pPr>
        <w:spacing w:after="0" w:line="360" w:lineRule="auto"/>
        <w:jc w:val="both"/>
        <w:rPr>
          <w:rFonts w:ascii="Calibri" w:hAnsi="Calibri"/>
        </w:rPr>
      </w:pPr>
      <w:r>
        <w:rPr>
          <w:rFonts w:ascii="Calibri" w:hAnsi="Calibri"/>
          <w:noProof/>
        </w:rPr>
        <w:drawing>
          <wp:anchor distT="0" distB="0" distL="114300" distR="114300" simplePos="0" relativeHeight="251978752" behindDoc="0" locked="0" layoutInCell="1" allowOverlap="1" wp14:anchorId="3CFF2868" wp14:editId="23BDE9D1">
            <wp:simplePos x="0" y="0"/>
            <wp:positionH relativeFrom="margin">
              <wp:align>left</wp:align>
            </wp:positionH>
            <wp:positionV relativeFrom="paragraph">
              <wp:posOffset>429260</wp:posOffset>
            </wp:positionV>
            <wp:extent cx="4188460" cy="2828925"/>
            <wp:effectExtent l="0" t="0" r="2540" b="9525"/>
            <wp:wrapSquare wrapText="bothSides"/>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188460" cy="282892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 xml:space="preserve">Females account for 56% of Greater Dandenong residents with a disability and males for 44%. For younger residents, males predominate among those with a disability, while among people aged over 75 years, women form a majority, due to their greater longevity. </w:t>
      </w:r>
    </w:p>
    <w:p w14:paraId="2D3841DE" w14:textId="77777777" w:rsidR="005D7A31" w:rsidRDefault="005D7A31" w:rsidP="005D7A31">
      <w:pPr>
        <w:spacing w:after="0" w:line="360" w:lineRule="auto"/>
        <w:jc w:val="both"/>
        <w:rPr>
          <w:rFonts w:ascii="Calibri" w:hAnsi="Calibri"/>
        </w:rPr>
      </w:pPr>
    </w:p>
    <w:p w14:paraId="6243AE00" w14:textId="77777777" w:rsidR="005D7A31" w:rsidRDefault="005D7A31" w:rsidP="005D7A31">
      <w:pPr>
        <w:spacing w:after="0" w:line="360" w:lineRule="auto"/>
        <w:jc w:val="both"/>
        <w:rPr>
          <w:rFonts w:ascii="Calibri" w:hAnsi="Calibri"/>
        </w:rPr>
      </w:pPr>
    </w:p>
    <w:p w14:paraId="5977135C" w14:textId="77777777" w:rsidR="005D7A31" w:rsidRPr="00FC7866" w:rsidRDefault="005D7A31" w:rsidP="005D7A31">
      <w:pPr>
        <w:spacing w:after="0" w:line="360" w:lineRule="auto"/>
        <w:jc w:val="both"/>
        <w:rPr>
          <w:rFonts w:ascii="Calibri" w:hAnsi="Calibri"/>
        </w:rPr>
      </w:pPr>
    </w:p>
    <w:p w14:paraId="482E96B3" w14:textId="77777777" w:rsidR="005D7A31" w:rsidRPr="00B70A36" w:rsidRDefault="005D7A31" w:rsidP="005D7A31">
      <w:pPr>
        <w:spacing w:after="0"/>
        <w:jc w:val="both"/>
        <w:rPr>
          <w:rFonts w:ascii="Calibri" w:hAnsi="Calibri"/>
          <w:color w:val="7F7F7F"/>
          <w:sz w:val="20"/>
          <w:szCs w:val="20"/>
        </w:rPr>
      </w:pPr>
      <w:r w:rsidRPr="00B70A36">
        <w:rPr>
          <w:rFonts w:ascii="Calibri" w:hAnsi="Calibri"/>
          <w:color w:val="7F7F7F"/>
          <w:sz w:val="20"/>
          <w:szCs w:val="20"/>
        </w:rPr>
        <w:t>Number of Persons with a Disability, by Birthplace: Greater Dandenong, 2021</w:t>
      </w:r>
    </w:p>
    <w:p w14:paraId="3E58288B" w14:textId="77777777" w:rsidR="005D7A31" w:rsidRPr="00085845" w:rsidRDefault="005D7A31" w:rsidP="005D7A31">
      <w:pPr>
        <w:tabs>
          <w:tab w:val="left" w:pos="5670"/>
        </w:tabs>
        <w:spacing w:after="0"/>
        <w:jc w:val="both"/>
        <w:rPr>
          <w:rFonts w:ascii="Calibri" w:hAnsi="Calibri"/>
          <w:b/>
          <w:color w:val="000000"/>
        </w:rPr>
      </w:pPr>
      <w:r>
        <w:rPr>
          <w:rFonts w:ascii="Calibri" w:hAnsi="Calibri"/>
          <w:b/>
          <w:noProof/>
          <w:color w:val="000000"/>
        </w:rPr>
        <w:lastRenderedPageBreak/>
        <w:drawing>
          <wp:anchor distT="0" distB="0" distL="114300" distR="114300" simplePos="0" relativeHeight="251980800" behindDoc="0" locked="0" layoutInCell="1" allowOverlap="1" wp14:anchorId="47BFC048" wp14:editId="22405D54">
            <wp:simplePos x="0" y="0"/>
            <wp:positionH relativeFrom="margin">
              <wp:align>left</wp:align>
            </wp:positionH>
            <wp:positionV relativeFrom="paragraph">
              <wp:posOffset>48260</wp:posOffset>
            </wp:positionV>
            <wp:extent cx="3448685" cy="2559685"/>
            <wp:effectExtent l="0" t="0" r="0" b="0"/>
            <wp:wrapSquare wrapText="bothSides"/>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5">
                      <a:extLst>
                        <a:ext uri="{28A0092B-C50C-407E-A947-70E740481C1C}">
                          <a14:useLocalDpi xmlns:a14="http://schemas.microsoft.com/office/drawing/2010/main" val="0"/>
                        </a:ext>
                      </a:extLst>
                    </a:blip>
                    <a:srcRect l="2970" t="1" r="5525" b="70955"/>
                    <a:stretch/>
                  </pic:blipFill>
                  <pic:spPr bwMode="auto">
                    <a:xfrm>
                      <a:off x="0" y="0"/>
                      <a:ext cx="3452082" cy="25622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64AB">
        <w:rPr>
          <w:rFonts w:ascii="Calibri" w:hAnsi="Calibri"/>
          <w:b/>
          <w:color w:val="000000"/>
        </w:rPr>
        <w:t>Birthplaces</w:t>
      </w:r>
    </w:p>
    <w:p w14:paraId="57183C54" w14:textId="77777777" w:rsidR="005D7A31" w:rsidRPr="00A664AB" w:rsidRDefault="005D7A31" w:rsidP="005D7A31">
      <w:pPr>
        <w:tabs>
          <w:tab w:val="left" w:pos="5954"/>
        </w:tabs>
        <w:spacing w:after="0" w:line="360" w:lineRule="auto"/>
        <w:jc w:val="both"/>
        <w:rPr>
          <w:rFonts w:ascii="Calibri" w:hAnsi="Calibri"/>
          <w:b/>
        </w:rPr>
      </w:pPr>
      <w:r>
        <w:rPr>
          <w:rFonts w:ascii="Calibri" w:hAnsi="Calibri"/>
        </w:rPr>
        <w:t xml:space="preserve">The number of people of each birthplace who have a severe or profound disability reflects the range of local birthplaces well as the differing age profiles of residents of these birthplaces. </w:t>
      </w:r>
    </w:p>
    <w:p w14:paraId="57CF4891" w14:textId="77777777" w:rsidR="005D7A31" w:rsidRDefault="005D7A31" w:rsidP="005D7A31">
      <w:pPr>
        <w:spacing w:after="0" w:line="360" w:lineRule="auto"/>
        <w:jc w:val="both"/>
        <w:rPr>
          <w:rFonts w:ascii="Calibri" w:hAnsi="Calibri"/>
        </w:rPr>
      </w:pPr>
      <w:r>
        <w:rPr>
          <w:rFonts w:ascii="Calibri" w:hAnsi="Calibri"/>
        </w:rPr>
        <w:t xml:space="preserve">Thirty per cent of disabled residents were born in Australia, 9.4% in Vietnam, 5.2% in Cambodia, 4.5% in Italy, and 4.3% in Greece. </w:t>
      </w:r>
    </w:p>
    <w:p w14:paraId="461FCBA6" w14:textId="77777777" w:rsidR="005D7A31" w:rsidRPr="00E604F4" w:rsidRDefault="005D7A31" w:rsidP="005D7A31">
      <w:pPr>
        <w:spacing w:after="0" w:line="360" w:lineRule="auto"/>
        <w:jc w:val="both"/>
        <w:rPr>
          <w:rFonts w:ascii="Calibri" w:hAnsi="Calibri"/>
          <w:sz w:val="8"/>
          <w:szCs w:val="8"/>
        </w:rPr>
      </w:pPr>
    </w:p>
    <w:p w14:paraId="4CD48B80" w14:textId="77777777" w:rsidR="005D7A31" w:rsidRPr="005D7A31" w:rsidRDefault="005D7A31" w:rsidP="005D7A31">
      <w:pPr>
        <w:spacing w:after="0"/>
        <w:ind w:left="3686"/>
        <w:jc w:val="both"/>
        <w:rPr>
          <w:rFonts w:ascii="Calibri" w:hAnsi="Calibri"/>
          <w:color w:val="7F7F7F"/>
          <w:sz w:val="20"/>
          <w:szCs w:val="20"/>
        </w:rPr>
      </w:pPr>
      <w:r w:rsidRPr="005D7A31">
        <w:rPr>
          <w:rFonts w:ascii="Calibri" w:hAnsi="Calibri"/>
          <w:color w:val="7F7F7F"/>
          <w:sz w:val="20"/>
          <w:szCs w:val="20"/>
        </w:rPr>
        <w:t>Disabled Persons in non- Private Accommodation, by Type of Dwelling: Greater Dandenong, 2021</w:t>
      </w:r>
    </w:p>
    <w:p w14:paraId="10F8926E" w14:textId="77777777" w:rsidR="005D7A31" w:rsidRPr="005D7A31" w:rsidRDefault="005D7A31" w:rsidP="005D7A31">
      <w:pPr>
        <w:spacing w:after="0" w:line="360" w:lineRule="auto"/>
        <w:jc w:val="both"/>
        <w:rPr>
          <w:rFonts w:ascii="Calibri" w:hAnsi="Calibri"/>
          <w:b/>
          <w:sz w:val="20"/>
          <w:szCs w:val="20"/>
        </w:rPr>
      </w:pPr>
    </w:p>
    <w:p w14:paraId="2B165324" w14:textId="77777777" w:rsidR="005D7A31" w:rsidRDefault="005D7A31" w:rsidP="005D7A31">
      <w:pPr>
        <w:spacing w:after="0" w:line="360" w:lineRule="auto"/>
        <w:jc w:val="both"/>
        <w:rPr>
          <w:rFonts w:ascii="Calibri" w:hAnsi="Calibri"/>
          <w:b/>
        </w:rPr>
      </w:pPr>
    </w:p>
    <w:p w14:paraId="12804301" w14:textId="77777777" w:rsidR="005D7A31" w:rsidRPr="00E27010" w:rsidRDefault="005D7A31" w:rsidP="005D7A31">
      <w:pPr>
        <w:spacing w:after="0" w:line="360" w:lineRule="auto"/>
        <w:jc w:val="both"/>
        <w:rPr>
          <w:rFonts w:ascii="Calibri" w:hAnsi="Calibri"/>
          <w:b/>
        </w:rPr>
      </w:pPr>
      <w:r w:rsidRPr="00E27010">
        <w:rPr>
          <w:rFonts w:ascii="Calibri" w:hAnsi="Calibri"/>
          <w:b/>
        </w:rPr>
        <w:t>Living at Home</w:t>
      </w:r>
    </w:p>
    <w:p w14:paraId="5D97364F" w14:textId="77777777" w:rsidR="005D7A31" w:rsidRDefault="005D7A31" w:rsidP="005D7A31">
      <w:pPr>
        <w:spacing w:after="0" w:line="360" w:lineRule="auto"/>
        <w:jc w:val="both"/>
        <w:rPr>
          <w:rFonts w:ascii="Calibri" w:hAnsi="Calibri"/>
        </w:rPr>
      </w:pPr>
      <w:r>
        <w:rPr>
          <w:rFonts w:ascii="Calibri" w:hAnsi="Calibri"/>
        </w:rPr>
        <w:t xml:space="preserve">Of all disabled persons in Greater Dandenong, 85% reside in private dwellings and 15% in non-private settings such as a nursing homes or other age accommodation. </w:t>
      </w:r>
    </w:p>
    <w:p w14:paraId="0D0B5057" w14:textId="77777777" w:rsidR="005D7A31" w:rsidRPr="00085845" w:rsidRDefault="005D7A31" w:rsidP="005D7A31">
      <w:pPr>
        <w:spacing w:after="0" w:line="360" w:lineRule="auto"/>
        <w:jc w:val="both"/>
        <w:rPr>
          <w:rFonts w:ascii="Calibri" w:hAnsi="Calibri"/>
        </w:rPr>
      </w:pPr>
      <w:r>
        <w:rPr>
          <w:rFonts w:ascii="Calibri" w:hAnsi="Calibri"/>
          <w:noProof/>
        </w:rPr>
        <w:drawing>
          <wp:anchor distT="0" distB="0" distL="114300" distR="114300" simplePos="0" relativeHeight="251981824" behindDoc="0" locked="0" layoutInCell="1" allowOverlap="1" wp14:anchorId="1A492AD2" wp14:editId="03FC82D3">
            <wp:simplePos x="0" y="0"/>
            <wp:positionH relativeFrom="margin">
              <wp:posOffset>2504440</wp:posOffset>
            </wp:positionH>
            <wp:positionV relativeFrom="paragraph">
              <wp:posOffset>5715</wp:posOffset>
            </wp:positionV>
            <wp:extent cx="3613785" cy="2355850"/>
            <wp:effectExtent l="0" t="0" r="5715" b="6350"/>
            <wp:wrapSquare wrapText="bothSides"/>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76">
                      <a:extLst>
                        <a:ext uri="{28A0092B-C50C-407E-A947-70E740481C1C}">
                          <a14:useLocalDpi xmlns:a14="http://schemas.microsoft.com/office/drawing/2010/main" val="0"/>
                        </a:ext>
                      </a:extLst>
                    </a:blip>
                    <a:srcRect l="4241" t="9335" r="8368" b="3461"/>
                    <a:stretch/>
                  </pic:blipFill>
                  <pic:spPr bwMode="auto">
                    <a:xfrm>
                      <a:off x="0" y="0"/>
                      <a:ext cx="3613785" cy="2355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rPr>
        <w:t xml:space="preserve">Of those living at home, 14% or 1,165, live alone. </w:t>
      </w:r>
    </w:p>
    <w:p w14:paraId="0615D2B4" w14:textId="77777777" w:rsidR="005D7A31" w:rsidRDefault="005D7A31" w:rsidP="005D7A31">
      <w:pPr>
        <w:spacing w:after="0" w:line="360" w:lineRule="auto"/>
        <w:jc w:val="both"/>
        <w:rPr>
          <w:rFonts w:ascii="Calibri" w:hAnsi="Calibri"/>
        </w:rPr>
      </w:pPr>
      <w:r>
        <w:rPr>
          <w:rFonts w:ascii="Calibri" w:hAnsi="Calibri"/>
        </w:rPr>
        <w:t>The number of disabled people who are living alone, rises steeply with age. Among those aged over 64 years, approximately two-thirds are women.</w:t>
      </w:r>
    </w:p>
    <w:p w14:paraId="0E41069B" w14:textId="77777777" w:rsidR="005D7A31" w:rsidRDefault="005D7A31" w:rsidP="005D7A31">
      <w:pPr>
        <w:spacing w:after="0" w:line="360" w:lineRule="auto"/>
        <w:jc w:val="both"/>
        <w:rPr>
          <w:rFonts w:ascii="Calibri" w:hAnsi="Calibri"/>
        </w:rPr>
      </w:pPr>
    </w:p>
    <w:p w14:paraId="6FA71929" w14:textId="77777777" w:rsidR="005D7A31" w:rsidRPr="005D7A31" w:rsidRDefault="005D7A31" w:rsidP="005D7A31">
      <w:pPr>
        <w:spacing w:after="0" w:line="240" w:lineRule="auto"/>
        <w:jc w:val="both"/>
        <w:rPr>
          <w:rFonts w:ascii="Calibri" w:hAnsi="Calibri"/>
          <w:color w:val="7F7F7F" w:themeColor="text1" w:themeTint="80"/>
          <w:sz w:val="20"/>
          <w:szCs w:val="20"/>
        </w:rPr>
      </w:pPr>
      <w:r w:rsidRPr="005D7A31">
        <w:rPr>
          <w:rFonts w:ascii="Calibri" w:hAnsi="Calibri"/>
          <w:color w:val="7F7F7F" w:themeColor="text1" w:themeTint="80"/>
          <w:sz w:val="20"/>
          <w:szCs w:val="20"/>
        </w:rPr>
        <w:t>Lone Persons with a Disability, by Age: Greater Dandenong, 2021</w:t>
      </w:r>
    </w:p>
    <w:p w14:paraId="787D2437" w14:textId="77777777" w:rsidR="005D7A31" w:rsidRDefault="005D7A31" w:rsidP="005D7A31">
      <w:pPr>
        <w:spacing w:after="0" w:line="360" w:lineRule="auto"/>
        <w:jc w:val="both"/>
        <w:rPr>
          <w:rFonts w:ascii="Calibri" w:hAnsi="Calibri"/>
        </w:rPr>
      </w:pPr>
    </w:p>
    <w:p w14:paraId="73E34897" w14:textId="77777777" w:rsidR="005D7A31" w:rsidRDefault="005D7A31" w:rsidP="005D7A31">
      <w:pPr>
        <w:spacing w:after="0" w:line="360" w:lineRule="auto"/>
        <w:jc w:val="both"/>
        <w:rPr>
          <w:rFonts w:ascii="Calibri" w:hAnsi="Calibri"/>
        </w:rPr>
      </w:pPr>
    </w:p>
    <w:p w14:paraId="7164B75F" w14:textId="77777777" w:rsidR="005D7A31" w:rsidRDefault="005D7A31" w:rsidP="005D7A31">
      <w:pPr>
        <w:spacing w:after="0" w:line="360" w:lineRule="auto"/>
        <w:jc w:val="both"/>
        <w:rPr>
          <w:rFonts w:ascii="Calibri" w:hAnsi="Calibri"/>
        </w:rPr>
      </w:pPr>
    </w:p>
    <w:p w14:paraId="3FDBB4B8" w14:textId="77777777" w:rsidR="005D7A31" w:rsidRPr="00212BC1" w:rsidRDefault="005D7A31" w:rsidP="005D7A31">
      <w:pPr>
        <w:spacing w:after="0" w:line="360" w:lineRule="auto"/>
        <w:jc w:val="both"/>
        <w:rPr>
          <w:rFonts w:ascii="Calibri" w:hAnsi="Calibri"/>
          <w:b/>
        </w:rPr>
      </w:pPr>
      <w:r>
        <w:rPr>
          <w:rFonts w:ascii="Calibri" w:hAnsi="Calibri"/>
          <w:b/>
          <w:noProof/>
        </w:rPr>
        <w:drawing>
          <wp:anchor distT="0" distB="0" distL="114300" distR="114300" simplePos="0" relativeHeight="251979776" behindDoc="0" locked="0" layoutInCell="1" allowOverlap="1" wp14:anchorId="0933858A" wp14:editId="1896AB0B">
            <wp:simplePos x="0" y="0"/>
            <wp:positionH relativeFrom="margin">
              <wp:align>left</wp:align>
            </wp:positionH>
            <wp:positionV relativeFrom="paragraph">
              <wp:posOffset>3175</wp:posOffset>
            </wp:positionV>
            <wp:extent cx="3448685" cy="2266950"/>
            <wp:effectExtent l="0" t="0" r="0" b="0"/>
            <wp:wrapSquare wrapText="bothSides"/>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7">
                      <a:extLst>
                        <a:ext uri="{28A0092B-C50C-407E-A947-70E740481C1C}">
                          <a14:useLocalDpi xmlns:a14="http://schemas.microsoft.com/office/drawing/2010/main" val="0"/>
                        </a:ext>
                      </a:extLst>
                    </a:blip>
                    <a:srcRect l="2118" t="7994" r="13620" b="3679"/>
                    <a:stretch/>
                  </pic:blipFill>
                  <pic:spPr bwMode="auto">
                    <a:xfrm>
                      <a:off x="0" y="0"/>
                      <a:ext cx="3448685" cy="2266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12BC1">
        <w:rPr>
          <w:rFonts w:ascii="Calibri" w:hAnsi="Calibri"/>
          <w:b/>
        </w:rPr>
        <w:t>Employment</w:t>
      </w:r>
    </w:p>
    <w:p w14:paraId="6AB0BE66" w14:textId="77777777" w:rsidR="005D7A31" w:rsidRDefault="005D7A31" w:rsidP="005D7A31">
      <w:pPr>
        <w:spacing w:after="0" w:line="360" w:lineRule="auto"/>
        <w:jc w:val="both"/>
        <w:rPr>
          <w:rFonts w:ascii="Calibri" w:hAnsi="Calibri"/>
        </w:rPr>
      </w:pPr>
      <w:r>
        <w:rPr>
          <w:rFonts w:ascii="Calibri" w:hAnsi="Calibri"/>
        </w:rPr>
        <w:t xml:space="preserve">The findings of the 2021 Census reveal that 13% of disabled 25-64 year-olds in Greater Dandenong, were in paid employment, compared with 72% of those without a disability. </w:t>
      </w:r>
    </w:p>
    <w:p w14:paraId="19853ACE" w14:textId="77777777" w:rsidR="005D7A31" w:rsidRDefault="005D7A31" w:rsidP="005D7A31">
      <w:pPr>
        <w:spacing w:after="0" w:line="360" w:lineRule="auto"/>
        <w:jc w:val="both"/>
        <w:rPr>
          <w:rFonts w:ascii="Calibri" w:hAnsi="Calibri"/>
        </w:rPr>
      </w:pPr>
      <w:r>
        <w:rPr>
          <w:rFonts w:ascii="Calibri" w:hAnsi="Calibri"/>
        </w:rPr>
        <w:t>Rates of employment among disabled people of this age, were lower than State-wide levels.</w:t>
      </w:r>
    </w:p>
    <w:p w14:paraId="1E2A958C" w14:textId="77777777" w:rsidR="005D7A31" w:rsidRPr="00F43BC5" w:rsidRDefault="005D7A31" w:rsidP="005D7A31">
      <w:pPr>
        <w:spacing w:after="0" w:line="360" w:lineRule="auto"/>
        <w:jc w:val="both"/>
        <w:rPr>
          <w:rFonts w:ascii="Calibri" w:hAnsi="Calibri"/>
          <w:b/>
        </w:rPr>
      </w:pPr>
      <w:r w:rsidRPr="00F43BC5">
        <w:rPr>
          <w:rFonts w:ascii="Calibri" w:hAnsi="Calibri"/>
          <w:b/>
        </w:rPr>
        <w:lastRenderedPageBreak/>
        <w:t>Education</w:t>
      </w:r>
      <w:r>
        <w:rPr>
          <w:rFonts w:ascii="Calibri" w:hAnsi="Calibri"/>
          <w:b/>
        </w:rPr>
        <w:t xml:space="preserve"> and Incomes</w:t>
      </w:r>
    </w:p>
    <w:p w14:paraId="62B7D088" w14:textId="77777777" w:rsidR="005D7A31" w:rsidRDefault="005D7A31" w:rsidP="005D7A31">
      <w:pPr>
        <w:spacing w:after="0" w:line="360" w:lineRule="auto"/>
        <w:jc w:val="both"/>
        <w:rPr>
          <w:rFonts w:ascii="Calibri" w:hAnsi="Calibri"/>
        </w:rPr>
      </w:pPr>
      <w:r w:rsidRPr="00FC7866">
        <w:rPr>
          <w:rFonts w:ascii="Calibri" w:hAnsi="Calibri"/>
        </w:rPr>
        <w:t>About half (51%) of disabled Greater Dandenong residents aged 25-64 years, had left school before completing year 11, compared with approximately a quarter (24%) of others the same age (diagram right).</w:t>
      </w:r>
    </w:p>
    <w:p w14:paraId="40C7E5D8" w14:textId="77777777" w:rsidR="005D7A31" w:rsidRDefault="005D7A31" w:rsidP="005D7A31">
      <w:pPr>
        <w:spacing w:after="0" w:line="360" w:lineRule="auto"/>
        <w:jc w:val="both"/>
        <w:rPr>
          <w:rFonts w:ascii="Calibri" w:hAnsi="Calibri"/>
        </w:rPr>
      </w:pPr>
      <w:r>
        <w:rPr>
          <w:rFonts w:ascii="Calibri" w:hAnsi="Calibri"/>
        </w:rPr>
        <w:t>At $389 per week, median personal gross incomes among disabled residents of this age, were 57% of those among non-disabled people.</w:t>
      </w:r>
    </w:p>
    <w:p w14:paraId="4FC973A6" w14:textId="77777777" w:rsidR="005D7A31" w:rsidRPr="00085845" w:rsidRDefault="005D7A31" w:rsidP="005D7A31">
      <w:pPr>
        <w:spacing w:after="0" w:line="360" w:lineRule="auto"/>
        <w:jc w:val="both"/>
        <w:rPr>
          <w:rFonts w:ascii="Calibri" w:hAnsi="Calibri"/>
          <w:sz w:val="10"/>
          <w:szCs w:val="10"/>
        </w:rPr>
      </w:pPr>
    </w:p>
    <w:p w14:paraId="7E667B85" w14:textId="77777777" w:rsidR="005D7A31" w:rsidRPr="001D7759" w:rsidRDefault="005D7A31" w:rsidP="005D7A31">
      <w:pPr>
        <w:spacing w:after="0" w:line="360" w:lineRule="auto"/>
        <w:jc w:val="both"/>
        <w:rPr>
          <w:rFonts w:ascii="Calibri" w:hAnsi="Calibri"/>
          <w:b/>
        </w:rPr>
      </w:pPr>
      <w:r>
        <w:rPr>
          <w:rFonts w:ascii="Calibri" w:hAnsi="Calibri"/>
          <w:b/>
        </w:rPr>
        <w:t>Disability among Indigenous Residents</w:t>
      </w:r>
    </w:p>
    <w:p w14:paraId="3C9DA3D0" w14:textId="77777777" w:rsidR="005D7A31" w:rsidRDefault="005D7A31" w:rsidP="005D7A31">
      <w:pPr>
        <w:spacing w:after="0" w:line="360" w:lineRule="auto"/>
        <w:jc w:val="both"/>
        <w:rPr>
          <w:rFonts w:ascii="Calibri" w:hAnsi="Calibri"/>
        </w:rPr>
      </w:pPr>
      <w:r>
        <w:rPr>
          <w:rFonts w:ascii="Calibri" w:hAnsi="Calibri"/>
        </w:rPr>
        <w:t>Among Aboriginal and Torres Strait Islanders in Greater Dandenong in 2021, 13.5% were disabled – about twice the rate among non-indigenous residents. This is a disparity which recurs in most municipalities.</w:t>
      </w:r>
    </w:p>
    <w:p w14:paraId="06A23E34" w14:textId="77777777" w:rsidR="005D7A31" w:rsidRPr="00085845" w:rsidRDefault="005D7A31" w:rsidP="005D7A31">
      <w:pPr>
        <w:spacing w:after="0" w:line="360" w:lineRule="auto"/>
        <w:jc w:val="both"/>
        <w:rPr>
          <w:rFonts w:ascii="Calibri" w:hAnsi="Calibri"/>
          <w:sz w:val="10"/>
          <w:szCs w:val="10"/>
        </w:rPr>
      </w:pPr>
    </w:p>
    <w:p w14:paraId="193909FD" w14:textId="77777777" w:rsidR="005D7A31" w:rsidRPr="00EB76C4" w:rsidRDefault="005D7A31" w:rsidP="005D7A31">
      <w:pPr>
        <w:spacing w:after="0" w:line="360" w:lineRule="auto"/>
        <w:jc w:val="both"/>
        <w:rPr>
          <w:rFonts w:ascii="Calibri" w:hAnsi="Calibri"/>
          <w:b/>
          <w:bCs/>
        </w:rPr>
      </w:pPr>
      <w:r w:rsidRPr="00EB76C4">
        <w:rPr>
          <w:rFonts w:ascii="Calibri" w:hAnsi="Calibri"/>
          <w:b/>
          <w:bCs/>
        </w:rPr>
        <w:t>Forecast Changes in the Number of People with a Disability</w:t>
      </w:r>
    </w:p>
    <w:p w14:paraId="3C40F21F" w14:textId="77777777" w:rsidR="005D7A31" w:rsidRDefault="005D7A31" w:rsidP="005D7A31">
      <w:pPr>
        <w:spacing w:after="0" w:line="360" w:lineRule="auto"/>
        <w:jc w:val="both"/>
        <w:rPr>
          <w:rFonts w:ascii="Calibri" w:hAnsi="Calibri"/>
        </w:rPr>
      </w:pPr>
      <w:r>
        <w:rPr>
          <w:rFonts w:ascii="Calibri" w:hAnsi="Calibri"/>
        </w:rPr>
        <w:t xml:space="preserve">Finally, forecasts of the change in number and proportion of people with disability in Greater Dandenong, </w:t>
      </w:r>
      <w:r w:rsidRPr="009F6A1A">
        <w:rPr>
          <w:rFonts w:ascii="Calibri" w:hAnsi="Calibri"/>
        </w:rPr>
        <w:t xml:space="preserve">based on the findings of the 2021 Census and population </w:t>
      </w:r>
      <w:r>
        <w:rPr>
          <w:rFonts w:ascii="Calibri" w:hAnsi="Calibri"/>
        </w:rPr>
        <w:t>projections</w:t>
      </w:r>
      <w:r w:rsidRPr="009F6A1A">
        <w:rPr>
          <w:rFonts w:ascii="Calibri" w:hAnsi="Calibri"/>
        </w:rPr>
        <w:t xml:space="preserve"> prepared by the Victorian Government</w:t>
      </w:r>
      <w:r>
        <w:rPr>
          <w:rFonts w:ascii="Calibri" w:hAnsi="Calibri"/>
        </w:rPr>
        <w:t>, indicate that in the decade from 2022 to 2032, the prevalence of disability may rise by over one-fifth (23%), including projected growth of over 40% among the number of people aged 80 years or more with a disability.</w:t>
      </w:r>
    </w:p>
    <w:p w14:paraId="2295667B" w14:textId="77777777" w:rsidR="005D7A31" w:rsidRPr="00085845" w:rsidRDefault="005D7A31" w:rsidP="005D7A31">
      <w:pPr>
        <w:spacing w:after="0" w:line="360" w:lineRule="auto"/>
        <w:jc w:val="both"/>
        <w:rPr>
          <w:rFonts w:ascii="Calibri" w:hAnsi="Calibri"/>
          <w:sz w:val="10"/>
          <w:szCs w:val="10"/>
        </w:rPr>
      </w:pPr>
    </w:p>
    <w:p w14:paraId="588940A4" w14:textId="77777777" w:rsidR="005D7A31" w:rsidRPr="00C12BC1" w:rsidRDefault="005D7A31" w:rsidP="005D7A31">
      <w:pPr>
        <w:spacing w:after="0" w:line="360" w:lineRule="auto"/>
        <w:jc w:val="both"/>
        <w:rPr>
          <w:rFonts w:ascii="Calibri" w:hAnsi="Calibri"/>
          <w:b/>
          <w:bCs/>
        </w:rPr>
      </w:pPr>
      <w:r w:rsidRPr="00C12BC1">
        <w:rPr>
          <w:rFonts w:ascii="Calibri" w:hAnsi="Calibri"/>
          <w:b/>
          <w:bCs/>
        </w:rPr>
        <w:t>Carers</w:t>
      </w:r>
    </w:p>
    <w:p w14:paraId="2481CA1E" w14:textId="77777777" w:rsidR="005D7A31" w:rsidRDefault="005D7A31" w:rsidP="005D7A31">
      <w:pPr>
        <w:spacing w:after="0" w:line="360" w:lineRule="auto"/>
        <w:jc w:val="both"/>
        <w:rPr>
          <w:rFonts w:ascii="Calibri" w:hAnsi="Calibri"/>
        </w:rPr>
      </w:pPr>
      <w:r w:rsidRPr="00C12BC1">
        <w:rPr>
          <w:rFonts w:ascii="Calibri" w:hAnsi="Calibri"/>
          <w:noProof/>
          <w:sz w:val="12"/>
          <w:szCs w:val="12"/>
        </w:rPr>
        <w:drawing>
          <wp:anchor distT="0" distB="0" distL="114300" distR="114300" simplePos="0" relativeHeight="251982848" behindDoc="0" locked="0" layoutInCell="1" allowOverlap="1" wp14:anchorId="672C8967" wp14:editId="32A02E67">
            <wp:simplePos x="0" y="0"/>
            <wp:positionH relativeFrom="column">
              <wp:posOffset>2654935</wp:posOffset>
            </wp:positionH>
            <wp:positionV relativeFrom="paragraph">
              <wp:posOffset>263525</wp:posOffset>
            </wp:positionV>
            <wp:extent cx="3453130" cy="2170430"/>
            <wp:effectExtent l="0" t="0" r="0" b="1270"/>
            <wp:wrapSquare wrapText="bothSides"/>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8">
                      <a:extLst>
                        <a:ext uri="{28A0092B-C50C-407E-A947-70E740481C1C}">
                          <a14:useLocalDpi xmlns:a14="http://schemas.microsoft.com/office/drawing/2010/main" val="0"/>
                        </a:ext>
                      </a:extLst>
                    </a:blip>
                    <a:srcRect t="4255" b="6029"/>
                    <a:stretch/>
                  </pic:blipFill>
                  <pic:spPr bwMode="auto">
                    <a:xfrm>
                      <a:off x="0" y="0"/>
                      <a:ext cx="3453130" cy="2170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rPr>
        <w:t xml:space="preserve">The 2021 Census recorded that 11.2% of residents provided unpaid care for a person with a disability, chronic medical condition or age-related conditions – slightly lower than the State figure of 13.8%. </w:t>
      </w:r>
    </w:p>
    <w:p w14:paraId="2233A203" w14:textId="77777777" w:rsidR="005D7A31" w:rsidRPr="00425926" w:rsidRDefault="005D7A31" w:rsidP="005D7A31">
      <w:pPr>
        <w:spacing w:after="0" w:line="360" w:lineRule="auto"/>
        <w:jc w:val="both"/>
        <w:rPr>
          <w:rFonts w:ascii="Calibri" w:hAnsi="Calibri"/>
          <w:sz w:val="12"/>
          <w:szCs w:val="12"/>
        </w:rPr>
      </w:pPr>
      <w:r>
        <w:rPr>
          <w:rFonts w:ascii="Calibri" w:hAnsi="Calibri"/>
        </w:rPr>
        <w:t>The highest proportions of residents who provide care are seen among those in their later middle age, largely reflecting the age and health of their parents.</w:t>
      </w:r>
    </w:p>
    <w:p w14:paraId="31DB2103" w14:textId="77777777" w:rsidR="005D7A31" w:rsidRPr="0006632E" w:rsidRDefault="005D7A31" w:rsidP="005D7A31">
      <w:pPr>
        <w:spacing w:after="0" w:line="360" w:lineRule="auto"/>
        <w:jc w:val="both"/>
        <w:rPr>
          <w:rFonts w:ascii="Calibri" w:hAnsi="Calibri"/>
          <w:sz w:val="10"/>
          <w:szCs w:val="10"/>
        </w:rPr>
      </w:pPr>
    </w:p>
    <w:p w14:paraId="3E8E345A" w14:textId="77777777" w:rsidR="005D7A31" w:rsidRPr="005A3843" w:rsidRDefault="005D7A31" w:rsidP="005D7A31">
      <w:pPr>
        <w:spacing w:after="0"/>
        <w:jc w:val="both"/>
        <w:rPr>
          <w:rFonts w:ascii="Calibri" w:hAnsi="Calibri"/>
          <w:color w:val="7F7F7F" w:themeColor="text1" w:themeTint="80"/>
        </w:rPr>
      </w:pPr>
      <w:r w:rsidRPr="005A3843">
        <w:rPr>
          <w:rFonts w:ascii="Calibri" w:hAnsi="Calibri"/>
          <w:color w:val="7F7F7F" w:themeColor="text1" w:themeTint="80"/>
        </w:rPr>
        <w:t>Proportions of Residents who Provided Unpaid Care for Others, by Age: Greater Dandenong and Victoria, 2021</w:t>
      </w:r>
    </w:p>
    <w:p w14:paraId="707B2660" w14:textId="77777777" w:rsidR="005D7A31" w:rsidRPr="0006632E" w:rsidRDefault="005D7A31" w:rsidP="005D7A31">
      <w:pPr>
        <w:spacing w:after="0" w:line="360" w:lineRule="auto"/>
        <w:jc w:val="both"/>
        <w:rPr>
          <w:rFonts w:ascii="Calibri" w:hAnsi="Calibri"/>
          <w:sz w:val="10"/>
          <w:szCs w:val="10"/>
        </w:rPr>
      </w:pPr>
    </w:p>
    <w:p w14:paraId="3F7C2E3B" w14:textId="77777777" w:rsidR="005D7A31" w:rsidRDefault="005D7A31" w:rsidP="005D7A31">
      <w:pPr>
        <w:spacing w:after="0" w:line="360" w:lineRule="auto"/>
        <w:jc w:val="both"/>
        <w:rPr>
          <w:rFonts w:ascii="Calibri" w:hAnsi="Calibri"/>
        </w:rPr>
      </w:pPr>
      <w:r>
        <w:rPr>
          <w:rFonts w:ascii="Calibri" w:hAnsi="Calibri"/>
          <w:noProof/>
        </w:rPr>
        <w:drawing>
          <wp:anchor distT="0" distB="0" distL="114300" distR="114300" simplePos="0" relativeHeight="251983872" behindDoc="0" locked="0" layoutInCell="1" allowOverlap="1" wp14:anchorId="4620F42B" wp14:editId="7943EBC9">
            <wp:simplePos x="0" y="0"/>
            <wp:positionH relativeFrom="margin">
              <wp:align>left</wp:align>
            </wp:positionH>
            <wp:positionV relativeFrom="paragraph">
              <wp:posOffset>227578</wp:posOffset>
            </wp:positionV>
            <wp:extent cx="3430905" cy="2475230"/>
            <wp:effectExtent l="0" t="0" r="0" b="1270"/>
            <wp:wrapSquare wrapText="bothSides"/>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79">
                      <a:extLst>
                        <a:ext uri="{28A0092B-C50C-407E-A947-70E740481C1C}">
                          <a14:useLocalDpi xmlns:a14="http://schemas.microsoft.com/office/drawing/2010/main" val="0"/>
                        </a:ext>
                      </a:extLst>
                    </a:blip>
                    <a:srcRect b="51079"/>
                    <a:stretch/>
                  </pic:blipFill>
                  <pic:spPr bwMode="auto">
                    <a:xfrm>
                      <a:off x="0" y="0"/>
                      <a:ext cx="3444712" cy="24853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rPr>
        <w:t>Among Greater Dandenong residents, 13.1% of female residents provided such care, compared with 9.3% of males. Women account for 58% of those who provide unpaid care for people with a disability or long-term health condition.</w:t>
      </w:r>
    </w:p>
    <w:p w14:paraId="1A0662EE" w14:textId="77777777" w:rsidR="005D7A31" w:rsidRPr="00154666" w:rsidRDefault="005D7A31" w:rsidP="00154666">
      <w:pPr>
        <w:spacing w:after="0" w:line="240" w:lineRule="auto"/>
        <w:jc w:val="both"/>
        <w:rPr>
          <w:rFonts w:ascii="Calibri" w:hAnsi="Calibri"/>
          <w:sz w:val="8"/>
          <w:szCs w:val="8"/>
        </w:rPr>
      </w:pPr>
    </w:p>
    <w:p w14:paraId="2BD2A2FC" w14:textId="77777777" w:rsidR="00154666" w:rsidRDefault="00154666" w:rsidP="00154666">
      <w:pPr>
        <w:spacing w:after="0" w:line="360" w:lineRule="auto"/>
        <w:jc w:val="both"/>
        <w:rPr>
          <w:rFonts w:ascii="Calibri" w:hAnsi="Calibri"/>
        </w:rPr>
      </w:pPr>
      <w:r>
        <w:rPr>
          <w:rFonts w:ascii="Calibri" w:hAnsi="Calibri"/>
        </w:rPr>
        <w:t xml:space="preserve">Forty-one per cent of residents who provide care were born in Australia, 12% in Vietnam, 7% in India, 6% in Cambodia and 5% in Sri Lanka. </w:t>
      </w:r>
    </w:p>
    <w:p w14:paraId="6E60532C" w14:textId="1F412E31" w:rsidR="005D7A31" w:rsidRDefault="00154666" w:rsidP="00154666">
      <w:pPr>
        <w:spacing w:after="0" w:line="360" w:lineRule="auto"/>
        <w:jc w:val="both"/>
        <w:rPr>
          <w:rFonts w:ascii="Calibri" w:hAnsi="Calibri"/>
        </w:rPr>
      </w:pPr>
      <w:r>
        <w:rPr>
          <w:rFonts w:ascii="Calibri" w:hAnsi="Calibri"/>
        </w:rPr>
        <w:t>The numbers of women and men who provide care is illustrated in the accompanying chart.</w:t>
      </w:r>
    </w:p>
    <w:p w14:paraId="497FAA9F" w14:textId="77777777" w:rsidR="00331265" w:rsidRPr="00F253E1" w:rsidRDefault="00331265" w:rsidP="00331265">
      <w:pPr>
        <w:pBdr>
          <w:top w:val="single" w:sz="4" w:space="1" w:color="auto"/>
          <w:bottom w:val="single" w:sz="4" w:space="1" w:color="auto"/>
        </w:pBdr>
        <w:tabs>
          <w:tab w:val="center" w:pos="4678"/>
        </w:tabs>
        <w:jc w:val="center"/>
        <w:rPr>
          <w:rFonts w:ascii="Calibri" w:eastAsia="Times New Roman" w:hAnsi="Calibri"/>
          <w:noProof/>
          <w:sz w:val="32"/>
          <w:szCs w:val="32"/>
          <w:lang w:val="en-US"/>
        </w:rPr>
      </w:pPr>
      <w:r w:rsidRPr="0065187E">
        <w:rPr>
          <w:rFonts w:ascii="Calibri" w:hAnsi="Calibri"/>
          <w:noProof/>
          <w:sz w:val="16"/>
          <w:szCs w:val="16"/>
          <w:lang w:val="en-US"/>
        </w:rPr>
        <w:lastRenderedPageBreak/>
        <w:drawing>
          <wp:anchor distT="0" distB="0" distL="114300" distR="114300" simplePos="0" relativeHeight="251985920" behindDoc="1" locked="0" layoutInCell="1" allowOverlap="1" wp14:anchorId="393B0373" wp14:editId="28002427">
            <wp:simplePos x="0" y="0"/>
            <wp:positionH relativeFrom="column">
              <wp:posOffset>3107690</wp:posOffset>
            </wp:positionH>
            <wp:positionV relativeFrom="paragraph">
              <wp:posOffset>288290</wp:posOffset>
            </wp:positionV>
            <wp:extent cx="3067050" cy="1437005"/>
            <wp:effectExtent l="0" t="0" r="0" b="0"/>
            <wp:wrapTight wrapText="bothSides">
              <wp:wrapPolygon edited="0">
                <wp:start x="537" y="0"/>
                <wp:lineTo x="0" y="573"/>
                <wp:lineTo x="0" y="20903"/>
                <wp:lineTo x="537" y="21190"/>
                <wp:lineTo x="20929" y="21190"/>
                <wp:lineTo x="21466" y="20903"/>
                <wp:lineTo x="21466" y="573"/>
                <wp:lineTo x="20929" y="0"/>
                <wp:lineTo x="537" y="0"/>
              </wp:wrapPolygon>
            </wp:wrapTight>
            <wp:docPr id="156" name="Picture 71" descr="nutri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nutrition 2"/>
                    <pic:cNvPicPr>
                      <a:picLocks noChangeAspect="1" noChangeArrowheads="1"/>
                    </pic:cNvPicPr>
                  </pic:nvPicPr>
                  <pic:blipFill>
                    <a:blip r:embed="rId280" cstate="print"/>
                    <a:srcRect/>
                    <a:stretch>
                      <a:fillRect/>
                    </a:stretch>
                  </pic:blipFill>
                  <pic:spPr bwMode="auto">
                    <a:xfrm>
                      <a:off x="0" y="0"/>
                      <a:ext cx="3067050" cy="1437005"/>
                    </a:xfrm>
                    <a:prstGeom prst="rect">
                      <a:avLst/>
                    </a:prstGeom>
                    <a:ln>
                      <a:noFill/>
                    </a:ln>
                    <a:effectLst>
                      <a:softEdge rad="112500"/>
                    </a:effectLst>
                  </pic:spPr>
                </pic:pic>
              </a:graphicData>
            </a:graphic>
          </wp:anchor>
        </w:drawing>
      </w:r>
      <w:r w:rsidRPr="00F253E1">
        <w:rPr>
          <w:rFonts w:ascii="Calibri" w:eastAsia="Times New Roman" w:hAnsi="Calibri"/>
          <w:noProof/>
          <w:sz w:val="32"/>
          <w:szCs w:val="32"/>
          <w:lang w:val="en-US"/>
        </w:rPr>
        <w:t>Nutrition</w:t>
      </w:r>
    </w:p>
    <w:p w14:paraId="41C1761F" w14:textId="77777777" w:rsidR="00331265" w:rsidRDefault="00331265" w:rsidP="00331265">
      <w:pPr>
        <w:spacing w:after="0" w:line="360" w:lineRule="auto"/>
        <w:jc w:val="both"/>
        <w:rPr>
          <w:rFonts w:ascii="Calibri" w:hAnsi="Calibri"/>
        </w:rPr>
      </w:pPr>
    </w:p>
    <w:p w14:paraId="35DD4D5E" w14:textId="77777777" w:rsidR="00331265" w:rsidRDefault="00331265" w:rsidP="00331265">
      <w:pPr>
        <w:spacing w:after="0" w:line="360" w:lineRule="auto"/>
        <w:jc w:val="both"/>
        <w:rPr>
          <w:rFonts w:ascii="Calibri" w:hAnsi="Calibri"/>
          <w:b/>
        </w:rPr>
      </w:pPr>
      <w:r w:rsidRPr="00DB4921">
        <w:rPr>
          <w:rFonts w:ascii="Calibri" w:hAnsi="Calibri"/>
        </w:rPr>
        <w:t xml:space="preserve">A succession of </w:t>
      </w:r>
      <w:r>
        <w:rPr>
          <w:rFonts w:ascii="Calibri" w:hAnsi="Calibri"/>
        </w:rPr>
        <w:t xml:space="preserve">recent </w:t>
      </w:r>
      <w:r w:rsidRPr="00DB4921">
        <w:rPr>
          <w:rFonts w:ascii="Calibri" w:hAnsi="Calibri"/>
        </w:rPr>
        <w:t xml:space="preserve">surveys </w:t>
      </w:r>
      <w:r>
        <w:rPr>
          <w:rFonts w:ascii="Calibri" w:hAnsi="Calibri"/>
        </w:rPr>
        <w:t>has</w:t>
      </w:r>
      <w:r w:rsidRPr="00DB4921">
        <w:rPr>
          <w:rFonts w:ascii="Calibri" w:hAnsi="Calibri"/>
        </w:rPr>
        <w:t xml:space="preserve"> inquired into the diet</w:t>
      </w:r>
      <w:r>
        <w:rPr>
          <w:rFonts w:ascii="Calibri" w:hAnsi="Calibri"/>
        </w:rPr>
        <w:t>a</w:t>
      </w:r>
      <w:r w:rsidRPr="00DB4921">
        <w:rPr>
          <w:rFonts w:ascii="Calibri" w:hAnsi="Calibri"/>
        </w:rPr>
        <w:t>ry habits of Australians. Much of this research has concerned itsel</w:t>
      </w:r>
      <w:r>
        <w:rPr>
          <w:rFonts w:ascii="Calibri" w:hAnsi="Calibri"/>
        </w:rPr>
        <w:t xml:space="preserve">f with the consumption of fruit, </w:t>
      </w:r>
      <w:r w:rsidRPr="00DB4921">
        <w:rPr>
          <w:rFonts w:ascii="Calibri" w:hAnsi="Calibri"/>
        </w:rPr>
        <w:t>vegetables</w:t>
      </w:r>
      <w:r>
        <w:rPr>
          <w:rFonts w:ascii="Calibri" w:hAnsi="Calibri"/>
        </w:rPr>
        <w:t xml:space="preserve"> and</w:t>
      </w:r>
      <w:r w:rsidRPr="00DB4921">
        <w:rPr>
          <w:rFonts w:ascii="Calibri" w:hAnsi="Calibri"/>
        </w:rPr>
        <w:t xml:space="preserve"> high</w:t>
      </w:r>
      <w:r>
        <w:rPr>
          <w:rFonts w:ascii="Calibri" w:hAnsi="Calibri"/>
        </w:rPr>
        <w:t>-</w:t>
      </w:r>
      <w:r w:rsidRPr="00DB4921">
        <w:rPr>
          <w:rFonts w:ascii="Calibri" w:hAnsi="Calibri"/>
        </w:rPr>
        <w:t>calorie foods</w:t>
      </w:r>
      <w:r>
        <w:rPr>
          <w:rFonts w:ascii="Calibri" w:hAnsi="Calibri"/>
        </w:rPr>
        <w:t xml:space="preserve"> or beverages</w:t>
      </w:r>
      <w:r>
        <w:rPr>
          <w:rFonts w:ascii="Calibri" w:hAnsi="Calibri"/>
          <w:b/>
        </w:rPr>
        <w:t>.</w:t>
      </w:r>
    </w:p>
    <w:p w14:paraId="05EDDB48" w14:textId="77777777" w:rsidR="00331265" w:rsidRDefault="00331265" w:rsidP="00331265">
      <w:pPr>
        <w:spacing w:after="0"/>
        <w:jc w:val="both"/>
        <w:rPr>
          <w:rFonts w:ascii="Calibri" w:hAnsi="Calibri"/>
          <w:b/>
          <w:sz w:val="12"/>
          <w:szCs w:val="12"/>
        </w:rPr>
      </w:pPr>
    </w:p>
    <w:p w14:paraId="1101FB40" w14:textId="77777777" w:rsidR="00331265" w:rsidRDefault="00331265" w:rsidP="00331265">
      <w:pPr>
        <w:spacing w:after="0"/>
        <w:jc w:val="both"/>
        <w:rPr>
          <w:rFonts w:ascii="Calibri" w:hAnsi="Calibri"/>
          <w:b/>
          <w:sz w:val="12"/>
          <w:szCs w:val="12"/>
        </w:rPr>
      </w:pPr>
    </w:p>
    <w:p w14:paraId="14109288" w14:textId="77777777" w:rsidR="00331265" w:rsidRPr="00351F66" w:rsidRDefault="00331265" w:rsidP="00331265">
      <w:pPr>
        <w:spacing w:after="0" w:line="360" w:lineRule="auto"/>
        <w:jc w:val="both"/>
        <w:rPr>
          <w:rFonts w:ascii="Calibri" w:hAnsi="Calibri"/>
          <w:b/>
        </w:rPr>
      </w:pPr>
      <w:r>
        <w:rPr>
          <w:noProof/>
          <w:lang w:val="en-US"/>
        </w:rPr>
        <w:drawing>
          <wp:anchor distT="0" distB="0" distL="114300" distR="114300" simplePos="0" relativeHeight="251987968" behindDoc="0" locked="0" layoutInCell="1" allowOverlap="1" wp14:anchorId="2877A9B0" wp14:editId="11B57D49">
            <wp:simplePos x="0" y="0"/>
            <wp:positionH relativeFrom="column">
              <wp:posOffset>2776220</wp:posOffset>
            </wp:positionH>
            <wp:positionV relativeFrom="paragraph">
              <wp:posOffset>245110</wp:posOffset>
            </wp:positionV>
            <wp:extent cx="3422015" cy="2295525"/>
            <wp:effectExtent l="0" t="0" r="6985" b="9525"/>
            <wp:wrapSquare wrapText="bothSides"/>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3422015" cy="2295525"/>
                    </a:xfrm>
                    <a:prstGeom prst="rect">
                      <a:avLst/>
                    </a:prstGeom>
                    <a:noFill/>
                  </pic:spPr>
                </pic:pic>
              </a:graphicData>
            </a:graphic>
          </wp:anchor>
        </w:drawing>
      </w:r>
      <w:r w:rsidRPr="002E0450">
        <w:rPr>
          <w:rFonts w:ascii="Calibri" w:hAnsi="Calibri"/>
          <w:b/>
        </w:rPr>
        <w:t>Fruit and Vegetable Consumption</w:t>
      </w:r>
    </w:p>
    <w:p w14:paraId="5AD21B6F" w14:textId="77777777" w:rsidR="00331265" w:rsidRPr="00986827" w:rsidRDefault="00331265" w:rsidP="00331265">
      <w:pPr>
        <w:spacing w:after="0" w:line="360" w:lineRule="auto"/>
        <w:jc w:val="both"/>
      </w:pPr>
      <w:r>
        <w:t xml:space="preserve">The 2018 National Health Survey – the most recent available investigation in this sequence of surveys – found that approximately </w:t>
      </w:r>
      <w:r w:rsidRPr="00986827">
        <w:t>18% of adults eat less than one serve of fruit per day, including 14% of women and 22% of men.</w:t>
      </w:r>
    </w:p>
    <w:p w14:paraId="49735BB9" w14:textId="77777777" w:rsidR="00331265" w:rsidRDefault="00331265" w:rsidP="00331265">
      <w:pPr>
        <w:spacing w:after="0" w:line="360" w:lineRule="auto"/>
        <w:jc w:val="both"/>
      </w:pPr>
    </w:p>
    <w:p w14:paraId="69929F59" w14:textId="77777777" w:rsidR="00331265" w:rsidRDefault="00331265" w:rsidP="00331265">
      <w:pPr>
        <w:spacing w:after="0" w:line="360" w:lineRule="auto"/>
        <w:jc w:val="both"/>
      </w:pPr>
    </w:p>
    <w:p w14:paraId="38F7FCB0" w14:textId="77777777" w:rsidR="00331265" w:rsidRPr="00EE5914" w:rsidRDefault="00331265" w:rsidP="00331265">
      <w:pPr>
        <w:spacing w:after="0" w:line="360" w:lineRule="auto"/>
        <w:jc w:val="both"/>
        <w:rPr>
          <w:sz w:val="12"/>
          <w:szCs w:val="12"/>
        </w:rPr>
      </w:pPr>
    </w:p>
    <w:p w14:paraId="1CA5C03C" w14:textId="77777777" w:rsidR="00331265" w:rsidRDefault="00331265" w:rsidP="00331265">
      <w:pPr>
        <w:spacing w:after="0" w:line="360" w:lineRule="auto"/>
        <w:jc w:val="both"/>
      </w:pPr>
      <w:r>
        <w:rPr>
          <w:noProof/>
          <w:lang w:val="en-US"/>
        </w:rPr>
        <w:drawing>
          <wp:anchor distT="0" distB="0" distL="114300" distR="114300" simplePos="0" relativeHeight="251991040" behindDoc="0" locked="0" layoutInCell="1" allowOverlap="1" wp14:anchorId="7A9423C5" wp14:editId="202D3CFF">
            <wp:simplePos x="0" y="0"/>
            <wp:positionH relativeFrom="margin">
              <wp:align>left</wp:align>
            </wp:positionH>
            <wp:positionV relativeFrom="paragraph">
              <wp:posOffset>103505</wp:posOffset>
            </wp:positionV>
            <wp:extent cx="3257550" cy="2399030"/>
            <wp:effectExtent l="0" t="0" r="0" b="1270"/>
            <wp:wrapSquare wrapText="bothSides"/>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2" cstate="print">
                      <a:extLst>
                        <a:ext uri="{28A0092B-C50C-407E-A947-70E740481C1C}">
                          <a14:useLocalDpi xmlns:a14="http://schemas.microsoft.com/office/drawing/2010/main" val="0"/>
                        </a:ext>
                      </a:extLst>
                    </a:blip>
                    <a:srcRect l="1676" r="2794"/>
                    <a:stretch/>
                  </pic:blipFill>
                  <pic:spPr bwMode="auto">
                    <a:xfrm>
                      <a:off x="0" y="0"/>
                      <a:ext cx="3257550" cy="2399030"/>
                    </a:xfrm>
                    <a:prstGeom prst="rect">
                      <a:avLst/>
                    </a:prstGeom>
                    <a:noFill/>
                    <a:ln>
                      <a:noFill/>
                    </a:ln>
                    <a:extLst>
                      <a:ext uri="{53640926-AAD7-44D8-BBD7-CCE9431645EC}">
                        <a14:shadowObscured xmlns:a14="http://schemas.microsoft.com/office/drawing/2010/main"/>
                      </a:ext>
                    </a:extLst>
                  </pic:spPr>
                </pic:pic>
              </a:graphicData>
            </a:graphic>
          </wp:anchor>
        </w:drawing>
      </w:r>
    </w:p>
    <w:p w14:paraId="1DCC7E8A" w14:textId="77777777" w:rsidR="00331265" w:rsidRDefault="00331265" w:rsidP="00331265">
      <w:pPr>
        <w:spacing w:after="0" w:line="360" w:lineRule="auto"/>
        <w:jc w:val="both"/>
        <w:rPr>
          <w:bCs/>
        </w:rPr>
      </w:pPr>
    </w:p>
    <w:p w14:paraId="491F2536" w14:textId="77777777" w:rsidR="00331265" w:rsidRPr="00986827" w:rsidRDefault="00331265" w:rsidP="00331265">
      <w:pPr>
        <w:spacing w:after="0" w:line="360" w:lineRule="auto"/>
        <w:jc w:val="both"/>
      </w:pPr>
      <w:r w:rsidRPr="00986827">
        <w:rPr>
          <w:bCs/>
        </w:rPr>
        <w:t xml:space="preserve">The percentage of people that eat less than one serve of fruit each day declines </w:t>
      </w:r>
      <w:r>
        <w:rPr>
          <w:bCs/>
        </w:rPr>
        <w:t>from late middle-</w:t>
      </w:r>
      <w:r w:rsidRPr="00986827">
        <w:rPr>
          <w:bCs/>
        </w:rPr>
        <w:t>age and is substantially higher among males than females during most of the lifespan.</w:t>
      </w:r>
    </w:p>
    <w:p w14:paraId="4AE3617B" w14:textId="77777777" w:rsidR="00331265" w:rsidRDefault="00331265" w:rsidP="00331265">
      <w:pPr>
        <w:spacing w:after="0" w:line="360" w:lineRule="auto"/>
        <w:jc w:val="both"/>
      </w:pPr>
    </w:p>
    <w:p w14:paraId="101F95DC" w14:textId="77777777" w:rsidR="00331265" w:rsidRDefault="00331265" w:rsidP="00331265">
      <w:pPr>
        <w:spacing w:after="0" w:line="360" w:lineRule="auto"/>
        <w:jc w:val="both"/>
      </w:pPr>
    </w:p>
    <w:p w14:paraId="26C4DB29" w14:textId="77777777" w:rsidR="00331265" w:rsidRDefault="00331265" w:rsidP="00331265">
      <w:pPr>
        <w:spacing w:after="0" w:line="360" w:lineRule="auto"/>
        <w:jc w:val="both"/>
      </w:pPr>
    </w:p>
    <w:p w14:paraId="69187D3F" w14:textId="77777777" w:rsidR="00331265" w:rsidRDefault="00331265" w:rsidP="00331265">
      <w:pPr>
        <w:spacing w:after="0" w:line="360" w:lineRule="auto"/>
        <w:jc w:val="both"/>
      </w:pPr>
      <w:r>
        <w:rPr>
          <w:noProof/>
          <w:lang w:val="en-US"/>
        </w:rPr>
        <w:drawing>
          <wp:anchor distT="0" distB="0" distL="114300" distR="114300" simplePos="0" relativeHeight="251988992" behindDoc="0" locked="0" layoutInCell="1" allowOverlap="1" wp14:anchorId="0289C301" wp14:editId="7A0AB1F6">
            <wp:simplePos x="0" y="0"/>
            <wp:positionH relativeFrom="column">
              <wp:posOffset>2905125</wp:posOffset>
            </wp:positionH>
            <wp:positionV relativeFrom="paragraph">
              <wp:posOffset>194945</wp:posOffset>
            </wp:positionV>
            <wp:extent cx="3295650" cy="2266950"/>
            <wp:effectExtent l="0" t="0" r="0" b="0"/>
            <wp:wrapSquare wrapText="bothSides"/>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3295650" cy="2266950"/>
                    </a:xfrm>
                    <a:prstGeom prst="rect">
                      <a:avLst/>
                    </a:prstGeom>
                    <a:noFill/>
                  </pic:spPr>
                </pic:pic>
              </a:graphicData>
            </a:graphic>
          </wp:anchor>
        </w:drawing>
      </w:r>
    </w:p>
    <w:p w14:paraId="6B89D36B" w14:textId="77777777" w:rsidR="00331265" w:rsidRDefault="00331265" w:rsidP="00331265">
      <w:pPr>
        <w:spacing w:after="0" w:line="360" w:lineRule="auto"/>
        <w:jc w:val="both"/>
      </w:pPr>
    </w:p>
    <w:p w14:paraId="2180A18A" w14:textId="77777777" w:rsidR="00331265" w:rsidRPr="00EE5914" w:rsidRDefault="00331265" w:rsidP="00331265">
      <w:pPr>
        <w:spacing w:after="0" w:line="360" w:lineRule="auto"/>
        <w:jc w:val="both"/>
        <w:rPr>
          <w:sz w:val="12"/>
          <w:szCs w:val="12"/>
        </w:rPr>
      </w:pPr>
    </w:p>
    <w:p w14:paraId="5EC1F3BD" w14:textId="77777777" w:rsidR="00331265" w:rsidRPr="00986827" w:rsidRDefault="00331265" w:rsidP="00331265">
      <w:pPr>
        <w:spacing w:after="0" w:line="360" w:lineRule="auto"/>
        <w:jc w:val="both"/>
      </w:pPr>
      <w:r w:rsidRPr="00986827">
        <w:t>Six per cent of adults consume less than one serve of vegetables per day</w:t>
      </w:r>
      <w:r>
        <w:t xml:space="preserve"> (5-6 serves daily are recommended)</w:t>
      </w:r>
      <w:r w:rsidRPr="00986827">
        <w:t>, including 6.9% of males and 5.2% of females.</w:t>
      </w:r>
    </w:p>
    <w:p w14:paraId="51B073E0" w14:textId="77777777" w:rsidR="00331265" w:rsidRDefault="00331265" w:rsidP="00331265">
      <w:pPr>
        <w:spacing w:after="0" w:line="360" w:lineRule="auto"/>
        <w:jc w:val="both"/>
      </w:pPr>
    </w:p>
    <w:p w14:paraId="795A2686" w14:textId="77777777" w:rsidR="00331265" w:rsidRDefault="00331265" w:rsidP="00331265">
      <w:pPr>
        <w:spacing w:after="0" w:line="360" w:lineRule="auto"/>
        <w:jc w:val="both"/>
      </w:pPr>
    </w:p>
    <w:p w14:paraId="1284CDD5" w14:textId="77777777" w:rsidR="00331265" w:rsidRDefault="00331265" w:rsidP="00331265">
      <w:pPr>
        <w:spacing w:after="0" w:line="360" w:lineRule="auto"/>
        <w:jc w:val="both"/>
      </w:pPr>
    </w:p>
    <w:p w14:paraId="0BD90E44" w14:textId="77777777" w:rsidR="00331265" w:rsidRDefault="00331265" w:rsidP="00331265">
      <w:pPr>
        <w:spacing w:after="0" w:line="360" w:lineRule="auto"/>
        <w:jc w:val="both"/>
      </w:pPr>
    </w:p>
    <w:p w14:paraId="21050EC9" w14:textId="77777777" w:rsidR="00331265" w:rsidRDefault="00331265" w:rsidP="00331265">
      <w:pPr>
        <w:spacing w:after="0" w:line="360" w:lineRule="auto"/>
        <w:jc w:val="both"/>
      </w:pPr>
      <w:r>
        <w:rPr>
          <w:noProof/>
          <w:lang w:val="en-US"/>
        </w:rPr>
        <w:drawing>
          <wp:anchor distT="0" distB="0" distL="114300" distR="114300" simplePos="0" relativeHeight="251986944" behindDoc="0" locked="0" layoutInCell="1" allowOverlap="1" wp14:anchorId="075A17D8" wp14:editId="26516C0C">
            <wp:simplePos x="0" y="0"/>
            <wp:positionH relativeFrom="margin">
              <wp:posOffset>-66675</wp:posOffset>
            </wp:positionH>
            <wp:positionV relativeFrom="paragraph">
              <wp:posOffset>71120</wp:posOffset>
            </wp:positionV>
            <wp:extent cx="3562350" cy="2587625"/>
            <wp:effectExtent l="0" t="0" r="0" b="3175"/>
            <wp:wrapSquare wrapText="bothSides"/>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4" cstate="print">
                      <a:extLst>
                        <a:ext uri="{28A0092B-C50C-407E-A947-70E740481C1C}">
                          <a14:useLocalDpi xmlns:a14="http://schemas.microsoft.com/office/drawing/2010/main" val="0"/>
                        </a:ext>
                      </a:extLst>
                    </a:blip>
                    <a:srcRect r="3428"/>
                    <a:stretch/>
                  </pic:blipFill>
                  <pic:spPr bwMode="auto">
                    <a:xfrm>
                      <a:off x="0" y="0"/>
                      <a:ext cx="3562350" cy="2587625"/>
                    </a:xfrm>
                    <a:prstGeom prst="rect">
                      <a:avLst/>
                    </a:prstGeom>
                    <a:noFill/>
                    <a:ln>
                      <a:noFill/>
                    </a:ln>
                    <a:extLst>
                      <a:ext uri="{53640926-AAD7-44D8-BBD7-CCE9431645EC}">
                        <a14:shadowObscured xmlns:a14="http://schemas.microsoft.com/office/drawing/2010/main"/>
                      </a:ext>
                    </a:extLst>
                  </pic:spPr>
                </pic:pic>
              </a:graphicData>
            </a:graphic>
          </wp:anchor>
        </w:drawing>
      </w:r>
    </w:p>
    <w:p w14:paraId="5A1504D1" w14:textId="77777777" w:rsidR="00331265" w:rsidRDefault="00331265" w:rsidP="00331265">
      <w:pPr>
        <w:spacing w:after="0" w:line="360" w:lineRule="auto"/>
        <w:jc w:val="both"/>
      </w:pPr>
    </w:p>
    <w:p w14:paraId="7366B0EC" w14:textId="77777777" w:rsidR="00331265" w:rsidRPr="00986827" w:rsidRDefault="00331265" w:rsidP="00331265">
      <w:pPr>
        <w:spacing w:after="0" w:line="360" w:lineRule="auto"/>
        <w:jc w:val="both"/>
      </w:pPr>
      <w:r w:rsidRPr="00986827">
        <w:t xml:space="preserve">The proportion of adults who eat less than one serve of vegetables </w:t>
      </w:r>
      <w:r>
        <w:t>dwindles in the first decades of adulthood, then remains relatively stable until older age</w:t>
      </w:r>
      <w:r w:rsidRPr="00986827">
        <w:t xml:space="preserve">. </w:t>
      </w:r>
    </w:p>
    <w:p w14:paraId="459E3642" w14:textId="77777777" w:rsidR="00331265" w:rsidRDefault="00331265" w:rsidP="00331265">
      <w:pPr>
        <w:spacing w:after="0" w:line="360" w:lineRule="auto"/>
        <w:jc w:val="both"/>
      </w:pPr>
    </w:p>
    <w:p w14:paraId="61946ACD" w14:textId="77777777" w:rsidR="00331265" w:rsidRDefault="00331265" w:rsidP="00331265">
      <w:pPr>
        <w:spacing w:after="0" w:line="360" w:lineRule="auto"/>
        <w:jc w:val="both"/>
      </w:pPr>
    </w:p>
    <w:p w14:paraId="15D218BC" w14:textId="77777777" w:rsidR="00331265" w:rsidRDefault="00331265" w:rsidP="00331265">
      <w:pPr>
        <w:spacing w:after="0" w:line="360" w:lineRule="auto"/>
        <w:jc w:val="both"/>
      </w:pPr>
    </w:p>
    <w:p w14:paraId="380BAB1B" w14:textId="77777777" w:rsidR="00331265" w:rsidRDefault="00331265" w:rsidP="00331265">
      <w:pPr>
        <w:spacing w:after="0" w:line="360" w:lineRule="auto"/>
        <w:jc w:val="both"/>
      </w:pPr>
    </w:p>
    <w:p w14:paraId="32AFF73D" w14:textId="77777777" w:rsidR="00331265" w:rsidRDefault="00331265" w:rsidP="00331265">
      <w:pPr>
        <w:spacing w:after="0" w:line="360" w:lineRule="auto"/>
        <w:jc w:val="both"/>
      </w:pPr>
    </w:p>
    <w:p w14:paraId="23AC9D21" w14:textId="77777777" w:rsidR="00331265" w:rsidRDefault="00331265" w:rsidP="00331265">
      <w:pPr>
        <w:spacing w:after="0" w:line="360" w:lineRule="auto"/>
        <w:jc w:val="both"/>
      </w:pPr>
    </w:p>
    <w:p w14:paraId="3014B6C8" w14:textId="77777777" w:rsidR="00331265" w:rsidRDefault="00331265" w:rsidP="00331265">
      <w:pPr>
        <w:spacing w:after="0" w:line="360" w:lineRule="auto"/>
        <w:jc w:val="both"/>
      </w:pPr>
      <w:r>
        <w:rPr>
          <w:noProof/>
          <w:lang w:val="en-US"/>
        </w:rPr>
        <w:drawing>
          <wp:anchor distT="0" distB="0" distL="114300" distR="114300" simplePos="0" relativeHeight="251990016" behindDoc="0" locked="0" layoutInCell="1" allowOverlap="1" wp14:anchorId="1CAAD324" wp14:editId="6072CA31">
            <wp:simplePos x="0" y="0"/>
            <wp:positionH relativeFrom="column">
              <wp:posOffset>2461260</wp:posOffset>
            </wp:positionH>
            <wp:positionV relativeFrom="paragraph">
              <wp:posOffset>134620</wp:posOffset>
            </wp:positionV>
            <wp:extent cx="3704590" cy="2476500"/>
            <wp:effectExtent l="0" t="0" r="0" b="0"/>
            <wp:wrapSquare wrapText="bothSides"/>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3704590" cy="2476500"/>
                    </a:xfrm>
                    <a:prstGeom prst="rect">
                      <a:avLst/>
                    </a:prstGeom>
                    <a:noFill/>
                  </pic:spPr>
                </pic:pic>
              </a:graphicData>
            </a:graphic>
          </wp:anchor>
        </w:drawing>
      </w:r>
    </w:p>
    <w:p w14:paraId="25B4EE8D" w14:textId="77777777" w:rsidR="00331265" w:rsidRPr="00285B66" w:rsidRDefault="00331265" w:rsidP="00331265">
      <w:pPr>
        <w:spacing w:after="0" w:line="360" w:lineRule="auto"/>
        <w:jc w:val="both"/>
      </w:pPr>
      <w:r w:rsidRPr="00285B66">
        <w:rPr>
          <w:b/>
        </w:rPr>
        <w:t>Consumption of Sugar-sweetened Drinks</w:t>
      </w:r>
    </w:p>
    <w:p w14:paraId="29304D2C" w14:textId="77777777" w:rsidR="00331265" w:rsidRPr="00986827" w:rsidRDefault="00331265" w:rsidP="00331265">
      <w:pPr>
        <w:spacing w:after="0" w:line="360" w:lineRule="auto"/>
        <w:jc w:val="both"/>
      </w:pPr>
      <w:r>
        <w:t xml:space="preserve">The 2018 National Health Survey determined that approximately one in ten (9.8%) males </w:t>
      </w:r>
      <w:r w:rsidRPr="00986827">
        <w:t xml:space="preserve">consume two or more metric cups per day of selected sugar-sweetened drinks, more than twice the corresponding proportion of 4% </w:t>
      </w:r>
      <w:r>
        <w:t>among</w:t>
      </w:r>
      <w:r w:rsidRPr="00986827">
        <w:t xml:space="preserve"> women.</w:t>
      </w:r>
    </w:p>
    <w:p w14:paraId="3D0D626F" w14:textId="77777777" w:rsidR="00331265" w:rsidRDefault="00331265" w:rsidP="00331265">
      <w:pPr>
        <w:spacing w:after="0" w:line="360" w:lineRule="auto"/>
        <w:jc w:val="both"/>
      </w:pPr>
    </w:p>
    <w:p w14:paraId="458600CF" w14:textId="77777777" w:rsidR="00331265" w:rsidRDefault="00331265" w:rsidP="00331265">
      <w:pPr>
        <w:spacing w:after="0" w:line="360" w:lineRule="auto"/>
        <w:jc w:val="both"/>
      </w:pPr>
    </w:p>
    <w:p w14:paraId="40D9DFCA" w14:textId="77777777" w:rsidR="00331265" w:rsidRDefault="00331265" w:rsidP="00331265">
      <w:pPr>
        <w:spacing w:after="0" w:line="360" w:lineRule="auto"/>
        <w:jc w:val="both"/>
      </w:pPr>
    </w:p>
    <w:p w14:paraId="016B1304" w14:textId="77777777" w:rsidR="00331265" w:rsidRDefault="00331265" w:rsidP="00331265">
      <w:pPr>
        <w:spacing w:after="0" w:line="360" w:lineRule="auto"/>
        <w:jc w:val="both"/>
      </w:pPr>
      <w:r>
        <w:rPr>
          <w:noProof/>
          <w:lang w:val="en-US"/>
        </w:rPr>
        <w:drawing>
          <wp:anchor distT="0" distB="0" distL="114300" distR="114300" simplePos="0" relativeHeight="251992064" behindDoc="0" locked="0" layoutInCell="1" allowOverlap="1" wp14:anchorId="2EC3A9E5" wp14:editId="235985D8">
            <wp:simplePos x="0" y="0"/>
            <wp:positionH relativeFrom="column">
              <wp:posOffset>-44450</wp:posOffset>
            </wp:positionH>
            <wp:positionV relativeFrom="paragraph">
              <wp:posOffset>0</wp:posOffset>
            </wp:positionV>
            <wp:extent cx="3705225" cy="2667000"/>
            <wp:effectExtent l="0" t="0" r="9525" b="0"/>
            <wp:wrapSquare wrapText="bothSides"/>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6" cstate="print">
                      <a:extLst>
                        <a:ext uri="{28A0092B-C50C-407E-A947-70E740481C1C}">
                          <a14:useLocalDpi xmlns:a14="http://schemas.microsoft.com/office/drawing/2010/main" val="0"/>
                        </a:ext>
                      </a:extLst>
                    </a:blip>
                    <a:srcRect r="2718"/>
                    <a:stretch/>
                  </pic:blipFill>
                  <pic:spPr bwMode="auto">
                    <a:xfrm>
                      <a:off x="0" y="0"/>
                      <a:ext cx="3705225" cy="2667000"/>
                    </a:xfrm>
                    <a:prstGeom prst="rect">
                      <a:avLst/>
                    </a:prstGeom>
                    <a:noFill/>
                    <a:ln>
                      <a:noFill/>
                    </a:ln>
                    <a:extLst>
                      <a:ext uri="{53640926-AAD7-44D8-BBD7-CCE9431645EC}">
                        <a14:shadowObscured xmlns:a14="http://schemas.microsoft.com/office/drawing/2010/main"/>
                      </a:ext>
                    </a:extLst>
                  </pic:spPr>
                </pic:pic>
              </a:graphicData>
            </a:graphic>
          </wp:anchor>
        </w:drawing>
      </w:r>
    </w:p>
    <w:p w14:paraId="03C530A3" w14:textId="77777777" w:rsidR="00331265" w:rsidRDefault="00331265" w:rsidP="00331265">
      <w:pPr>
        <w:spacing w:after="0" w:line="360" w:lineRule="auto"/>
        <w:jc w:val="both"/>
      </w:pPr>
      <w:r w:rsidRPr="00986827">
        <w:t>The accompanying diagram depicts the percentage of adults who consume two or more cups per day of sugar-sweetened drinks.</w:t>
      </w:r>
      <w:r>
        <w:t xml:space="preserve"> F</w:t>
      </w:r>
      <w:r w:rsidRPr="00986827">
        <w:t xml:space="preserve">rom its peak of </w:t>
      </w:r>
      <w:r>
        <w:t xml:space="preserve">just over </w:t>
      </w:r>
      <w:r w:rsidRPr="00986827">
        <w:t>11% among young adults</w:t>
      </w:r>
      <w:r>
        <w:t>, t</w:t>
      </w:r>
      <w:r w:rsidRPr="00986827">
        <w:t>his proportion declines</w:t>
      </w:r>
      <w:r>
        <w:t xml:space="preserve"> throughout most of adulthood</w:t>
      </w:r>
      <w:r w:rsidRPr="00986827">
        <w:t>.</w:t>
      </w:r>
    </w:p>
    <w:p w14:paraId="3EE788D3" w14:textId="77777777" w:rsidR="00331265" w:rsidRDefault="00331265" w:rsidP="00331265">
      <w:pPr>
        <w:spacing w:after="0" w:line="360" w:lineRule="auto"/>
        <w:jc w:val="both"/>
      </w:pPr>
    </w:p>
    <w:p w14:paraId="5378E10C" w14:textId="77777777" w:rsidR="00331265" w:rsidRDefault="00331265" w:rsidP="00331265">
      <w:pPr>
        <w:spacing w:after="0" w:line="360" w:lineRule="auto"/>
        <w:jc w:val="both"/>
      </w:pPr>
    </w:p>
    <w:p w14:paraId="5F5E7481" w14:textId="77777777" w:rsidR="00331265" w:rsidRDefault="00331265" w:rsidP="00331265">
      <w:pPr>
        <w:spacing w:after="0" w:line="360" w:lineRule="auto"/>
        <w:jc w:val="both"/>
      </w:pPr>
    </w:p>
    <w:p w14:paraId="45A86F53" w14:textId="77777777" w:rsidR="00331265" w:rsidRDefault="00331265" w:rsidP="00331265">
      <w:pPr>
        <w:spacing w:after="0" w:line="360" w:lineRule="auto"/>
        <w:jc w:val="both"/>
        <w:rPr>
          <w:rFonts w:ascii="Calibri" w:hAnsi="Calibri"/>
          <w:b/>
          <w:sz w:val="24"/>
        </w:rPr>
      </w:pPr>
    </w:p>
    <w:p w14:paraId="69C3A3A8" w14:textId="77777777" w:rsidR="00331265" w:rsidRPr="005B593B" w:rsidRDefault="00331265" w:rsidP="00331265">
      <w:pPr>
        <w:spacing w:after="0"/>
        <w:jc w:val="both"/>
        <w:rPr>
          <w:rFonts w:ascii="Calibri" w:hAnsi="Calibri"/>
          <w:b/>
          <w:sz w:val="24"/>
        </w:rPr>
      </w:pPr>
      <w:r>
        <w:rPr>
          <w:rFonts w:ascii="Calibri" w:hAnsi="Calibri"/>
          <w:noProof/>
          <w:lang w:val="en-US"/>
        </w:rPr>
        <w:lastRenderedPageBreak/>
        <w:drawing>
          <wp:anchor distT="0" distB="0" distL="114300" distR="114300" simplePos="0" relativeHeight="251993088" behindDoc="1" locked="0" layoutInCell="1" allowOverlap="1" wp14:anchorId="3C70662B" wp14:editId="3F0C4A06">
            <wp:simplePos x="0" y="0"/>
            <wp:positionH relativeFrom="margin">
              <wp:posOffset>5252085</wp:posOffset>
            </wp:positionH>
            <wp:positionV relativeFrom="paragraph">
              <wp:posOffset>3810</wp:posOffset>
            </wp:positionV>
            <wp:extent cx="801370" cy="1207770"/>
            <wp:effectExtent l="0" t="0" r="0" b="0"/>
            <wp:wrapTight wrapText="bothSides">
              <wp:wrapPolygon edited="0">
                <wp:start x="2054" y="0"/>
                <wp:lineTo x="0" y="681"/>
                <wp:lineTo x="0" y="20782"/>
                <wp:lineTo x="2054" y="21123"/>
                <wp:lineTo x="18998" y="21123"/>
                <wp:lineTo x="21052" y="20782"/>
                <wp:lineTo x="21052" y="681"/>
                <wp:lineTo x="18998" y="0"/>
                <wp:lineTo x="2054" y="0"/>
              </wp:wrapPolygon>
            </wp:wrapTight>
            <wp:docPr id="323" name="Picture 119" descr="nutri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nutrition 3"/>
                    <pic:cNvPicPr>
                      <a:picLocks noChangeAspect="1" noChangeArrowheads="1"/>
                    </pic:cNvPicPr>
                  </pic:nvPicPr>
                  <pic:blipFill>
                    <a:blip r:embed="rId287" cstate="print"/>
                    <a:srcRect/>
                    <a:stretch>
                      <a:fillRect/>
                    </a:stretch>
                  </pic:blipFill>
                  <pic:spPr bwMode="auto">
                    <a:xfrm>
                      <a:off x="0" y="0"/>
                      <a:ext cx="801370" cy="12077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5B593B">
        <w:rPr>
          <w:rFonts w:ascii="Calibri" w:hAnsi="Calibri"/>
          <w:b/>
          <w:sz w:val="24"/>
        </w:rPr>
        <w:t>Local Measures</w:t>
      </w:r>
    </w:p>
    <w:p w14:paraId="31A88ACC" w14:textId="77777777" w:rsidR="00331265" w:rsidRPr="005F1B8C" w:rsidRDefault="00331265" w:rsidP="00FA33DE">
      <w:pPr>
        <w:spacing w:before="240" w:after="0" w:line="346" w:lineRule="auto"/>
        <w:jc w:val="both"/>
        <w:rPr>
          <w:rFonts w:ascii="Calibri" w:hAnsi="Calibri"/>
          <w:bCs/>
          <w:i/>
          <w:iCs/>
        </w:rPr>
      </w:pPr>
      <w:r w:rsidRPr="005F1B8C">
        <w:rPr>
          <w:rFonts w:ascii="Calibri" w:hAnsi="Calibri"/>
          <w:bCs/>
          <w:i/>
          <w:iCs/>
        </w:rPr>
        <w:t>Vegetables</w:t>
      </w:r>
      <w:r>
        <w:rPr>
          <w:rFonts w:ascii="Calibri" w:hAnsi="Calibri"/>
          <w:bCs/>
          <w:i/>
          <w:iCs/>
        </w:rPr>
        <w:t xml:space="preserve">:  </w:t>
      </w:r>
      <w:r>
        <w:rPr>
          <w:rFonts w:ascii="Calibri" w:hAnsi="Calibri"/>
          <w:color w:val="000000"/>
        </w:rPr>
        <w:t>The 2017 Victorian Population Health survey found that 1.5% of Greater Dandenong residents met vegetable consumption guidelines, a quarter of the Victorian level of 5.4% - including 8.4% of females and 2.2% of males.</w:t>
      </w:r>
    </w:p>
    <w:p w14:paraId="29E18E66" w14:textId="77777777" w:rsidR="00331265" w:rsidRPr="00E52BFC" w:rsidRDefault="00331265" w:rsidP="00331265">
      <w:pPr>
        <w:spacing w:after="0" w:line="346" w:lineRule="auto"/>
        <w:jc w:val="both"/>
        <w:rPr>
          <w:rFonts w:ascii="Calibri" w:hAnsi="Calibri"/>
          <w:color w:val="000000"/>
        </w:rPr>
      </w:pPr>
      <w:r>
        <w:rPr>
          <w:rFonts w:ascii="Calibri" w:hAnsi="Calibri"/>
          <w:color w:val="000000"/>
        </w:rPr>
        <w:t>Other studies, at a state or national level, have found that</w:t>
      </w:r>
      <w:r w:rsidRPr="00E52BFC">
        <w:rPr>
          <w:rFonts w:ascii="Calibri" w:hAnsi="Calibri"/>
          <w:color w:val="000000"/>
        </w:rPr>
        <w:t xml:space="preserve"> people with limited education</w:t>
      </w:r>
      <w:r>
        <w:rPr>
          <w:rFonts w:ascii="Calibri" w:hAnsi="Calibri"/>
          <w:color w:val="000000"/>
        </w:rPr>
        <w:t xml:space="preserve"> or</w:t>
      </w:r>
      <w:r w:rsidRPr="00E52BFC">
        <w:rPr>
          <w:rFonts w:ascii="Calibri" w:hAnsi="Calibri"/>
          <w:color w:val="000000"/>
        </w:rPr>
        <w:t xml:space="preserve"> on lower incomes, </w:t>
      </w:r>
      <w:r>
        <w:rPr>
          <w:rFonts w:ascii="Calibri" w:hAnsi="Calibri"/>
          <w:color w:val="000000"/>
        </w:rPr>
        <w:t>consume less vegetables than others. Similarly, the 2017 Victorian Population Health survey determined that 3.6% of residents of socioeconomically disadvantaged municipalities did not meet vegetable consumption guidelines, about half the corresponding level of 7.1% among residents of the least disadvantaged localities.</w:t>
      </w:r>
    </w:p>
    <w:p w14:paraId="4D20B42C" w14:textId="77777777" w:rsidR="00331265" w:rsidRPr="005F1B8C" w:rsidRDefault="00331265" w:rsidP="00FA33DE">
      <w:pPr>
        <w:spacing w:before="240" w:after="0" w:line="346" w:lineRule="auto"/>
        <w:jc w:val="both"/>
        <w:rPr>
          <w:rFonts w:ascii="Calibri" w:hAnsi="Calibri"/>
          <w:bCs/>
          <w:i/>
          <w:iCs/>
        </w:rPr>
      </w:pPr>
      <w:r w:rsidRPr="005F1B8C">
        <w:rPr>
          <w:rFonts w:ascii="Calibri" w:hAnsi="Calibri"/>
          <w:bCs/>
          <w:i/>
          <w:iCs/>
        </w:rPr>
        <w:t>Fruit</w:t>
      </w:r>
      <w:r>
        <w:rPr>
          <w:rFonts w:ascii="Calibri" w:hAnsi="Calibri"/>
          <w:bCs/>
          <w:i/>
          <w:iCs/>
        </w:rPr>
        <w:t xml:space="preserve">: </w:t>
      </w:r>
      <w:r>
        <w:rPr>
          <w:rFonts w:ascii="Calibri" w:hAnsi="Calibri"/>
          <w:color w:val="000000"/>
        </w:rPr>
        <w:t>The 2017 Victorian Population Health survey found that 38% of Greater Dandenong residents met fruit consumption guidelines, almost matching the Victorian level of 43%. As with vegetable consumption, a lesser proportion, of 38%, of residents from the most disadvantaged municipalities met fruit guidelines than among those of the least disadvantaged localities, of 46%.</w:t>
      </w:r>
    </w:p>
    <w:p w14:paraId="7AACE302" w14:textId="77777777" w:rsidR="00331265" w:rsidRPr="005F1B8C" w:rsidRDefault="00331265" w:rsidP="00FA33DE">
      <w:pPr>
        <w:spacing w:before="240" w:after="0" w:line="346" w:lineRule="auto"/>
        <w:jc w:val="both"/>
        <w:rPr>
          <w:rFonts w:ascii="Calibri" w:hAnsi="Calibri"/>
          <w:bCs/>
          <w:i/>
          <w:iCs/>
        </w:rPr>
      </w:pPr>
      <w:r w:rsidRPr="005F1B8C">
        <w:rPr>
          <w:rFonts w:ascii="Calibri" w:hAnsi="Calibri"/>
          <w:bCs/>
          <w:i/>
          <w:iCs/>
        </w:rPr>
        <w:t>High-Calorie Foods</w:t>
      </w:r>
      <w:r>
        <w:rPr>
          <w:rFonts w:ascii="Calibri" w:hAnsi="Calibri"/>
          <w:bCs/>
          <w:i/>
          <w:iCs/>
        </w:rPr>
        <w:t xml:space="preserve">: </w:t>
      </w:r>
      <w:r>
        <w:rPr>
          <w:rFonts w:ascii="Calibri" w:hAnsi="Calibri"/>
        </w:rPr>
        <w:t xml:space="preserve">The </w:t>
      </w:r>
      <w:r>
        <w:rPr>
          <w:rFonts w:ascii="Calibri" w:hAnsi="Calibri"/>
          <w:color w:val="000000"/>
        </w:rPr>
        <w:t>2017 Victorian Population Health survey disclosed that 11% of Greater Dandenong residents consumed sugar-sweetened drinks daily, similar to the Victorian figure of 10%. The proportion of Greater Dandenong residents who consumed takeaway meals or snacks more than once per week was 15%, the same as for Victoria.</w:t>
      </w:r>
    </w:p>
    <w:p w14:paraId="558DBA90" w14:textId="0C746976" w:rsidR="00FA33DE" w:rsidRDefault="00FA33DE">
      <w:pPr>
        <w:rPr>
          <w:rFonts w:ascii="Calibri" w:hAnsi="Calibri"/>
          <w:b/>
          <w:sz w:val="12"/>
          <w:szCs w:val="12"/>
        </w:rPr>
      </w:pPr>
      <w:r>
        <w:rPr>
          <w:rFonts w:ascii="Calibri" w:hAnsi="Calibri"/>
          <w:b/>
          <w:sz w:val="12"/>
          <w:szCs w:val="12"/>
        </w:rPr>
        <w:br w:type="page"/>
      </w:r>
    </w:p>
    <w:p w14:paraId="68FE80BF" w14:textId="77777777" w:rsidR="00331265" w:rsidRDefault="00331265" w:rsidP="00331265">
      <w:pPr>
        <w:spacing w:after="0"/>
        <w:jc w:val="both"/>
        <w:rPr>
          <w:rFonts w:ascii="Calibri" w:hAnsi="Calibri"/>
          <w:b/>
          <w:sz w:val="12"/>
          <w:szCs w:val="12"/>
        </w:rPr>
      </w:pPr>
    </w:p>
    <w:p w14:paraId="6D6E34C3" w14:textId="77777777" w:rsidR="00882790" w:rsidRPr="00AC7F6A" w:rsidRDefault="00882790" w:rsidP="00882790">
      <w:pPr>
        <w:pBdr>
          <w:top w:val="single" w:sz="4" w:space="0" w:color="auto"/>
          <w:bottom w:val="single" w:sz="4" w:space="1" w:color="auto"/>
        </w:pBdr>
        <w:tabs>
          <w:tab w:val="center" w:pos="4678"/>
        </w:tabs>
        <w:spacing w:after="0"/>
        <w:jc w:val="center"/>
        <w:rPr>
          <w:rFonts w:ascii="Calibri" w:eastAsia="Times New Roman" w:hAnsi="Calibri"/>
          <w:noProof/>
          <w:sz w:val="32"/>
          <w:szCs w:val="32"/>
        </w:rPr>
      </w:pPr>
      <w:r w:rsidRPr="00AC7F6A">
        <w:rPr>
          <w:rFonts w:ascii="Calibri" w:eastAsia="Times New Roman" w:hAnsi="Calibri"/>
          <w:noProof/>
          <w:sz w:val="32"/>
          <w:szCs w:val="32"/>
        </w:rPr>
        <w:t>Obesity</w:t>
      </w:r>
    </w:p>
    <w:p w14:paraId="37EB03B8" w14:textId="77777777" w:rsidR="00882790" w:rsidRPr="003442CC" w:rsidRDefault="00882790" w:rsidP="00882790">
      <w:pPr>
        <w:spacing w:after="0"/>
        <w:jc w:val="both"/>
        <w:rPr>
          <w:rFonts w:ascii="Calibri" w:hAnsi="Calibri"/>
          <w:sz w:val="8"/>
          <w:szCs w:val="8"/>
          <w:lang w:val="en-US"/>
        </w:rPr>
      </w:pPr>
    </w:p>
    <w:p w14:paraId="1B1F8A57" w14:textId="7A8476AA" w:rsidR="00882790" w:rsidRPr="00FA33DE" w:rsidRDefault="00882790" w:rsidP="00FA33DE">
      <w:pPr>
        <w:spacing w:after="0" w:line="360" w:lineRule="auto"/>
        <w:jc w:val="both"/>
        <w:rPr>
          <w:rFonts w:ascii="Calibri" w:hAnsi="Calibri"/>
          <w:lang w:val="en-US"/>
        </w:rPr>
      </w:pPr>
      <w:r>
        <w:rPr>
          <w:rFonts w:ascii="Calibri" w:hAnsi="Calibri"/>
          <w:lang w:val="en-US"/>
        </w:rPr>
        <w:t>Obesity, resulting from the deposition of fat where energy intake exceeds requirements, contributes to diabetes mellitus, hypertension, stroke, cardiovascular disease, gout, sleep apnea, breast and endometrial (uterine) cancer, and gall bladder disease.</w:t>
      </w:r>
    </w:p>
    <w:p w14:paraId="55670D97" w14:textId="77777777" w:rsidR="00FA33DE" w:rsidRPr="00882790" w:rsidRDefault="00FA33DE" w:rsidP="00882790">
      <w:pPr>
        <w:spacing w:after="0"/>
        <w:jc w:val="both"/>
        <w:rPr>
          <w:rFonts w:ascii="Calibri" w:hAnsi="Calibri"/>
          <w:sz w:val="8"/>
          <w:szCs w:val="8"/>
          <w:lang w:val="en-US"/>
        </w:rPr>
      </w:pPr>
    </w:p>
    <w:p w14:paraId="240AEA2C" w14:textId="77777777" w:rsidR="00882790" w:rsidRPr="00281311" w:rsidRDefault="00882790" w:rsidP="00882790">
      <w:pPr>
        <w:spacing w:after="0"/>
        <w:jc w:val="both"/>
        <w:rPr>
          <w:rFonts w:ascii="Calibri" w:hAnsi="Calibri"/>
          <w:color w:val="808080"/>
          <w:sz w:val="20"/>
          <w:szCs w:val="20"/>
          <w:lang w:val="en-US"/>
        </w:rPr>
      </w:pPr>
      <w:r w:rsidRPr="00281311">
        <w:rPr>
          <w:rFonts w:ascii="Calibri" w:hAnsi="Calibri"/>
          <w:color w:val="808080"/>
          <w:sz w:val="20"/>
          <w:szCs w:val="20"/>
          <w:lang w:val="en-US"/>
        </w:rPr>
        <w:t xml:space="preserve">Prevalence of Obesity by </w:t>
      </w:r>
      <w:r>
        <w:rPr>
          <w:rFonts w:ascii="Calibri" w:hAnsi="Calibri"/>
          <w:color w:val="808080"/>
          <w:sz w:val="20"/>
          <w:szCs w:val="20"/>
          <w:lang w:val="en-US"/>
        </w:rPr>
        <w:t xml:space="preserve">Gender: Australia, 2018 </w:t>
      </w:r>
      <w:r>
        <w:rPr>
          <w:rFonts w:ascii="Calibri" w:hAnsi="Calibri"/>
          <w:b/>
          <w:lang w:val="en-US"/>
        </w:rPr>
        <w:t xml:space="preserve">              </w:t>
      </w:r>
      <w:r w:rsidRPr="0059557E">
        <w:rPr>
          <w:rFonts w:ascii="Calibri" w:hAnsi="Calibri"/>
          <w:b/>
          <w:lang w:val="en-US"/>
        </w:rPr>
        <w:t xml:space="preserve">Obesity </w:t>
      </w:r>
      <w:r>
        <w:rPr>
          <w:rFonts w:ascii="Calibri" w:hAnsi="Calibri"/>
          <w:b/>
          <w:lang w:val="en-US"/>
        </w:rPr>
        <w:t>a</w:t>
      </w:r>
      <w:r w:rsidRPr="0059557E">
        <w:rPr>
          <w:rFonts w:ascii="Calibri" w:hAnsi="Calibri"/>
          <w:b/>
          <w:lang w:val="en-US"/>
        </w:rPr>
        <w:t>mong Adults</w:t>
      </w:r>
    </w:p>
    <w:p w14:paraId="51C66729" w14:textId="77777777" w:rsidR="00882790" w:rsidRDefault="00882790" w:rsidP="00882790">
      <w:pPr>
        <w:spacing w:after="0" w:line="360" w:lineRule="auto"/>
        <w:jc w:val="both"/>
      </w:pPr>
      <w:r>
        <w:rPr>
          <w:rFonts w:ascii="Calibri" w:hAnsi="Calibri"/>
          <w:noProof/>
          <w:lang w:val="en-US"/>
        </w:rPr>
        <w:drawing>
          <wp:anchor distT="0" distB="0" distL="114300" distR="114300" simplePos="0" relativeHeight="251995136" behindDoc="0" locked="0" layoutInCell="1" allowOverlap="1" wp14:anchorId="7D7FBB71" wp14:editId="2846E752">
            <wp:simplePos x="0" y="0"/>
            <wp:positionH relativeFrom="column">
              <wp:posOffset>3810</wp:posOffset>
            </wp:positionH>
            <wp:positionV relativeFrom="paragraph">
              <wp:posOffset>93980</wp:posOffset>
            </wp:positionV>
            <wp:extent cx="2863850" cy="2114550"/>
            <wp:effectExtent l="0" t="0" r="0" b="0"/>
            <wp:wrapSquare wrapText="bothSides"/>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2863850" cy="2114550"/>
                    </a:xfrm>
                    <a:prstGeom prst="rect">
                      <a:avLst/>
                    </a:prstGeom>
                    <a:noFill/>
                  </pic:spPr>
                </pic:pic>
              </a:graphicData>
            </a:graphic>
          </wp:anchor>
        </w:drawing>
      </w:r>
      <w:r>
        <w:rPr>
          <w:rFonts w:ascii="Calibri" w:hAnsi="Calibri"/>
          <w:lang w:val="en-US"/>
        </w:rPr>
        <w:t xml:space="preserve">The 2018 National Health Survey found that </w:t>
      </w:r>
      <w:r>
        <w:t>a</w:t>
      </w:r>
      <w:r w:rsidRPr="005E71CE">
        <w:t xml:space="preserve">mong people aged 18 years or more, </w:t>
      </w:r>
      <w:r>
        <w:t>31</w:t>
      </w:r>
      <w:r w:rsidRPr="005E71CE">
        <w:t xml:space="preserve">% </w:t>
      </w:r>
      <w:r>
        <w:t>are</w:t>
      </w:r>
      <w:r w:rsidRPr="005E71CE">
        <w:t xml:space="preserve"> obese </w:t>
      </w:r>
      <w:r>
        <w:t xml:space="preserve">(representing a rise from 19% in 1995) </w:t>
      </w:r>
      <w:r w:rsidRPr="005E71CE">
        <w:t xml:space="preserve">and </w:t>
      </w:r>
      <w:r>
        <w:t>6</w:t>
      </w:r>
      <w:r w:rsidRPr="005E71CE">
        <w:t xml:space="preserve">5% (represented by the total height of the column) </w:t>
      </w:r>
      <w:r>
        <w:t xml:space="preserve">are </w:t>
      </w:r>
      <w:r w:rsidRPr="005E71CE">
        <w:t xml:space="preserve">classified as overweight or obese. </w:t>
      </w:r>
    </w:p>
    <w:p w14:paraId="43706D2E" w14:textId="77777777" w:rsidR="00882790" w:rsidRDefault="00882790" w:rsidP="00882790">
      <w:pPr>
        <w:spacing w:after="0" w:line="360" w:lineRule="auto"/>
        <w:jc w:val="both"/>
        <w:rPr>
          <w:rFonts w:ascii="Calibri" w:hAnsi="Calibri"/>
          <w:lang w:val="en-US"/>
        </w:rPr>
      </w:pPr>
      <w:r>
        <w:t>O</w:t>
      </w:r>
      <w:r w:rsidRPr="005E71CE">
        <w:t xml:space="preserve">besity </w:t>
      </w:r>
      <w:r>
        <w:t>is</w:t>
      </w:r>
      <w:r w:rsidRPr="005E71CE">
        <w:t xml:space="preserve"> </w:t>
      </w:r>
      <w:r>
        <w:t>more widespread</w:t>
      </w:r>
      <w:r w:rsidRPr="005E71CE">
        <w:t xml:space="preserve"> among ma</w:t>
      </w:r>
      <w:r>
        <w:t>les, at 33%, than among females, at 30%</w:t>
      </w:r>
      <w:r w:rsidRPr="005E71CE">
        <w:t>.</w:t>
      </w:r>
      <w:r>
        <w:rPr>
          <w:rFonts w:ascii="Calibri" w:hAnsi="Calibri"/>
          <w:lang w:val="en-US"/>
        </w:rPr>
        <w:t xml:space="preserve"> (diagram, left). </w:t>
      </w:r>
    </w:p>
    <w:p w14:paraId="4B195D05" w14:textId="77777777" w:rsidR="00882790" w:rsidRDefault="00882790" w:rsidP="00882790">
      <w:pPr>
        <w:spacing w:after="0" w:line="360" w:lineRule="auto"/>
        <w:jc w:val="both"/>
        <w:rPr>
          <w:rFonts w:ascii="Calibri" w:hAnsi="Calibri"/>
          <w:lang w:val="en-US"/>
        </w:rPr>
      </w:pPr>
    </w:p>
    <w:p w14:paraId="27126475" w14:textId="77777777" w:rsidR="00882790" w:rsidRDefault="00882790" w:rsidP="00882790">
      <w:pPr>
        <w:spacing w:after="0" w:line="360" w:lineRule="auto"/>
        <w:jc w:val="both"/>
        <w:rPr>
          <w:rFonts w:ascii="Calibri" w:hAnsi="Calibri"/>
          <w:lang w:val="en-US"/>
        </w:rPr>
      </w:pPr>
      <w:r>
        <w:rPr>
          <w:rFonts w:ascii="Calibri" w:hAnsi="Calibri"/>
          <w:color w:val="808080"/>
          <w:sz w:val="20"/>
          <w:szCs w:val="20"/>
          <w:lang w:val="en-US"/>
        </w:rPr>
        <w:t xml:space="preserve">                  </w:t>
      </w:r>
      <w:r w:rsidRPr="00281311">
        <w:rPr>
          <w:rFonts w:ascii="Calibri" w:hAnsi="Calibri"/>
          <w:color w:val="808080"/>
          <w:sz w:val="20"/>
          <w:szCs w:val="20"/>
          <w:lang w:val="en-US"/>
        </w:rPr>
        <w:t xml:space="preserve">Prevalence of Obesity by </w:t>
      </w:r>
      <w:r>
        <w:rPr>
          <w:rFonts w:ascii="Calibri" w:hAnsi="Calibri"/>
          <w:color w:val="808080"/>
          <w:sz w:val="20"/>
          <w:szCs w:val="20"/>
          <w:lang w:val="en-US"/>
        </w:rPr>
        <w:t>Age: Australia, 2018</w:t>
      </w:r>
    </w:p>
    <w:p w14:paraId="14AE170A" w14:textId="77777777" w:rsidR="00FA33DE" w:rsidRDefault="00FA33DE" w:rsidP="00882790">
      <w:pPr>
        <w:spacing w:after="0" w:line="360" w:lineRule="auto"/>
        <w:jc w:val="both"/>
        <w:rPr>
          <w:sz w:val="10"/>
          <w:szCs w:val="10"/>
        </w:rPr>
      </w:pPr>
    </w:p>
    <w:p w14:paraId="500BF828" w14:textId="6D814E84" w:rsidR="00882790" w:rsidRPr="00227730" w:rsidRDefault="00882790" w:rsidP="00882790">
      <w:pPr>
        <w:spacing w:after="0" w:line="360" w:lineRule="auto"/>
        <w:jc w:val="both"/>
        <w:rPr>
          <w:sz w:val="10"/>
          <w:szCs w:val="10"/>
        </w:rPr>
      </w:pPr>
      <w:r w:rsidRPr="00227730">
        <w:rPr>
          <w:rFonts w:ascii="Calibri" w:hAnsi="Calibri"/>
          <w:noProof/>
          <w:sz w:val="10"/>
          <w:szCs w:val="10"/>
          <w:lang w:val="en-US"/>
        </w:rPr>
        <w:drawing>
          <wp:anchor distT="0" distB="0" distL="114300" distR="114300" simplePos="0" relativeHeight="251996160" behindDoc="0" locked="0" layoutInCell="1" allowOverlap="1" wp14:anchorId="432505A3" wp14:editId="0DF70758">
            <wp:simplePos x="0" y="0"/>
            <wp:positionH relativeFrom="column">
              <wp:posOffset>3093085</wp:posOffset>
            </wp:positionH>
            <wp:positionV relativeFrom="paragraph">
              <wp:posOffset>45720</wp:posOffset>
            </wp:positionV>
            <wp:extent cx="3050540" cy="2261235"/>
            <wp:effectExtent l="0" t="0" r="0" b="5715"/>
            <wp:wrapSquare wrapText="bothSides"/>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3050540" cy="2261235"/>
                    </a:xfrm>
                    <a:prstGeom prst="rect">
                      <a:avLst/>
                    </a:prstGeom>
                    <a:noFill/>
                  </pic:spPr>
                </pic:pic>
              </a:graphicData>
            </a:graphic>
            <wp14:sizeRelH relativeFrom="margin">
              <wp14:pctWidth>0</wp14:pctWidth>
            </wp14:sizeRelH>
            <wp14:sizeRelV relativeFrom="margin">
              <wp14:pctHeight>0</wp14:pctHeight>
            </wp14:sizeRelV>
          </wp:anchor>
        </w:drawing>
      </w:r>
    </w:p>
    <w:p w14:paraId="763BEDBF" w14:textId="77777777" w:rsidR="00882790" w:rsidRPr="005E71CE" w:rsidRDefault="00882790" w:rsidP="00882790">
      <w:pPr>
        <w:spacing w:after="0" w:line="360" w:lineRule="auto"/>
        <w:jc w:val="both"/>
      </w:pPr>
      <w:r w:rsidRPr="005E71CE">
        <w:t xml:space="preserve">The prevalence of obesity rises steeply with age to </w:t>
      </w:r>
      <w:r>
        <w:t>a</w:t>
      </w:r>
      <w:r w:rsidRPr="005E71CE">
        <w:t xml:space="preserve"> peak in older age, before declining </w:t>
      </w:r>
      <w:r>
        <w:t>steeply</w:t>
      </w:r>
      <w:r w:rsidRPr="005E71CE">
        <w:t>.</w:t>
      </w:r>
    </w:p>
    <w:p w14:paraId="741CA2B5" w14:textId="77777777" w:rsidR="00882790" w:rsidRDefault="00882790" w:rsidP="00882790">
      <w:pPr>
        <w:spacing w:after="0" w:line="360" w:lineRule="auto"/>
        <w:jc w:val="both"/>
        <w:rPr>
          <w:rFonts w:ascii="Calibri" w:hAnsi="Calibri"/>
          <w:lang w:val="en-US"/>
        </w:rPr>
      </w:pPr>
      <w:r>
        <w:rPr>
          <w:rFonts w:ascii="Calibri" w:hAnsi="Calibri"/>
          <w:lang w:val="en-US"/>
        </w:rPr>
        <w:t>The findings of a number of investigations point to a rise in the national prevalence of overweight/obesity over nearly two decades, from 57% in 1995</w:t>
      </w:r>
      <w:r>
        <w:rPr>
          <w:rStyle w:val="FootnoteReference"/>
          <w:rFonts w:ascii="Calibri" w:hAnsi="Calibri"/>
          <w:lang w:val="en-US"/>
        </w:rPr>
        <w:footnoteReference w:id="28"/>
      </w:r>
      <w:r>
        <w:rPr>
          <w:rFonts w:ascii="Calibri" w:hAnsi="Calibri"/>
          <w:lang w:val="en-US"/>
        </w:rPr>
        <w:t xml:space="preserve"> to 75% by 2018 (National Health Survey 2018). </w:t>
      </w:r>
    </w:p>
    <w:p w14:paraId="099AF05E" w14:textId="3D6F2E03" w:rsidR="00882790" w:rsidRDefault="00882790" w:rsidP="00882790">
      <w:pPr>
        <w:spacing w:after="0"/>
        <w:jc w:val="both"/>
        <w:rPr>
          <w:rFonts w:ascii="Calibri" w:hAnsi="Calibri"/>
          <w:sz w:val="12"/>
          <w:szCs w:val="12"/>
          <w:lang w:val="en-US"/>
        </w:rPr>
      </w:pPr>
    </w:p>
    <w:p w14:paraId="4DE7F3C7" w14:textId="77777777" w:rsidR="00882790" w:rsidRDefault="00882790" w:rsidP="00882790">
      <w:pPr>
        <w:spacing w:after="0"/>
        <w:jc w:val="both"/>
        <w:rPr>
          <w:rFonts w:ascii="Calibri" w:hAnsi="Calibri"/>
          <w:sz w:val="12"/>
          <w:szCs w:val="12"/>
          <w:lang w:val="en-US"/>
        </w:rPr>
      </w:pPr>
    </w:p>
    <w:p w14:paraId="18040E4F" w14:textId="77777777" w:rsidR="00882790" w:rsidRPr="00B0571E" w:rsidRDefault="00882790" w:rsidP="00882790">
      <w:pPr>
        <w:spacing w:after="0"/>
        <w:jc w:val="both"/>
        <w:rPr>
          <w:rFonts w:ascii="Calibri" w:hAnsi="Calibri"/>
          <w:sz w:val="12"/>
          <w:szCs w:val="12"/>
          <w:lang w:val="en-US"/>
        </w:rPr>
      </w:pPr>
    </w:p>
    <w:p w14:paraId="6EA59D1A" w14:textId="02F5CD41" w:rsidR="00882790" w:rsidRDefault="00FA33DE" w:rsidP="00882790">
      <w:pPr>
        <w:tabs>
          <w:tab w:val="left" w:pos="4395"/>
        </w:tabs>
        <w:spacing w:after="0"/>
        <w:jc w:val="both"/>
        <w:rPr>
          <w:rFonts w:ascii="Calibri" w:hAnsi="Calibri"/>
          <w:b/>
          <w:lang w:val="en-US"/>
        </w:rPr>
      </w:pPr>
      <w:r>
        <w:rPr>
          <w:rFonts w:ascii="Calibri" w:hAnsi="Calibri"/>
          <w:noProof/>
          <w:lang w:val="en-US"/>
        </w:rPr>
        <w:drawing>
          <wp:anchor distT="0" distB="0" distL="114300" distR="114300" simplePos="0" relativeHeight="251997184" behindDoc="0" locked="0" layoutInCell="1" allowOverlap="1" wp14:anchorId="47D74367" wp14:editId="123D6B51">
            <wp:simplePos x="0" y="0"/>
            <wp:positionH relativeFrom="margin">
              <wp:posOffset>-635</wp:posOffset>
            </wp:positionH>
            <wp:positionV relativeFrom="paragraph">
              <wp:posOffset>234950</wp:posOffset>
            </wp:positionV>
            <wp:extent cx="3115310" cy="2353310"/>
            <wp:effectExtent l="0" t="0" r="8890" b="8890"/>
            <wp:wrapSquare wrapText="bothSides"/>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3115310" cy="2353310"/>
                    </a:xfrm>
                    <a:prstGeom prst="rect">
                      <a:avLst/>
                    </a:prstGeom>
                    <a:noFill/>
                  </pic:spPr>
                </pic:pic>
              </a:graphicData>
            </a:graphic>
            <wp14:sizeRelH relativeFrom="margin">
              <wp14:pctWidth>0</wp14:pctWidth>
            </wp14:sizeRelH>
            <wp14:sizeRelV relativeFrom="margin">
              <wp14:pctHeight>0</wp14:pctHeight>
            </wp14:sizeRelV>
          </wp:anchor>
        </w:drawing>
      </w:r>
      <w:r w:rsidR="00882790" w:rsidRPr="0059557E">
        <w:rPr>
          <w:rFonts w:ascii="Calibri" w:hAnsi="Calibri"/>
          <w:b/>
          <w:lang w:val="en-US"/>
        </w:rPr>
        <w:t xml:space="preserve">Prevalence of Obesity </w:t>
      </w:r>
      <w:r w:rsidR="00882790">
        <w:rPr>
          <w:rFonts w:ascii="Calibri" w:hAnsi="Calibri"/>
          <w:b/>
          <w:lang w:val="en-US"/>
        </w:rPr>
        <w:t>a</w:t>
      </w:r>
      <w:r w:rsidR="00882790" w:rsidRPr="0059557E">
        <w:rPr>
          <w:rFonts w:ascii="Calibri" w:hAnsi="Calibri"/>
          <w:b/>
          <w:lang w:val="en-US"/>
        </w:rPr>
        <w:t>mong Children</w:t>
      </w:r>
    </w:p>
    <w:p w14:paraId="5AD862C6" w14:textId="34D24D8C" w:rsidR="00882790" w:rsidRDefault="00882790" w:rsidP="00882790">
      <w:pPr>
        <w:spacing w:after="0"/>
        <w:jc w:val="both"/>
        <w:rPr>
          <w:rFonts w:ascii="Calibri" w:hAnsi="Calibri"/>
          <w:sz w:val="12"/>
          <w:szCs w:val="12"/>
          <w:lang w:val="en-US"/>
        </w:rPr>
      </w:pPr>
    </w:p>
    <w:p w14:paraId="6288D552" w14:textId="035610C4" w:rsidR="00882790" w:rsidRDefault="00882790" w:rsidP="00882790">
      <w:pPr>
        <w:spacing w:after="0"/>
        <w:jc w:val="both"/>
        <w:rPr>
          <w:rFonts w:ascii="Calibri" w:hAnsi="Calibri"/>
          <w:lang w:val="en-US"/>
        </w:rPr>
      </w:pPr>
      <w:r w:rsidRPr="00F22DB8">
        <w:rPr>
          <w:rFonts w:ascii="Calibri" w:hAnsi="Calibri"/>
          <w:color w:val="7F7F7F"/>
          <w:sz w:val="20"/>
          <w:szCs w:val="20"/>
          <w:lang w:val="en-US"/>
        </w:rPr>
        <w:t xml:space="preserve">Prevalence of Obesity among Australian Children, </w:t>
      </w:r>
      <w:r>
        <w:rPr>
          <w:rFonts w:ascii="Calibri" w:hAnsi="Calibri"/>
          <w:color w:val="7F7F7F"/>
          <w:sz w:val="20"/>
          <w:szCs w:val="20"/>
          <w:lang w:val="en-US"/>
        </w:rPr>
        <w:t>by Age: 2018</w:t>
      </w:r>
    </w:p>
    <w:p w14:paraId="3A523B31" w14:textId="77777777" w:rsidR="00882790" w:rsidRDefault="00882790" w:rsidP="00882790">
      <w:pPr>
        <w:spacing w:after="0"/>
        <w:jc w:val="both"/>
        <w:rPr>
          <w:rFonts w:ascii="Calibri" w:hAnsi="Calibri"/>
          <w:sz w:val="12"/>
          <w:szCs w:val="12"/>
          <w:lang w:val="en-US"/>
        </w:rPr>
      </w:pPr>
    </w:p>
    <w:p w14:paraId="366C93C4" w14:textId="77777777" w:rsidR="00882790" w:rsidRDefault="00882790" w:rsidP="00882790">
      <w:pPr>
        <w:tabs>
          <w:tab w:val="left" w:pos="5529"/>
        </w:tabs>
        <w:spacing w:after="0" w:line="360" w:lineRule="auto"/>
        <w:jc w:val="both"/>
        <w:rPr>
          <w:rFonts w:ascii="Calibri" w:hAnsi="Calibri"/>
          <w:lang w:val="en-US"/>
        </w:rPr>
      </w:pPr>
      <w:r w:rsidRPr="00392EF2">
        <w:rPr>
          <w:rFonts w:ascii="Calibri" w:hAnsi="Calibri"/>
          <w:noProof/>
          <w:lang w:val="en-US"/>
        </w:rPr>
        <w:drawing>
          <wp:anchor distT="0" distB="0" distL="114300" distR="114300" simplePos="0" relativeHeight="251998208" behindDoc="0" locked="0" layoutInCell="1" allowOverlap="1" wp14:anchorId="7BB5F2BA" wp14:editId="0E2DC92D">
            <wp:simplePos x="0" y="0"/>
            <wp:positionH relativeFrom="column">
              <wp:posOffset>1603692</wp:posOffset>
            </wp:positionH>
            <wp:positionV relativeFrom="paragraph">
              <wp:posOffset>796290</wp:posOffset>
            </wp:positionV>
            <wp:extent cx="1270000" cy="845185"/>
            <wp:effectExtent l="0" t="0" r="6350" b="0"/>
            <wp:wrapNone/>
            <wp:docPr id="165" name="Picture 73" descr="obesit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obesity 1"/>
                    <pic:cNvPicPr>
                      <a:picLocks noChangeAspect="1" noChangeArrowheads="1"/>
                    </pic:cNvPicPr>
                  </pic:nvPicPr>
                  <pic:blipFill>
                    <a:blip r:embed="rId291" cstate="print"/>
                    <a:srcRect/>
                    <a:stretch>
                      <a:fillRect/>
                    </a:stretch>
                  </pic:blipFill>
                  <pic:spPr bwMode="auto">
                    <a:xfrm>
                      <a:off x="0" y="0"/>
                      <a:ext cx="1270000" cy="845185"/>
                    </a:xfrm>
                    <a:prstGeom prst="rect">
                      <a:avLst/>
                    </a:prstGeom>
                    <a:ln>
                      <a:noFill/>
                    </a:ln>
                    <a:effectLst>
                      <a:softEdge rad="112500"/>
                    </a:effectLst>
                  </pic:spPr>
                </pic:pic>
              </a:graphicData>
            </a:graphic>
          </wp:anchor>
        </w:drawing>
      </w:r>
      <w:r>
        <w:rPr>
          <w:rFonts w:ascii="Calibri" w:hAnsi="Calibri"/>
          <w:lang w:val="en-US"/>
        </w:rPr>
        <w:t xml:space="preserve">Obesity is considered a particular problem for children, owing to its physical, psychological and social consequences, and as a significant proportion of overweight children remain so in adulthood. </w:t>
      </w:r>
    </w:p>
    <w:p w14:paraId="7E6D8C08" w14:textId="77777777" w:rsidR="00882790" w:rsidRDefault="00882790" w:rsidP="00882790">
      <w:pPr>
        <w:spacing w:after="0" w:line="360" w:lineRule="auto"/>
        <w:jc w:val="both"/>
        <w:rPr>
          <w:rFonts w:ascii="Calibri" w:hAnsi="Calibri"/>
          <w:lang w:val="en-US"/>
        </w:rPr>
      </w:pPr>
      <w:r>
        <w:rPr>
          <w:rFonts w:ascii="Calibri" w:hAnsi="Calibri"/>
          <w:lang w:val="en-US"/>
        </w:rPr>
        <w:t xml:space="preserve">The 2018 National Health Survey found that </w:t>
      </w:r>
      <w:r>
        <w:t>a</w:t>
      </w:r>
      <w:r w:rsidRPr="00C84DBF">
        <w:t xml:space="preserve">pproximately one-quarter of children are overweight or obese, with </w:t>
      </w:r>
      <w:r>
        <w:t>a</w:t>
      </w:r>
      <w:r w:rsidRPr="00C84DBF">
        <w:t xml:space="preserve"> prevalence </w:t>
      </w:r>
      <w:r>
        <w:t>of 20 to 30 per cent between ages 2 and 17</w:t>
      </w:r>
      <w:r w:rsidRPr="00C84DBF">
        <w:t>.</w:t>
      </w:r>
      <w:r>
        <w:rPr>
          <w:rFonts w:ascii="Calibri" w:hAnsi="Calibri"/>
          <w:lang w:val="en-US"/>
        </w:rPr>
        <w:t xml:space="preserve"> (diagram above left)</w:t>
      </w:r>
    </w:p>
    <w:p w14:paraId="4BA21A33" w14:textId="77777777" w:rsidR="00882790" w:rsidRPr="00662A16" w:rsidRDefault="00882790" w:rsidP="00882790">
      <w:pPr>
        <w:spacing w:after="0" w:line="360" w:lineRule="auto"/>
        <w:jc w:val="both"/>
        <w:rPr>
          <w:rFonts w:ascii="Calibri" w:hAnsi="Calibri"/>
          <w:b/>
          <w:lang w:val="en-US"/>
        </w:rPr>
      </w:pPr>
      <w:r w:rsidRPr="00662A16">
        <w:rPr>
          <w:rFonts w:ascii="Calibri" w:hAnsi="Calibri"/>
          <w:b/>
          <w:lang w:val="en-US"/>
        </w:rPr>
        <w:lastRenderedPageBreak/>
        <w:t>Local Measures of Obesity</w:t>
      </w:r>
    </w:p>
    <w:p w14:paraId="24D3E3C8" w14:textId="77777777" w:rsidR="00882790" w:rsidRPr="006C2C5D" w:rsidRDefault="00882790" w:rsidP="00882790">
      <w:pPr>
        <w:spacing w:after="0" w:line="360" w:lineRule="auto"/>
        <w:jc w:val="both"/>
        <w:rPr>
          <w:rFonts w:ascii="Calibri" w:hAnsi="Calibri"/>
          <w:lang w:val="en-US"/>
        </w:rPr>
      </w:pPr>
      <w:r w:rsidRPr="006C2C5D">
        <w:rPr>
          <w:rFonts w:ascii="Calibri" w:hAnsi="Calibri"/>
          <w:lang w:val="en-US"/>
        </w:rPr>
        <w:t xml:space="preserve">The 2020 Population Health Survey </w:t>
      </w:r>
      <w:r>
        <w:rPr>
          <w:rFonts w:ascii="Calibri" w:hAnsi="Calibri"/>
          <w:lang w:val="en-US"/>
        </w:rPr>
        <w:t xml:space="preserve">recorded </w:t>
      </w:r>
      <w:r w:rsidRPr="006C2C5D">
        <w:rPr>
          <w:rFonts w:ascii="Calibri" w:hAnsi="Calibri"/>
          <w:lang w:val="en-US"/>
        </w:rPr>
        <w:t xml:space="preserve">self-reported </w:t>
      </w:r>
      <w:r>
        <w:rPr>
          <w:rFonts w:ascii="Calibri" w:hAnsi="Calibri"/>
          <w:lang w:val="en-US"/>
        </w:rPr>
        <w:t xml:space="preserve">obesity – a method which tends to underestimate the prevalence of obesity – </w:t>
      </w:r>
      <w:r w:rsidRPr="006C2C5D">
        <w:rPr>
          <w:rFonts w:ascii="Calibri" w:hAnsi="Calibri"/>
          <w:lang w:val="en-US"/>
        </w:rPr>
        <w:t>found that just over one-fifth (21%) of Victorians were obese, a figure which ranged from 38% in Yarriambiack to 9% in Melbourne. Within Greater Dandenong, 19% of residents were found to be obese, slightly lower than the state-wide average.</w:t>
      </w:r>
    </w:p>
    <w:p w14:paraId="6FD62D8B" w14:textId="77777777" w:rsidR="00882790" w:rsidRDefault="00882790" w:rsidP="00882790">
      <w:pPr>
        <w:spacing w:after="0" w:line="360" w:lineRule="auto"/>
        <w:jc w:val="both"/>
        <w:rPr>
          <w:rFonts w:ascii="Calibri" w:hAnsi="Calibri"/>
          <w:lang w:val="en-US"/>
        </w:rPr>
      </w:pPr>
      <w:r>
        <w:rPr>
          <w:rFonts w:ascii="Calibri" w:hAnsi="Calibri"/>
          <w:lang w:val="en-US"/>
        </w:rPr>
        <w:t>By contrast though, research conducted in 2014/15 by Torrens University, estimated that 26% of adults in Greater Dandenong were obese and 63% overweight.</w:t>
      </w:r>
      <w:r>
        <w:rPr>
          <w:rStyle w:val="FootnoteReference"/>
          <w:rFonts w:ascii="Calibri" w:hAnsi="Calibri"/>
          <w:lang w:val="en-US"/>
        </w:rPr>
        <w:footnoteReference w:id="29"/>
      </w:r>
      <w:r>
        <w:rPr>
          <w:rFonts w:ascii="Calibri" w:hAnsi="Calibri"/>
          <w:lang w:val="en-US"/>
        </w:rPr>
        <w:t xml:space="preserve"> </w:t>
      </w:r>
    </w:p>
    <w:p w14:paraId="069E2F0D" w14:textId="77777777" w:rsidR="00882790" w:rsidRDefault="00882790" w:rsidP="00882790">
      <w:pPr>
        <w:spacing w:after="0" w:line="360" w:lineRule="auto"/>
        <w:jc w:val="both"/>
        <w:rPr>
          <w:rFonts w:ascii="Calibri" w:hAnsi="Calibri"/>
        </w:rPr>
      </w:pPr>
      <w:r>
        <w:rPr>
          <w:rFonts w:ascii="Calibri" w:hAnsi="Calibri"/>
          <w:noProof/>
          <w:lang w:eastAsia="en-AU"/>
        </w:rPr>
        <w:t>A variety of studies have determined</w:t>
      </w:r>
      <w:r w:rsidRPr="00EF59E5">
        <w:rPr>
          <w:rFonts w:ascii="Calibri" w:hAnsi="Calibri"/>
        </w:rPr>
        <w:t xml:space="preserve"> </w:t>
      </w:r>
      <w:r>
        <w:rPr>
          <w:rFonts w:ascii="Calibri" w:hAnsi="Calibri"/>
        </w:rPr>
        <w:t>that the prevalence of obesity is higher among people on lower incomes, of limited educational attainment and</w:t>
      </w:r>
      <w:r w:rsidRPr="00EF59E5">
        <w:rPr>
          <w:rFonts w:ascii="Calibri" w:hAnsi="Calibri"/>
        </w:rPr>
        <w:t xml:space="preserve"> </w:t>
      </w:r>
      <w:r>
        <w:rPr>
          <w:rFonts w:ascii="Calibri" w:hAnsi="Calibri"/>
        </w:rPr>
        <w:t>those with health problems, circumstances which are prevalent among residents of Greater Dandenong</w:t>
      </w:r>
      <w:r w:rsidRPr="00EF59E5">
        <w:rPr>
          <w:rFonts w:ascii="Calibri" w:hAnsi="Calibri"/>
        </w:rPr>
        <w:t>.</w:t>
      </w:r>
      <w:r>
        <w:rPr>
          <w:rFonts w:ascii="Calibri" w:hAnsi="Calibri"/>
        </w:rPr>
        <w:t xml:space="preserve"> </w:t>
      </w:r>
      <w:r>
        <w:rPr>
          <w:rFonts w:ascii="Calibri" w:hAnsi="Calibri"/>
          <w:lang w:val="en-US"/>
        </w:rPr>
        <w:t>The 2017 Victorian Population Health Survey for example, reported that the prevalence of obesity among residents of the most disadvantaged five municipalities was 24% - almost twice the corresponding level among the least disadvantaged localities, of 13%.</w:t>
      </w:r>
    </w:p>
    <w:p w14:paraId="24873454" w14:textId="7FB5AAE7" w:rsidR="00882790" w:rsidRDefault="00882790">
      <w:r>
        <w:br w:type="page"/>
      </w:r>
    </w:p>
    <w:p w14:paraId="75803247" w14:textId="77777777" w:rsidR="00E23EBF" w:rsidRPr="005D5381" w:rsidRDefault="00E23EBF" w:rsidP="00E23EBF">
      <w:pPr>
        <w:pBdr>
          <w:top w:val="single" w:sz="4" w:space="1" w:color="auto"/>
          <w:bottom w:val="single" w:sz="4" w:space="1" w:color="auto"/>
        </w:pBdr>
        <w:tabs>
          <w:tab w:val="center" w:pos="4678"/>
        </w:tabs>
        <w:jc w:val="center"/>
        <w:rPr>
          <w:rFonts w:ascii="Calibri" w:eastAsia="Times New Roman" w:hAnsi="Calibri"/>
          <w:noProof/>
          <w:sz w:val="32"/>
          <w:szCs w:val="32"/>
          <w:lang w:val="en-US"/>
        </w:rPr>
      </w:pPr>
      <w:r w:rsidRPr="005D5381">
        <w:rPr>
          <w:rFonts w:ascii="Calibri" w:eastAsia="Times New Roman" w:hAnsi="Calibri"/>
          <w:noProof/>
          <w:sz w:val="32"/>
          <w:szCs w:val="32"/>
          <w:lang w:val="en-US"/>
        </w:rPr>
        <w:lastRenderedPageBreak/>
        <w:t>Food Insecurity</w:t>
      </w:r>
    </w:p>
    <w:p w14:paraId="268A240B" w14:textId="77777777" w:rsidR="00E23EBF" w:rsidRPr="001552BF" w:rsidRDefault="00E23EBF" w:rsidP="00E23EBF">
      <w:pPr>
        <w:spacing w:after="0" w:line="360" w:lineRule="auto"/>
        <w:jc w:val="both"/>
        <w:rPr>
          <w:rFonts w:eastAsia="Times New Roman" w:cs="Times New Roman"/>
        </w:rPr>
      </w:pPr>
      <w:r w:rsidRPr="005D5381">
        <w:rPr>
          <w:rFonts w:ascii="Calibri" w:eastAsia="Times New Roman" w:hAnsi="Calibri"/>
          <w:noProof/>
          <w:sz w:val="32"/>
          <w:szCs w:val="32"/>
          <w:lang w:val="en-US"/>
        </w:rPr>
        <w:drawing>
          <wp:anchor distT="0" distB="0" distL="114300" distR="114300" simplePos="0" relativeHeight="252003328" behindDoc="1" locked="0" layoutInCell="1" allowOverlap="1" wp14:anchorId="65DFD61E" wp14:editId="57262EA3">
            <wp:simplePos x="0" y="0"/>
            <wp:positionH relativeFrom="margin">
              <wp:align>right</wp:align>
            </wp:positionH>
            <wp:positionV relativeFrom="paragraph">
              <wp:posOffset>26992</wp:posOffset>
            </wp:positionV>
            <wp:extent cx="696595" cy="1050290"/>
            <wp:effectExtent l="0" t="0" r="8255" b="0"/>
            <wp:wrapTight wrapText="bothSides">
              <wp:wrapPolygon edited="0">
                <wp:start x="2363" y="0"/>
                <wp:lineTo x="0" y="784"/>
                <wp:lineTo x="0" y="20764"/>
                <wp:lineTo x="2363" y="21156"/>
                <wp:lineTo x="18902" y="21156"/>
                <wp:lineTo x="21265" y="20764"/>
                <wp:lineTo x="21265" y="784"/>
                <wp:lineTo x="18902" y="0"/>
                <wp:lineTo x="2363" y="0"/>
              </wp:wrapPolygon>
            </wp:wrapTight>
            <wp:docPr id="327" name="Picture 119" descr="nutri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nutrition 3"/>
                    <pic:cNvPicPr>
                      <a:picLocks noChangeAspect="1" noChangeArrowheads="1"/>
                    </pic:cNvPicPr>
                  </pic:nvPicPr>
                  <pic:blipFill>
                    <a:blip r:embed="rId287" cstate="print"/>
                    <a:srcRect/>
                    <a:stretch>
                      <a:fillRect/>
                    </a:stretch>
                  </pic:blipFill>
                  <pic:spPr bwMode="auto">
                    <a:xfrm>
                      <a:off x="0" y="0"/>
                      <a:ext cx="696595" cy="105029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1552BF">
        <w:rPr>
          <w:rFonts w:eastAsia="Times New Roman" w:cs="Times New Roman"/>
        </w:rPr>
        <w:t xml:space="preserve">Food insecurity is a term generally applied to a lack of continuous, reliable access to nutritious food. Its contributing causes include low incomes; rising costs of housing and utilities; household financial crises; transport limitations; inadequate household storage or food preparation facilities; lack of skill or confidence in shopping, budgeting or preparing food; as well as psychological, physical or mental impairments. </w:t>
      </w:r>
    </w:p>
    <w:p w14:paraId="1C959244" w14:textId="594AC57C" w:rsidR="00E23EBF" w:rsidRPr="001552BF" w:rsidRDefault="00E23EBF" w:rsidP="00E23EBF">
      <w:pPr>
        <w:spacing w:after="0" w:line="360" w:lineRule="auto"/>
        <w:jc w:val="both"/>
        <w:rPr>
          <w:rFonts w:eastAsia="Times New Roman" w:cs="Times New Roman"/>
        </w:rPr>
      </w:pPr>
      <w:r w:rsidRPr="001552BF">
        <w:rPr>
          <w:rFonts w:eastAsia="Times New Roman" w:cs="Times New Roman"/>
        </w:rPr>
        <w:t>At least one in twenty households are experiencing food insecurity at any given time, a persistent condition</w:t>
      </w:r>
      <w:r w:rsidR="00FA33DE">
        <w:rPr>
          <w:rFonts w:eastAsia="Times New Roman" w:cs="Times New Roman"/>
        </w:rPr>
        <w:t xml:space="preserve"> </w:t>
      </w:r>
      <w:r w:rsidRPr="001552BF">
        <w:rPr>
          <w:rFonts w:eastAsia="Times New Roman" w:cs="Times New Roman"/>
        </w:rPr>
        <w:t xml:space="preserve">for some, and recurring or transient for others. Surveys indicate that food insecurity is most prevalent among low-income households, Aboriginal and Torres Strait Islanders, unemployed people, renters, refugees and </w:t>
      </w:r>
      <w:r w:rsidR="008A7BE8">
        <w:rPr>
          <w:rFonts w:eastAsia="Times New Roman" w:cs="Times New Roman"/>
        </w:rPr>
        <w:t>people seeking asylum</w:t>
      </w:r>
      <w:r w:rsidRPr="001552BF">
        <w:rPr>
          <w:rFonts w:eastAsia="Times New Roman" w:cs="Times New Roman"/>
        </w:rPr>
        <w:t xml:space="preserve">, those with chronic illnesses, mental health conditions or drug problems, homeless people and those living in remote communities. </w:t>
      </w:r>
    </w:p>
    <w:p w14:paraId="3118ED22" w14:textId="77777777" w:rsidR="00E23EBF" w:rsidRPr="000D318D" w:rsidRDefault="00E23EBF" w:rsidP="00E23EBF">
      <w:pPr>
        <w:spacing w:after="0" w:line="360" w:lineRule="auto"/>
        <w:jc w:val="both"/>
        <w:rPr>
          <w:b/>
        </w:rPr>
      </w:pPr>
      <w:r>
        <w:rPr>
          <w:b/>
        </w:rPr>
        <w:t>Prevalence of Food Insecurity</w:t>
      </w:r>
    </w:p>
    <w:p w14:paraId="244DEE32" w14:textId="77777777" w:rsidR="00E23EBF" w:rsidRDefault="00E23EBF" w:rsidP="00E23EBF">
      <w:pPr>
        <w:spacing w:after="0" w:line="360" w:lineRule="auto"/>
        <w:jc w:val="both"/>
      </w:pPr>
      <w:r w:rsidRPr="00110829">
        <w:t xml:space="preserve">Surveys of food </w:t>
      </w:r>
      <w:r>
        <w:t xml:space="preserve">insecurity </w:t>
      </w:r>
      <w:r w:rsidRPr="00110829">
        <w:t>in Australian indicate that approximately one in 20 Australians run</w:t>
      </w:r>
      <w:r>
        <w:t>s</w:t>
      </w:r>
      <w:r w:rsidRPr="00110829">
        <w:t xml:space="preserve"> out of food due to financial constraints</w:t>
      </w:r>
      <w:r>
        <w:t>, in any 12-month period.</w:t>
      </w:r>
      <w:r>
        <w:rPr>
          <w:rStyle w:val="FootnoteReference"/>
        </w:rPr>
        <w:footnoteReference w:id="30"/>
      </w:r>
      <w:r>
        <w:t xml:space="preserve"> </w:t>
      </w:r>
      <w:r w:rsidRPr="00933BCE">
        <w:t xml:space="preserve">The </w:t>
      </w:r>
      <w:r>
        <w:t>measures of prevalence arising from</w:t>
      </w:r>
      <w:r w:rsidRPr="00933BCE">
        <w:t xml:space="preserve"> population surveys featuring this inquiry include 5.2% in 1995</w:t>
      </w:r>
      <w:r>
        <w:rPr>
          <w:rStyle w:val="FootnoteReference"/>
        </w:rPr>
        <w:footnoteReference w:id="31"/>
      </w:r>
      <w:r w:rsidRPr="00933BCE">
        <w:t>, 6.1% in the 2001 Child Health Survey, 5.2% in the Victorian VicLanes survey</w:t>
      </w:r>
      <w:r>
        <w:rPr>
          <w:rStyle w:val="FootnoteReference"/>
        </w:rPr>
        <w:footnoteReference w:id="32"/>
      </w:r>
      <w:r w:rsidRPr="00933BCE">
        <w:t xml:space="preserve"> 4% in the 2011/12 National Health Survey</w:t>
      </w:r>
      <w:r>
        <w:t xml:space="preserve"> and 3.6% in the </w:t>
      </w:r>
      <w:r w:rsidRPr="00933BCE">
        <w:t>2014 Victorian Population Health Survey.</w:t>
      </w:r>
    </w:p>
    <w:p w14:paraId="5CB7BA85" w14:textId="77777777" w:rsidR="00E23EBF" w:rsidRPr="0095566F" w:rsidRDefault="00E23EBF" w:rsidP="00E23EBF">
      <w:pPr>
        <w:spacing w:after="0" w:line="360" w:lineRule="auto"/>
        <w:jc w:val="both"/>
      </w:pPr>
      <w:r w:rsidRPr="0095566F">
        <w:rPr>
          <w:noProof/>
        </w:rPr>
        <w:drawing>
          <wp:anchor distT="0" distB="0" distL="114300" distR="114300" simplePos="0" relativeHeight="252004352" behindDoc="0" locked="0" layoutInCell="1" allowOverlap="1" wp14:anchorId="6ED81913" wp14:editId="7346E363">
            <wp:simplePos x="0" y="0"/>
            <wp:positionH relativeFrom="column">
              <wp:posOffset>2332990</wp:posOffset>
            </wp:positionH>
            <wp:positionV relativeFrom="paragraph">
              <wp:posOffset>1278890</wp:posOffset>
            </wp:positionV>
            <wp:extent cx="3660775" cy="2595245"/>
            <wp:effectExtent l="0" t="0" r="0" b="0"/>
            <wp:wrapSquare wrapText="bothSides"/>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3660775" cy="2595245"/>
                    </a:xfrm>
                    <a:prstGeom prst="rect">
                      <a:avLst/>
                    </a:prstGeom>
                    <a:noFill/>
                  </pic:spPr>
                </pic:pic>
              </a:graphicData>
            </a:graphic>
            <wp14:sizeRelH relativeFrom="page">
              <wp14:pctWidth>0</wp14:pctWidth>
            </wp14:sizeRelH>
            <wp14:sizeRelV relativeFrom="page">
              <wp14:pctHeight>0</wp14:pctHeight>
            </wp14:sizeRelV>
          </wp:anchor>
        </w:drawing>
      </w:r>
      <w:r w:rsidRPr="0095566F">
        <w:t>The 2020 Population Health Survey found that 13% of residents of Greater Dandenong had run out of money to buy food at some time during the previous 12 months, the highest level in Victoria and more than twice the state-wide figure of 6%. Within metropolitan Melbourne, the proportion of residents surveyed who reported such hardship tended to be highest among the more disadvantaged localities, such as Brimbank, Whittlesea and Maribyrnong, and lower in Bayside, Boroondara, Whitehorse and other more affluent municipalities.</w:t>
      </w:r>
    </w:p>
    <w:p w14:paraId="0F7B6FAA" w14:textId="77777777" w:rsidR="00E23EBF" w:rsidRPr="0095566F" w:rsidRDefault="00E23EBF" w:rsidP="00E23EBF">
      <w:pPr>
        <w:spacing w:after="0" w:line="360" w:lineRule="auto"/>
        <w:jc w:val="both"/>
      </w:pPr>
      <w:r>
        <w:t>The same survey found that, a</w:t>
      </w:r>
      <w:r w:rsidRPr="0095566F">
        <w:t xml:space="preserve">cross Victoria, the proportion of people who ran out of money for food </w:t>
      </w:r>
      <w:r>
        <w:t>approached ten per cent</w:t>
      </w:r>
      <w:r w:rsidRPr="0095566F">
        <w:t xml:space="preserve"> among people aged 18-24, </w:t>
      </w:r>
      <w:r>
        <w:t>declining with age to fewer than 1% among those aged 75 years or more</w:t>
      </w:r>
      <w:r w:rsidRPr="0095566F">
        <w:t>.</w:t>
      </w:r>
    </w:p>
    <w:p w14:paraId="0D777D17" w14:textId="77777777" w:rsidR="00E23EBF" w:rsidRPr="005D5381" w:rsidRDefault="00E23EBF" w:rsidP="00E23EBF">
      <w:pPr>
        <w:spacing w:after="0"/>
        <w:jc w:val="both"/>
        <w:rPr>
          <w:sz w:val="10"/>
          <w:szCs w:val="10"/>
        </w:rPr>
      </w:pPr>
    </w:p>
    <w:p w14:paraId="3C0694E7" w14:textId="77777777" w:rsidR="00E23EBF" w:rsidRPr="000F0801" w:rsidRDefault="00E23EBF" w:rsidP="00E23EBF">
      <w:pPr>
        <w:spacing w:after="0"/>
        <w:jc w:val="both"/>
        <w:rPr>
          <w:color w:val="7F7F7F" w:themeColor="text1" w:themeTint="80"/>
          <w:sz w:val="20"/>
          <w:szCs w:val="20"/>
        </w:rPr>
      </w:pPr>
      <w:r w:rsidRPr="000F0801">
        <w:rPr>
          <w:color w:val="7F7F7F" w:themeColor="text1" w:themeTint="80"/>
          <w:sz w:val="20"/>
          <w:szCs w:val="20"/>
        </w:rPr>
        <w:t>Prevalence of Food Insecurity by Age</w:t>
      </w:r>
      <w:r>
        <w:rPr>
          <w:color w:val="7F7F7F" w:themeColor="text1" w:themeTint="80"/>
          <w:sz w:val="20"/>
          <w:szCs w:val="20"/>
        </w:rPr>
        <w:t xml:space="preserve"> and Sex</w:t>
      </w:r>
      <w:r w:rsidRPr="000F0801">
        <w:rPr>
          <w:color w:val="7F7F7F" w:themeColor="text1" w:themeTint="80"/>
          <w:sz w:val="20"/>
          <w:szCs w:val="20"/>
        </w:rPr>
        <w:t>: Victoria, 20</w:t>
      </w:r>
      <w:r>
        <w:rPr>
          <w:color w:val="7F7F7F" w:themeColor="text1" w:themeTint="80"/>
          <w:sz w:val="20"/>
          <w:szCs w:val="20"/>
        </w:rPr>
        <w:t>20</w:t>
      </w:r>
      <w:r w:rsidRPr="000F0801">
        <w:rPr>
          <w:color w:val="7F7F7F" w:themeColor="text1" w:themeTint="80"/>
          <w:sz w:val="20"/>
          <w:szCs w:val="20"/>
        </w:rPr>
        <w:t xml:space="preserve"> </w:t>
      </w:r>
      <w:r>
        <w:rPr>
          <w:color w:val="7F7F7F" w:themeColor="text1" w:themeTint="80"/>
          <w:sz w:val="20"/>
          <w:szCs w:val="20"/>
        </w:rPr>
        <w:t>Population Health Survey</w:t>
      </w:r>
    </w:p>
    <w:p w14:paraId="638B2893" w14:textId="77777777" w:rsidR="00E23EBF" w:rsidRDefault="00E23EBF" w:rsidP="00E23EBF">
      <w:pPr>
        <w:spacing w:after="0"/>
        <w:jc w:val="both"/>
        <w:rPr>
          <w:sz w:val="10"/>
          <w:szCs w:val="10"/>
        </w:rPr>
      </w:pPr>
    </w:p>
    <w:p w14:paraId="6CA07441" w14:textId="77777777" w:rsidR="00E23EBF" w:rsidRDefault="00E23EBF" w:rsidP="00E23EBF">
      <w:pPr>
        <w:spacing w:after="0"/>
        <w:jc w:val="both"/>
        <w:rPr>
          <w:sz w:val="10"/>
          <w:szCs w:val="10"/>
        </w:rPr>
      </w:pPr>
    </w:p>
    <w:p w14:paraId="6298CE2F" w14:textId="77777777" w:rsidR="00E23EBF" w:rsidRDefault="00E23EBF" w:rsidP="00E23EBF">
      <w:pPr>
        <w:spacing w:after="0" w:line="360" w:lineRule="auto"/>
        <w:jc w:val="both"/>
      </w:pPr>
      <w:r w:rsidRPr="00110829">
        <w:lastRenderedPageBreak/>
        <w:t xml:space="preserve">The prevalence of food </w:t>
      </w:r>
      <w:r>
        <w:t>insecurity with hunger was</w:t>
      </w:r>
      <w:r w:rsidRPr="00110829">
        <w:t xml:space="preserve"> higher among younger people, </w:t>
      </w:r>
      <w:r>
        <w:t>declining</w:t>
      </w:r>
      <w:r w:rsidRPr="00110829">
        <w:t xml:space="preserve"> from 6% among 18-24 year</w:t>
      </w:r>
      <w:r>
        <w:t>-</w:t>
      </w:r>
      <w:r w:rsidRPr="00110829">
        <w:t xml:space="preserve">olds to </w:t>
      </w:r>
      <w:r>
        <w:t>just over 1</w:t>
      </w:r>
      <w:r w:rsidRPr="00110829">
        <w:t xml:space="preserve">% among people aged 65 year or more. </w:t>
      </w:r>
    </w:p>
    <w:p w14:paraId="1B2AC28F" w14:textId="77777777" w:rsidR="00E23EBF" w:rsidRPr="003F1B50" w:rsidRDefault="00E23EBF" w:rsidP="00E23EBF">
      <w:pPr>
        <w:spacing w:after="0" w:line="360" w:lineRule="auto"/>
        <w:jc w:val="both"/>
        <w:rPr>
          <w:sz w:val="10"/>
          <w:szCs w:val="10"/>
        </w:rPr>
      </w:pPr>
      <w:r>
        <w:t>Within Greater Dandenong, 4.3% of survey respondents reported the experience of such food insecurity.</w:t>
      </w:r>
    </w:p>
    <w:p w14:paraId="2D044173" w14:textId="72E283EE" w:rsidR="00E23EBF" w:rsidRDefault="00E23EBF" w:rsidP="00E23EBF">
      <w:pPr>
        <w:spacing w:after="0"/>
        <w:jc w:val="both"/>
        <w:rPr>
          <w:sz w:val="12"/>
          <w:szCs w:val="12"/>
        </w:rPr>
      </w:pPr>
      <w:r>
        <w:rPr>
          <w:noProof/>
          <w:lang w:val="en-US"/>
        </w:rPr>
        <w:drawing>
          <wp:anchor distT="0" distB="0" distL="114300" distR="114300" simplePos="0" relativeHeight="252000256" behindDoc="0" locked="0" layoutInCell="1" allowOverlap="1" wp14:anchorId="018E45FA" wp14:editId="4A1F48C8">
            <wp:simplePos x="0" y="0"/>
            <wp:positionH relativeFrom="margin">
              <wp:align>left</wp:align>
            </wp:positionH>
            <wp:positionV relativeFrom="paragraph">
              <wp:posOffset>36830</wp:posOffset>
            </wp:positionV>
            <wp:extent cx="2919730" cy="2261870"/>
            <wp:effectExtent l="0" t="0" r="0" b="5080"/>
            <wp:wrapSquare wrapText="bothSides"/>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2924928" cy="2265890"/>
                    </a:xfrm>
                    <a:prstGeom prst="rect">
                      <a:avLst/>
                    </a:prstGeom>
                    <a:noFill/>
                  </pic:spPr>
                </pic:pic>
              </a:graphicData>
            </a:graphic>
            <wp14:sizeRelH relativeFrom="margin">
              <wp14:pctWidth>0</wp14:pctWidth>
            </wp14:sizeRelH>
            <wp14:sizeRelV relativeFrom="margin">
              <wp14:pctHeight>0</wp14:pctHeight>
            </wp14:sizeRelV>
          </wp:anchor>
        </w:drawing>
      </w:r>
    </w:p>
    <w:p w14:paraId="174FA6DB" w14:textId="77777777" w:rsidR="00E23EBF" w:rsidRDefault="00E23EBF" w:rsidP="00E23EBF">
      <w:pPr>
        <w:spacing w:after="0"/>
        <w:jc w:val="both"/>
        <w:rPr>
          <w:sz w:val="12"/>
          <w:szCs w:val="12"/>
        </w:rPr>
      </w:pPr>
      <w:r w:rsidRPr="000F0801">
        <w:rPr>
          <w:color w:val="7F7F7F" w:themeColor="text1" w:themeTint="80"/>
          <w:sz w:val="20"/>
          <w:szCs w:val="20"/>
        </w:rPr>
        <w:t xml:space="preserve">Prevalence of Food Insecurity by </w:t>
      </w:r>
      <w:r>
        <w:rPr>
          <w:color w:val="7F7F7F" w:themeColor="text1" w:themeTint="80"/>
          <w:sz w:val="20"/>
          <w:szCs w:val="20"/>
        </w:rPr>
        <w:t>Annual Household Income</w:t>
      </w:r>
      <w:r w:rsidRPr="000F0801">
        <w:rPr>
          <w:color w:val="7F7F7F" w:themeColor="text1" w:themeTint="80"/>
          <w:sz w:val="20"/>
          <w:szCs w:val="20"/>
        </w:rPr>
        <w:t xml:space="preserve">: Victoria, 2014 </w:t>
      </w:r>
      <w:r>
        <w:rPr>
          <w:color w:val="7F7F7F" w:themeColor="text1" w:themeTint="80"/>
          <w:sz w:val="20"/>
          <w:szCs w:val="20"/>
        </w:rPr>
        <w:t>(Victorian Population Health Survey)</w:t>
      </w:r>
    </w:p>
    <w:p w14:paraId="65C0DD5F" w14:textId="77777777" w:rsidR="00E23EBF" w:rsidRDefault="00E23EBF" w:rsidP="00E23EBF">
      <w:pPr>
        <w:spacing w:after="0"/>
        <w:jc w:val="both"/>
        <w:rPr>
          <w:sz w:val="12"/>
          <w:szCs w:val="12"/>
        </w:rPr>
      </w:pPr>
    </w:p>
    <w:p w14:paraId="32F98018" w14:textId="395D8D62" w:rsidR="00E23EBF" w:rsidRDefault="00E23EBF" w:rsidP="00E23EBF">
      <w:pPr>
        <w:spacing w:after="0" w:line="360" w:lineRule="auto"/>
        <w:ind w:left="5103"/>
        <w:jc w:val="both"/>
      </w:pPr>
      <w:r>
        <w:rPr>
          <w:noProof/>
          <w:sz w:val="12"/>
          <w:szCs w:val="12"/>
          <w:lang w:val="en-US"/>
        </w:rPr>
        <w:drawing>
          <wp:anchor distT="0" distB="0" distL="114300" distR="114300" simplePos="0" relativeHeight="252001280" behindDoc="0" locked="0" layoutInCell="1" allowOverlap="1" wp14:anchorId="2D380D01" wp14:editId="11D5C19C">
            <wp:simplePos x="0" y="0"/>
            <wp:positionH relativeFrom="margin">
              <wp:align>left</wp:align>
            </wp:positionH>
            <wp:positionV relativeFrom="paragraph">
              <wp:posOffset>1755465</wp:posOffset>
            </wp:positionV>
            <wp:extent cx="3108960" cy="2118995"/>
            <wp:effectExtent l="0" t="0" r="0" b="0"/>
            <wp:wrapSquare wrapText="bothSides"/>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3108960" cy="2118995"/>
                    </a:xfrm>
                    <a:prstGeom prst="rect">
                      <a:avLst/>
                    </a:prstGeom>
                    <a:noFill/>
                  </pic:spPr>
                </pic:pic>
              </a:graphicData>
            </a:graphic>
            <wp14:sizeRelH relativeFrom="margin">
              <wp14:pctWidth>0</wp14:pctWidth>
            </wp14:sizeRelH>
            <wp14:sizeRelV relativeFrom="margin">
              <wp14:pctHeight>0</wp14:pctHeight>
            </wp14:sizeRelV>
          </wp:anchor>
        </w:drawing>
      </w:r>
      <w:r>
        <w:t xml:space="preserve">In relation to socioeconomic disadvantage, such food insecurity was recorded among 11.9% of unemployed people, compared with 2.5% of those in paid employment; 15.7% of people residing in government-owned accommodation, compared with 2.5% of those who owned or were purchasing their accommodation; and 10.4% of persons in households on annual incomes below $20,000, in contrast to 1.2% of those in households with incomes exceeding $100,000 (Accompanying diagrams). </w:t>
      </w:r>
    </w:p>
    <w:p w14:paraId="28B3F8DA" w14:textId="7CD959F9" w:rsidR="00E23EBF" w:rsidRPr="001552BF" w:rsidRDefault="00E23EBF" w:rsidP="00E23EBF">
      <w:pPr>
        <w:spacing w:after="0" w:line="360" w:lineRule="auto"/>
        <w:jc w:val="both"/>
      </w:pPr>
    </w:p>
    <w:p w14:paraId="1B5E9EC3" w14:textId="4B69AD2C" w:rsidR="00E23EBF" w:rsidRDefault="00E23EBF" w:rsidP="00E23EBF">
      <w:pPr>
        <w:spacing w:after="0"/>
        <w:jc w:val="both"/>
      </w:pPr>
      <w:r w:rsidRPr="000F0801">
        <w:rPr>
          <w:color w:val="7F7F7F" w:themeColor="text1" w:themeTint="80"/>
          <w:sz w:val="20"/>
          <w:szCs w:val="20"/>
        </w:rPr>
        <w:t xml:space="preserve">Prevalence of Food Insecurity by </w:t>
      </w:r>
      <w:r>
        <w:rPr>
          <w:color w:val="7F7F7F" w:themeColor="text1" w:themeTint="80"/>
          <w:sz w:val="20"/>
          <w:szCs w:val="20"/>
        </w:rPr>
        <w:t>Housing Tenure Type</w:t>
      </w:r>
      <w:r w:rsidRPr="000F0801">
        <w:rPr>
          <w:color w:val="7F7F7F" w:themeColor="text1" w:themeTint="80"/>
          <w:sz w:val="20"/>
          <w:szCs w:val="20"/>
        </w:rPr>
        <w:t xml:space="preserve">: Victoria, 2014 </w:t>
      </w:r>
      <w:r>
        <w:rPr>
          <w:color w:val="7F7F7F" w:themeColor="text1" w:themeTint="80"/>
          <w:sz w:val="20"/>
          <w:szCs w:val="20"/>
        </w:rPr>
        <w:t>(Victorian Population Health Survey)</w:t>
      </w:r>
    </w:p>
    <w:p w14:paraId="17FD50F8" w14:textId="77777777" w:rsidR="00E23EBF" w:rsidRDefault="00E23EBF" w:rsidP="00E23EBF">
      <w:pPr>
        <w:spacing w:after="0"/>
        <w:jc w:val="both"/>
        <w:rPr>
          <w:sz w:val="12"/>
          <w:szCs w:val="12"/>
        </w:rPr>
      </w:pPr>
    </w:p>
    <w:p w14:paraId="6C18016C" w14:textId="77777777" w:rsidR="00E23EBF" w:rsidRDefault="00E23EBF" w:rsidP="00E23EBF">
      <w:pPr>
        <w:spacing w:after="0"/>
        <w:jc w:val="both"/>
        <w:rPr>
          <w:sz w:val="12"/>
          <w:szCs w:val="12"/>
        </w:rPr>
      </w:pPr>
    </w:p>
    <w:p w14:paraId="6FFB8970" w14:textId="77777777" w:rsidR="00E23EBF" w:rsidRDefault="00E23EBF" w:rsidP="00E23EBF">
      <w:pPr>
        <w:spacing w:after="0"/>
        <w:jc w:val="both"/>
        <w:rPr>
          <w:sz w:val="12"/>
          <w:szCs w:val="12"/>
        </w:rPr>
      </w:pPr>
    </w:p>
    <w:p w14:paraId="1FD47B9C" w14:textId="77777777" w:rsidR="00E23EBF" w:rsidRDefault="00E23EBF" w:rsidP="00E23EBF">
      <w:pPr>
        <w:spacing w:after="0"/>
        <w:jc w:val="both"/>
        <w:rPr>
          <w:sz w:val="12"/>
          <w:szCs w:val="12"/>
        </w:rPr>
      </w:pPr>
    </w:p>
    <w:p w14:paraId="4042B552" w14:textId="76EC29D5" w:rsidR="00E23EBF" w:rsidRDefault="00E23EBF" w:rsidP="00E23EBF">
      <w:pPr>
        <w:spacing w:after="0"/>
        <w:jc w:val="both"/>
        <w:rPr>
          <w:sz w:val="12"/>
          <w:szCs w:val="12"/>
        </w:rPr>
      </w:pPr>
    </w:p>
    <w:p w14:paraId="5D0DD1A1" w14:textId="77777777" w:rsidR="00FA33DE" w:rsidRDefault="00FA33DE" w:rsidP="00E23EBF">
      <w:pPr>
        <w:spacing w:after="0"/>
        <w:jc w:val="both"/>
        <w:rPr>
          <w:sz w:val="12"/>
          <w:szCs w:val="12"/>
        </w:rPr>
      </w:pPr>
    </w:p>
    <w:p w14:paraId="767B3B6F" w14:textId="77777777" w:rsidR="00E23EBF" w:rsidRPr="00153A02" w:rsidRDefault="00E23EBF" w:rsidP="00E23EBF">
      <w:pPr>
        <w:spacing w:after="0" w:line="360" w:lineRule="auto"/>
        <w:jc w:val="both"/>
        <w:rPr>
          <w:noProof/>
          <w:lang w:val="en-US"/>
        </w:rPr>
      </w:pPr>
      <w:r>
        <w:rPr>
          <w:noProof/>
          <w:sz w:val="12"/>
          <w:szCs w:val="12"/>
          <w:lang w:val="en-US"/>
        </w:rPr>
        <w:drawing>
          <wp:anchor distT="0" distB="0" distL="114300" distR="114300" simplePos="0" relativeHeight="252002304" behindDoc="0" locked="0" layoutInCell="1" allowOverlap="1" wp14:anchorId="7220F4CB" wp14:editId="7345D75E">
            <wp:simplePos x="0" y="0"/>
            <wp:positionH relativeFrom="margin">
              <wp:posOffset>91889</wp:posOffset>
            </wp:positionH>
            <wp:positionV relativeFrom="paragraph">
              <wp:posOffset>4987</wp:posOffset>
            </wp:positionV>
            <wp:extent cx="3838575" cy="2805430"/>
            <wp:effectExtent l="0" t="0" r="9525" b="0"/>
            <wp:wrapSquare wrapText="bothSides"/>
            <wp:docPr id="3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3838575" cy="280543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w:t>The prevalence of food insecurity among selected segments of the community is illustrated at left.</w:t>
      </w:r>
    </w:p>
    <w:p w14:paraId="70A41977" w14:textId="77777777" w:rsidR="00E23EBF" w:rsidRPr="003F1B50" w:rsidRDefault="00E23EBF" w:rsidP="00E23EBF">
      <w:pPr>
        <w:spacing w:after="0" w:line="360" w:lineRule="auto"/>
        <w:jc w:val="both"/>
        <w:rPr>
          <w:noProof/>
          <w:sz w:val="16"/>
          <w:szCs w:val="16"/>
          <w:lang w:val="en-US"/>
        </w:rPr>
      </w:pPr>
    </w:p>
    <w:p w14:paraId="6271EC14" w14:textId="77777777" w:rsidR="00E23EBF" w:rsidRDefault="00E23EBF" w:rsidP="00E23EBF">
      <w:pPr>
        <w:spacing w:after="0"/>
        <w:jc w:val="both"/>
        <w:rPr>
          <w:color w:val="7F7F7F" w:themeColor="text1" w:themeTint="80"/>
          <w:sz w:val="20"/>
          <w:szCs w:val="20"/>
        </w:rPr>
      </w:pPr>
      <w:r w:rsidRPr="00944A71">
        <w:rPr>
          <w:color w:val="7F7F7F" w:themeColor="text1" w:themeTint="80"/>
          <w:sz w:val="20"/>
          <w:szCs w:val="20"/>
        </w:rPr>
        <w:t xml:space="preserve">Prevalence of Food Insecurity by Adults within Selected Segments of the Community: </w:t>
      </w:r>
      <w:r>
        <w:rPr>
          <w:color w:val="7F7F7F" w:themeColor="text1" w:themeTint="80"/>
          <w:sz w:val="20"/>
          <w:szCs w:val="20"/>
        </w:rPr>
        <w:t>Victoria</w:t>
      </w:r>
      <w:r w:rsidRPr="00944A71">
        <w:rPr>
          <w:color w:val="7F7F7F" w:themeColor="text1" w:themeTint="80"/>
          <w:sz w:val="20"/>
          <w:szCs w:val="20"/>
        </w:rPr>
        <w:t>, 2014</w:t>
      </w:r>
      <w:r>
        <w:rPr>
          <w:color w:val="7F7F7F" w:themeColor="text1" w:themeTint="80"/>
          <w:sz w:val="20"/>
          <w:szCs w:val="20"/>
        </w:rPr>
        <w:t xml:space="preserve"> (Victorian Population Health Survey</w:t>
      </w:r>
    </w:p>
    <w:p w14:paraId="477AB33A" w14:textId="77777777" w:rsidR="00E23EBF" w:rsidRPr="00944A71" w:rsidRDefault="00E23EBF" w:rsidP="00E23EBF">
      <w:pPr>
        <w:spacing w:after="0"/>
        <w:jc w:val="both"/>
        <w:rPr>
          <w:color w:val="7F7F7F" w:themeColor="text1" w:themeTint="80"/>
          <w:sz w:val="20"/>
          <w:szCs w:val="20"/>
        </w:rPr>
      </w:pPr>
    </w:p>
    <w:p w14:paraId="493A8A7E" w14:textId="77777777" w:rsidR="00E23EBF" w:rsidRDefault="00E23EBF" w:rsidP="00765198">
      <w:pPr>
        <w:spacing w:after="0" w:line="360" w:lineRule="auto"/>
        <w:jc w:val="both"/>
      </w:pPr>
      <w:r w:rsidRPr="009B356D">
        <w:rPr>
          <w:noProof/>
          <w:lang w:val="en-US"/>
        </w:rPr>
        <w:t>Other evidence</w:t>
      </w:r>
      <w:r>
        <w:rPr>
          <w:noProof/>
          <w:lang w:val="en-US"/>
        </w:rPr>
        <w:t xml:space="preserve"> confirms a</w:t>
      </w:r>
      <w:r w:rsidRPr="009B356D">
        <w:rPr>
          <w:noProof/>
          <w:lang w:val="en-US"/>
        </w:rPr>
        <w:t xml:space="preserve"> </w:t>
      </w:r>
      <w:r>
        <w:rPr>
          <w:noProof/>
          <w:lang w:val="en-US"/>
        </w:rPr>
        <w:t>similarly high</w:t>
      </w:r>
      <w:r w:rsidRPr="009B356D">
        <w:rPr>
          <w:noProof/>
          <w:lang w:val="en-US"/>
        </w:rPr>
        <w:t xml:space="preserve"> prevalence of food insecurity among disadvantaged </w:t>
      </w:r>
      <w:r>
        <w:rPr>
          <w:noProof/>
          <w:lang w:val="en-US"/>
        </w:rPr>
        <w:t>segments of the community.</w:t>
      </w:r>
      <w:r>
        <w:rPr>
          <w:rStyle w:val="FootnoteReference"/>
          <w:noProof/>
          <w:lang w:val="en-US"/>
        </w:rPr>
        <w:footnoteReference w:id="33"/>
      </w:r>
    </w:p>
    <w:p w14:paraId="7127C6CF" w14:textId="77777777" w:rsidR="00765198" w:rsidRPr="00A3419A" w:rsidRDefault="00765198" w:rsidP="00A3419A">
      <w:pPr>
        <w:pBdr>
          <w:top w:val="single" w:sz="4" w:space="1" w:color="auto"/>
          <w:bottom w:val="single" w:sz="4" w:space="1" w:color="auto"/>
        </w:pBdr>
        <w:tabs>
          <w:tab w:val="center" w:pos="4678"/>
        </w:tabs>
        <w:jc w:val="center"/>
        <w:rPr>
          <w:rFonts w:ascii="Calibri" w:eastAsia="Times New Roman" w:hAnsi="Calibri"/>
          <w:noProof/>
          <w:sz w:val="32"/>
          <w:szCs w:val="32"/>
          <w:lang w:val="en-US"/>
        </w:rPr>
      </w:pPr>
      <w:r w:rsidRPr="00A3419A">
        <w:rPr>
          <w:rFonts w:ascii="Calibri" w:eastAsia="Times New Roman" w:hAnsi="Calibri"/>
          <w:noProof/>
          <w:sz w:val="32"/>
          <w:szCs w:val="32"/>
          <w:lang w:val="en-US"/>
        </w:rPr>
        <w:lastRenderedPageBreak/>
        <w:t>Diabetes Mellitus</w:t>
      </w:r>
    </w:p>
    <w:p w14:paraId="1E02DC07" w14:textId="77777777" w:rsidR="00765198" w:rsidRDefault="00765198" w:rsidP="00765198">
      <w:pPr>
        <w:spacing w:after="0"/>
        <w:jc w:val="both"/>
        <w:rPr>
          <w:rFonts w:ascii="Calibri" w:hAnsi="Calibri"/>
          <w:sz w:val="12"/>
          <w:szCs w:val="12"/>
          <w:lang w:val="en-US"/>
        </w:rPr>
      </w:pPr>
    </w:p>
    <w:p w14:paraId="2FAFDA44" w14:textId="77777777" w:rsidR="00FA33DE" w:rsidRDefault="00FA33DE" w:rsidP="00765198">
      <w:pPr>
        <w:spacing w:after="0"/>
        <w:jc w:val="both"/>
        <w:rPr>
          <w:rFonts w:ascii="Calibri" w:hAnsi="Calibri"/>
          <w:sz w:val="12"/>
          <w:szCs w:val="12"/>
          <w:lang w:val="en-US"/>
        </w:rPr>
      </w:pPr>
    </w:p>
    <w:p w14:paraId="48C6F4C1" w14:textId="77777777" w:rsidR="00FA33DE" w:rsidRDefault="00FA33DE" w:rsidP="00765198">
      <w:pPr>
        <w:spacing w:after="0"/>
        <w:jc w:val="both"/>
        <w:rPr>
          <w:rFonts w:ascii="Calibri" w:hAnsi="Calibri"/>
          <w:sz w:val="12"/>
          <w:szCs w:val="12"/>
          <w:lang w:val="en-US"/>
        </w:rPr>
      </w:pPr>
    </w:p>
    <w:p w14:paraId="6EBFB083" w14:textId="08553B0C" w:rsidR="00765198" w:rsidRPr="002C4D89" w:rsidRDefault="00765198" w:rsidP="00765198">
      <w:pPr>
        <w:spacing w:after="0"/>
        <w:jc w:val="both"/>
        <w:rPr>
          <w:rFonts w:ascii="Calibri" w:hAnsi="Calibri"/>
          <w:sz w:val="12"/>
          <w:szCs w:val="12"/>
          <w:lang w:val="en-US"/>
        </w:rPr>
      </w:pPr>
      <w:r w:rsidRPr="009F03DC">
        <w:rPr>
          <w:rFonts w:ascii="Calibri" w:hAnsi="Calibri"/>
          <w:noProof/>
          <w:lang w:eastAsia="en-AU"/>
        </w:rPr>
        <w:drawing>
          <wp:anchor distT="0" distB="0" distL="114300" distR="114300" simplePos="0" relativeHeight="252007424" behindDoc="1" locked="0" layoutInCell="1" allowOverlap="1" wp14:anchorId="0702C3D9" wp14:editId="10200977">
            <wp:simplePos x="0" y="0"/>
            <wp:positionH relativeFrom="column">
              <wp:posOffset>4251960</wp:posOffset>
            </wp:positionH>
            <wp:positionV relativeFrom="paragraph">
              <wp:posOffset>73025</wp:posOffset>
            </wp:positionV>
            <wp:extent cx="1917065" cy="1297305"/>
            <wp:effectExtent l="0" t="0" r="6985" b="0"/>
            <wp:wrapTight wrapText="bothSides">
              <wp:wrapPolygon edited="0">
                <wp:start x="859" y="0"/>
                <wp:lineTo x="0" y="634"/>
                <wp:lineTo x="0" y="20617"/>
                <wp:lineTo x="644" y="21251"/>
                <wp:lineTo x="859" y="21251"/>
                <wp:lineTo x="20605" y="21251"/>
                <wp:lineTo x="20820" y="21251"/>
                <wp:lineTo x="21464" y="20617"/>
                <wp:lineTo x="21464" y="634"/>
                <wp:lineTo x="20605" y="0"/>
                <wp:lineTo x="859" y="0"/>
              </wp:wrapPolygon>
            </wp:wrapTight>
            <wp:docPr id="164" name="Picture 55" descr="Diabe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iabetes"/>
                    <pic:cNvPicPr>
                      <a:picLocks noChangeAspect="1" noChangeArrowheads="1"/>
                    </pic:cNvPicPr>
                  </pic:nvPicPr>
                  <pic:blipFill>
                    <a:blip r:embed="rId296" cstate="print"/>
                    <a:srcRect/>
                    <a:stretch>
                      <a:fillRect/>
                    </a:stretch>
                  </pic:blipFill>
                  <pic:spPr bwMode="auto">
                    <a:xfrm>
                      <a:off x="0" y="0"/>
                      <a:ext cx="1917065" cy="12973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AE385BA" w14:textId="77777777" w:rsidR="00765198" w:rsidRDefault="00765198" w:rsidP="00765198">
      <w:pPr>
        <w:spacing w:after="0" w:line="360" w:lineRule="auto"/>
        <w:jc w:val="both"/>
        <w:rPr>
          <w:rFonts w:ascii="Calibri" w:hAnsi="Calibri"/>
        </w:rPr>
      </w:pPr>
      <w:r w:rsidRPr="009E2822">
        <w:rPr>
          <w:rFonts w:ascii="Calibri" w:hAnsi="Calibri"/>
        </w:rPr>
        <w:t>Diabetes mellitus is a condition characterized by high blood sugar. There are two major types of diabetes. Type 1, otherwise known as ‘juvenile onset’ or ‘insulin-dependent’ diabetes, generally appears during pubescence and is usually manag</w:t>
      </w:r>
      <w:r>
        <w:rPr>
          <w:rFonts w:ascii="Calibri" w:hAnsi="Calibri"/>
        </w:rPr>
        <w:t>ed by insulin injection. A</w:t>
      </w:r>
      <w:r w:rsidRPr="009E2822">
        <w:rPr>
          <w:rFonts w:ascii="Calibri" w:hAnsi="Calibri"/>
        </w:rPr>
        <w:t>ccount</w:t>
      </w:r>
      <w:r>
        <w:rPr>
          <w:rFonts w:ascii="Calibri" w:hAnsi="Calibri"/>
        </w:rPr>
        <w:t>ing</w:t>
      </w:r>
      <w:r w:rsidRPr="009E2822">
        <w:rPr>
          <w:rFonts w:ascii="Calibri" w:hAnsi="Calibri"/>
        </w:rPr>
        <w:t xml:space="preserve"> for 85% of diabetes mellitus, </w:t>
      </w:r>
      <w:r>
        <w:rPr>
          <w:rFonts w:ascii="Calibri" w:hAnsi="Calibri"/>
        </w:rPr>
        <w:t>Type 2</w:t>
      </w:r>
      <w:r w:rsidRPr="009E2822">
        <w:rPr>
          <w:rFonts w:ascii="Calibri" w:hAnsi="Calibri"/>
        </w:rPr>
        <w:t xml:space="preserve"> or ‘late onset’ diabetes, is most prevalent among people who are overweight, engage in a sedentary lifestyle or have a family history of the disease, and is generally treated with a blend of exercise and dietary modification.</w:t>
      </w:r>
      <w:r>
        <w:rPr>
          <w:rFonts w:ascii="Calibri" w:hAnsi="Calibri"/>
        </w:rPr>
        <w:t xml:space="preserve"> </w:t>
      </w:r>
    </w:p>
    <w:p w14:paraId="158E1F64" w14:textId="77777777" w:rsidR="00765198" w:rsidRPr="00517A21" w:rsidRDefault="00765198" w:rsidP="00FA33DE">
      <w:pPr>
        <w:spacing w:before="360" w:after="0" w:line="360" w:lineRule="auto"/>
        <w:jc w:val="both"/>
        <w:rPr>
          <w:rFonts w:ascii="Calibri" w:hAnsi="Calibri"/>
          <w:b/>
        </w:rPr>
      </w:pPr>
      <w:r w:rsidRPr="00517A21">
        <w:rPr>
          <w:rFonts w:ascii="Calibri" w:hAnsi="Calibri"/>
          <w:b/>
        </w:rPr>
        <w:t>Prevalence</w:t>
      </w:r>
    </w:p>
    <w:p w14:paraId="08570B9C" w14:textId="77777777" w:rsidR="00765198" w:rsidRPr="00E3446B" w:rsidRDefault="00765198" w:rsidP="00765198">
      <w:pPr>
        <w:spacing w:after="0" w:line="360" w:lineRule="auto"/>
        <w:jc w:val="both"/>
      </w:pPr>
      <w:r>
        <w:rPr>
          <w:noProof/>
          <w:lang w:eastAsia="en-AU"/>
        </w:rPr>
        <w:drawing>
          <wp:anchor distT="0" distB="0" distL="114300" distR="114300" simplePos="0" relativeHeight="252008448" behindDoc="0" locked="0" layoutInCell="1" allowOverlap="1" wp14:anchorId="3817E576" wp14:editId="07CAA16F">
            <wp:simplePos x="0" y="0"/>
            <wp:positionH relativeFrom="column">
              <wp:posOffset>2375535</wp:posOffset>
            </wp:positionH>
            <wp:positionV relativeFrom="paragraph">
              <wp:posOffset>10160</wp:posOffset>
            </wp:positionV>
            <wp:extent cx="3676650" cy="2724150"/>
            <wp:effectExtent l="0" t="0" r="0" b="0"/>
            <wp:wrapSquare wrapText="bothSides"/>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3676650" cy="27241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t>The 2018 National Health Survey found that fewer</w:t>
      </w:r>
      <w:r w:rsidRPr="00E3446B">
        <w:t xml:space="preserve"> than 1% </w:t>
      </w:r>
      <w:r>
        <w:t>of</w:t>
      </w:r>
      <w:r w:rsidRPr="00E3446B">
        <w:t xml:space="preserve"> children </w:t>
      </w:r>
      <w:r>
        <w:t>have been diagnosed with diabetes mellitus</w:t>
      </w:r>
      <w:r w:rsidRPr="00E3446B">
        <w:t>,</w:t>
      </w:r>
      <w:r>
        <w:t xml:space="preserve"> a figure which rose</w:t>
      </w:r>
      <w:r w:rsidRPr="00E3446B">
        <w:t xml:space="preserve"> to </w:t>
      </w:r>
      <w:r>
        <w:t>a</w:t>
      </w:r>
      <w:r w:rsidRPr="00E3446B">
        <w:t xml:space="preserve"> peak of 22% among people in older age, before </w:t>
      </w:r>
      <w:r>
        <w:t>diminishing</w:t>
      </w:r>
      <w:r w:rsidRPr="00E3446B">
        <w:t xml:space="preserve"> slightly among those aged 85 years or more.</w:t>
      </w:r>
    </w:p>
    <w:p w14:paraId="0E650FB4" w14:textId="77777777" w:rsidR="00765198" w:rsidRPr="00E3446B" w:rsidRDefault="00765198" w:rsidP="00765198">
      <w:pPr>
        <w:spacing w:after="0" w:line="360" w:lineRule="auto"/>
        <w:jc w:val="both"/>
      </w:pPr>
      <w:r>
        <w:t>From middle age,</w:t>
      </w:r>
      <w:r w:rsidRPr="00345A33">
        <w:t xml:space="preserve"> </w:t>
      </w:r>
      <w:r>
        <w:t xml:space="preserve">the proportion of people with doctor-diagnosed diabetes </w:t>
      </w:r>
      <w:r w:rsidRPr="00E3446B">
        <w:t xml:space="preserve">is </w:t>
      </w:r>
      <w:r>
        <w:t>slightly higher among males</w:t>
      </w:r>
      <w:r w:rsidRPr="00E3446B">
        <w:t>.</w:t>
      </w:r>
    </w:p>
    <w:p w14:paraId="5618306D" w14:textId="77777777" w:rsidR="00765198" w:rsidRDefault="00765198" w:rsidP="00765198">
      <w:pPr>
        <w:spacing w:after="0" w:line="360" w:lineRule="auto"/>
        <w:jc w:val="both"/>
        <w:rPr>
          <w:rFonts w:ascii="Calibri" w:hAnsi="Calibri"/>
        </w:rPr>
      </w:pPr>
      <w:r>
        <w:rPr>
          <w:rFonts w:ascii="Calibri" w:hAnsi="Calibri"/>
        </w:rPr>
        <w:t>The prevalence of diabetes is expected to rise markedly in the future, with research sponsored by the Baker Heart and Diabetes Institute in Melbourne forecasting that 14% the population, or about one in seven Australians, will have the condition by 2050.</w:t>
      </w:r>
    </w:p>
    <w:p w14:paraId="79069CBC" w14:textId="77777777" w:rsidR="00765198" w:rsidRPr="00D57CA1" w:rsidRDefault="00765198" w:rsidP="00FA33DE">
      <w:pPr>
        <w:spacing w:before="360" w:after="0" w:line="360" w:lineRule="auto"/>
        <w:jc w:val="both"/>
        <w:rPr>
          <w:rFonts w:ascii="Calibri" w:hAnsi="Calibri"/>
          <w:b/>
          <w:bCs/>
        </w:rPr>
      </w:pPr>
      <w:r w:rsidRPr="00D57CA1">
        <w:rPr>
          <w:rFonts w:ascii="Calibri" w:hAnsi="Calibri"/>
          <w:b/>
          <w:bCs/>
        </w:rPr>
        <w:t>Local Conditions</w:t>
      </w:r>
    </w:p>
    <w:p w14:paraId="0DB7E205" w14:textId="77777777" w:rsidR="00765198" w:rsidRDefault="00765198" w:rsidP="00765198">
      <w:pPr>
        <w:spacing w:after="0" w:line="360" w:lineRule="auto"/>
        <w:jc w:val="both"/>
        <w:rPr>
          <w:rFonts w:ascii="Calibri" w:hAnsi="Calibri"/>
        </w:rPr>
      </w:pPr>
      <w:r>
        <w:rPr>
          <w:rFonts w:ascii="Calibri" w:hAnsi="Calibri"/>
        </w:rPr>
        <w:t>T</w:t>
      </w:r>
      <w:r w:rsidRPr="00C65A64">
        <w:rPr>
          <w:rFonts w:ascii="Calibri" w:hAnsi="Calibri"/>
        </w:rPr>
        <w:t xml:space="preserve">he 2021 Census found that </w:t>
      </w:r>
      <w:r>
        <w:rPr>
          <w:rFonts w:ascii="Calibri" w:hAnsi="Calibri"/>
        </w:rPr>
        <w:t xml:space="preserve">approximately 9,700 people, or </w:t>
      </w:r>
      <w:r w:rsidRPr="00C65A64">
        <w:rPr>
          <w:rFonts w:ascii="Calibri" w:hAnsi="Calibri"/>
        </w:rPr>
        <w:t>6.6% of</w:t>
      </w:r>
      <w:r>
        <w:rPr>
          <w:rFonts w:ascii="Calibri" w:hAnsi="Calibri"/>
        </w:rPr>
        <w:t xml:space="preserve"> </w:t>
      </w:r>
      <w:r w:rsidRPr="00C65A64">
        <w:rPr>
          <w:rFonts w:ascii="Calibri" w:hAnsi="Calibri"/>
        </w:rPr>
        <w:t>Greater Dandenong residents</w:t>
      </w:r>
      <w:r>
        <w:rPr>
          <w:rFonts w:ascii="Calibri" w:hAnsi="Calibri"/>
        </w:rPr>
        <w:t>,</w:t>
      </w:r>
      <w:r w:rsidRPr="00C65A64">
        <w:rPr>
          <w:rFonts w:ascii="Calibri" w:hAnsi="Calibri"/>
        </w:rPr>
        <w:t xml:space="preserve"> including similar proportions of women and men</w:t>
      </w:r>
      <w:r>
        <w:rPr>
          <w:rFonts w:ascii="Calibri" w:hAnsi="Calibri"/>
        </w:rPr>
        <w:t>,</w:t>
      </w:r>
      <w:r w:rsidRPr="00C65A64">
        <w:rPr>
          <w:rFonts w:ascii="Calibri" w:hAnsi="Calibri"/>
        </w:rPr>
        <w:t xml:space="preserve"> had doctor-diagnosed diabetes mellitus</w:t>
      </w:r>
      <w:r>
        <w:rPr>
          <w:rFonts w:ascii="Calibri" w:hAnsi="Calibri"/>
        </w:rPr>
        <w:t xml:space="preserve"> – slightly higher than the Victorian prevalence of 5.5%.</w:t>
      </w:r>
    </w:p>
    <w:p w14:paraId="626687E5" w14:textId="77777777" w:rsidR="00765198" w:rsidRPr="00A5248F" w:rsidRDefault="00765198" w:rsidP="00765198">
      <w:pPr>
        <w:spacing w:after="0" w:line="360" w:lineRule="auto"/>
        <w:jc w:val="both"/>
        <w:rPr>
          <w:rFonts w:ascii="Calibri" w:hAnsi="Calibri"/>
        </w:rPr>
      </w:pPr>
      <w:r>
        <w:rPr>
          <w:rFonts w:ascii="Calibri" w:hAnsi="Calibri"/>
        </w:rPr>
        <w:t xml:space="preserve">A local measure of the prevalence of diabetes mellitus was furnished by the </w:t>
      </w:r>
      <w:r w:rsidRPr="006F78F3">
        <w:rPr>
          <w:rFonts w:ascii="Calibri" w:hAnsi="Calibri"/>
        </w:rPr>
        <w:t xml:space="preserve">Australian National Data Service </w:t>
      </w:r>
      <w:r>
        <w:rPr>
          <w:rFonts w:ascii="Calibri" w:hAnsi="Calibri"/>
        </w:rPr>
        <w:t>in 2017</w:t>
      </w:r>
      <w:r w:rsidRPr="006F78F3">
        <w:rPr>
          <w:rFonts w:ascii="Calibri" w:hAnsi="Calibri"/>
        </w:rPr>
        <w:t>,</w:t>
      </w:r>
      <w:r>
        <w:rPr>
          <w:rFonts w:ascii="Calibri" w:hAnsi="Calibri"/>
        </w:rPr>
        <w:t xml:space="preserve"> which estimated that 6.3% of Greater Dandenong respondents aged 25-64 years had diagnosed diabetes, nearly double the average of 3.7 among Victorian municipalities.</w:t>
      </w:r>
    </w:p>
    <w:p w14:paraId="6D57F380" w14:textId="77777777" w:rsidR="00FA33DE" w:rsidRDefault="00FA33DE">
      <w:pPr>
        <w:rPr>
          <w:rFonts w:ascii="Calibri" w:hAnsi="Calibri"/>
        </w:rPr>
      </w:pPr>
      <w:r>
        <w:rPr>
          <w:rFonts w:ascii="Calibri" w:hAnsi="Calibri"/>
        </w:rPr>
        <w:br w:type="page"/>
      </w:r>
    </w:p>
    <w:p w14:paraId="1278513C" w14:textId="248715B1" w:rsidR="00765198" w:rsidRDefault="00765198" w:rsidP="00765198">
      <w:pPr>
        <w:spacing w:after="0" w:line="360" w:lineRule="auto"/>
        <w:jc w:val="both"/>
        <w:rPr>
          <w:rFonts w:ascii="Calibri" w:hAnsi="Calibri"/>
        </w:rPr>
      </w:pPr>
      <w:r>
        <w:rPr>
          <w:rFonts w:ascii="Calibri" w:hAnsi="Calibri"/>
        </w:rPr>
        <w:lastRenderedPageBreak/>
        <w:t>The Service determined that diabetes was most prevalent among people:</w:t>
      </w:r>
    </w:p>
    <w:p w14:paraId="2CD113A2" w14:textId="77777777" w:rsidR="00765198" w:rsidRDefault="00765198" w:rsidP="00765198">
      <w:pPr>
        <w:numPr>
          <w:ilvl w:val="0"/>
          <w:numId w:val="3"/>
        </w:numPr>
        <w:spacing w:before="120" w:after="0" w:line="240" w:lineRule="auto"/>
        <w:ind w:left="425" w:hanging="357"/>
        <w:jc w:val="both"/>
        <w:rPr>
          <w:rFonts w:ascii="Calibri" w:hAnsi="Calibri"/>
        </w:rPr>
      </w:pPr>
      <w:r>
        <w:rPr>
          <w:rFonts w:ascii="Calibri" w:hAnsi="Calibri"/>
        </w:rPr>
        <w:t>from Europe (15%);</w:t>
      </w:r>
    </w:p>
    <w:p w14:paraId="6BEB0777" w14:textId="77777777" w:rsidR="00765198" w:rsidRDefault="00765198" w:rsidP="00765198">
      <w:pPr>
        <w:numPr>
          <w:ilvl w:val="0"/>
          <w:numId w:val="3"/>
        </w:numPr>
        <w:spacing w:before="120" w:after="0" w:line="240" w:lineRule="auto"/>
        <w:ind w:left="425" w:hanging="357"/>
        <w:jc w:val="both"/>
        <w:rPr>
          <w:rFonts w:ascii="Calibri" w:hAnsi="Calibri"/>
        </w:rPr>
      </w:pPr>
      <w:r>
        <w:rPr>
          <w:rFonts w:ascii="Calibri" w:hAnsi="Calibri"/>
        </w:rPr>
        <w:t xml:space="preserve">on the lowest 20% of incomes (5.9%, compared with 2.6% of those on the higher 20% of incomes); and </w:t>
      </w:r>
    </w:p>
    <w:p w14:paraId="328A435D" w14:textId="77777777" w:rsidR="00765198" w:rsidRDefault="00765198" w:rsidP="00765198">
      <w:pPr>
        <w:numPr>
          <w:ilvl w:val="0"/>
          <w:numId w:val="3"/>
        </w:numPr>
        <w:spacing w:before="120" w:after="0" w:line="240" w:lineRule="auto"/>
        <w:ind w:left="425" w:hanging="357"/>
        <w:jc w:val="both"/>
        <w:rPr>
          <w:rFonts w:ascii="Calibri" w:hAnsi="Calibri"/>
        </w:rPr>
      </w:pPr>
      <w:r>
        <w:rPr>
          <w:rFonts w:ascii="Calibri" w:hAnsi="Calibri"/>
        </w:rPr>
        <w:t>with more limited education (8.1% of people with year 10, compared with 2.8% with year 12).</w:t>
      </w:r>
    </w:p>
    <w:p w14:paraId="7D47063F" w14:textId="77777777" w:rsidR="00765198" w:rsidRDefault="00765198" w:rsidP="00765198">
      <w:pPr>
        <w:spacing w:after="0"/>
        <w:ind w:left="68"/>
        <w:jc w:val="both"/>
        <w:rPr>
          <w:rFonts w:ascii="Calibri" w:hAnsi="Calibri"/>
        </w:rPr>
      </w:pPr>
    </w:p>
    <w:p w14:paraId="28C79952" w14:textId="77777777" w:rsidR="00765198" w:rsidRDefault="00765198" w:rsidP="00765198">
      <w:pPr>
        <w:spacing w:after="0" w:line="360" w:lineRule="auto"/>
        <w:jc w:val="both"/>
        <w:rPr>
          <w:rFonts w:ascii="Calibri" w:hAnsi="Calibri"/>
        </w:rPr>
      </w:pPr>
      <w:r>
        <w:rPr>
          <w:rFonts w:ascii="Calibri" w:hAnsi="Calibri"/>
          <w:noProof/>
        </w:rPr>
        <w:drawing>
          <wp:anchor distT="0" distB="0" distL="114300" distR="114300" simplePos="0" relativeHeight="252006400" behindDoc="0" locked="0" layoutInCell="1" allowOverlap="1" wp14:anchorId="039FD055" wp14:editId="2507F86A">
            <wp:simplePos x="0" y="0"/>
            <wp:positionH relativeFrom="column">
              <wp:posOffset>1808480</wp:posOffset>
            </wp:positionH>
            <wp:positionV relativeFrom="paragraph">
              <wp:posOffset>22860</wp:posOffset>
            </wp:positionV>
            <wp:extent cx="4309110" cy="2714625"/>
            <wp:effectExtent l="0" t="0" r="0" b="9525"/>
            <wp:wrapSquare wrapText="bothSides"/>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4309110" cy="271462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w:t>The prevalence of diabetes mellitus recorded in the 2021 Census</w:t>
      </w:r>
      <w:r>
        <w:rPr>
          <w:rFonts w:ascii="Calibri" w:hAnsi="Calibri"/>
        </w:rPr>
        <w:t xml:space="preserve"> rose from less than 1% among those aged less than 30 years, to nearly a third (32.2%) among residents aged 80-84 years, before declining among older residents.</w:t>
      </w:r>
    </w:p>
    <w:p w14:paraId="0C51B124" w14:textId="77777777" w:rsidR="00765198" w:rsidRDefault="00765198" w:rsidP="00765198">
      <w:pPr>
        <w:spacing w:after="0" w:line="360" w:lineRule="auto"/>
        <w:jc w:val="both"/>
        <w:rPr>
          <w:rFonts w:ascii="Calibri" w:hAnsi="Calibri"/>
        </w:rPr>
      </w:pPr>
    </w:p>
    <w:p w14:paraId="35055718" w14:textId="77777777" w:rsidR="00765198" w:rsidRPr="00D57CA1" w:rsidRDefault="00765198" w:rsidP="00FA33DE">
      <w:pPr>
        <w:spacing w:after="0" w:line="240" w:lineRule="auto"/>
        <w:jc w:val="both"/>
        <w:rPr>
          <w:rFonts w:ascii="Calibri" w:hAnsi="Calibri"/>
          <w:color w:val="7F7F7F" w:themeColor="text1" w:themeTint="80"/>
          <w:sz w:val="20"/>
          <w:szCs w:val="20"/>
        </w:rPr>
      </w:pPr>
      <w:r w:rsidRPr="00D57CA1">
        <w:rPr>
          <w:rFonts w:ascii="Calibri" w:hAnsi="Calibri"/>
          <w:color w:val="7F7F7F" w:themeColor="text1" w:themeTint="80"/>
          <w:sz w:val="20"/>
          <w:szCs w:val="20"/>
        </w:rPr>
        <w:t>Prevalence of Diabetes Mellitus by Age: Greater Dandenong, 2021</w:t>
      </w:r>
    </w:p>
    <w:p w14:paraId="28EB0338" w14:textId="77777777" w:rsidR="00765198" w:rsidRDefault="00765198" w:rsidP="00765198">
      <w:pPr>
        <w:spacing w:after="0" w:line="360" w:lineRule="auto"/>
        <w:jc w:val="both"/>
        <w:rPr>
          <w:rFonts w:ascii="Calibri" w:hAnsi="Calibri"/>
        </w:rPr>
      </w:pPr>
    </w:p>
    <w:p w14:paraId="5AE74A77" w14:textId="77777777" w:rsidR="00765198" w:rsidRDefault="00765198" w:rsidP="00765198">
      <w:pPr>
        <w:spacing w:after="0" w:line="360" w:lineRule="auto"/>
        <w:jc w:val="both"/>
        <w:rPr>
          <w:rFonts w:ascii="Calibri" w:hAnsi="Calibri"/>
        </w:rPr>
      </w:pPr>
    </w:p>
    <w:p w14:paraId="7620B03D" w14:textId="77777777" w:rsidR="00765198" w:rsidRDefault="00765198" w:rsidP="00765198">
      <w:pPr>
        <w:spacing w:after="0" w:line="360" w:lineRule="auto"/>
        <w:jc w:val="both"/>
        <w:rPr>
          <w:rFonts w:ascii="Calibri" w:hAnsi="Calibri"/>
        </w:rPr>
      </w:pPr>
    </w:p>
    <w:p w14:paraId="5F15FB69" w14:textId="77777777" w:rsidR="00765198" w:rsidRDefault="00765198" w:rsidP="00765198">
      <w:pPr>
        <w:spacing w:after="0" w:line="360" w:lineRule="auto"/>
        <w:jc w:val="both"/>
        <w:rPr>
          <w:rFonts w:ascii="Calibri" w:hAnsi="Calibri"/>
        </w:rPr>
      </w:pPr>
      <w:r>
        <w:rPr>
          <w:rFonts w:ascii="Calibri" w:hAnsi="Calibri"/>
          <w:noProof/>
        </w:rPr>
        <w:drawing>
          <wp:anchor distT="0" distB="0" distL="114300" distR="114300" simplePos="0" relativeHeight="252009472" behindDoc="0" locked="0" layoutInCell="1" allowOverlap="1" wp14:anchorId="3DD1C270" wp14:editId="331D2AEA">
            <wp:simplePos x="0" y="0"/>
            <wp:positionH relativeFrom="column">
              <wp:posOffset>12700</wp:posOffset>
            </wp:positionH>
            <wp:positionV relativeFrom="paragraph">
              <wp:posOffset>191135</wp:posOffset>
            </wp:positionV>
            <wp:extent cx="4380865" cy="2947670"/>
            <wp:effectExtent l="0" t="0" r="635" b="5080"/>
            <wp:wrapSquare wrapText="bothSides"/>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9">
                      <a:extLst>
                        <a:ext uri="{28A0092B-C50C-407E-A947-70E740481C1C}">
                          <a14:useLocalDpi xmlns:a14="http://schemas.microsoft.com/office/drawing/2010/main" val="0"/>
                        </a:ext>
                      </a:extLst>
                    </a:blip>
                    <a:srcRect t="12103"/>
                    <a:stretch/>
                  </pic:blipFill>
                  <pic:spPr bwMode="auto">
                    <a:xfrm>
                      <a:off x="0" y="0"/>
                      <a:ext cx="4380865" cy="2947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5AD0AC" w14:textId="77777777" w:rsidR="00765198" w:rsidRPr="001F7E0A" w:rsidRDefault="00765198" w:rsidP="00765198">
      <w:pPr>
        <w:spacing w:after="0" w:line="360" w:lineRule="auto"/>
        <w:jc w:val="both"/>
        <w:rPr>
          <w:rFonts w:ascii="Calibri" w:hAnsi="Calibri"/>
        </w:rPr>
      </w:pPr>
      <w:r>
        <w:rPr>
          <w:rFonts w:ascii="Calibri" w:hAnsi="Calibri"/>
        </w:rPr>
        <w:t xml:space="preserve">Diabetes also varies with birthplace, among Greater Dandenong residents. </w:t>
      </w:r>
    </w:p>
    <w:p w14:paraId="5C04350B" w14:textId="77777777" w:rsidR="00765198" w:rsidRDefault="00765198" w:rsidP="00765198">
      <w:pPr>
        <w:spacing w:after="0" w:line="360" w:lineRule="auto"/>
        <w:jc w:val="both"/>
        <w:rPr>
          <w:rFonts w:ascii="Calibri" w:hAnsi="Calibri"/>
          <w:sz w:val="8"/>
          <w:szCs w:val="8"/>
        </w:rPr>
      </w:pPr>
    </w:p>
    <w:p w14:paraId="2873C9AE" w14:textId="77777777" w:rsidR="00765198" w:rsidRPr="00481734" w:rsidRDefault="00765198" w:rsidP="00765198">
      <w:pPr>
        <w:spacing w:after="0" w:line="360" w:lineRule="auto"/>
        <w:jc w:val="both"/>
        <w:rPr>
          <w:rFonts w:ascii="Calibri" w:hAnsi="Calibri"/>
          <w:sz w:val="8"/>
          <w:szCs w:val="8"/>
        </w:rPr>
      </w:pPr>
    </w:p>
    <w:p w14:paraId="7D0CD426" w14:textId="77777777" w:rsidR="00765198" w:rsidRPr="00D57CA1" w:rsidRDefault="00765198" w:rsidP="00765198">
      <w:pPr>
        <w:spacing w:after="0"/>
        <w:jc w:val="both"/>
        <w:rPr>
          <w:rFonts w:ascii="Calibri" w:hAnsi="Calibri"/>
          <w:color w:val="7F7F7F" w:themeColor="text1" w:themeTint="80"/>
          <w:sz w:val="20"/>
          <w:szCs w:val="20"/>
        </w:rPr>
      </w:pPr>
      <w:r w:rsidRPr="00D57CA1">
        <w:rPr>
          <w:rFonts w:ascii="Calibri" w:hAnsi="Calibri"/>
          <w:color w:val="7F7F7F" w:themeColor="text1" w:themeTint="80"/>
          <w:sz w:val="20"/>
          <w:szCs w:val="20"/>
        </w:rPr>
        <w:t xml:space="preserve">Prevalence of Diabetes Mellitus by </w:t>
      </w:r>
      <w:r>
        <w:rPr>
          <w:rFonts w:ascii="Calibri" w:hAnsi="Calibri"/>
          <w:color w:val="7F7F7F" w:themeColor="text1" w:themeTint="80"/>
          <w:sz w:val="20"/>
          <w:szCs w:val="20"/>
        </w:rPr>
        <w:t>Birthplace</w:t>
      </w:r>
      <w:r w:rsidRPr="00D57CA1">
        <w:rPr>
          <w:rFonts w:ascii="Calibri" w:hAnsi="Calibri"/>
          <w:color w:val="7F7F7F" w:themeColor="text1" w:themeTint="80"/>
          <w:sz w:val="20"/>
          <w:szCs w:val="20"/>
        </w:rPr>
        <w:t>: Greater Dandenong, 2021</w:t>
      </w:r>
    </w:p>
    <w:p w14:paraId="7033C1FE" w14:textId="77777777" w:rsidR="00765198" w:rsidRDefault="00765198" w:rsidP="00765198">
      <w:pPr>
        <w:spacing w:after="0" w:line="360" w:lineRule="auto"/>
        <w:jc w:val="both"/>
        <w:rPr>
          <w:rFonts w:ascii="Calibri" w:hAnsi="Calibri"/>
          <w:sz w:val="8"/>
          <w:szCs w:val="8"/>
        </w:rPr>
      </w:pPr>
    </w:p>
    <w:p w14:paraId="0CA627C9" w14:textId="77777777" w:rsidR="00765198" w:rsidRPr="00481734" w:rsidRDefault="00765198" w:rsidP="00765198">
      <w:pPr>
        <w:spacing w:after="0" w:line="360" w:lineRule="auto"/>
        <w:jc w:val="both"/>
        <w:rPr>
          <w:rFonts w:ascii="Calibri" w:hAnsi="Calibri"/>
          <w:sz w:val="8"/>
          <w:szCs w:val="8"/>
        </w:rPr>
      </w:pPr>
    </w:p>
    <w:p w14:paraId="5D50FCE5" w14:textId="77777777" w:rsidR="00765198" w:rsidRDefault="00765198" w:rsidP="00765198">
      <w:pPr>
        <w:spacing w:after="0" w:line="360" w:lineRule="auto"/>
        <w:jc w:val="both"/>
        <w:rPr>
          <w:rFonts w:ascii="Calibri" w:hAnsi="Calibri"/>
        </w:rPr>
      </w:pPr>
      <w:r>
        <w:rPr>
          <w:rFonts w:ascii="Calibri" w:hAnsi="Calibri"/>
        </w:rPr>
        <w:t>Among the selection of major birthplaces illustrated here, its prevalence swells from 3.5% among Australian-born residents, to over 15% among those born in Italy, Greece, Turkey and Mauritius – partly reflecting the relatively high average age of such residents.</w:t>
      </w:r>
    </w:p>
    <w:p w14:paraId="776A5387" w14:textId="77AE359F" w:rsidR="00765198" w:rsidRDefault="00765198">
      <w:r>
        <w:br w:type="page"/>
      </w:r>
    </w:p>
    <w:p w14:paraId="668475D9" w14:textId="77777777" w:rsidR="00765198" w:rsidRPr="00A3419A" w:rsidRDefault="00765198" w:rsidP="00A3419A">
      <w:pPr>
        <w:pBdr>
          <w:top w:val="single" w:sz="4" w:space="1" w:color="auto"/>
          <w:bottom w:val="single" w:sz="4" w:space="1" w:color="auto"/>
        </w:pBdr>
        <w:tabs>
          <w:tab w:val="center" w:pos="4678"/>
        </w:tabs>
        <w:jc w:val="center"/>
        <w:rPr>
          <w:rFonts w:ascii="Calibri" w:eastAsia="Times New Roman" w:hAnsi="Calibri"/>
          <w:noProof/>
          <w:sz w:val="32"/>
          <w:szCs w:val="32"/>
          <w:lang w:val="en-US"/>
        </w:rPr>
      </w:pPr>
      <w:bookmarkStart w:id="19" w:name="_Hlk346292723"/>
      <w:r w:rsidRPr="00A3419A">
        <w:rPr>
          <w:rFonts w:ascii="Calibri" w:eastAsia="Times New Roman" w:hAnsi="Calibri"/>
          <w:noProof/>
          <w:sz w:val="32"/>
          <w:szCs w:val="32"/>
          <w:lang w:val="en-US"/>
        </w:rPr>
        <w:lastRenderedPageBreak/>
        <w:t>Cancer</w:t>
      </w:r>
    </w:p>
    <w:bookmarkEnd w:id="19"/>
    <w:p w14:paraId="02AA060A" w14:textId="77777777" w:rsidR="00765198" w:rsidRPr="00F86D7B" w:rsidRDefault="00765198" w:rsidP="00765198">
      <w:pPr>
        <w:spacing w:after="0"/>
        <w:jc w:val="both"/>
        <w:rPr>
          <w:rFonts w:ascii="Calibri" w:hAnsi="Calibri"/>
        </w:rPr>
      </w:pPr>
      <w:r>
        <w:rPr>
          <w:rFonts w:ascii="Calibri" w:hAnsi="Calibri"/>
          <w:noProof/>
          <w:lang w:eastAsia="en-AU"/>
        </w:rPr>
        <w:drawing>
          <wp:anchor distT="0" distB="0" distL="114300" distR="114300" simplePos="0" relativeHeight="252011520" behindDoc="0" locked="0" layoutInCell="1" allowOverlap="1" wp14:anchorId="16D6E995" wp14:editId="4DCBB033">
            <wp:simplePos x="0" y="0"/>
            <wp:positionH relativeFrom="column">
              <wp:posOffset>4570095</wp:posOffset>
            </wp:positionH>
            <wp:positionV relativeFrom="paragraph">
              <wp:posOffset>15875</wp:posOffset>
            </wp:positionV>
            <wp:extent cx="1557655" cy="1090295"/>
            <wp:effectExtent l="0" t="0" r="4445" b="0"/>
            <wp:wrapSquare wrapText="bothSides"/>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0" cstate="print">
                      <a:extLst>
                        <a:ext uri="{28A0092B-C50C-407E-A947-70E740481C1C}">
                          <a14:useLocalDpi xmlns:a14="http://schemas.microsoft.com/office/drawing/2010/main" val="0"/>
                        </a:ext>
                      </a:extLst>
                    </a:blip>
                    <a:srcRect l="10244"/>
                    <a:stretch/>
                  </pic:blipFill>
                  <pic:spPr bwMode="auto">
                    <a:xfrm>
                      <a:off x="0" y="0"/>
                      <a:ext cx="1557655" cy="109029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B658F1" w14:textId="77777777" w:rsidR="00765198" w:rsidRDefault="00765198" w:rsidP="00765198">
      <w:pPr>
        <w:spacing w:after="0" w:line="360" w:lineRule="auto"/>
        <w:jc w:val="both"/>
        <w:rPr>
          <w:rFonts w:ascii="Calibri" w:hAnsi="Calibri"/>
        </w:rPr>
      </w:pPr>
      <w:r>
        <w:rPr>
          <w:rFonts w:ascii="Calibri" w:hAnsi="Calibri"/>
        </w:rPr>
        <w:t>Each year</w:t>
      </w:r>
      <w:r w:rsidRPr="00F86D7B">
        <w:rPr>
          <w:rFonts w:ascii="Calibri" w:hAnsi="Calibri"/>
        </w:rPr>
        <w:t>, cancer account</w:t>
      </w:r>
      <w:r>
        <w:rPr>
          <w:rFonts w:ascii="Calibri" w:hAnsi="Calibri"/>
        </w:rPr>
        <w:t>s</w:t>
      </w:r>
      <w:r w:rsidRPr="00F86D7B">
        <w:rPr>
          <w:rFonts w:ascii="Calibri" w:hAnsi="Calibri"/>
        </w:rPr>
        <w:t xml:space="preserve"> for approximately </w:t>
      </w:r>
      <w:r>
        <w:rPr>
          <w:rFonts w:ascii="Calibri" w:hAnsi="Calibri"/>
        </w:rPr>
        <w:t>300</w:t>
      </w:r>
      <w:r w:rsidRPr="00F86D7B">
        <w:rPr>
          <w:rFonts w:ascii="Calibri" w:hAnsi="Calibri"/>
        </w:rPr>
        <w:t xml:space="preserve"> deaths each year within Greater Dandenong </w:t>
      </w:r>
      <w:r>
        <w:rPr>
          <w:rFonts w:ascii="Calibri" w:hAnsi="Calibri"/>
        </w:rPr>
        <w:t>-</w:t>
      </w:r>
      <w:r w:rsidRPr="00F86D7B">
        <w:rPr>
          <w:rFonts w:ascii="Calibri" w:hAnsi="Calibri"/>
        </w:rPr>
        <w:t xml:space="preserve"> </w:t>
      </w:r>
      <w:r>
        <w:rPr>
          <w:rFonts w:ascii="Calibri" w:hAnsi="Calibri"/>
        </w:rPr>
        <w:t>almost a third of all</w:t>
      </w:r>
      <w:r w:rsidRPr="00F86D7B">
        <w:rPr>
          <w:rFonts w:ascii="Calibri" w:hAnsi="Calibri"/>
        </w:rPr>
        <w:t xml:space="preserve"> mortality in this city</w:t>
      </w:r>
      <w:r>
        <w:rPr>
          <w:rStyle w:val="FootnoteReference"/>
          <w:rFonts w:ascii="Calibri" w:hAnsi="Calibri"/>
        </w:rPr>
        <w:footnoteReference w:id="34"/>
      </w:r>
      <w:r w:rsidRPr="00F86D7B">
        <w:rPr>
          <w:rFonts w:ascii="Calibri" w:hAnsi="Calibri"/>
        </w:rPr>
        <w:t xml:space="preserve">. While more detailed information about cancer in this municipality is not at hand, national data </w:t>
      </w:r>
      <w:r>
        <w:rPr>
          <w:rFonts w:ascii="Calibri" w:hAnsi="Calibri"/>
        </w:rPr>
        <w:t>furnishes</w:t>
      </w:r>
      <w:r w:rsidRPr="00F86D7B">
        <w:rPr>
          <w:rFonts w:ascii="Calibri" w:hAnsi="Calibri"/>
        </w:rPr>
        <w:t xml:space="preserve"> </w:t>
      </w:r>
      <w:r>
        <w:rPr>
          <w:rFonts w:ascii="Calibri" w:hAnsi="Calibri"/>
        </w:rPr>
        <w:t>a</w:t>
      </w:r>
      <w:r w:rsidRPr="00F86D7B">
        <w:rPr>
          <w:rFonts w:ascii="Calibri" w:hAnsi="Calibri"/>
        </w:rPr>
        <w:t xml:space="preserve"> glimpse </w:t>
      </w:r>
      <w:r>
        <w:rPr>
          <w:rFonts w:ascii="Calibri" w:hAnsi="Calibri"/>
        </w:rPr>
        <w:t>of likely</w:t>
      </w:r>
      <w:r w:rsidRPr="00F86D7B">
        <w:rPr>
          <w:rFonts w:ascii="Calibri" w:hAnsi="Calibri"/>
        </w:rPr>
        <w:t xml:space="preserve"> </w:t>
      </w:r>
      <w:r>
        <w:rPr>
          <w:rFonts w:ascii="Calibri" w:hAnsi="Calibri"/>
        </w:rPr>
        <w:t>trends</w:t>
      </w:r>
      <w:r w:rsidRPr="00F86D7B">
        <w:rPr>
          <w:rFonts w:ascii="Calibri" w:hAnsi="Calibri"/>
        </w:rPr>
        <w:t xml:space="preserve"> within th</w:t>
      </w:r>
      <w:r>
        <w:rPr>
          <w:rFonts w:ascii="Calibri" w:hAnsi="Calibri"/>
        </w:rPr>
        <w:t>is</w:t>
      </w:r>
      <w:r w:rsidRPr="00F86D7B">
        <w:rPr>
          <w:rFonts w:ascii="Calibri" w:hAnsi="Calibri"/>
        </w:rPr>
        <w:t xml:space="preserve"> community.</w:t>
      </w:r>
    </w:p>
    <w:p w14:paraId="217EEEF2" w14:textId="77777777" w:rsidR="00765198" w:rsidRDefault="00765198" w:rsidP="00765198">
      <w:pPr>
        <w:spacing w:after="0" w:line="360" w:lineRule="auto"/>
        <w:jc w:val="both"/>
        <w:rPr>
          <w:rFonts w:ascii="Calibri" w:hAnsi="Calibri"/>
          <w:b/>
        </w:rPr>
      </w:pPr>
    </w:p>
    <w:p w14:paraId="1DA178C8" w14:textId="77777777" w:rsidR="00765198" w:rsidRPr="00D12346" w:rsidRDefault="00765198" w:rsidP="00765198">
      <w:pPr>
        <w:spacing w:after="0" w:line="360" w:lineRule="auto"/>
        <w:jc w:val="both"/>
        <w:rPr>
          <w:rFonts w:ascii="Calibri" w:hAnsi="Calibri"/>
          <w:b/>
        </w:rPr>
      </w:pPr>
      <w:r w:rsidRPr="00D12346">
        <w:rPr>
          <w:rFonts w:ascii="Calibri" w:hAnsi="Calibri"/>
          <w:b/>
        </w:rPr>
        <w:t>Cancer Diagnosis</w:t>
      </w:r>
    </w:p>
    <w:p w14:paraId="56A35357" w14:textId="77777777" w:rsidR="00765198" w:rsidRPr="005B47FC" w:rsidRDefault="00765198" w:rsidP="00765198">
      <w:pPr>
        <w:spacing w:after="0" w:line="360" w:lineRule="auto"/>
        <w:jc w:val="both"/>
        <w:rPr>
          <w:rFonts w:ascii="Calibri" w:hAnsi="Calibri"/>
        </w:rPr>
      </w:pPr>
      <w:r w:rsidRPr="005B47FC">
        <w:rPr>
          <w:rFonts w:ascii="Calibri" w:hAnsi="Calibri"/>
        </w:rPr>
        <w:t>A substantial proportion of the population will be diagnosed with cancer at some time in their lives, with a half of males and a third of females receiving such a diagnosis by the age of 85</w:t>
      </w:r>
      <w:r>
        <w:rPr>
          <w:rStyle w:val="FootnoteReference"/>
          <w:rFonts w:ascii="Calibri" w:hAnsi="Calibri"/>
        </w:rPr>
        <w:footnoteReference w:id="35"/>
      </w:r>
      <w:r w:rsidRPr="005B47FC">
        <w:rPr>
          <w:rFonts w:ascii="Calibri" w:hAnsi="Calibri"/>
        </w:rPr>
        <w:t xml:space="preserve">. Notably, </w:t>
      </w:r>
      <w:r>
        <w:rPr>
          <w:rFonts w:ascii="Calibri" w:hAnsi="Calibri"/>
        </w:rPr>
        <w:t xml:space="preserve">the Australian Cancer Council reports that </w:t>
      </w:r>
      <w:r w:rsidRPr="005B47FC">
        <w:rPr>
          <w:rFonts w:ascii="Calibri" w:hAnsi="Calibri"/>
        </w:rPr>
        <w:t>socioeconomically disadvantaged localities featured higher rates of diagnosis for many types of cancer, including an incidence at least 50% higher for lung, cervical, liver, head and neck cancers</w:t>
      </w:r>
      <w:r>
        <w:rPr>
          <w:rStyle w:val="FootnoteReference"/>
          <w:rFonts w:ascii="Calibri" w:hAnsi="Calibri"/>
        </w:rPr>
        <w:footnoteReference w:id="36"/>
      </w:r>
    </w:p>
    <w:p w14:paraId="52C123C5" w14:textId="77777777" w:rsidR="00765198" w:rsidRDefault="00765198" w:rsidP="00765198">
      <w:pPr>
        <w:spacing w:after="0" w:line="360" w:lineRule="auto"/>
        <w:jc w:val="both"/>
        <w:rPr>
          <w:rFonts w:ascii="Calibri" w:hAnsi="Calibri"/>
          <w:b/>
          <w:bCs/>
          <w:lang w:val="en-US"/>
        </w:rPr>
      </w:pPr>
    </w:p>
    <w:p w14:paraId="56861D5F" w14:textId="77777777" w:rsidR="00765198" w:rsidRPr="005B47FC" w:rsidRDefault="00765198" w:rsidP="00765198">
      <w:pPr>
        <w:spacing w:after="0" w:line="360" w:lineRule="auto"/>
        <w:jc w:val="both"/>
        <w:rPr>
          <w:rFonts w:ascii="Calibri" w:hAnsi="Calibri"/>
          <w:b/>
          <w:bCs/>
          <w:lang w:val="en-US"/>
        </w:rPr>
      </w:pPr>
      <w:r w:rsidRPr="005B47FC">
        <w:rPr>
          <w:rFonts w:ascii="Calibri" w:hAnsi="Calibri"/>
          <w:b/>
          <w:bCs/>
          <w:lang w:val="en-US"/>
        </w:rPr>
        <w:t>Living with Cancer</w:t>
      </w:r>
    </w:p>
    <w:p w14:paraId="7221B96C" w14:textId="77777777" w:rsidR="00765198" w:rsidRPr="005B47FC" w:rsidRDefault="00765198" w:rsidP="00765198">
      <w:pPr>
        <w:spacing w:after="0" w:line="360" w:lineRule="auto"/>
        <w:jc w:val="both"/>
        <w:rPr>
          <w:rFonts w:ascii="Calibri" w:hAnsi="Calibri"/>
          <w:lang w:val="en-US"/>
        </w:rPr>
      </w:pPr>
      <w:r w:rsidRPr="005B47FC">
        <w:rPr>
          <w:rFonts w:ascii="Calibri" w:hAnsi="Calibri"/>
        </w:rPr>
        <w:t>The 2014/15 Australian Health Survey found that 1.6% of the Australian population (residing outside hospitals, nursing and convalescent homes) had cancer – a proportion which rises with increasing age, from fewer than 1% of people less than 45 years of age, to 7.7% among those aged over 75. A higher proportion of men (1.8%) than women (1.2%) were living with cancer.</w:t>
      </w:r>
      <w:r w:rsidRPr="005B47FC">
        <w:rPr>
          <w:rFonts w:eastAsiaTheme="minorEastAsia" w:hAnsi="Calibri"/>
          <w:color w:val="000000" w:themeColor="text1"/>
          <w:lang w:val="en-GB"/>
        </w:rPr>
        <w:t xml:space="preserve"> </w:t>
      </w:r>
      <w:r w:rsidRPr="005B47FC">
        <w:rPr>
          <w:rFonts w:ascii="Calibri" w:hAnsi="Calibri"/>
          <w:lang w:val="en-GB"/>
        </w:rPr>
        <w:t>Broadly similar findings emerged from the 2021 Census, which</w:t>
      </w:r>
      <w:r>
        <w:rPr>
          <w:rFonts w:ascii="Calibri" w:hAnsi="Calibri"/>
          <w:lang w:val="en-GB"/>
        </w:rPr>
        <w:t>,</w:t>
      </w:r>
      <w:r w:rsidRPr="005B47FC">
        <w:rPr>
          <w:rFonts w:ascii="Calibri" w:hAnsi="Calibri"/>
          <w:lang w:val="en-GB"/>
        </w:rPr>
        <w:t xml:space="preserve"> for the first time, inquired about the prevalence of a range of broad categories of chronic illness among the Australian population. Within Greater Dandenong, 2.1% of residents reported that they were living with cancer, including 1.9% of males and 2.2% of females. The prevalence of cancer among the municipal population rose steeply with age, from 0.2% of persons aged 15-24, to 2.1% of those aged 25-64 years, and 10.9% of people aged 65 years or more</w:t>
      </w:r>
      <w:r>
        <w:rPr>
          <w:rStyle w:val="FootnoteReference"/>
          <w:rFonts w:ascii="Calibri" w:hAnsi="Calibri"/>
          <w:lang w:val="en-GB"/>
        </w:rPr>
        <w:footnoteReference w:id="37"/>
      </w:r>
      <w:r w:rsidRPr="005B47FC">
        <w:rPr>
          <w:rFonts w:ascii="Calibri" w:hAnsi="Calibri"/>
          <w:lang w:val="en-GB"/>
        </w:rPr>
        <w:t xml:space="preserve"> </w:t>
      </w:r>
    </w:p>
    <w:p w14:paraId="12D3645D" w14:textId="77777777" w:rsidR="00765198" w:rsidRDefault="00765198" w:rsidP="00765198">
      <w:pPr>
        <w:spacing w:after="0" w:line="360" w:lineRule="auto"/>
        <w:jc w:val="both"/>
        <w:rPr>
          <w:rFonts w:ascii="Calibri" w:hAnsi="Calibri"/>
          <w:b/>
          <w:bCs/>
          <w:lang w:val="en-US"/>
        </w:rPr>
      </w:pPr>
    </w:p>
    <w:p w14:paraId="52BE0EA3" w14:textId="77777777" w:rsidR="00765198" w:rsidRPr="005B47FC" w:rsidRDefault="00765198" w:rsidP="00765198">
      <w:pPr>
        <w:spacing w:after="0" w:line="360" w:lineRule="auto"/>
        <w:jc w:val="both"/>
        <w:rPr>
          <w:rFonts w:ascii="Calibri" w:hAnsi="Calibri"/>
          <w:b/>
          <w:bCs/>
          <w:lang w:val="en-US"/>
        </w:rPr>
      </w:pPr>
      <w:r w:rsidRPr="005B47FC">
        <w:rPr>
          <w:rFonts w:ascii="Calibri" w:hAnsi="Calibri"/>
          <w:b/>
          <w:bCs/>
          <w:lang w:val="en-US"/>
        </w:rPr>
        <w:t>Mortality</w:t>
      </w:r>
    </w:p>
    <w:p w14:paraId="60446EA9" w14:textId="19727AD1" w:rsidR="00765198" w:rsidRPr="005B47FC" w:rsidRDefault="00765198" w:rsidP="00765198">
      <w:pPr>
        <w:spacing w:after="0" w:line="360" w:lineRule="auto"/>
        <w:jc w:val="both"/>
        <w:rPr>
          <w:rFonts w:ascii="Calibri" w:hAnsi="Calibri"/>
          <w:lang w:val="en-US"/>
        </w:rPr>
      </w:pPr>
      <w:r w:rsidRPr="005B47FC">
        <w:rPr>
          <w:rFonts w:ascii="Calibri" w:hAnsi="Calibri"/>
          <w:lang w:val="en-GB"/>
        </w:rPr>
        <w:t xml:space="preserve">In contrast to the incidence of cancer diagnoses, and proportion of people living with cancer, 50,000 people died in Australia </w:t>
      </w:r>
      <w:r w:rsidR="001E57CD" w:rsidRPr="005B47FC">
        <w:rPr>
          <w:rFonts w:ascii="Calibri" w:hAnsi="Calibri"/>
          <w:lang w:val="en-GB"/>
        </w:rPr>
        <w:t>because of</w:t>
      </w:r>
      <w:r w:rsidRPr="005B47FC">
        <w:rPr>
          <w:rFonts w:ascii="Calibri" w:hAnsi="Calibri"/>
          <w:lang w:val="en-GB"/>
        </w:rPr>
        <w:t xml:space="preserve"> cancer in 2022 - representing a rate of 1.9 deaths per 1,000 persons. It was estimated in that year, that a person in Australia had a 1 in 7 (or 15%) risk of dying from cancer by the age of 85 (1 in 6 or 17% for males and 1 in 8 or 13% for females).</w:t>
      </w:r>
    </w:p>
    <w:p w14:paraId="3C56355E" w14:textId="77777777" w:rsidR="00765198" w:rsidRDefault="00765198" w:rsidP="00765198">
      <w:pPr>
        <w:spacing w:after="0" w:line="360" w:lineRule="auto"/>
        <w:jc w:val="both"/>
        <w:rPr>
          <w:rFonts w:ascii="Calibri" w:hAnsi="Calibri"/>
          <w:lang w:val="en-GB"/>
        </w:rPr>
      </w:pPr>
      <w:r>
        <w:rPr>
          <w:rFonts w:ascii="Calibri" w:hAnsi="Calibri"/>
          <w:noProof/>
          <w:lang w:val="en-US"/>
        </w:rPr>
        <w:lastRenderedPageBreak/>
        <w:drawing>
          <wp:anchor distT="0" distB="0" distL="114300" distR="114300" simplePos="0" relativeHeight="252012544" behindDoc="0" locked="0" layoutInCell="1" allowOverlap="1" wp14:anchorId="1A3381C7" wp14:editId="45065C53">
            <wp:simplePos x="0" y="0"/>
            <wp:positionH relativeFrom="column">
              <wp:posOffset>2099310</wp:posOffset>
            </wp:positionH>
            <wp:positionV relativeFrom="paragraph">
              <wp:posOffset>808355</wp:posOffset>
            </wp:positionV>
            <wp:extent cx="4019550" cy="3637693"/>
            <wp:effectExtent l="0" t="0" r="0" b="1270"/>
            <wp:wrapSquare wrapText="bothSides"/>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4019550" cy="3637693"/>
                    </a:xfrm>
                    <a:prstGeom prst="rect">
                      <a:avLst/>
                    </a:prstGeom>
                    <a:noFill/>
                  </pic:spPr>
                </pic:pic>
              </a:graphicData>
            </a:graphic>
            <wp14:sizeRelH relativeFrom="page">
              <wp14:pctWidth>0</wp14:pctWidth>
            </wp14:sizeRelH>
            <wp14:sizeRelV relativeFrom="page">
              <wp14:pctHeight>0</wp14:pctHeight>
            </wp14:sizeRelV>
          </wp:anchor>
        </w:drawing>
      </w:r>
      <w:r w:rsidRPr="005B47FC">
        <w:rPr>
          <w:rFonts w:ascii="Calibri" w:hAnsi="Calibri"/>
          <w:lang w:val="en-GB"/>
        </w:rPr>
        <w:t>The highest incidence</w:t>
      </w:r>
      <w:r>
        <w:rPr>
          <w:rFonts w:ascii="Calibri" w:hAnsi="Calibri"/>
          <w:lang w:val="en-GB"/>
        </w:rPr>
        <w:t xml:space="preserve">s </w:t>
      </w:r>
      <w:r w:rsidRPr="005B47FC">
        <w:rPr>
          <w:rFonts w:ascii="Calibri" w:hAnsi="Calibri"/>
          <w:lang w:val="en-GB"/>
        </w:rPr>
        <w:t>of cancer</w:t>
      </w:r>
      <w:r>
        <w:rPr>
          <w:rFonts w:ascii="Calibri" w:hAnsi="Calibri"/>
          <w:lang w:val="en-GB"/>
        </w:rPr>
        <w:t xml:space="preserve"> in Australia in</w:t>
      </w:r>
      <w:r w:rsidRPr="005B47FC">
        <w:rPr>
          <w:rFonts w:ascii="Calibri" w:hAnsi="Calibri"/>
          <w:lang w:val="en-GB"/>
        </w:rPr>
        <w:t xml:space="preserve"> 2021, were recorded for cancers of the digestive organs (with a standardized mortality rate, of 149 per 100,000 persons, and accounting for 29% of mortality due to cancer), respiratory organs (8,966), breast, lymphatic tissue, eye and central nervous system, female genital organs and skin</w:t>
      </w:r>
      <w:r>
        <w:rPr>
          <w:rStyle w:val="FootnoteReference"/>
          <w:rFonts w:ascii="Calibri" w:hAnsi="Calibri"/>
          <w:lang w:val="en-GB"/>
        </w:rPr>
        <w:footnoteReference w:id="38"/>
      </w:r>
      <w:r>
        <w:rPr>
          <w:rFonts w:ascii="Calibri" w:hAnsi="Calibri"/>
          <w:lang w:val="en-GB"/>
        </w:rPr>
        <w:t>.</w:t>
      </w:r>
    </w:p>
    <w:p w14:paraId="524A272C" w14:textId="77777777" w:rsidR="00765198" w:rsidRDefault="00765198" w:rsidP="00765198">
      <w:pPr>
        <w:spacing w:after="0" w:line="360" w:lineRule="auto"/>
        <w:jc w:val="both"/>
        <w:rPr>
          <w:rFonts w:ascii="Calibri" w:hAnsi="Calibri"/>
          <w:lang w:val="en-GB"/>
        </w:rPr>
      </w:pPr>
    </w:p>
    <w:p w14:paraId="01CD9C87" w14:textId="77777777" w:rsidR="00765198" w:rsidRPr="005B47FC" w:rsidRDefault="00765198" w:rsidP="00765198">
      <w:pPr>
        <w:spacing w:after="0"/>
        <w:jc w:val="both"/>
        <w:rPr>
          <w:rFonts w:ascii="Calibri" w:hAnsi="Calibri"/>
          <w:color w:val="7F7F7F" w:themeColor="text1" w:themeTint="80"/>
          <w:sz w:val="20"/>
          <w:szCs w:val="20"/>
          <w:lang w:val="en-US"/>
        </w:rPr>
      </w:pPr>
      <w:r w:rsidRPr="005B47FC">
        <w:rPr>
          <w:rFonts w:ascii="Calibri" w:hAnsi="Calibri"/>
          <w:color w:val="7F7F7F" w:themeColor="text1" w:themeTint="80"/>
          <w:sz w:val="20"/>
          <w:szCs w:val="20"/>
          <w:lang w:val="en-GB"/>
        </w:rPr>
        <w:t>Standardized Mortality Rate, per 100,000 persons, by tissue type: Australia, 2022</w:t>
      </w:r>
    </w:p>
    <w:p w14:paraId="47FA9CD7" w14:textId="77777777" w:rsidR="00765198" w:rsidRPr="005B47FC" w:rsidRDefault="00765198" w:rsidP="00765198">
      <w:pPr>
        <w:spacing w:after="0" w:line="360" w:lineRule="auto"/>
        <w:jc w:val="both"/>
        <w:rPr>
          <w:rFonts w:ascii="Calibri" w:hAnsi="Calibri"/>
          <w:lang w:val="en-US"/>
        </w:rPr>
      </w:pPr>
    </w:p>
    <w:p w14:paraId="745FCDFB" w14:textId="77777777" w:rsidR="00765198" w:rsidRPr="005B47FC" w:rsidRDefault="00765198" w:rsidP="00765198">
      <w:pPr>
        <w:spacing w:after="0" w:line="360" w:lineRule="auto"/>
        <w:jc w:val="both"/>
        <w:rPr>
          <w:rFonts w:ascii="Calibri" w:hAnsi="Calibri"/>
          <w:b/>
          <w:bCs/>
          <w:lang w:val="en-US"/>
        </w:rPr>
      </w:pPr>
      <w:r w:rsidRPr="005B47FC">
        <w:rPr>
          <w:rFonts w:ascii="Calibri" w:hAnsi="Calibri"/>
          <w:b/>
          <w:bCs/>
          <w:lang w:val="en-US"/>
        </w:rPr>
        <w:t>Surviving Cancer</w:t>
      </w:r>
    </w:p>
    <w:p w14:paraId="1A6DF9EA" w14:textId="77777777" w:rsidR="00765198" w:rsidRDefault="00765198" w:rsidP="00765198">
      <w:pPr>
        <w:spacing w:after="0" w:line="360" w:lineRule="auto"/>
        <w:jc w:val="both"/>
        <w:rPr>
          <w:rFonts w:ascii="Calibri" w:hAnsi="Calibri"/>
          <w:lang w:val="en-GB"/>
        </w:rPr>
      </w:pPr>
      <w:r w:rsidRPr="005B47FC">
        <w:rPr>
          <w:rFonts w:ascii="Calibri" w:hAnsi="Calibri"/>
          <w:lang w:val="en-GB"/>
        </w:rPr>
        <w:t xml:space="preserve">Conversely, the probability of surviving cancer for </w:t>
      </w:r>
      <w:r>
        <w:rPr>
          <w:rFonts w:ascii="Calibri" w:hAnsi="Calibri"/>
          <w:lang w:val="en-GB"/>
        </w:rPr>
        <w:t>five</w:t>
      </w:r>
      <w:r w:rsidRPr="005B47FC">
        <w:rPr>
          <w:rFonts w:ascii="Calibri" w:hAnsi="Calibri"/>
          <w:lang w:val="en-GB"/>
        </w:rPr>
        <w:t xml:space="preserve"> or more years in Australia is calculated at 70% in 2014-2018 - a figure which has risen from 52% in the period 1989-3. </w:t>
      </w:r>
    </w:p>
    <w:p w14:paraId="081956DC" w14:textId="26C8DF6F" w:rsidR="00765198" w:rsidRDefault="00765198" w:rsidP="00765198">
      <w:pPr>
        <w:spacing w:after="0" w:line="360" w:lineRule="auto"/>
        <w:jc w:val="both"/>
        <w:rPr>
          <w:rFonts w:ascii="Calibri" w:hAnsi="Calibri"/>
          <w:lang w:val="en-GB"/>
        </w:rPr>
      </w:pPr>
      <w:r w:rsidRPr="005B47FC">
        <w:rPr>
          <w:rFonts w:ascii="Calibri" w:hAnsi="Calibri"/>
          <w:lang w:val="en-GB"/>
        </w:rPr>
        <w:t xml:space="preserve">Rates of survival are highest, at 70% or more, for cancers of the colon, rectum, cervix, </w:t>
      </w:r>
      <w:r w:rsidR="001E57CD" w:rsidRPr="005B47FC">
        <w:rPr>
          <w:rFonts w:ascii="Calibri" w:hAnsi="Calibri"/>
          <w:lang w:val="en-GB"/>
        </w:rPr>
        <w:t>uterus,</w:t>
      </w:r>
      <w:r w:rsidRPr="005B47FC">
        <w:rPr>
          <w:rFonts w:ascii="Calibri" w:hAnsi="Calibri"/>
          <w:lang w:val="en-GB"/>
        </w:rPr>
        <w:t xml:space="preserve"> and prostate, as well as melanoma, and lowest for cancers of the liver, lung, pancreas, </w:t>
      </w:r>
      <w:r w:rsidR="001E57CD" w:rsidRPr="005B47FC">
        <w:rPr>
          <w:rFonts w:ascii="Calibri" w:hAnsi="Calibri"/>
          <w:lang w:val="en-GB"/>
        </w:rPr>
        <w:t>brain,</w:t>
      </w:r>
      <w:r w:rsidRPr="005B47FC">
        <w:rPr>
          <w:rFonts w:ascii="Calibri" w:hAnsi="Calibri"/>
          <w:lang w:val="en-GB"/>
        </w:rPr>
        <w:t xml:space="preserve"> and oesophagus, at approximately 20%</w:t>
      </w:r>
      <w:r>
        <w:rPr>
          <w:rStyle w:val="FootnoteReference"/>
          <w:rFonts w:ascii="Calibri" w:hAnsi="Calibri"/>
          <w:lang w:val="en-GB"/>
        </w:rPr>
        <w:footnoteReference w:id="39"/>
      </w:r>
      <w:r>
        <w:rPr>
          <w:rFonts w:ascii="Calibri" w:hAnsi="Calibri"/>
          <w:lang w:val="en-GB"/>
        </w:rPr>
        <w:t>.</w:t>
      </w:r>
    </w:p>
    <w:p w14:paraId="4F25E906" w14:textId="77777777" w:rsidR="00765198" w:rsidRDefault="00765198" w:rsidP="00765198">
      <w:pPr>
        <w:spacing w:after="0" w:line="360" w:lineRule="auto"/>
        <w:jc w:val="both"/>
        <w:rPr>
          <w:rFonts w:ascii="Calibri" w:hAnsi="Calibri"/>
          <w:lang w:val="en-GB"/>
        </w:rPr>
      </w:pPr>
    </w:p>
    <w:p w14:paraId="7C69605F" w14:textId="77777777" w:rsidR="00765198" w:rsidRPr="005B47FC" w:rsidRDefault="00765198" w:rsidP="00765198">
      <w:pPr>
        <w:spacing w:after="0"/>
        <w:jc w:val="both"/>
        <w:rPr>
          <w:rFonts w:ascii="Calibri" w:hAnsi="Calibri"/>
          <w:color w:val="7F7F7F" w:themeColor="text1" w:themeTint="80"/>
          <w:sz w:val="20"/>
          <w:szCs w:val="20"/>
          <w:lang w:val="en-US"/>
        </w:rPr>
      </w:pPr>
      <w:r w:rsidRPr="00FD467A">
        <w:rPr>
          <w:rFonts w:ascii="Calibri" w:hAnsi="Calibri"/>
          <w:color w:val="7F7F7F" w:themeColor="text1" w:themeTint="80"/>
          <w:sz w:val="20"/>
          <w:szCs w:val="20"/>
          <w:lang w:val="en-US"/>
        </w:rPr>
        <w:t>Survival Rates by Selected Cancer Type: Australia, 2021</w:t>
      </w:r>
    </w:p>
    <w:p w14:paraId="71A30A81" w14:textId="77777777" w:rsidR="00765198" w:rsidRPr="00FD467A" w:rsidRDefault="00765198" w:rsidP="00765198">
      <w:pPr>
        <w:spacing w:after="0" w:line="360" w:lineRule="auto"/>
        <w:jc w:val="both"/>
        <w:rPr>
          <w:rFonts w:ascii="Calibri" w:hAnsi="Calibri"/>
          <w:lang w:val="en-US"/>
        </w:rPr>
      </w:pPr>
      <w:r>
        <w:rPr>
          <w:rFonts w:ascii="Calibri" w:hAnsi="Calibri"/>
          <w:noProof/>
          <w:lang w:val="en-US"/>
        </w:rPr>
        <w:drawing>
          <wp:inline distT="0" distB="0" distL="0" distR="0" wp14:anchorId="2010BC5D" wp14:editId="3D16F7F4">
            <wp:extent cx="3990975" cy="2600785"/>
            <wp:effectExtent l="0" t="0" r="0" b="9525"/>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3996192" cy="2604185"/>
                    </a:xfrm>
                    <a:prstGeom prst="rect">
                      <a:avLst/>
                    </a:prstGeom>
                    <a:noFill/>
                  </pic:spPr>
                </pic:pic>
              </a:graphicData>
            </a:graphic>
          </wp:inline>
        </w:drawing>
      </w:r>
    </w:p>
    <w:p w14:paraId="714C04C7" w14:textId="77777777" w:rsidR="00DE7374" w:rsidRDefault="00DE7374" w:rsidP="00765198">
      <w:pPr>
        <w:spacing w:after="0" w:line="360" w:lineRule="auto"/>
      </w:pPr>
    </w:p>
    <w:p w14:paraId="37E26B3E" w14:textId="04390311" w:rsidR="005D7A31" w:rsidRDefault="005D7A31" w:rsidP="00765198">
      <w:pPr>
        <w:spacing w:after="0" w:line="360" w:lineRule="auto"/>
      </w:pPr>
    </w:p>
    <w:p w14:paraId="38E5BDC1" w14:textId="77777777" w:rsidR="00372B83" w:rsidRPr="00372B83" w:rsidRDefault="00372B83" w:rsidP="00372B83">
      <w:pPr>
        <w:pBdr>
          <w:top w:val="single" w:sz="4" w:space="1" w:color="auto"/>
          <w:bottom w:val="single" w:sz="4" w:space="1" w:color="auto"/>
        </w:pBdr>
        <w:tabs>
          <w:tab w:val="center" w:pos="4678"/>
        </w:tabs>
        <w:jc w:val="center"/>
        <w:rPr>
          <w:rFonts w:ascii="Calibri" w:eastAsia="Times New Roman" w:hAnsi="Calibri"/>
          <w:noProof/>
          <w:sz w:val="32"/>
          <w:szCs w:val="32"/>
          <w:lang w:val="en-US"/>
        </w:rPr>
      </w:pPr>
      <w:bookmarkStart w:id="20" w:name="OLE_LINK1"/>
      <w:r w:rsidRPr="00372B83">
        <w:rPr>
          <w:rFonts w:ascii="Calibri" w:eastAsia="Times New Roman" w:hAnsi="Calibri"/>
          <w:noProof/>
          <w:sz w:val="32"/>
          <w:szCs w:val="32"/>
          <w:lang w:val="en-US"/>
        </w:rPr>
        <w:lastRenderedPageBreak/>
        <w:t>Mental Health and Psychological Wellbeing</w:t>
      </w:r>
    </w:p>
    <w:bookmarkEnd w:id="20"/>
    <w:p w14:paraId="60AD6702" w14:textId="77777777" w:rsidR="00372B83" w:rsidRPr="00E732FA" w:rsidRDefault="00372B83" w:rsidP="00372B83">
      <w:pPr>
        <w:spacing w:after="0"/>
        <w:jc w:val="both"/>
        <w:rPr>
          <w:rFonts w:ascii="Calibri" w:hAnsi="Calibri"/>
          <w:sz w:val="8"/>
          <w:szCs w:val="8"/>
        </w:rPr>
      </w:pPr>
      <w:r w:rsidRPr="00083A3E">
        <w:rPr>
          <w:rFonts w:ascii="Calibri" w:hAnsi="Calibri"/>
          <w:b/>
          <w:noProof/>
          <w:lang w:val="en-US"/>
        </w:rPr>
        <w:drawing>
          <wp:anchor distT="0" distB="0" distL="114300" distR="114300" simplePos="0" relativeHeight="252113920" behindDoc="0" locked="0" layoutInCell="1" allowOverlap="1" wp14:anchorId="3C12949D" wp14:editId="2FDC0F72">
            <wp:simplePos x="0" y="0"/>
            <wp:positionH relativeFrom="column">
              <wp:posOffset>-6032</wp:posOffset>
            </wp:positionH>
            <wp:positionV relativeFrom="paragraph">
              <wp:posOffset>57150</wp:posOffset>
            </wp:positionV>
            <wp:extent cx="1085850" cy="1785620"/>
            <wp:effectExtent l="0" t="0" r="0" b="508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4" cstate="print"/>
                    <a:srcRect/>
                    <a:stretch>
                      <a:fillRect/>
                    </a:stretch>
                  </pic:blipFill>
                  <pic:spPr bwMode="auto">
                    <a:xfrm>
                      <a:off x="0" y="0"/>
                      <a:ext cx="1085850" cy="17856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755A605" w14:textId="77777777" w:rsidR="00372B83" w:rsidRDefault="00372B83" w:rsidP="00372B83">
      <w:pPr>
        <w:spacing w:after="0" w:line="360" w:lineRule="auto"/>
        <w:jc w:val="both"/>
        <w:rPr>
          <w:rFonts w:ascii="Calibri" w:hAnsi="Calibri"/>
          <w:b/>
        </w:rPr>
      </w:pPr>
    </w:p>
    <w:p w14:paraId="2BCEF60B" w14:textId="77777777" w:rsidR="00372B83" w:rsidRPr="0091758D" w:rsidRDefault="00372B83" w:rsidP="00372B83">
      <w:pPr>
        <w:spacing w:after="0" w:line="360" w:lineRule="auto"/>
        <w:jc w:val="both"/>
        <w:rPr>
          <w:rFonts w:ascii="Calibri" w:hAnsi="Calibri"/>
          <w:b/>
        </w:rPr>
      </w:pPr>
      <w:r>
        <w:rPr>
          <w:rFonts w:ascii="Calibri" w:hAnsi="Calibri"/>
          <w:b/>
        </w:rPr>
        <w:t>Local Measures</w:t>
      </w:r>
      <w:r w:rsidRPr="0091758D">
        <w:rPr>
          <w:rFonts w:ascii="Calibri" w:hAnsi="Calibri"/>
          <w:b/>
        </w:rPr>
        <w:t xml:space="preserve"> Prevalence of Mental Health </w:t>
      </w:r>
      <w:r>
        <w:rPr>
          <w:rFonts w:ascii="Calibri" w:hAnsi="Calibri"/>
          <w:b/>
        </w:rPr>
        <w:t>Conditions – the 2021 Census</w:t>
      </w:r>
    </w:p>
    <w:p w14:paraId="3DC1D0F3" w14:textId="77777777" w:rsidR="00372B83" w:rsidRPr="00A875A7" w:rsidRDefault="00372B83" w:rsidP="00372B83">
      <w:pPr>
        <w:shd w:val="clear" w:color="auto" w:fill="FFFFFF"/>
        <w:spacing w:after="0" w:line="360" w:lineRule="auto"/>
        <w:jc w:val="both"/>
        <w:rPr>
          <w:lang w:val="en-US"/>
        </w:rPr>
      </w:pPr>
      <w:r>
        <w:rPr>
          <w:lang w:val="en-US"/>
        </w:rPr>
        <w:t>The 2021</w:t>
      </w:r>
      <w:r w:rsidRPr="00A875A7">
        <w:rPr>
          <w:lang w:val="en-US"/>
        </w:rPr>
        <w:t xml:space="preserve"> Census inquired about whether respondents were experiencing any of a selection of major chronic illnesses, including mental conditions</w:t>
      </w:r>
      <w:r>
        <w:rPr>
          <w:lang w:val="en-US"/>
        </w:rPr>
        <w:t>, such as depression, anxiety and others</w:t>
      </w:r>
      <w:r w:rsidRPr="00A875A7">
        <w:rPr>
          <w:lang w:val="en-US"/>
        </w:rPr>
        <w:t xml:space="preserve">. Within Greater Dandenong, mental health conditions were documented among 6.5% of residents, lower than the Victorian figure of 9.5%. </w:t>
      </w:r>
    </w:p>
    <w:p w14:paraId="4F79C2A8" w14:textId="77777777" w:rsidR="00372B83" w:rsidRDefault="00372B83" w:rsidP="00372B83">
      <w:pPr>
        <w:shd w:val="clear" w:color="auto" w:fill="FFFFFF"/>
        <w:spacing w:after="0" w:line="360" w:lineRule="auto"/>
        <w:jc w:val="both"/>
        <w:rPr>
          <w:lang w:val="en-US"/>
        </w:rPr>
      </w:pPr>
    </w:p>
    <w:p w14:paraId="0D2D92B5" w14:textId="77777777" w:rsidR="00372B83" w:rsidRDefault="00372B83" w:rsidP="00372B83">
      <w:pPr>
        <w:shd w:val="clear" w:color="auto" w:fill="FFFFFF"/>
        <w:spacing w:after="0"/>
        <w:jc w:val="both"/>
      </w:pPr>
      <w:r>
        <w:rPr>
          <w:noProof/>
        </w:rPr>
        <w:drawing>
          <wp:anchor distT="0" distB="0" distL="114300" distR="114300" simplePos="0" relativeHeight="252115968" behindDoc="0" locked="0" layoutInCell="1" allowOverlap="1" wp14:anchorId="28495C09" wp14:editId="215C9405">
            <wp:simplePos x="0" y="0"/>
            <wp:positionH relativeFrom="margin">
              <wp:posOffset>1993265</wp:posOffset>
            </wp:positionH>
            <wp:positionV relativeFrom="paragraph">
              <wp:posOffset>15875</wp:posOffset>
            </wp:positionV>
            <wp:extent cx="4135755" cy="2840990"/>
            <wp:effectExtent l="0" t="0" r="0" b="0"/>
            <wp:wrapSquare wrapText="bothSides"/>
            <wp:docPr id="92" name="Picture 9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Chart, bar chart&#10;&#10;Description automatically generated"/>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4135755" cy="2840990"/>
                    </a:xfrm>
                    <a:prstGeom prst="rect">
                      <a:avLst/>
                    </a:prstGeom>
                    <a:noFill/>
                  </pic:spPr>
                </pic:pic>
              </a:graphicData>
            </a:graphic>
            <wp14:sizeRelH relativeFrom="page">
              <wp14:pctWidth>0</wp14:pctWidth>
            </wp14:sizeRelH>
            <wp14:sizeRelV relativeFrom="page">
              <wp14:pctHeight>0</wp14:pctHeight>
            </wp14:sizeRelV>
          </wp:anchor>
        </w:drawing>
      </w:r>
    </w:p>
    <w:p w14:paraId="2861DDE8" w14:textId="77777777" w:rsidR="00372B83" w:rsidRPr="00A875A7" w:rsidRDefault="00372B83" w:rsidP="00372B83">
      <w:pPr>
        <w:shd w:val="clear" w:color="auto" w:fill="FFFFFF"/>
        <w:spacing w:after="0" w:line="360" w:lineRule="auto"/>
        <w:jc w:val="both"/>
        <w:rPr>
          <w:lang w:val="en-US"/>
        </w:rPr>
      </w:pPr>
      <w:r w:rsidRPr="00A875A7">
        <w:rPr>
          <w:lang w:val="en-US"/>
        </w:rPr>
        <w:t xml:space="preserve">Among teenagers and younger adults, the relevance of mental health conditions was approximately twice as high among those in Victoria as for people in Greater Dandenong - a </w:t>
      </w:r>
      <w:r>
        <w:rPr>
          <w:lang w:val="en-US"/>
        </w:rPr>
        <w:t>differences</w:t>
      </w:r>
      <w:r w:rsidRPr="00A875A7">
        <w:rPr>
          <w:lang w:val="en-US"/>
        </w:rPr>
        <w:t xml:space="preserve"> which </w:t>
      </w:r>
      <w:r>
        <w:rPr>
          <w:lang w:val="en-US"/>
        </w:rPr>
        <w:t>declined</w:t>
      </w:r>
      <w:r w:rsidRPr="00A875A7">
        <w:rPr>
          <w:lang w:val="en-US"/>
        </w:rPr>
        <w:t xml:space="preserve"> with age.</w:t>
      </w:r>
    </w:p>
    <w:p w14:paraId="4D8AD0F1" w14:textId="77777777" w:rsidR="00372B83" w:rsidRDefault="00372B83" w:rsidP="00372B83">
      <w:pPr>
        <w:shd w:val="clear" w:color="auto" w:fill="FFFFFF"/>
        <w:spacing w:after="0"/>
        <w:jc w:val="both"/>
      </w:pPr>
    </w:p>
    <w:p w14:paraId="617E8836" w14:textId="77777777" w:rsidR="00372B83" w:rsidRPr="00A875A7" w:rsidRDefault="00372B83" w:rsidP="00372B83">
      <w:pPr>
        <w:shd w:val="clear" w:color="auto" w:fill="FFFFFF"/>
        <w:spacing w:after="0"/>
        <w:jc w:val="both"/>
        <w:rPr>
          <w:color w:val="7F7F7F" w:themeColor="text1" w:themeTint="80"/>
          <w:sz w:val="20"/>
          <w:szCs w:val="20"/>
        </w:rPr>
      </w:pPr>
      <w:r w:rsidRPr="00A875A7">
        <w:rPr>
          <w:color w:val="7F7F7F" w:themeColor="text1" w:themeTint="80"/>
          <w:sz w:val="20"/>
          <w:szCs w:val="20"/>
        </w:rPr>
        <w:t>Prevalence of mental health conditions by age: Greater Dandenong and Victoria, 2021</w:t>
      </w:r>
    </w:p>
    <w:p w14:paraId="03FBCDF6" w14:textId="77777777" w:rsidR="00372B83" w:rsidRDefault="00372B83" w:rsidP="00372B83">
      <w:pPr>
        <w:shd w:val="clear" w:color="auto" w:fill="FFFFFF"/>
        <w:spacing w:after="0"/>
        <w:jc w:val="both"/>
      </w:pPr>
    </w:p>
    <w:p w14:paraId="00C43B31" w14:textId="03AB5BFF" w:rsidR="00372B83" w:rsidRDefault="00372B83" w:rsidP="00372B83">
      <w:pPr>
        <w:shd w:val="clear" w:color="auto" w:fill="FFFFFF"/>
        <w:spacing w:after="0"/>
        <w:jc w:val="both"/>
      </w:pPr>
    </w:p>
    <w:p w14:paraId="031F72CA" w14:textId="5FF4FF54" w:rsidR="00372B83" w:rsidRDefault="00372B83" w:rsidP="00372B83">
      <w:pPr>
        <w:shd w:val="clear" w:color="auto" w:fill="FFFFFF"/>
        <w:spacing w:after="0"/>
        <w:jc w:val="both"/>
      </w:pPr>
      <w:r>
        <w:rPr>
          <w:noProof/>
          <w:lang w:val="en-US"/>
        </w:rPr>
        <w:drawing>
          <wp:anchor distT="0" distB="0" distL="114300" distR="114300" simplePos="0" relativeHeight="252116992" behindDoc="0" locked="0" layoutInCell="1" allowOverlap="1" wp14:anchorId="77A759FB" wp14:editId="4953650C">
            <wp:simplePos x="0" y="0"/>
            <wp:positionH relativeFrom="margin">
              <wp:posOffset>46672</wp:posOffset>
            </wp:positionH>
            <wp:positionV relativeFrom="paragraph">
              <wp:posOffset>74295</wp:posOffset>
            </wp:positionV>
            <wp:extent cx="4093210" cy="2714625"/>
            <wp:effectExtent l="0" t="0" r="2540" b="9525"/>
            <wp:wrapSquare wrapText="bothSides"/>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4093210" cy="2714625"/>
                    </a:xfrm>
                    <a:prstGeom prst="rect">
                      <a:avLst/>
                    </a:prstGeom>
                    <a:noFill/>
                  </pic:spPr>
                </pic:pic>
              </a:graphicData>
            </a:graphic>
            <wp14:sizeRelH relativeFrom="page">
              <wp14:pctWidth>0</wp14:pctWidth>
            </wp14:sizeRelH>
            <wp14:sizeRelV relativeFrom="page">
              <wp14:pctHeight>0</wp14:pctHeight>
            </wp14:sizeRelV>
          </wp:anchor>
        </w:drawing>
      </w:r>
    </w:p>
    <w:p w14:paraId="68835465" w14:textId="77777777" w:rsidR="00372B83" w:rsidRDefault="00372B83" w:rsidP="00372B83">
      <w:pPr>
        <w:shd w:val="clear" w:color="auto" w:fill="FFFFFF"/>
        <w:spacing w:after="0" w:line="360" w:lineRule="auto"/>
        <w:jc w:val="both"/>
        <w:rPr>
          <w:lang w:val="en-US"/>
        </w:rPr>
      </w:pPr>
      <w:r w:rsidRPr="00A875A7">
        <w:rPr>
          <w:lang w:val="en-US"/>
        </w:rPr>
        <w:t xml:space="preserve">The Census also </w:t>
      </w:r>
      <w:r>
        <w:rPr>
          <w:lang w:val="en-US"/>
        </w:rPr>
        <w:t>found</w:t>
      </w:r>
      <w:r w:rsidRPr="00A875A7">
        <w:rPr>
          <w:lang w:val="en-US"/>
        </w:rPr>
        <w:t xml:space="preserve"> that 7.7% of females and 5.3% of males aged 15 years or more in this municipality were experiencing a mental health condition - echoing a disparity observed in the findings of other Australian investigations. </w:t>
      </w:r>
    </w:p>
    <w:p w14:paraId="1149A80E" w14:textId="77777777" w:rsidR="00372B83" w:rsidRDefault="00372B83" w:rsidP="00372B83">
      <w:pPr>
        <w:shd w:val="clear" w:color="auto" w:fill="FFFFFF"/>
        <w:spacing w:after="0"/>
        <w:jc w:val="both"/>
        <w:rPr>
          <w:sz w:val="8"/>
          <w:szCs w:val="8"/>
          <w:lang w:val="en-US"/>
        </w:rPr>
      </w:pPr>
    </w:p>
    <w:p w14:paraId="51C0E7E4" w14:textId="77777777" w:rsidR="00372B83" w:rsidRPr="00A875A7" w:rsidRDefault="00372B83" w:rsidP="00372B83">
      <w:pPr>
        <w:shd w:val="clear" w:color="auto" w:fill="FFFFFF"/>
        <w:spacing w:after="0"/>
        <w:jc w:val="both"/>
        <w:rPr>
          <w:sz w:val="8"/>
          <w:szCs w:val="8"/>
          <w:lang w:val="en-US"/>
        </w:rPr>
      </w:pPr>
    </w:p>
    <w:p w14:paraId="708D089E" w14:textId="77777777" w:rsidR="00372B83" w:rsidRPr="00A875A7" w:rsidRDefault="00372B83" w:rsidP="00372B83">
      <w:pPr>
        <w:shd w:val="clear" w:color="auto" w:fill="FFFFFF"/>
        <w:spacing w:after="0"/>
        <w:jc w:val="both"/>
        <w:rPr>
          <w:color w:val="7F7F7F" w:themeColor="text1" w:themeTint="80"/>
          <w:sz w:val="20"/>
          <w:szCs w:val="20"/>
        </w:rPr>
      </w:pPr>
      <w:r w:rsidRPr="00A875A7">
        <w:rPr>
          <w:color w:val="7F7F7F" w:themeColor="text1" w:themeTint="80"/>
          <w:sz w:val="20"/>
          <w:szCs w:val="20"/>
        </w:rPr>
        <w:t>Prevalence of mental health conditions by age and sex: Greater Dandenong and Victoria, 2021</w:t>
      </w:r>
    </w:p>
    <w:p w14:paraId="6D9079BA" w14:textId="77777777" w:rsidR="00372B83" w:rsidRDefault="00372B83" w:rsidP="00372B83">
      <w:pPr>
        <w:shd w:val="clear" w:color="auto" w:fill="FFFFFF"/>
        <w:spacing w:after="0"/>
        <w:jc w:val="both"/>
        <w:rPr>
          <w:sz w:val="8"/>
          <w:szCs w:val="8"/>
          <w:lang w:val="en-US"/>
        </w:rPr>
      </w:pPr>
    </w:p>
    <w:p w14:paraId="234914DB" w14:textId="77777777" w:rsidR="00372B83" w:rsidRPr="00A875A7" w:rsidRDefault="00372B83" w:rsidP="00372B83">
      <w:pPr>
        <w:shd w:val="clear" w:color="auto" w:fill="FFFFFF"/>
        <w:spacing w:after="0"/>
        <w:jc w:val="both"/>
        <w:rPr>
          <w:sz w:val="8"/>
          <w:szCs w:val="8"/>
          <w:lang w:val="en-US"/>
        </w:rPr>
      </w:pPr>
    </w:p>
    <w:p w14:paraId="45B1CD15" w14:textId="77777777" w:rsidR="00372B83" w:rsidRDefault="00372B83" w:rsidP="00372B83">
      <w:pPr>
        <w:shd w:val="clear" w:color="auto" w:fill="FFFFFF"/>
        <w:spacing w:after="0" w:line="360" w:lineRule="auto"/>
        <w:jc w:val="both"/>
        <w:rPr>
          <w:lang w:val="en-US"/>
        </w:rPr>
      </w:pPr>
      <w:r>
        <w:rPr>
          <w:lang w:val="en-US"/>
        </w:rPr>
        <w:t>Notably, the prevalence of mental health conditions among 20-24 year-olds was over twice as high among women as men.</w:t>
      </w:r>
    </w:p>
    <w:p w14:paraId="511568F5" w14:textId="77777777" w:rsidR="00372B83" w:rsidRPr="00A875A7" w:rsidRDefault="00372B83" w:rsidP="00372B83">
      <w:pPr>
        <w:spacing w:after="0"/>
        <w:rPr>
          <w:lang w:val="en-US"/>
        </w:rPr>
      </w:pPr>
      <w:r>
        <w:rPr>
          <w:lang w:val="en-US"/>
        </w:rPr>
        <w:br w:type="page"/>
      </w:r>
    </w:p>
    <w:p w14:paraId="3D686009" w14:textId="77777777" w:rsidR="00372B83" w:rsidRPr="00A875A7" w:rsidRDefault="00372B83" w:rsidP="00372B83">
      <w:pPr>
        <w:shd w:val="clear" w:color="auto" w:fill="FFFFFF"/>
        <w:spacing w:after="0"/>
        <w:ind w:left="3402"/>
        <w:rPr>
          <w:color w:val="7F7F7F" w:themeColor="text1" w:themeTint="80"/>
          <w:sz w:val="20"/>
          <w:szCs w:val="20"/>
        </w:rPr>
      </w:pPr>
      <w:r w:rsidRPr="00A875A7">
        <w:rPr>
          <w:color w:val="7F7F7F" w:themeColor="text1" w:themeTint="80"/>
          <w:sz w:val="20"/>
          <w:szCs w:val="20"/>
        </w:rPr>
        <w:lastRenderedPageBreak/>
        <w:t xml:space="preserve">Prevalence of mental health conditions by </w:t>
      </w:r>
      <w:r>
        <w:rPr>
          <w:color w:val="7F7F7F" w:themeColor="text1" w:themeTint="80"/>
          <w:sz w:val="20"/>
          <w:szCs w:val="20"/>
        </w:rPr>
        <w:t>Indigenous status and</w:t>
      </w:r>
      <w:r w:rsidRPr="00A875A7">
        <w:rPr>
          <w:color w:val="7F7F7F" w:themeColor="text1" w:themeTint="80"/>
          <w:sz w:val="20"/>
          <w:szCs w:val="20"/>
        </w:rPr>
        <w:t xml:space="preserve"> sex: Greater Dandenong, 2021</w:t>
      </w:r>
    </w:p>
    <w:p w14:paraId="68391BB9" w14:textId="77777777" w:rsidR="00372B83" w:rsidRDefault="00372B83" w:rsidP="00372B83">
      <w:pPr>
        <w:shd w:val="clear" w:color="auto" w:fill="FFFFFF"/>
        <w:spacing w:after="0" w:line="360" w:lineRule="auto"/>
        <w:jc w:val="both"/>
        <w:rPr>
          <w:lang w:val="en-US"/>
        </w:rPr>
      </w:pPr>
      <w:r>
        <w:rPr>
          <w:noProof/>
          <w:lang w:val="en-US"/>
        </w:rPr>
        <w:drawing>
          <wp:anchor distT="0" distB="0" distL="114300" distR="114300" simplePos="0" relativeHeight="252118016" behindDoc="0" locked="0" layoutInCell="1" allowOverlap="1" wp14:anchorId="653FD936" wp14:editId="5D7CD5D1">
            <wp:simplePos x="0" y="0"/>
            <wp:positionH relativeFrom="margin">
              <wp:posOffset>2125980</wp:posOffset>
            </wp:positionH>
            <wp:positionV relativeFrom="paragraph">
              <wp:posOffset>36830</wp:posOffset>
            </wp:positionV>
            <wp:extent cx="3990975" cy="2573655"/>
            <wp:effectExtent l="0" t="0" r="9525" b="0"/>
            <wp:wrapSquare wrapText="bothSides"/>
            <wp:docPr id="112" name="Picture 1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Chart, bar chart&#10;&#10;Description automatically generated"/>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3990975" cy="2573655"/>
                    </a:xfrm>
                    <a:prstGeom prst="rect">
                      <a:avLst/>
                    </a:prstGeom>
                    <a:noFill/>
                  </pic:spPr>
                </pic:pic>
              </a:graphicData>
            </a:graphic>
            <wp14:sizeRelH relativeFrom="page">
              <wp14:pctWidth>0</wp14:pctWidth>
            </wp14:sizeRelH>
            <wp14:sizeRelV relativeFrom="page">
              <wp14:pctHeight>0</wp14:pctHeight>
            </wp14:sizeRelV>
          </wp:anchor>
        </w:drawing>
      </w:r>
      <w:r w:rsidRPr="0081676F">
        <w:rPr>
          <w:lang w:val="en-US"/>
        </w:rPr>
        <w:t xml:space="preserve">The </w:t>
      </w:r>
      <w:r>
        <w:rPr>
          <w:lang w:val="en-US"/>
        </w:rPr>
        <w:t xml:space="preserve">2021 </w:t>
      </w:r>
      <w:r w:rsidRPr="0081676F">
        <w:rPr>
          <w:lang w:val="en-US"/>
        </w:rPr>
        <w:t xml:space="preserve">Census </w:t>
      </w:r>
      <w:r>
        <w:rPr>
          <w:lang w:val="en-US"/>
        </w:rPr>
        <w:t>also determined</w:t>
      </w:r>
      <w:r w:rsidRPr="0081676F">
        <w:rPr>
          <w:lang w:val="en-US"/>
        </w:rPr>
        <w:t xml:space="preserve"> that 22% of Indigenous residents in Greater Dandenong were experiencing a mental health condition, nearly four times the prevalence of such conditions among non-Indigenous residents, of 6.4%. </w:t>
      </w:r>
    </w:p>
    <w:p w14:paraId="71E97BF8" w14:textId="77777777" w:rsidR="00372B83" w:rsidRPr="0081676F" w:rsidRDefault="00372B83" w:rsidP="00372B83">
      <w:pPr>
        <w:shd w:val="clear" w:color="auto" w:fill="FFFFFF"/>
        <w:spacing w:after="0" w:line="360" w:lineRule="auto"/>
        <w:jc w:val="both"/>
        <w:rPr>
          <w:lang w:val="en-US"/>
        </w:rPr>
      </w:pPr>
      <w:r w:rsidRPr="0081676F">
        <w:rPr>
          <w:lang w:val="en-US"/>
        </w:rPr>
        <w:t xml:space="preserve">Within the Indigenous community, the prevalence of mental health conditions was 27% among women - substantially higher than the corresponding rate of 17% among Indigenous men. </w:t>
      </w:r>
    </w:p>
    <w:p w14:paraId="2545CB49" w14:textId="77777777" w:rsidR="00372B83" w:rsidRDefault="00372B83" w:rsidP="00372B83">
      <w:pPr>
        <w:spacing w:after="0" w:line="360" w:lineRule="auto"/>
        <w:jc w:val="both"/>
        <w:rPr>
          <w:rFonts w:ascii="Calibri" w:hAnsi="Calibri"/>
        </w:rPr>
      </w:pPr>
    </w:p>
    <w:p w14:paraId="01948278" w14:textId="77777777" w:rsidR="00372B83" w:rsidRDefault="00372B83" w:rsidP="00372B83">
      <w:pPr>
        <w:spacing w:after="0" w:line="360" w:lineRule="auto"/>
        <w:jc w:val="both"/>
        <w:rPr>
          <w:rFonts w:ascii="Calibri" w:hAnsi="Calibri"/>
        </w:rPr>
      </w:pPr>
    </w:p>
    <w:p w14:paraId="395DEBFE" w14:textId="77777777" w:rsidR="00372B83" w:rsidRDefault="00372B83" w:rsidP="00372B83">
      <w:pPr>
        <w:spacing w:after="0" w:line="360" w:lineRule="auto"/>
        <w:jc w:val="both"/>
        <w:rPr>
          <w:rFonts w:ascii="Calibri" w:hAnsi="Calibri"/>
        </w:rPr>
      </w:pPr>
      <w:r>
        <w:rPr>
          <w:rFonts w:ascii="Calibri" w:hAnsi="Calibri"/>
          <w:noProof/>
        </w:rPr>
        <w:t>In addition, the</w:t>
      </w:r>
      <w:r>
        <w:rPr>
          <w:rFonts w:ascii="Calibri" w:hAnsi="Calibri"/>
        </w:rPr>
        <w:t xml:space="preserve"> prevalence of such conditions was higher among people with limited formal education, older people, members of same-sex-attracted couples, people who were not married, members of lone-person households and lower income earners (diagram below).</w:t>
      </w:r>
    </w:p>
    <w:p w14:paraId="6333442B" w14:textId="77777777" w:rsidR="00372B83" w:rsidRDefault="00372B83" w:rsidP="00372B83">
      <w:pPr>
        <w:shd w:val="clear" w:color="auto" w:fill="FFFFFF"/>
        <w:spacing w:after="0"/>
        <w:rPr>
          <w:color w:val="7F7F7F" w:themeColor="text1" w:themeTint="80"/>
          <w:sz w:val="20"/>
          <w:szCs w:val="20"/>
        </w:rPr>
      </w:pPr>
    </w:p>
    <w:p w14:paraId="40CB0335" w14:textId="77777777" w:rsidR="00372B83" w:rsidRDefault="00372B83" w:rsidP="00372B83">
      <w:pPr>
        <w:shd w:val="clear" w:color="auto" w:fill="FFFFFF"/>
        <w:spacing w:after="0"/>
        <w:rPr>
          <w:color w:val="7F7F7F" w:themeColor="text1" w:themeTint="80"/>
          <w:sz w:val="20"/>
          <w:szCs w:val="20"/>
        </w:rPr>
      </w:pPr>
      <w:r>
        <w:rPr>
          <w:color w:val="7F7F7F" w:themeColor="text1" w:themeTint="80"/>
          <w:sz w:val="20"/>
          <w:szCs w:val="20"/>
        </w:rPr>
        <w:t>Prevalence of mental health conditions by Selected Variables: Greater Dandenong, 2021</w:t>
      </w:r>
    </w:p>
    <w:p w14:paraId="4746DD13" w14:textId="77777777" w:rsidR="00372B83" w:rsidRDefault="00372B83" w:rsidP="00372B83">
      <w:pPr>
        <w:spacing w:after="0" w:line="360" w:lineRule="auto"/>
        <w:jc w:val="both"/>
        <w:rPr>
          <w:rFonts w:ascii="Calibri" w:hAnsi="Calibri"/>
        </w:rPr>
      </w:pPr>
      <w:r>
        <w:rPr>
          <w:noProof/>
        </w:rPr>
        <w:drawing>
          <wp:anchor distT="0" distB="0" distL="114300" distR="114300" simplePos="0" relativeHeight="252124160" behindDoc="0" locked="0" layoutInCell="1" allowOverlap="1" wp14:anchorId="19238DAB" wp14:editId="3909F3A6">
            <wp:simplePos x="0" y="0"/>
            <wp:positionH relativeFrom="margin">
              <wp:align>left</wp:align>
            </wp:positionH>
            <wp:positionV relativeFrom="paragraph">
              <wp:posOffset>10160</wp:posOffset>
            </wp:positionV>
            <wp:extent cx="5326380" cy="3362325"/>
            <wp:effectExtent l="0" t="0" r="7620" b="9525"/>
            <wp:wrapSquare wrapText="bothSides"/>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6">
                      <a:extLst>
                        <a:ext uri="{28A0092B-C50C-407E-A947-70E740481C1C}">
                          <a14:useLocalDpi xmlns:a14="http://schemas.microsoft.com/office/drawing/2010/main" val="0"/>
                        </a:ext>
                      </a:extLst>
                    </a:blip>
                    <a:srcRect r="6638"/>
                    <a:stretch>
                      <a:fillRect/>
                    </a:stretch>
                  </pic:blipFill>
                  <pic:spPr bwMode="auto">
                    <a:xfrm>
                      <a:off x="0" y="0"/>
                      <a:ext cx="5326380" cy="3362325"/>
                    </a:xfrm>
                    <a:prstGeom prst="rect">
                      <a:avLst/>
                    </a:prstGeom>
                    <a:noFill/>
                  </pic:spPr>
                </pic:pic>
              </a:graphicData>
            </a:graphic>
            <wp14:sizeRelH relativeFrom="page">
              <wp14:pctWidth>0</wp14:pctWidth>
            </wp14:sizeRelH>
            <wp14:sizeRelV relativeFrom="page">
              <wp14:pctHeight>0</wp14:pctHeight>
            </wp14:sizeRelV>
          </wp:anchor>
        </w:drawing>
      </w:r>
    </w:p>
    <w:p w14:paraId="049BED0F" w14:textId="77777777" w:rsidR="00372B83" w:rsidRDefault="00372B83" w:rsidP="00372B83">
      <w:pPr>
        <w:spacing w:after="0"/>
        <w:rPr>
          <w:rFonts w:ascii="Calibri" w:hAnsi="Calibri"/>
          <w:b/>
        </w:rPr>
      </w:pPr>
      <w:r>
        <w:rPr>
          <w:rFonts w:ascii="Calibri" w:hAnsi="Calibri"/>
          <w:b/>
        </w:rPr>
        <w:br w:type="page"/>
      </w:r>
    </w:p>
    <w:p w14:paraId="6CE2130A" w14:textId="77777777" w:rsidR="00372B83" w:rsidRPr="0091758D" w:rsidRDefault="00372B83" w:rsidP="00372B83">
      <w:pPr>
        <w:spacing w:after="0" w:line="360" w:lineRule="auto"/>
        <w:jc w:val="both"/>
        <w:rPr>
          <w:rFonts w:ascii="Calibri" w:hAnsi="Calibri"/>
          <w:b/>
        </w:rPr>
      </w:pPr>
      <w:r>
        <w:rPr>
          <w:rFonts w:ascii="Calibri" w:hAnsi="Calibri"/>
          <w:noProof/>
          <w:lang w:val="en-US"/>
        </w:rPr>
        <w:lastRenderedPageBreak/>
        <w:drawing>
          <wp:anchor distT="0" distB="0" distL="114300" distR="114300" simplePos="0" relativeHeight="252114944" behindDoc="0" locked="0" layoutInCell="1" allowOverlap="1" wp14:anchorId="5733BD74" wp14:editId="76F7DDDC">
            <wp:simplePos x="0" y="0"/>
            <wp:positionH relativeFrom="margin">
              <wp:align>right</wp:align>
            </wp:positionH>
            <wp:positionV relativeFrom="paragraph">
              <wp:posOffset>182880</wp:posOffset>
            </wp:positionV>
            <wp:extent cx="1583055" cy="1052195"/>
            <wp:effectExtent l="0" t="0" r="0" b="0"/>
            <wp:wrapSquare wrapText="bothSides"/>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 23.jpg"/>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1583055" cy="10521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91758D">
        <w:rPr>
          <w:rFonts w:ascii="Calibri" w:hAnsi="Calibri"/>
          <w:b/>
        </w:rPr>
        <w:t>Local Level Surveys</w:t>
      </w:r>
    </w:p>
    <w:p w14:paraId="3801687C" w14:textId="7E2109DD" w:rsidR="00372B83" w:rsidRDefault="00372B83" w:rsidP="00372B83">
      <w:pPr>
        <w:spacing w:after="0" w:line="360" w:lineRule="auto"/>
        <w:jc w:val="both"/>
        <w:rPr>
          <w:rFonts w:ascii="Calibri" w:hAnsi="Calibri"/>
        </w:rPr>
      </w:pPr>
      <w:r w:rsidRPr="00F93769">
        <w:rPr>
          <w:rFonts w:ascii="Calibri" w:hAnsi="Calibri"/>
        </w:rPr>
        <w:t>The 2020 Population Health Survey found that about one-fifth (24%) of Greater Dandenong residents were experiencing ‘high’ or ‘very high’ levels of psychological distress, the same as for Victoria. The proportion of residents in such distress varied widely across the state, from 9% in South Gippsland to 31% in Darebin.</w:t>
      </w:r>
      <w:r>
        <w:rPr>
          <w:rFonts w:ascii="Calibri" w:hAnsi="Calibri"/>
        </w:rPr>
        <w:t xml:space="preserve"> </w:t>
      </w:r>
      <w:r w:rsidRPr="00F93769">
        <w:rPr>
          <w:rFonts w:ascii="Calibri" w:hAnsi="Calibri"/>
        </w:rPr>
        <w:t xml:space="preserve">Across Victoria, the prevalence of such psychological distress was highest among people aged 18-24 years, at 43% among women and 27% among men, and declined with increasing age. </w:t>
      </w:r>
    </w:p>
    <w:p w14:paraId="3994425D" w14:textId="481F2589" w:rsidR="00372B83" w:rsidRDefault="00372B83" w:rsidP="00372B83">
      <w:pPr>
        <w:spacing w:after="0" w:line="360" w:lineRule="auto"/>
        <w:jc w:val="both"/>
        <w:rPr>
          <w:rFonts w:ascii="Calibri" w:hAnsi="Calibri"/>
          <w:color w:val="000000"/>
        </w:rPr>
      </w:pPr>
      <w:r>
        <w:rPr>
          <w:rFonts w:ascii="Calibri" w:hAnsi="Calibri"/>
          <w:color w:val="000000"/>
        </w:rPr>
        <w:t>In the same survey, m</w:t>
      </w:r>
      <w:r w:rsidRPr="00F93769">
        <w:rPr>
          <w:rFonts w:ascii="Calibri" w:hAnsi="Calibri"/>
          <w:color w:val="000000"/>
        </w:rPr>
        <w:t>ore than one in four (26%) Greater Dandenong residents assessed their personal satisfaction with life as ‘medium’ or ‘low’, more than the state-wide level of 22% and the eighth highest level in Victoria. The proportions of Victorian residents who offered a similar assessment of their lives ranged from 2.5% in Queenscliff to 30% in Brimbank. Across Victoria, the proportion of people who rated their satisfaction unfavorably tended to decline with increasing age.</w:t>
      </w:r>
    </w:p>
    <w:p w14:paraId="54B82FBA" w14:textId="1DD5548A" w:rsidR="00372B83" w:rsidRDefault="00372B83" w:rsidP="00372B83">
      <w:pPr>
        <w:spacing w:after="0" w:line="360" w:lineRule="auto"/>
        <w:jc w:val="both"/>
        <w:rPr>
          <w:rFonts w:ascii="Calibri" w:hAnsi="Calibri"/>
        </w:rPr>
      </w:pPr>
      <w:r>
        <w:rPr>
          <w:rFonts w:ascii="Calibri" w:hAnsi="Calibri"/>
          <w:color w:val="000000"/>
        </w:rPr>
        <w:t xml:space="preserve">Further questions inquired about levels of social contact, with friends or family. </w:t>
      </w:r>
      <w:r w:rsidRPr="00BC0ED2">
        <w:rPr>
          <w:rFonts w:cstheme="minorHAnsi"/>
        </w:rPr>
        <w:t>The 2020 Population Health Survey found that 9.3% of Greater Dandenong residents had no close friends or family whom they talked</w:t>
      </w:r>
      <w:r w:rsidRPr="00BC0ED2">
        <w:rPr>
          <w:rFonts w:ascii="Calibri" w:hAnsi="Calibri"/>
        </w:rPr>
        <w:t xml:space="preserve"> to regularly – the highest level in the state, and about twice the corresponding Victorian level of 4.7%. The survey</w:t>
      </w:r>
      <w:r>
        <w:rPr>
          <w:rFonts w:ascii="Calibri" w:hAnsi="Calibri"/>
        </w:rPr>
        <w:t xml:space="preserve"> also</w:t>
      </w:r>
      <w:r w:rsidRPr="00BC0ED2">
        <w:rPr>
          <w:rFonts w:ascii="Calibri" w:hAnsi="Calibri"/>
        </w:rPr>
        <w:t xml:space="preserve"> </w:t>
      </w:r>
      <w:r>
        <w:rPr>
          <w:rFonts w:ascii="Calibri" w:hAnsi="Calibri"/>
        </w:rPr>
        <w:t>determined</w:t>
      </w:r>
      <w:r w:rsidRPr="00BC0ED2">
        <w:rPr>
          <w:rFonts w:ascii="Calibri" w:hAnsi="Calibri"/>
        </w:rPr>
        <w:t xml:space="preserve"> that approximately one in six (17%) Greater Dandenong residents spoke with friends a few times a month or less often, similar to the Victorian level of 18%.</w:t>
      </w:r>
    </w:p>
    <w:p w14:paraId="18E0B974" w14:textId="2E934B90" w:rsidR="00372B83" w:rsidRPr="00BC0ED2" w:rsidRDefault="00372B83" w:rsidP="00372B83">
      <w:pPr>
        <w:spacing w:after="0" w:line="360" w:lineRule="auto"/>
        <w:jc w:val="both"/>
        <w:rPr>
          <w:rFonts w:ascii="Calibri" w:hAnsi="Calibri"/>
          <w:color w:val="000000"/>
        </w:rPr>
      </w:pPr>
      <w:r w:rsidRPr="00BC0ED2">
        <w:rPr>
          <w:rFonts w:ascii="Calibri" w:hAnsi="Calibri"/>
          <w:color w:val="000000"/>
        </w:rPr>
        <w:t xml:space="preserve">Finally, seventeen per cent of Greater Dandenong respondents to the 2020 Population Health Survey voiced the opinion that they either ‘never’ or ‘not often’ felt valued by society, substantially more than the corresponding figure for Victoria, of 11% and the third highest level in </w:t>
      </w:r>
      <w:r>
        <w:rPr>
          <w:rFonts w:ascii="Calibri" w:hAnsi="Calibri"/>
          <w:color w:val="000000"/>
        </w:rPr>
        <w:t>the State</w:t>
      </w:r>
      <w:r w:rsidRPr="00BC0ED2">
        <w:rPr>
          <w:rFonts w:ascii="Calibri" w:hAnsi="Calibri"/>
          <w:color w:val="000000"/>
        </w:rPr>
        <w:t xml:space="preserve">. </w:t>
      </w:r>
      <w:r>
        <w:rPr>
          <w:rFonts w:ascii="Calibri" w:hAnsi="Calibri"/>
          <w:color w:val="000000"/>
        </w:rPr>
        <w:t>Across Victoria, t</w:t>
      </w:r>
      <w:r w:rsidRPr="00BC0ED2">
        <w:rPr>
          <w:rFonts w:ascii="Calibri" w:hAnsi="Calibri"/>
          <w:color w:val="000000"/>
        </w:rPr>
        <w:t>he prevalence of such feelings ranged from 3% in Queenscliffe to 18% in Latrobe and was higher among older residents.</w:t>
      </w:r>
    </w:p>
    <w:p w14:paraId="3ACF136D" w14:textId="256854E8" w:rsidR="00372B83" w:rsidRPr="0081676F" w:rsidRDefault="00372B83" w:rsidP="00372B83">
      <w:pPr>
        <w:spacing w:after="0" w:line="360" w:lineRule="auto"/>
        <w:jc w:val="both"/>
        <w:rPr>
          <w:rFonts w:ascii="Calibri" w:hAnsi="Calibri"/>
          <w:b/>
          <w:bCs/>
        </w:rPr>
      </w:pPr>
      <w:r w:rsidRPr="0081676F">
        <w:rPr>
          <w:rFonts w:ascii="Calibri" w:hAnsi="Calibri"/>
          <w:b/>
          <w:bCs/>
        </w:rPr>
        <w:t>National Survey Results</w:t>
      </w:r>
    </w:p>
    <w:p w14:paraId="35291B9C" w14:textId="3FCCCFE2" w:rsidR="00372B83" w:rsidRPr="0081676F" w:rsidRDefault="00372B83" w:rsidP="00372B83">
      <w:pPr>
        <w:spacing w:after="0" w:line="360" w:lineRule="auto"/>
        <w:jc w:val="both"/>
        <w:rPr>
          <w:rFonts w:ascii="Calibri" w:hAnsi="Calibri"/>
          <w:lang w:val="en-US"/>
        </w:rPr>
      </w:pPr>
      <w:r w:rsidRPr="0081676F">
        <w:rPr>
          <w:rFonts w:ascii="Calibri" w:hAnsi="Calibri"/>
          <w:lang w:val="en-US"/>
        </w:rPr>
        <w:t xml:space="preserve">At a national level, further details concerning the prevalence of mental health conditions </w:t>
      </w:r>
      <w:r>
        <w:rPr>
          <w:rFonts w:ascii="Calibri" w:hAnsi="Calibri"/>
          <w:lang w:val="en-US"/>
        </w:rPr>
        <w:t>are</w:t>
      </w:r>
      <w:r w:rsidRPr="0081676F">
        <w:rPr>
          <w:rFonts w:ascii="Calibri" w:hAnsi="Calibri"/>
          <w:lang w:val="en-US"/>
        </w:rPr>
        <w:t xml:space="preserve"> </w:t>
      </w:r>
      <w:r>
        <w:rPr>
          <w:rFonts w:ascii="Calibri" w:hAnsi="Calibri"/>
          <w:lang w:val="en-US"/>
        </w:rPr>
        <w:t>supplied</w:t>
      </w:r>
      <w:r w:rsidRPr="0081676F">
        <w:rPr>
          <w:rFonts w:ascii="Calibri" w:hAnsi="Calibri"/>
          <w:lang w:val="en-US"/>
        </w:rPr>
        <w:t xml:space="preserve"> by the findings of the 2020-21 National Study of Mental Health and Wellbeing.</w:t>
      </w:r>
    </w:p>
    <w:p w14:paraId="0514EF71" w14:textId="1C18F81E" w:rsidR="00372B83" w:rsidRDefault="00372B83" w:rsidP="00372B83">
      <w:pPr>
        <w:spacing w:after="0" w:line="360" w:lineRule="auto"/>
        <w:jc w:val="both"/>
        <w:rPr>
          <w:rFonts w:ascii="Calibri" w:hAnsi="Calibri"/>
          <w:lang w:val="en-US"/>
        </w:rPr>
      </w:pPr>
      <w:r>
        <w:rPr>
          <w:rFonts w:ascii="Calibri" w:hAnsi="Calibri"/>
          <w:noProof/>
        </w:rPr>
        <w:drawing>
          <wp:anchor distT="0" distB="0" distL="114300" distR="114300" simplePos="0" relativeHeight="252119040" behindDoc="0" locked="0" layoutInCell="1" allowOverlap="1" wp14:anchorId="1E072F25" wp14:editId="6EBEF445">
            <wp:simplePos x="0" y="0"/>
            <wp:positionH relativeFrom="margin">
              <wp:posOffset>2902585</wp:posOffset>
            </wp:positionH>
            <wp:positionV relativeFrom="paragraph">
              <wp:posOffset>147320</wp:posOffset>
            </wp:positionV>
            <wp:extent cx="3218815" cy="2524125"/>
            <wp:effectExtent l="0" t="0" r="635" b="9525"/>
            <wp:wrapSquare wrapText="bothSides"/>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8">
                      <a:extLst>
                        <a:ext uri="{28A0092B-C50C-407E-A947-70E740481C1C}">
                          <a14:useLocalDpi xmlns:a14="http://schemas.microsoft.com/office/drawing/2010/main" val="0"/>
                        </a:ext>
                      </a:extLst>
                    </a:blip>
                    <a:srcRect t="3206" r="6110" b="1902"/>
                    <a:stretch/>
                  </pic:blipFill>
                  <pic:spPr bwMode="auto">
                    <a:xfrm>
                      <a:off x="0" y="0"/>
                      <a:ext cx="3218815" cy="2524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lang w:val="en-US"/>
        </w:rPr>
        <w:t>O</w:t>
      </w:r>
      <w:r w:rsidRPr="0081676F">
        <w:rPr>
          <w:rFonts w:ascii="Calibri" w:hAnsi="Calibri"/>
          <w:lang w:val="en-US"/>
        </w:rPr>
        <w:t xml:space="preserve">ver one-fifth (21.4%) of survey participants aged 16-85 years, stated that they had experienced a mental disorder within the previous 12 months. </w:t>
      </w:r>
    </w:p>
    <w:p w14:paraId="0F326545" w14:textId="77777777" w:rsidR="00372B83" w:rsidRPr="00372B83" w:rsidRDefault="00372B83" w:rsidP="00372B83">
      <w:pPr>
        <w:spacing w:after="0" w:line="240" w:lineRule="auto"/>
        <w:jc w:val="both"/>
        <w:rPr>
          <w:rFonts w:ascii="Calibri" w:hAnsi="Calibri"/>
          <w:sz w:val="8"/>
          <w:szCs w:val="8"/>
          <w:lang w:val="en-US"/>
        </w:rPr>
      </w:pPr>
    </w:p>
    <w:p w14:paraId="1B63C9C8" w14:textId="77777777" w:rsidR="00372B83" w:rsidRPr="0081676F" w:rsidRDefault="00372B83" w:rsidP="00372B83">
      <w:pPr>
        <w:spacing w:after="0"/>
        <w:jc w:val="both"/>
        <w:rPr>
          <w:rFonts w:ascii="Calibri" w:hAnsi="Calibri"/>
          <w:color w:val="7F7F7F" w:themeColor="text1" w:themeTint="80"/>
          <w:sz w:val="20"/>
          <w:szCs w:val="20"/>
          <w:lang w:val="en-US"/>
        </w:rPr>
      </w:pPr>
      <w:r w:rsidRPr="0081676F">
        <w:rPr>
          <w:rFonts w:ascii="Calibri" w:hAnsi="Calibri"/>
          <w:color w:val="7F7F7F" w:themeColor="text1" w:themeTint="80"/>
          <w:sz w:val="20"/>
          <w:szCs w:val="20"/>
          <w:lang w:val="en-US"/>
        </w:rPr>
        <w:t>Prevalence of mental health conditions by type of condition: persons aged 16-85: Australia, 2021/22</w:t>
      </w:r>
    </w:p>
    <w:p w14:paraId="5E40BC98" w14:textId="77777777" w:rsidR="00372B83" w:rsidRPr="00372B83" w:rsidRDefault="00372B83" w:rsidP="00372B83">
      <w:pPr>
        <w:spacing w:after="0" w:line="240" w:lineRule="auto"/>
        <w:jc w:val="both"/>
        <w:rPr>
          <w:rFonts w:ascii="Calibri" w:hAnsi="Calibri"/>
          <w:sz w:val="8"/>
          <w:szCs w:val="8"/>
          <w:lang w:val="en-US"/>
        </w:rPr>
      </w:pPr>
    </w:p>
    <w:p w14:paraId="7490033C" w14:textId="77777777" w:rsidR="00372B83" w:rsidRPr="0081676F" w:rsidRDefault="00372B83" w:rsidP="00372B83">
      <w:pPr>
        <w:spacing w:after="0" w:line="360" w:lineRule="auto"/>
        <w:jc w:val="both"/>
        <w:rPr>
          <w:rFonts w:ascii="Calibri" w:hAnsi="Calibri"/>
          <w:lang w:val="en-US"/>
        </w:rPr>
      </w:pPr>
      <w:r w:rsidRPr="0081676F">
        <w:rPr>
          <w:rFonts w:ascii="Calibri" w:hAnsi="Calibri"/>
          <w:lang w:val="en-US"/>
        </w:rPr>
        <w:t>Among them, 17% cited an anxiety disorder, such as post-traumatic stress, acrophobia or social phobia; 7.5% a mood disorder, such as depression; and 3.3% a substance abuse disorder relating to the consumption of alcohol or other drugs.</w:t>
      </w:r>
    </w:p>
    <w:p w14:paraId="47753070" w14:textId="77777777" w:rsidR="00372B83" w:rsidRPr="0081676F" w:rsidRDefault="00372B83" w:rsidP="00372B83">
      <w:pPr>
        <w:spacing w:after="0" w:line="360" w:lineRule="auto"/>
        <w:jc w:val="both"/>
        <w:rPr>
          <w:rFonts w:ascii="Calibri" w:hAnsi="Calibri"/>
          <w:i/>
          <w:iCs/>
        </w:rPr>
      </w:pPr>
      <w:r w:rsidRPr="0081676F">
        <w:rPr>
          <w:rFonts w:ascii="Calibri" w:hAnsi="Calibri"/>
          <w:i/>
          <w:iCs/>
        </w:rPr>
        <w:lastRenderedPageBreak/>
        <w:t>Anxiety Disorders</w:t>
      </w:r>
    </w:p>
    <w:p w14:paraId="75D010A6" w14:textId="77777777" w:rsidR="00372B83" w:rsidRPr="0081676F" w:rsidRDefault="00372B83" w:rsidP="00372B83">
      <w:pPr>
        <w:spacing w:after="0" w:line="360" w:lineRule="auto"/>
        <w:jc w:val="both"/>
        <w:rPr>
          <w:rFonts w:ascii="Calibri" w:hAnsi="Calibri"/>
          <w:lang w:val="en-US"/>
        </w:rPr>
      </w:pPr>
      <w:r>
        <w:rPr>
          <w:rFonts w:ascii="Calibri" w:hAnsi="Calibri"/>
          <w:noProof/>
        </w:rPr>
        <w:drawing>
          <wp:anchor distT="0" distB="0" distL="114300" distR="114300" simplePos="0" relativeHeight="252120064" behindDoc="0" locked="0" layoutInCell="1" allowOverlap="1" wp14:anchorId="197AE91D" wp14:editId="1B94F66A">
            <wp:simplePos x="0" y="0"/>
            <wp:positionH relativeFrom="margin">
              <wp:posOffset>2205355</wp:posOffset>
            </wp:positionH>
            <wp:positionV relativeFrom="paragraph">
              <wp:posOffset>480695</wp:posOffset>
            </wp:positionV>
            <wp:extent cx="3890010" cy="2709545"/>
            <wp:effectExtent l="0" t="0" r="0" b="0"/>
            <wp:wrapSquare wrapText="bothSides"/>
            <wp:docPr id="189" name="Picture 18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descr="Chart, bar chart&#10;&#10;Description automatically generated"/>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890010" cy="2709545"/>
                    </a:xfrm>
                    <a:prstGeom prst="rect">
                      <a:avLst/>
                    </a:prstGeom>
                    <a:noFill/>
                  </pic:spPr>
                </pic:pic>
              </a:graphicData>
            </a:graphic>
            <wp14:sizeRelH relativeFrom="page">
              <wp14:pctWidth>0</wp14:pctWidth>
            </wp14:sizeRelH>
            <wp14:sizeRelV relativeFrom="page">
              <wp14:pctHeight>0</wp14:pctHeight>
            </wp14:sizeRelV>
          </wp:anchor>
        </w:drawing>
      </w:r>
      <w:r w:rsidRPr="0081676F">
        <w:rPr>
          <w:rFonts w:ascii="Calibri" w:hAnsi="Calibri"/>
          <w:lang w:val="en-US"/>
        </w:rPr>
        <w:t>The experience of anxiety disorders within the previous 12 months was recorded by 21% of female survey participants and 12% of males.</w:t>
      </w:r>
    </w:p>
    <w:p w14:paraId="4A1BB9F3" w14:textId="68BF658A" w:rsidR="00372B83" w:rsidRDefault="00372B83" w:rsidP="00372B83">
      <w:pPr>
        <w:spacing w:after="0"/>
        <w:jc w:val="both"/>
        <w:rPr>
          <w:rFonts w:ascii="Calibri" w:hAnsi="Calibri"/>
          <w:sz w:val="12"/>
          <w:szCs w:val="12"/>
          <w:lang w:val="en-US"/>
        </w:rPr>
      </w:pPr>
    </w:p>
    <w:p w14:paraId="11A75E4A" w14:textId="77777777" w:rsidR="00372B83" w:rsidRPr="0081676F" w:rsidRDefault="00372B83" w:rsidP="00372B83">
      <w:pPr>
        <w:spacing w:after="0"/>
        <w:jc w:val="both"/>
        <w:rPr>
          <w:rFonts w:ascii="Calibri" w:hAnsi="Calibri"/>
          <w:sz w:val="12"/>
          <w:szCs w:val="12"/>
          <w:lang w:val="en-US"/>
        </w:rPr>
      </w:pPr>
    </w:p>
    <w:p w14:paraId="24B96CAE" w14:textId="77777777" w:rsidR="00372B83" w:rsidRPr="0081676F" w:rsidRDefault="00372B83" w:rsidP="00372B83">
      <w:pPr>
        <w:spacing w:after="0"/>
        <w:jc w:val="both"/>
        <w:rPr>
          <w:rFonts w:ascii="Calibri" w:hAnsi="Calibri"/>
          <w:color w:val="7F7F7F" w:themeColor="text1" w:themeTint="80"/>
          <w:sz w:val="20"/>
          <w:szCs w:val="20"/>
          <w:lang w:val="en-US"/>
        </w:rPr>
      </w:pPr>
      <w:r w:rsidRPr="0081676F">
        <w:rPr>
          <w:rFonts w:ascii="Calibri" w:hAnsi="Calibri"/>
          <w:color w:val="7F7F7F" w:themeColor="text1" w:themeTint="80"/>
          <w:sz w:val="20"/>
          <w:szCs w:val="20"/>
          <w:lang w:val="en-US"/>
        </w:rPr>
        <w:t>The prevalence of anxiety disorders by age and sex: Australia, 2021/22</w:t>
      </w:r>
    </w:p>
    <w:p w14:paraId="788B1B09" w14:textId="4DF0F6F2" w:rsidR="00372B83" w:rsidRDefault="00372B83" w:rsidP="00372B83">
      <w:pPr>
        <w:spacing w:after="0"/>
        <w:jc w:val="both"/>
        <w:rPr>
          <w:rFonts w:ascii="Calibri" w:hAnsi="Calibri"/>
          <w:sz w:val="12"/>
          <w:szCs w:val="12"/>
          <w:lang w:val="en-US"/>
        </w:rPr>
      </w:pPr>
    </w:p>
    <w:p w14:paraId="303E7FF3" w14:textId="77777777" w:rsidR="00372B83" w:rsidRPr="0081676F" w:rsidRDefault="00372B83" w:rsidP="00372B83">
      <w:pPr>
        <w:spacing w:after="0"/>
        <w:jc w:val="both"/>
        <w:rPr>
          <w:rFonts w:ascii="Calibri" w:hAnsi="Calibri"/>
          <w:sz w:val="12"/>
          <w:szCs w:val="12"/>
          <w:lang w:val="en-US"/>
        </w:rPr>
      </w:pPr>
    </w:p>
    <w:p w14:paraId="0B992195" w14:textId="77777777" w:rsidR="00372B83" w:rsidRPr="0081676F" w:rsidRDefault="00372B83" w:rsidP="00372B83">
      <w:pPr>
        <w:spacing w:after="0" w:line="360" w:lineRule="auto"/>
        <w:jc w:val="both"/>
        <w:rPr>
          <w:rFonts w:ascii="Calibri" w:hAnsi="Calibri"/>
          <w:lang w:val="en-US"/>
        </w:rPr>
      </w:pPr>
      <w:r w:rsidRPr="0081676F">
        <w:rPr>
          <w:rFonts w:ascii="Calibri" w:hAnsi="Calibri"/>
          <w:lang w:val="en-US"/>
        </w:rPr>
        <w:t>The prevalence of such conditions was highest among younger people - at 41% and 21% respectively</w:t>
      </w:r>
      <w:r>
        <w:rPr>
          <w:rFonts w:ascii="Calibri" w:hAnsi="Calibri"/>
          <w:lang w:val="en-US"/>
        </w:rPr>
        <w:t xml:space="preserve"> -</w:t>
      </w:r>
      <w:r w:rsidRPr="0081676F">
        <w:rPr>
          <w:rFonts w:ascii="Calibri" w:hAnsi="Calibri"/>
          <w:lang w:val="en-US"/>
        </w:rPr>
        <w:t xml:space="preserve"> among 16-24 year-old females and males</w:t>
      </w:r>
      <w:r>
        <w:rPr>
          <w:rFonts w:ascii="Calibri" w:hAnsi="Calibri"/>
          <w:lang w:val="en-US"/>
        </w:rPr>
        <w:t>,</w:t>
      </w:r>
      <w:r w:rsidRPr="0081676F">
        <w:rPr>
          <w:rFonts w:ascii="Calibri" w:hAnsi="Calibri"/>
          <w:lang w:val="en-US"/>
        </w:rPr>
        <w:t xml:space="preserve"> and declined with age. In particular, conditions such as panic disorder, agoraphobia, social phobia, anxiety and post-traumatic stress disorder were approximately twice as prevalent among women </w:t>
      </w:r>
      <w:r>
        <w:rPr>
          <w:rFonts w:ascii="Calibri" w:hAnsi="Calibri"/>
          <w:lang w:val="en-US"/>
        </w:rPr>
        <w:t>as</w:t>
      </w:r>
      <w:r w:rsidRPr="0081676F">
        <w:rPr>
          <w:rFonts w:ascii="Calibri" w:hAnsi="Calibri"/>
          <w:lang w:val="en-US"/>
        </w:rPr>
        <w:t xml:space="preserve"> men.</w:t>
      </w:r>
    </w:p>
    <w:p w14:paraId="2CB18A3B" w14:textId="77777777" w:rsidR="00372B83" w:rsidRDefault="00372B83" w:rsidP="00372B83">
      <w:pPr>
        <w:spacing w:after="0" w:line="360" w:lineRule="auto"/>
        <w:jc w:val="both"/>
        <w:rPr>
          <w:rFonts w:ascii="Calibri" w:hAnsi="Calibri"/>
          <w:i/>
          <w:iCs/>
        </w:rPr>
      </w:pPr>
    </w:p>
    <w:p w14:paraId="499480F7" w14:textId="77777777" w:rsidR="00372B83" w:rsidRDefault="00372B83" w:rsidP="00372B83">
      <w:pPr>
        <w:spacing w:after="0" w:line="360" w:lineRule="auto"/>
        <w:jc w:val="both"/>
        <w:rPr>
          <w:rFonts w:ascii="Calibri" w:hAnsi="Calibri"/>
          <w:i/>
          <w:iCs/>
        </w:rPr>
      </w:pPr>
    </w:p>
    <w:p w14:paraId="0CAA079B" w14:textId="3210CCFB" w:rsidR="00372B83" w:rsidRPr="0081676F" w:rsidRDefault="00372B83" w:rsidP="00372B83">
      <w:pPr>
        <w:spacing w:after="0" w:line="360" w:lineRule="auto"/>
        <w:jc w:val="both"/>
        <w:rPr>
          <w:rFonts w:ascii="Calibri" w:hAnsi="Calibri"/>
          <w:i/>
          <w:iCs/>
        </w:rPr>
      </w:pPr>
      <w:r>
        <w:rPr>
          <w:rFonts w:ascii="Calibri" w:hAnsi="Calibri"/>
          <w:noProof/>
        </w:rPr>
        <w:drawing>
          <wp:anchor distT="0" distB="0" distL="114300" distR="114300" simplePos="0" relativeHeight="252121088" behindDoc="0" locked="0" layoutInCell="1" allowOverlap="1" wp14:anchorId="0FF6C178" wp14:editId="03DDDFCF">
            <wp:simplePos x="0" y="0"/>
            <wp:positionH relativeFrom="column">
              <wp:posOffset>46038</wp:posOffset>
            </wp:positionH>
            <wp:positionV relativeFrom="paragraph">
              <wp:posOffset>69850</wp:posOffset>
            </wp:positionV>
            <wp:extent cx="4081145" cy="2655570"/>
            <wp:effectExtent l="0" t="0" r="0" b="0"/>
            <wp:wrapSquare wrapText="bothSides"/>
            <wp:docPr id="213" name="Picture 2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descr="Chart, bar chart&#10;&#10;Description automatically generated"/>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4081145" cy="2655570"/>
                    </a:xfrm>
                    <a:prstGeom prst="rect">
                      <a:avLst/>
                    </a:prstGeom>
                    <a:noFill/>
                  </pic:spPr>
                </pic:pic>
              </a:graphicData>
            </a:graphic>
            <wp14:sizeRelH relativeFrom="page">
              <wp14:pctWidth>0</wp14:pctWidth>
            </wp14:sizeRelH>
            <wp14:sizeRelV relativeFrom="page">
              <wp14:pctHeight>0</wp14:pctHeight>
            </wp14:sizeRelV>
          </wp:anchor>
        </w:drawing>
      </w:r>
      <w:r w:rsidRPr="0081676F">
        <w:rPr>
          <w:rFonts w:ascii="Calibri" w:hAnsi="Calibri"/>
          <w:i/>
          <w:iCs/>
        </w:rPr>
        <w:t>Affective, or mood, disorders</w:t>
      </w:r>
    </w:p>
    <w:p w14:paraId="71F27ACE" w14:textId="77777777" w:rsidR="00372B83" w:rsidRDefault="00372B83" w:rsidP="00372B83">
      <w:pPr>
        <w:spacing w:after="0" w:line="360" w:lineRule="auto"/>
        <w:jc w:val="both"/>
        <w:rPr>
          <w:rFonts w:ascii="Calibri" w:hAnsi="Calibri"/>
          <w:lang w:val="en-US"/>
        </w:rPr>
      </w:pPr>
      <w:r w:rsidRPr="0081676F">
        <w:rPr>
          <w:rFonts w:ascii="Calibri" w:hAnsi="Calibri"/>
          <w:lang w:val="en-US"/>
        </w:rPr>
        <w:t xml:space="preserve">Overall, 7.5% of 16-85 year old survey participants stated that they had experienced an affective - or mood - disorder in the previous 12 months, including 8.5% of women and 6.2% of males. </w:t>
      </w:r>
    </w:p>
    <w:p w14:paraId="7E5E2532" w14:textId="77777777" w:rsidR="00372B83" w:rsidRPr="0081676F" w:rsidRDefault="00372B83" w:rsidP="00372B83">
      <w:pPr>
        <w:spacing w:after="0"/>
        <w:jc w:val="both"/>
        <w:rPr>
          <w:rFonts w:ascii="Calibri" w:hAnsi="Calibri"/>
          <w:sz w:val="12"/>
          <w:szCs w:val="12"/>
          <w:lang w:val="en-US"/>
        </w:rPr>
      </w:pPr>
    </w:p>
    <w:p w14:paraId="7CC5F2CF" w14:textId="77777777" w:rsidR="00372B83" w:rsidRDefault="00372B83" w:rsidP="00372B83">
      <w:pPr>
        <w:spacing w:after="0"/>
        <w:jc w:val="both"/>
        <w:rPr>
          <w:rFonts w:ascii="Calibri" w:hAnsi="Calibri"/>
          <w:color w:val="7F7F7F" w:themeColor="text1" w:themeTint="80"/>
          <w:sz w:val="20"/>
          <w:szCs w:val="20"/>
          <w:lang w:val="en-US"/>
        </w:rPr>
      </w:pPr>
      <w:r w:rsidRPr="0081676F">
        <w:rPr>
          <w:rFonts w:ascii="Calibri" w:hAnsi="Calibri"/>
          <w:color w:val="7F7F7F" w:themeColor="text1" w:themeTint="80"/>
          <w:sz w:val="20"/>
          <w:szCs w:val="20"/>
          <w:lang w:val="en-US"/>
        </w:rPr>
        <w:t>The prevalence of anxiety disorders by age and sex: Australia, 2021/22</w:t>
      </w:r>
    </w:p>
    <w:p w14:paraId="5100F4F2" w14:textId="77777777" w:rsidR="00372B83" w:rsidRDefault="00372B83" w:rsidP="00372B83">
      <w:pPr>
        <w:spacing w:after="0"/>
        <w:jc w:val="both"/>
        <w:rPr>
          <w:rFonts w:ascii="Calibri" w:hAnsi="Calibri"/>
          <w:color w:val="7F7F7F" w:themeColor="text1" w:themeTint="80"/>
          <w:sz w:val="20"/>
          <w:szCs w:val="20"/>
          <w:lang w:val="en-US"/>
        </w:rPr>
      </w:pPr>
    </w:p>
    <w:p w14:paraId="2CC1CA99" w14:textId="1F3D93B8" w:rsidR="00372B83" w:rsidRDefault="00372B83" w:rsidP="00372B83">
      <w:pPr>
        <w:spacing w:after="0"/>
        <w:jc w:val="both"/>
        <w:rPr>
          <w:rFonts w:ascii="Calibri" w:hAnsi="Calibri"/>
          <w:color w:val="7F7F7F" w:themeColor="text1" w:themeTint="80"/>
          <w:sz w:val="20"/>
          <w:szCs w:val="20"/>
          <w:lang w:val="en-US"/>
        </w:rPr>
      </w:pPr>
      <w:r>
        <w:rPr>
          <w:noProof/>
          <w:lang w:val="en-US"/>
        </w:rPr>
        <w:drawing>
          <wp:anchor distT="140208" distB="336804" distL="242316" distR="462407" simplePos="0" relativeHeight="252123136" behindDoc="1" locked="0" layoutInCell="1" allowOverlap="1" wp14:anchorId="3A048235" wp14:editId="361A53D2">
            <wp:simplePos x="0" y="0"/>
            <wp:positionH relativeFrom="margin">
              <wp:posOffset>5062220</wp:posOffset>
            </wp:positionH>
            <wp:positionV relativeFrom="paragraph">
              <wp:posOffset>165100</wp:posOffset>
            </wp:positionV>
            <wp:extent cx="1024255" cy="1543050"/>
            <wp:effectExtent l="0" t="0" r="4445" b="0"/>
            <wp:wrapTight wrapText="bothSides">
              <wp:wrapPolygon edited="0">
                <wp:start x="1607" y="0"/>
                <wp:lineTo x="0" y="533"/>
                <wp:lineTo x="0" y="21067"/>
                <wp:lineTo x="1607" y="21333"/>
                <wp:lineTo x="19685" y="21333"/>
                <wp:lineTo x="21292" y="21067"/>
                <wp:lineTo x="21292" y="533"/>
                <wp:lineTo x="19685" y="0"/>
                <wp:lineTo x="1607" y="0"/>
              </wp:wrapPolygon>
            </wp:wrapTight>
            <wp:docPr id="395" name="Picture 395" descr="Lonely 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1" descr="Lonely Man.jpg"/>
                    <pic:cNvPicPr/>
                  </pic:nvPicPr>
                  <pic:blipFill>
                    <a:blip r:embed="rId311" cstate="print"/>
                    <a:stretch>
                      <a:fillRect/>
                    </a:stretch>
                  </pic:blipFill>
                  <pic:spPr>
                    <a:xfrm>
                      <a:off x="0" y="0"/>
                      <a:ext cx="1024255" cy="15430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B37BAEF" w14:textId="340B49DA" w:rsidR="00372B83" w:rsidRDefault="00372B83" w:rsidP="00372B83">
      <w:pPr>
        <w:spacing w:after="0"/>
        <w:jc w:val="both"/>
        <w:rPr>
          <w:rFonts w:ascii="Calibri" w:hAnsi="Calibri"/>
          <w:color w:val="7F7F7F" w:themeColor="text1" w:themeTint="80"/>
          <w:sz w:val="20"/>
          <w:szCs w:val="20"/>
          <w:lang w:val="en-US"/>
        </w:rPr>
      </w:pPr>
    </w:p>
    <w:p w14:paraId="301D00AB" w14:textId="1858C97F" w:rsidR="00372B83" w:rsidRDefault="00372B83" w:rsidP="00372B83">
      <w:pPr>
        <w:spacing w:after="0"/>
        <w:jc w:val="both"/>
        <w:rPr>
          <w:rFonts w:ascii="Calibri" w:hAnsi="Calibri"/>
          <w:color w:val="7F7F7F" w:themeColor="text1" w:themeTint="80"/>
          <w:sz w:val="20"/>
          <w:szCs w:val="20"/>
          <w:lang w:val="en-US"/>
        </w:rPr>
      </w:pPr>
    </w:p>
    <w:p w14:paraId="2136C3D6" w14:textId="77777777" w:rsidR="00372B83" w:rsidRDefault="00372B83" w:rsidP="00372B83">
      <w:pPr>
        <w:spacing w:after="0"/>
        <w:jc w:val="both"/>
        <w:rPr>
          <w:rFonts w:ascii="Calibri" w:hAnsi="Calibri"/>
          <w:color w:val="7F7F7F" w:themeColor="text1" w:themeTint="80"/>
          <w:sz w:val="20"/>
          <w:szCs w:val="20"/>
          <w:lang w:val="en-US"/>
        </w:rPr>
      </w:pPr>
    </w:p>
    <w:p w14:paraId="5E3B69CE" w14:textId="2F6DB821" w:rsidR="00372B83" w:rsidRPr="0081676F" w:rsidRDefault="00372B83" w:rsidP="00372B83">
      <w:pPr>
        <w:spacing w:after="0" w:line="360" w:lineRule="auto"/>
        <w:jc w:val="both"/>
        <w:rPr>
          <w:rFonts w:ascii="Calibri" w:hAnsi="Calibri"/>
          <w:lang w:val="en-US"/>
        </w:rPr>
      </w:pPr>
      <w:r w:rsidRPr="0081676F">
        <w:rPr>
          <w:rFonts w:ascii="Calibri" w:hAnsi="Calibri"/>
          <w:lang w:val="en-US"/>
        </w:rPr>
        <w:t>The prevalence of mood disorders declined with age among women, from 19% among 16-24 year olds to less than 1% among those aged 75 years or more. The prevalence of mood disorders among males was more stable across the lifespan.</w:t>
      </w:r>
    </w:p>
    <w:p w14:paraId="2856E7A4" w14:textId="77777777" w:rsidR="00372B83" w:rsidRDefault="00372B83" w:rsidP="00372B83">
      <w:pPr>
        <w:spacing w:after="0" w:line="360" w:lineRule="auto"/>
        <w:jc w:val="both"/>
        <w:rPr>
          <w:rFonts w:ascii="Calibri" w:hAnsi="Calibri"/>
          <w:sz w:val="12"/>
          <w:szCs w:val="12"/>
        </w:rPr>
      </w:pPr>
    </w:p>
    <w:p w14:paraId="4362CF7B" w14:textId="77777777" w:rsidR="00372B83" w:rsidRDefault="00372B83">
      <w:pPr>
        <w:rPr>
          <w:rFonts w:ascii="Calibri" w:hAnsi="Calibri"/>
          <w:i/>
          <w:iCs/>
        </w:rPr>
      </w:pPr>
      <w:r>
        <w:rPr>
          <w:rFonts w:ascii="Calibri" w:hAnsi="Calibri"/>
          <w:i/>
          <w:iCs/>
        </w:rPr>
        <w:br w:type="page"/>
      </w:r>
    </w:p>
    <w:p w14:paraId="054B62F3" w14:textId="7CAAE6BD" w:rsidR="00372B83" w:rsidRPr="001E6757" w:rsidRDefault="00372B83" w:rsidP="00372B83">
      <w:pPr>
        <w:spacing w:after="0" w:line="360" w:lineRule="auto"/>
        <w:jc w:val="both"/>
        <w:rPr>
          <w:rFonts w:ascii="Calibri" w:hAnsi="Calibri"/>
          <w:i/>
          <w:iCs/>
        </w:rPr>
      </w:pPr>
      <w:r w:rsidRPr="001E6757">
        <w:rPr>
          <w:rFonts w:ascii="Calibri" w:hAnsi="Calibri"/>
          <w:i/>
          <w:iCs/>
        </w:rPr>
        <w:lastRenderedPageBreak/>
        <w:t>Substance use disorders</w:t>
      </w:r>
    </w:p>
    <w:p w14:paraId="381FC803" w14:textId="77777777" w:rsidR="00372B83" w:rsidRPr="001E6757" w:rsidRDefault="00372B83" w:rsidP="00372B83">
      <w:pPr>
        <w:spacing w:after="0" w:line="360" w:lineRule="auto"/>
        <w:jc w:val="both"/>
        <w:rPr>
          <w:rFonts w:ascii="Calibri" w:hAnsi="Calibri"/>
          <w:lang w:val="en-US"/>
        </w:rPr>
      </w:pPr>
      <w:r w:rsidRPr="001E6757">
        <w:rPr>
          <w:rFonts w:ascii="Calibri" w:hAnsi="Calibri"/>
          <w:noProof/>
          <w:sz w:val="12"/>
          <w:szCs w:val="12"/>
          <w:lang w:val="en-US"/>
        </w:rPr>
        <w:drawing>
          <wp:anchor distT="0" distB="0" distL="114300" distR="114300" simplePos="0" relativeHeight="252122112" behindDoc="0" locked="0" layoutInCell="1" allowOverlap="1" wp14:anchorId="67A5F6FE" wp14:editId="65015500">
            <wp:simplePos x="0" y="0"/>
            <wp:positionH relativeFrom="margin">
              <wp:posOffset>2149475</wp:posOffset>
            </wp:positionH>
            <wp:positionV relativeFrom="paragraph">
              <wp:posOffset>3810</wp:posOffset>
            </wp:positionV>
            <wp:extent cx="3901440" cy="2576195"/>
            <wp:effectExtent l="0" t="0" r="3810" b="0"/>
            <wp:wrapSquare wrapText="bothSides"/>
            <wp:docPr id="396" name="Picture 39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Picture 396" descr="Chart, bar chart&#10;&#10;Description automatically generated"/>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3901440" cy="257619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lang w:val="en-US"/>
        </w:rPr>
        <w:t>S</w:t>
      </w:r>
      <w:r w:rsidRPr="001E6757">
        <w:rPr>
          <w:rFonts w:ascii="Calibri" w:hAnsi="Calibri"/>
          <w:lang w:val="en-US"/>
        </w:rPr>
        <w:t>ubstance use disorders</w:t>
      </w:r>
      <w:r>
        <w:rPr>
          <w:rFonts w:ascii="Calibri" w:hAnsi="Calibri"/>
          <w:lang w:val="en-US"/>
        </w:rPr>
        <w:t xml:space="preserve"> had been experienced by</w:t>
      </w:r>
      <w:r w:rsidRPr="001E6757">
        <w:rPr>
          <w:rFonts w:ascii="Calibri" w:hAnsi="Calibri"/>
          <w:lang w:val="en-US"/>
        </w:rPr>
        <w:t xml:space="preserve"> 3.3% of Australian survey participants aged 16-85 years</w:t>
      </w:r>
      <w:r>
        <w:rPr>
          <w:rFonts w:ascii="Calibri" w:hAnsi="Calibri"/>
          <w:lang w:val="en-US"/>
        </w:rPr>
        <w:t xml:space="preserve"> during the previous 12 months, and their prevalence </w:t>
      </w:r>
      <w:r w:rsidRPr="001E6757">
        <w:rPr>
          <w:rFonts w:ascii="Calibri" w:hAnsi="Calibri"/>
          <w:lang w:val="en-US"/>
        </w:rPr>
        <w:t>was higher among men (4.4%) than women (2.3%).</w:t>
      </w:r>
    </w:p>
    <w:p w14:paraId="3648FCB9" w14:textId="77777777" w:rsidR="00372B83" w:rsidRPr="001E6757" w:rsidRDefault="00372B83" w:rsidP="00372B83">
      <w:pPr>
        <w:spacing w:after="0" w:line="360" w:lineRule="auto"/>
        <w:jc w:val="both"/>
        <w:rPr>
          <w:rFonts w:ascii="Calibri" w:hAnsi="Calibri"/>
          <w:sz w:val="12"/>
          <w:szCs w:val="12"/>
          <w:lang w:val="en-US"/>
        </w:rPr>
      </w:pPr>
    </w:p>
    <w:p w14:paraId="291412AF" w14:textId="77777777" w:rsidR="00372B83" w:rsidRDefault="00372B83" w:rsidP="00372B83">
      <w:pPr>
        <w:spacing w:after="0"/>
        <w:jc w:val="both"/>
        <w:rPr>
          <w:rFonts w:ascii="Calibri" w:hAnsi="Calibri"/>
          <w:color w:val="7F7F7F" w:themeColor="text1" w:themeTint="80"/>
          <w:sz w:val="20"/>
          <w:szCs w:val="20"/>
          <w:lang w:val="en-US"/>
        </w:rPr>
      </w:pPr>
      <w:r w:rsidRPr="0081676F">
        <w:rPr>
          <w:rFonts w:ascii="Calibri" w:hAnsi="Calibri"/>
          <w:color w:val="7F7F7F" w:themeColor="text1" w:themeTint="80"/>
          <w:sz w:val="20"/>
          <w:szCs w:val="20"/>
          <w:lang w:val="en-US"/>
        </w:rPr>
        <w:t>The prevalence of anxiety disorders by age and sex: Australia, 2021/22</w:t>
      </w:r>
    </w:p>
    <w:p w14:paraId="021D9660" w14:textId="77777777" w:rsidR="00372B83" w:rsidRDefault="00372B83" w:rsidP="00372B83">
      <w:pPr>
        <w:spacing w:after="0" w:line="360" w:lineRule="auto"/>
        <w:jc w:val="both"/>
        <w:rPr>
          <w:rFonts w:ascii="Calibri" w:hAnsi="Calibri"/>
          <w:sz w:val="12"/>
          <w:szCs w:val="12"/>
          <w:lang w:val="en-US"/>
        </w:rPr>
      </w:pPr>
    </w:p>
    <w:p w14:paraId="441E8956" w14:textId="77777777" w:rsidR="00372B83" w:rsidRDefault="00372B83" w:rsidP="00372B83">
      <w:pPr>
        <w:spacing w:after="0" w:line="360" w:lineRule="auto"/>
        <w:jc w:val="both"/>
        <w:rPr>
          <w:rFonts w:ascii="Calibri" w:hAnsi="Calibri"/>
          <w:sz w:val="12"/>
          <w:szCs w:val="12"/>
          <w:lang w:val="en-US"/>
        </w:rPr>
      </w:pPr>
    </w:p>
    <w:p w14:paraId="62878561" w14:textId="77777777" w:rsidR="00372B83" w:rsidRDefault="00372B83" w:rsidP="00372B83">
      <w:pPr>
        <w:spacing w:after="0" w:line="360" w:lineRule="auto"/>
        <w:jc w:val="both"/>
        <w:rPr>
          <w:rFonts w:ascii="Calibri" w:hAnsi="Calibri"/>
          <w:sz w:val="12"/>
          <w:szCs w:val="12"/>
          <w:lang w:val="en-US"/>
        </w:rPr>
      </w:pPr>
    </w:p>
    <w:p w14:paraId="0414C29E" w14:textId="77777777" w:rsidR="00372B83" w:rsidRDefault="00372B83" w:rsidP="00372B83">
      <w:pPr>
        <w:spacing w:after="0" w:line="360" w:lineRule="auto"/>
        <w:jc w:val="both"/>
        <w:rPr>
          <w:rFonts w:ascii="Calibri" w:hAnsi="Calibri"/>
          <w:sz w:val="12"/>
          <w:szCs w:val="12"/>
          <w:lang w:val="en-US"/>
        </w:rPr>
      </w:pPr>
    </w:p>
    <w:p w14:paraId="2B7ADBDA" w14:textId="77777777" w:rsidR="00372B83" w:rsidRDefault="00372B83" w:rsidP="00372B83">
      <w:pPr>
        <w:spacing w:after="0" w:line="360" w:lineRule="auto"/>
        <w:jc w:val="both"/>
        <w:rPr>
          <w:rFonts w:ascii="Calibri" w:hAnsi="Calibri"/>
          <w:sz w:val="12"/>
          <w:szCs w:val="12"/>
          <w:lang w:val="en-US"/>
        </w:rPr>
      </w:pPr>
    </w:p>
    <w:p w14:paraId="2350F35E" w14:textId="77777777" w:rsidR="00372B83" w:rsidRDefault="00372B83" w:rsidP="00372B83">
      <w:pPr>
        <w:spacing w:after="0" w:line="360" w:lineRule="auto"/>
        <w:jc w:val="both"/>
        <w:rPr>
          <w:rFonts w:ascii="Calibri" w:hAnsi="Calibri"/>
          <w:sz w:val="12"/>
          <w:szCs w:val="12"/>
          <w:lang w:val="en-US"/>
        </w:rPr>
      </w:pPr>
    </w:p>
    <w:p w14:paraId="73952753" w14:textId="4A7A6886" w:rsidR="00372B83" w:rsidRDefault="00372B83" w:rsidP="00372B83">
      <w:pPr>
        <w:spacing w:after="0" w:line="360" w:lineRule="auto"/>
        <w:jc w:val="both"/>
        <w:rPr>
          <w:rFonts w:ascii="Calibri" w:hAnsi="Calibri"/>
          <w:lang w:val="en-US"/>
        </w:rPr>
      </w:pPr>
      <w:r w:rsidRPr="001E6757">
        <w:rPr>
          <w:rFonts w:ascii="Calibri" w:hAnsi="Calibri"/>
          <w:lang w:val="en-US"/>
        </w:rPr>
        <w:t xml:space="preserve">Such conditions were </w:t>
      </w:r>
      <w:r>
        <w:rPr>
          <w:rFonts w:ascii="Calibri" w:hAnsi="Calibri"/>
          <w:lang w:val="en-US"/>
        </w:rPr>
        <w:t>most</w:t>
      </w:r>
      <w:r w:rsidRPr="001E6757">
        <w:rPr>
          <w:rFonts w:ascii="Calibri" w:hAnsi="Calibri"/>
          <w:lang w:val="en-US"/>
        </w:rPr>
        <w:t xml:space="preserve"> widespread among younger people, affecting approximately 13% of 16-24 year-old males and 7% of females. Among people aged 35-44 years, this disparity was even more striking, with 5.8% of males and 0.5% of females </w:t>
      </w:r>
      <w:r>
        <w:rPr>
          <w:rFonts w:ascii="Calibri" w:hAnsi="Calibri"/>
          <w:lang w:val="en-US"/>
        </w:rPr>
        <w:t>stating</w:t>
      </w:r>
      <w:r w:rsidRPr="001E6757">
        <w:rPr>
          <w:rFonts w:ascii="Calibri" w:hAnsi="Calibri"/>
          <w:lang w:val="en-US"/>
        </w:rPr>
        <w:t xml:space="preserve"> that they had experienced this disorder within the previous 12 months. </w:t>
      </w:r>
    </w:p>
    <w:p w14:paraId="5508A6DC" w14:textId="77777777" w:rsidR="00372B83" w:rsidRDefault="00372B83">
      <w:pPr>
        <w:rPr>
          <w:rFonts w:ascii="Calibri" w:hAnsi="Calibri"/>
          <w:lang w:val="en-US"/>
        </w:rPr>
      </w:pPr>
      <w:r>
        <w:rPr>
          <w:rFonts w:ascii="Calibri" w:hAnsi="Calibri"/>
          <w:lang w:val="en-US"/>
        </w:rPr>
        <w:br w:type="page"/>
      </w:r>
    </w:p>
    <w:p w14:paraId="2DA25A14" w14:textId="77777777" w:rsidR="00BD622A" w:rsidRPr="00473311" w:rsidRDefault="00BD622A" w:rsidP="00BD622A">
      <w:pPr>
        <w:pBdr>
          <w:top w:val="single" w:sz="4" w:space="1" w:color="auto"/>
          <w:bottom w:val="single" w:sz="4" w:space="1" w:color="auto"/>
        </w:pBdr>
        <w:tabs>
          <w:tab w:val="center" w:pos="4678"/>
        </w:tabs>
        <w:spacing w:after="0"/>
        <w:jc w:val="center"/>
        <w:rPr>
          <w:rFonts w:ascii="Calibri" w:hAnsi="Calibri"/>
          <w:noProof/>
          <w:sz w:val="32"/>
          <w:szCs w:val="32"/>
        </w:rPr>
      </w:pPr>
      <w:r w:rsidRPr="00473311">
        <w:rPr>
          <w:rFonts w:ascii="Calibri" w:hAnsi="Calibri"/>
          <w:noProof/>
          <w:sz w:val="32"/>
          <w:szCs w:val="32"/>
        </w:rPr>
        <w:lastRenderedPageBreak/>
        <w:t>Suicide</w:t>
      </w:r>
    </w:p>
    <w:p w14:paraId="486680EA" w14:textId="77777777" w:rsidR="00BD622A" w:rsidRPr="004C134F" w:rsidRDefault="00BD622A" w:rsidP="00BD622A">
      <w:pPr>
        <w:spacing w:after="0"/>
        <w:jc w:val="center"/>
        <w:rPr>
          <w:rFonts w:ascii="Calibri" w:hAnsi="Calibri"/>
          <w:b/>
          <w:noProof/>
          <w:sz w:val="16"/>
          <w:szCs w:val="16"/>
        </w:rPr>
      </w:pPr>
    </w:p>
    <w:p w14:paraId="1F6C6E12" w14:textId="77777777" w:rsidR="00BD622A" w:rsidRPr="00280AC4" w:rsidRDefault="00BD622A" w:rsidP="00BD622A">
      <w:pPr>
        <w:spacing w:after="0" w:line="360" w:lineRule="auto"/>
        <w:jc w:val="both"/>
        <w:rPr>
          <w:rFonts w:ascii="Calibri" w:hAnsi="Calibri"/>
          <w:b/>
        </w:rPr>
      </w:pPr>
      <w:r>
        <w:rPr>
          <w:rFonts w:ascii="Calibri" w:hAnsi="Calibri"/>
          <w:b/>
          <w:noProof/>
          <w:lang w:eastAsia="en-AU"/>
        </w:rPr>
        <w:drawing>
          <wp:anchor distT="0" distB="0" distL="114300" distR="114300" simplePos="0" relativeHeight="252027904" behindDoc="1" locked="0" layoutInCell="1" allowOverlap="1" wp14:anchorId="627E83AA" wp14:editId="2A8E01D4">
            <wp:simplePos x="0" y="0"/>
            <wp:positionH relativeFrom="column">
              <wp:posOffset>1598930</wp:posOffset>
            </wp:positionH>
            <wp:positionV relativeFrom="paragraph">
              <wp:posOffset>54610</wp:posOffset>
            </wp:positionV>
            <wp:extent cx="1428750" cy="771525"/>
            <wp:effectExtent l="38100" t="38100" r="95250" b="104775"/>
            <wp:wrapTight wrapText="bothSides">
              <wp:wrapPolygon edited="0">
                <wp:start x="0" y="-1067"/>
                <wp:lineTo x="-576" y="-533"/>
                <wp:lineTo x="-576" y="21867"/>
                <wp:lineTo x="-288" y="24000"/>
                <wp:lineTo x="22176" y="24000"/>
                <wp:lineTo x="22752" y="16533"/>
                <wp:lineTo x="22752" y="8000"/>
                <wp:lineTo x="21888" y="0"/>
                <wp:lineTo x="21888" y="-1067"/>
                <wp:lineTo x="0" y="-1067"/>
              </wp:wrapPolygon>
            </wp:wrapTight>
            <wp:docPr id="348" name="Picture 67" descr="Suic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uicide"/>
                    <pic:cNvPicPr>
                      <a:picLocks noChangeAspect="1" noChangeArrowheads="1"/>
                    </pic:cNvPicPr>
                  </pic:nvPicPr>
                  <pic:blipFill>
                    <a:blip r:embed="rId313" cstate="print"/>
                    <a:srcRect/>
                    <a:stretch>
                      <a:fillRect/>
                    </a:stretch>
                  </pic:blipFill>
                  <pic:spPr bwMode="auto">
                    <a:xfrm>
                      <a:off x="0" y="0"/>
                      <a:ext cx="1428750" cy="771525"/>
                    </a:xfrm>
                    <a:prstGeom prst="rect">
                      <a:avLst/>
                    </a:prstGeom>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280AC4">
        <w:rPr>
          <w:rFonts w:ascii="Calibri" w:hAnsi="Calibri"/>
          <w:b/>
        </w:rPr>
        <w:t>Suicide Rates</w:t>
      </w:r>
    </w:p>
    <w:p w14:paraId="1DC772F2" w14:textId="77777777" w:rsidR="00BD622A" w:rsidRPr="004C134F" w:rsidRDefault="00BD622A" w:rsidP="00BD622A">
      <w:pPr>
        <w:spacing w:after="0" w:line="360" w:lineRule="auto"/>
        <w:jc w:val="both"/>
        <w:rPr>
          <w:rFonts w:ascii="Calibri" w:hAnsi="Calibri"/>
        </w:rPr>
      </w:pPr>
      <w:r>
        <w:rPr>
          <w:rFonts w:ascii="Calibri" w:hAnsi="Calibri"/>
          <w:b/>
          <w:noProof/>
        </w:rPr>
        <w:drawing>
          <wp:anchor distT="0" distB="0" distL="114300" distR="114300" simplePos="0" relativeHeight="252025856" behindDoc="1" locked="0" layoutInCell="1" allowOverlap="1" wp14:anchorId="24E8D92A" wp14:editId="13DFEE1D">
            <wp:simplePos x="0" y="0"/>
            <wp:positionH relativeFrom="column">
              <wp:posOffset>30480</wp:posOffset>
            </wp:positionH>
            <wp:positionV relativeFrom="paragraph">
              <wp:posOffset>3810</wp:posOffset>
            </wp:positionV>
            <wp:extent cx="3766820" cy="2787650"/>
            <wp:effectExtent l="0" t="0" r="5080" b="0"/>
            <wp:wrapSquare wrapText="bothSides"/>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3766820" cy="2787650"/>
                    </a:xfrm>
                    <a:prstGeom prst="rect">
                      <a:avLst/>
                    </a:prstGeom>
                    <a:noFill/>
                  </pic:spPr>
                </pic:pic>
              </a:graphicData>
            </a:graphic>
            <wp14:sizeRelH relativeFrom="page">
              <wp14:pctWidth>0</wp14:pctWidth>
            </wp14:sizeRelH>
            <wp14:sizeRelV relativeFrom="page">
              <wp14:pctHeight>0</wp14:pctHeight>
            </wp14:sizeRelV>
          </wp:anchor>
        </w:drawing>
      </w:r>
      <w:r w:rsidRPr="004C134F">
        <w:rPr>
          <w:rFonts w:ascii="Calibri" w:hAnsi="Calibri"/>
        </w:rPr>
        <w:t>Each year in Australia,</w:t>
      </w:r>
      <w:r>
        <w:rPr>
          <w:rFonts w:ascii="Calibri" w:hAnsi="Calibri"/>
        </w:rPr>
        <w:t xml:space="preserve"> approximately one person in 1,</w:t>
      </w:r>
      <w:r w:rsidRPr="004C134F">
        <w:rPr>
          <w:rFonts w:ascii="Calibri" w:hAnsi="Calibri"/>
        </w:rPr>
        <w:t xml:space="preserve">000 takes </w:t>
      </w:r>
      <w:r>
        <w:rPr>
          <w:rFonts w:ascii="Calibri" w:hAnsi="Calibri"/>
        </w:rPr>
        <w:t>their own</w:t>
      </w:r>
      <w:r w:rsidRPr="004C134F">
        <w:rPr>
          <w:rFonts w:ascii="Calibri" w:hAnsi="Calibri"/>
        </w:rPr>
        <w:t xml:space="preserve"> life. </w:t>
      </w:r>
    </w:p>
    <w:p w14:paraId="07916F8E" w14:textId="77777777" w:rsidR="00BD622A" w:rsidRPr="0051085E" w:rsidRDefault="00BD622A" w:rsidP="00BD622A">
      <w:pPr>
        <w:spacing w:after="0"/>
        <w:jc w:val="both"/>
        <w:rPr>
          <w:rFonts w:ascii="Calibri" w:hAnsi="Calibri"/>
          <w:color w:val="7F7F7F"/>
          <w:sz w:val="12"/>
          <w:szCs w:val="12"/>
        </w:rPr>
      </w:pPr>
    </w:p>
    <w:p w14:paraId="7171528E" w14:textId="77777777" w:rsidR="00BD622A" w:rsidRPr="00BD622A" w:rsidRDefault="00BD622A" w:rsidP="00BD622A">
      <w:pPr>
        <w:spacing w:after="0" w:line="240" w:lineRule="auto"/>
        <w:jc w:val="both"/>
        <w:rPr>
          <w:rFonts w:ascii="Calibri" w:hAnsi="Calibri"/>
          <w:color w:val="7F7F7F"/>
          <w:sz w:val="20"/>
          <w:szCs w:val="20"/>
        </w:rPr>
      </w:pPr>
      <w:r w:rsidRPr="00BD622A">
        <w:rPr>
          <w:rFonts w:ascii="Calibri" w:hAnsi="Calibri"/>
          <w:color w:val="7F7F7F"/>
          <w:sz w:val="20"/>
          <w:szCs w:val="20"/>
        </w:rPr>
        <w:t>Suicide Rate by Age, Australia, 2020</w:t>
      </w:r>
    </w:p>
    <w:p w14:paraId="237905BA" w14:textId="77777777" w:rsidR="00BD622A" w:rsidRPr="0051085E" w:rsidRDefault="00BD622A" w:rsidP="00BD622A">
      <w:pPr>
        <w:spacing w:after="0" w:line="360" w:lineRule="auto"/>
        <w:jc w:val="both"/>
        <w:rPr>
          <w:rFonts w:ascii="Calibri" w:hAnsi="Calibri"/>
          <w:sz w:val="12"/>
          <w:szCs w:val="12"/>
        </w:rPr>
      </w:pPr>
    </w:p>
    <w:p w14:paraId="74DD7906" w14:textId="77777777" w:rsidR="00BD622A" w:rsidRDefault="00BD622A" w:rsidP="00BD622A">
      <w:pPr>
        <w:spacing w:after="0" w:line="360" w:lineRule="auto"/>
        <w:jc w:val="both"/>
        <w:rPr>
          <w:rFonts w:ascii="Calibri" w:hAnsi="Calibri"/>
        </w:rPr>
      </w:pPr>
      <w:r>
        <w:rPr>
          <w:rFonts w:ascii="Calibri" w:hAnsi="Calibri"/>
        </w:rPr>
        <w:t>In 2020, male s</w:t>
      </w:r>
      <w:r w:rsidRPr="004C134F">
        <w:rPr>
          <w:rFonts w:ascii="Calibri" w:hAnsi="Calibri"/>
        </w:rPr>
        <w:t xml:space="preserve">uicide rates </w:t>
      </w:r>
      <w:r>
        <w:rPr>
          <w:rFonts w:ascii="Calibri" w:hAnsi="Calibri"/>
        </w:rPr>
        <w:t xml:space="preserve">stood </w:t>
      </w:r>
      <w:r w:rsidRPr="004C134F">
        <w:rPr>
          <w:rFonts w:ascii="Calibri" w:hAnsi="Calibri"/>
        </w:rPr>
        <w:t xml:space="preserve">at </w:t>
      </w:r>
      <w:r>
        <w:rPr>
          <w:rFonts w:ascii="Calibri" w:hAnsi="Calibri"/>
        </w:rPr>
        <w:t>18.6</w:t>
      </w:r>
      <w:r w:rsidRPr="004C134F">
        <w:rPr>
          <w:rFonts w:ascii="Calibri" w:hAnsi="Calibri"/>
        </w:rPr>
        <w:t xml:space="preserve"> per 100,000</w:t>
      </w:r>
      <w:r>
        <w:rPr>
          <w:rFonts w:ascii="Calibri" w:hAnsi="Calibri"/>
        </w:rPr>
        <w:t xml:space="preserve"> </w:t>
      </w:r>
      <w:r w:rsidRPr="004C134F">
        <w:rPr>
          <w:rFonts w:ascii="Calibri" w:hAnsi="Calibri"/>
        </w:rPr>
        <w:t xml:space="preserve">– </w:t>
      </w:r>
      <w:r>
        <w:rPr>
          <w:rFonts w:ascii="Calibri" w:hAnsi="Calibri"/>
        </w:rPr>
        <w:t>over</w:t>
      </w:r>
      <w:r w:rsidRPr="004C134F">
        <w:rPr>
          <w:rFonts w:ascii="Calibri" w:hAnsi="Calibri"/>
        </w:rPr>
        <w:t xml:space="preserve"> three times higher than the</w:t>
      </w:r>
      <w:r>
        <w:rPr>
          <w:rFonts w:ascii="Calibri" w:hAnsi="Calibri"/>
        </w:rPr>
        <w:t xml:space="preserve"> corresponding</w:t>
      </w:r>
      <w:r w:rsidRPr="004C134F">
        <w:rPr>
          <w:rFonts w:ascii="Calibri" w:hAnsi="Calibri"/>
        </w:rPr>
        <w:t xml:space="preserve"> </w:t>
      </w:r>
      <w:r>
        <w:rPr>
          <w:rFonts w:ascii="Calibri" w:hAnsi="Calibri"/>
        </w:rPr>
        <w:t>female</w:t>
      </w:r>
      <w:r w:rsidRPr="004C134F">
        <w:rPr>
          <w:rFonts w:ascii="Calibri" w:hAnsi="Calibri"/>
        </w:rPr>
        <w:t xml:space="preserve"> rate of </w:t>
      </w:r>
      <w:r>
        <w:rPr>
          <w:rFonts w:ascii="Calibri" w:hAnsi="Calibri"/>
        </w:rPr>
        <w:t>5.1</w:t>
      </w:r>
      <w:r w:rsidRPr="004C134F">
        <w:rPr>
          <w:rFonts w:ascii="Calibri" w:hAnsi="Calibri"/>
        </w:rPr>
        <w:t xml:space="preserve"> per 10</w:t>
      </w:r>
      <w:r>
        <w:rPr>
          <w:rFonts w:ascii="Calibri" w:hAnsi="Calibri"/>
        </w:rPr>
        <w:t>0</w:t>
      </w:r>
      <w:r w:rsidRPr="004C134F">
        <w:rPr>
          <w:rFonts w:ascii="Calibri" w:hAnsi="Calibri"/>
        </w:rPr>
        <w:t xml:space="preserve">,000. </w:t>
      </w:r>
      <w:r>
        <w:rPr>
          <w:rFonts w:ascii="Calibri" w:hAnsi="Calibri"/>
        </w:rPr>
        <w:t>Suicide r</w:t>
      </w:r>
      <w:r w:rsidRPr="004C134F">
        <w:rPr>
          <w:rFonts w:ascii="Calibri" w:hAnsi="Calibri"/>
        </w:rPr>
        <w:t xml:space="preserve">ates also vary with age </w:t>
      </w:r>
      <w:r>
        <w:rPr>
          <w:rFonts w:ascii="Calibri" w:hAnsi="Calibri"/>
        </w:rPr>
        <w:t>but are highest among</w:t>
      </w:r>
      <w:r w:rsidRPr="004C134F">
        <w:rPr>
          <w:rFonts w:ascii="Calibri" w:hAnsi="Calibri"/>
        </w:rPr>
        <w:t xml:space="preserve"> elderly males.</w:t>
      </w:r>
    </w:p>
    <w:p w14:paraId="6F78CDD1" w14:textId="77777777" w:rsidR="00BD622A" w:rsidRPr="00BD622A" w:rsidRDefault="00BD622A" w:rsidP="00BD622A">
      <w:pPr>
        <w:spacing w:after="0" w:line="240" w:lineRule="auto"/>
        <w:jc w:val="both"/>
        <w:rPr>
          <w:rFonts w:ascii="Calibri" w:hAnsi="Calibri"/>
          <w:sz w:val="20"/>
          <w:szCs w:val="20"/>
        </w:rPr>
      </w:pPr>
    </w:p>
    <w:p w14:paraId="087CC7D6" w14:textId="77777777" w:rsidR="00BD622A" w:rsidRPr="00BD622A" w:rsidRDefault="00BD622A" w:rsidP="00BD622A">
      <w:pPr>
        <w:spacing w:after="0" w:line="240" w:lineRule="auto"/>
        <w:ind w:left="4820"/>
        <w:jc w:val="both"/>
        <w:rPr>
          <w:rFonts w:ascii="Calibri" w:hAnsi="Calibri"/>
          <w:noProof/>
          <w:sz w:val="20"/>
          <w:szCs w:val="20"/>
        </w:rPr>
      </w:pPr>
      <w:r w:rsidRPr="00BD622A">
        <w:rPr>
          <w:rFonts w:ascii="Calibri" w:hAnsi="Calibri"/>
          <w:color w:val="808080"/>
          <w:sz w:val="20"/>
          <w:szCs w:val="20"/>
        </w:rPr>
        <w:t>Suicide Rate by Sex: Australia, 1900 to 2020</w:t>
      </w:r>
    </w:p>
    <w:p w14:paraId="360B086D" w14:textId="77777777" w:rsidR="00BD622A" w:rsidRDefault="00BD622A" w:rsidP="00BD622A">
      <w:pPr>
        <w:spacing w:after="0" w:line="360" w:lineRule="auto"/>
        <w:jc w:val="both"/>
        <w:rPr>
          <w:rFonts w:ascii="Calibri" w:hAnsi="Calibri"/>
        </w:rPr>
      </w:pPr>
      <w:r>
        <w:rPr>
          <w:rFonts w:ascii="Calibri" w:hAnsi="Calibri"/>
          <w:noProof/>
        </w:rPr>
        <w:drawing>
          <wp:anchor distT="0" distB="0" distL="114300" distR="114300" simplePos="0" relativeHeight="252026880" behindDoc="0" locked="0" layoutInCell="1" allowOverlap="1" wp14:anchorId="10BE7773" wp14:editId="75F930FE">
            <wp:simplePos x="0" y="0"/>
            <wp:positionH relativeFrom="column">
              <wp:posOffset>2127188</wp:posOffset>
            </wp:positionH>
            <wp:positionV relativeFrom="paragraph">
              <wp:posOffset>42312</wp:posOffset>
            </wp:positionV>
            <wp:extent cx="3990975" cy="2778465"/>
            <wp:effectExtent l="0" t="0" r="0" b="3175"/>
            <wp:wrapSquare wrapText="bothSides"/>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3990975" cy="277846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T</w:t>
      </w:r>
      <w:r w:rsidRPr="004C134F">
        <w:rPr>
          <w:rFonts w:ascii="Calibri" w:hAnsi="Calibri"/>
        </w:rPr>
        <w:t xml:space="preserve">he suicide rate among females has remained fairly steady </w:t>
      </w:r>
      <w:r>
        <w:rPr>
          <w:rFonts w:ascii="Calibri" w:hAnsi="Calibri"/>
        </w:rPr>
        <w:t>in</w:t>
      </w:r>
      <w:r w:rsidRPr="004C134F">
        <w:rPr>
          <w:rFonts w:ascii="Calibri" w:hAnsi="Calibri"/>
        </w:rPr>
        <w:t xml:space="preserve"> the past century or so</w:t>
      </w:r>
      <w:r>
        <w:rPr>
          <w:rFonts w:ascii="Calibri" w:hAnsi="Calibri"/>
        </w:rPr>
        <w:t>, aside from a rise in the 1960s.</w:t>
      </w:r>
      <w:r w:rsidRPr="004C134F">
        <w:rPr>
          <w:rFonts w:ascii="Calibri" w:hAnsi="Calibri"/>
        </w:rPr>
        <w:t xml:space="preserve"> </w:t>
      </w:r>
      <w:r>
        <w:rPr>
          <w:rFonts w:ascii="Calibri" w:hAnsi="Calibri"/>
        </w:rPr>
        <w:t>Male</w:t>
      </w:r>
      <w:r w:rsidRPr="004C134F">
        <w:rPr>
          <w:rFonts w:ascii="Calibri" w:hAnsi="Calibri"/>
        </w:rPr>
        <w:t xml:space="preserve"> rate</w:t>
      </w:r>
      <w:r>
        <w:rPr>
          <w:rFonts w:ascii="Calibri" w:hAnsi="Calibri"/>
        </w:rPr>
        <w:t>s on the other hand,</w:t>
      </w:r>
      <w:r w:rsidRPr="004C134F">
        <w:rPr>
          <w:rFonts w:ascii="Calibri" w:hAnsi="Calibri"/>
        </w:rPr>
        <w:t xml:space="preserve"> </w:t>
      </w:r>
      <w:r>
        <w:rPr>
          <w:rFonts w:ascii="Calibri" w:hAnsi="Calibri"/>
        </w:rPr>
        <w:t>rose</w:t>
      </w:r>
      <w:r w:rsidRPr="004C134F">
        <w:rPr>
          <w:rFonts w:ascii="Calibri" w:hAnsi="Calibri"/>
        </w:rPr>
        <w:t xml:space="preserve"> in 1926-30</w:t>
      </w:r>
      <w:r>
        <w:rPr>
          <w:rFonts w:ascii="Calibri" w:hAnsi="Calibri"/>
        </w:rPr>
        <w:t>, declined during World War Two, then rose</w:t>
      </w:r>
      <w:r w:rsidRPr="004C134F">
        <w:rPr>
          <w:rFonts w:ascii="Calibri" w:hAnsi="Calibri"/>
        </w:rPr>
        <w:t xml:space="preserve"> again in the period 1986-2000, before </w:t>
      </w:r>
      <w:r>
        <w:rPr>
          <w:rFonts w:ascii="Calibri" w:hAnsi="Calibri"/>
        </w:rPr>
        <w:t>subsiding</w:t>
      </w:r>
      <w:r w:rsidRPr="004C134F">
        <w:rPr>
          <w:rFonts w:ascii="Calibri" w:hAnsi="Calibri"/>
        </w:rPr>
        <w:t xml:space="preserve"> to its present level. </w:t>
      </w:r>
    </w:p>
    <w:p w14:paraId="604F1377" w14:textId="77777777" w:rsidR="00BD622A" w:rsidRDefault="00BD622A" w:rsidP="00BD622A">
      <w:pPr>
        <w:spacing w:after="0"/>
        <w:jc w:val="both"/>
        <w:rPr>
          <w:rFonts w:ascii="Calibri" w:hAnsi="Calibri"/>
          <w:color w:val="808080"/>
          <w:sz w:val="20"/>
          <w:szCs w:val="20"/>
        </w:rPr>
      </w:pPr>
    </w:p>
    <w:p w14:paraId="54AA9C36" w14:textId="77777777" w:rsidR="00BD622A" w:rsidRDefault="00BD622A" w:rsidP="00BD622A">
      <w:pPr>
        <w:spacing w:after="0"/>
        <w:jc w:val="both"/>
        <w:rPr>
          <w:rFonts w:ascii="Calibri" w:hAnsi="Calibri"/>
          <w:color w:val="808080"/>
          <w:sz w:val="20"/>
          <w:szCs w:val="20"/>
        </w:rPr>
      </w:pPr>
    </w:p>
    <w:p w14:paraId="648B960A" w14:textId="77777777" w:rsidR="00BD622A" w:rsidRPr="00675403" w:rsidRDefault="00BD622A" w:rsidP="00BD622A">
      <w:pPr>
        <w:spacing w:after="0"/>
        <w:jc w:val="both"/>
        <w:rPr>
          <w:rFonts w:ascii="Calibri" w:hAnsi="Calibri"/>
          <w:color w:val="808080"/>
          <w:sz w:val="10"/>
          <w:szCs w:val="10"/>
        </w:rPr>
      </w:pPr>
    </w:p>
    <w:p w14:paraId="5A07EA94" w14:textId="77777777" w:rsidR="00BD622A" w:rsidRDefault="00BD622A" w:rsidP="00BD622A">
      <w:pPr>
        <w:spacing w:after="0" w:line="360" w:lineRule="auto"/>
        <w:jc w:val="both"/>
        <w:rPr>
          <w:rFonts w:ascii="Calibri" w:hAnsi="Calibri"/>
        </w:rPr>
      </w:pPr>
      <w:r>
        <w:rPr>
          <w:rFonts w:ascii="Calibri" w:hAnsi="Calibri"/>
          <w:noProof/>
        </w:rPr>
        <w:drawing>
          <wp:anchor distT="0" distB="0" distL="114300" distR="114300" simplePos="0" relativeHeight="252028928" behindDoc="0" locked="0" layoutInCell="1" allowOverlap="1" wp14:anchorId="73D985A5" wp14:editId="7AE8F111">
            <wp:simplePos x="0" y="0"/>
            <wp:positionH relativeFrom="column">
              <wp:posOffset>-635</wp:posOffset>
            </wp:positionH>
            <wp:positionV relativeFrom="paragraph">
              <wp:posOffset>97619</wp:posOffset>
            </wp:positionV>
            <wp:extent cx="3392805" cy="2652395"/>
            <wp:effectExtent l="0" t="0" r="0" b="0"/>
            <wp:wrapSquare wrapText="bothSides"/>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3392805" cy="2652395"/>
                    </a:xfrm>
                    <a:prstGeom prst="rect">
                      <a:avLst/>
                    </a:prstGeom>
                    <a:noFill/>
                  </pic:spPr>
                </pic:pic>
              </a:graphicData>
            </a:graphic>
            <wp14:sizeRelH relativeFrom="page">
              <wp14:pctWidth>0</wp14:pctWidth>
            </wp14:sizeRelH>
            <wp14:sizeRelV relativeFrom="page">
              <wp14:pctHeight>0</wp14:pctHeight>
            </wp14:sizeRelV>
          </wp:anchor>
        </w:drawing>
      </w:r>
    </w:p>
    <w:p w14:paraId="7CBF0DA6" w14:textId="77777777" w:rsidR="00BD622A" w:rsidRDefault="00BD622A" w:rsidP="00BD622A">
      <w:pPr>
        <w:spacing w:after="0" w:line="360" w:lineRule="auto"/>
        <w:jc w:val="both"/>
        <w:rPr>
          <w:rFonts w:ascii="Calibri" w:hAnsi="Calibri"/>
        </w:rPr>
      </w:pPr>
      <w:r w:rsidRPr="00301A46">
        <w:rPr>
          <w:rFonts w:ascii="Calibri" w:hAnsi="Calibri"/>
        </w:rPr>
        <w:t xml:space="preserve">A notable trend is the trebling in the suicide rate among 20-24 year-old males, from about 5.3 per 100,000 in the </w:t>
      </w:r>
      <w:r>
        <w:rPr>
          <w:rFonts w:ascii="Calibri" w:hAnsi="Calibri"/>
        </w:rPr>
        <w:t>early 1940s</w:t>
      </w:r>
      <w:r w:rsidRPr="00301A46">
        <w:rPr>
          <w:rFonts w:ascii="Calibri" w:hAnsi="Calibri"/>
        </w:rPr>
        <w:t xml:space="preserve">, to </w:t>
      </w:r>
      <w:r>
        <w:rPr>
          <w:rFonts w:ascii="Calibri" w:hAnsi="Calibri"/>
        </w:rPr>
        <w:t>34 by 1996-00, followed by an unsteady decline</w:t>
      </w:r>
      <w:r w:rsidRPr="00301A46">
        <w:rPr>
          <w:rFonts w:ascii="Calibri" w:hAnsi="Calibri"/>
        </w:rPr>
        <w:t>.</w:t>
      </w:r>
    </w:p>
    <w:p w14:paraId="487B89FF" w14:textId="77777777" w:rsidR="00BD622A" w:rsidRDefault="00BD622A" w:rsidP="00BD622A">
      <w:pPr>
        <w:spacing w:after="0" w:line="360" w:lineRule="auto"/>
        <w:jc w:val="both"/>
        <w:rPr>
          <w:rFonts w:ascii="Calibri" w:hAnsi="Calibri"/>
        </w:rPr>
      </w:pPr>
    </w:p>
    <w:p w14:paraId="4669DCAB" w14:textId="77777777" w:rsidR="00BD622A" w:rsidRDefault="00BD622A" w:rsidP="00BD622A">
      <w:pPr>
        <w:spacing w:after="0"/>
        <w:jc w:val="both"/>
        <w:rPr>
          <w:rFonts w:ascii="Calibri" w:hAnsi="Calibri"/>
          <w:color w:val="808080"/>
          <w:sz w:val="20"/>
          <w:szCs w:val="20"/>
        </w:rPr>
      </w:pPr>
      <w:r w:rsidRPr="001950CF">
        <w:rPr>
          <w:rFonts w:ascii="Calibri" w:hAnsi="Calibri"/>
          <w:color w:val="808080"/>
          <w:sz w:val="20"/>
          <w:szCs w:val="20"/>
        </w:rPr>
        <w:t>Suicide Rate by Sex: Persons aged 20 to 24, Australia, 1921 to 20</w:t>
      </w:r>
      <w:r>
        <w:rPr>
          <w:rFonts w:ascii="Calibri" w:hAnsi="Calibri"/>
          <w:color w:val="808080"/>
          <w:sz w:val="20"/>
          <w:szCs w:val="20"/>
        </w:rPr>
        <w:t>20</w:t>
      </w:r>
    </w:p>
    <w:p w14:paraId="66436E93" w14:textId="77777777" w:rsidR="00BD622A" w:rsidRDefault="00BD622A" w:rsidP="00BD622A">
      <w:pPr>
        <w:spacing w:after="0" w:line="360" w:lineRule="auto"/>
        <w:jc w:val="both"/>
        <w:rPr>
          <w:rFonts w:ascii="Calibri" w:hAnsi="Calibri"/>
        </w:rPr>
      </w:pPr>
    </w:p>
    <w:p w14:paraId="43F5F12B" w14:textId="77777777" w:rsidR="00BD622A" w:rsidRPr="00301A46" w:rsidRDefault="00BD622A" w:rsidP="00BD622A">
      <w:pPr>
        <w:spacing w:after="0" w:line="360" w:lineRule="auto"/>
        <w:jc w:val="both"/>
        <w:rPr>
          <w:rFonts w:ascii="Calibri" w:hAnsi="Calibri"/>
        </w:rPr>
      </w:pPr>
    </w:p>
    <w:p w14:paraId="4D31CA73" w14:textId="77777777" w:rsidR="00BD622A" w:rsidRDefault="00BD622A" w:rsidP="00BD622A">
      <w:pPr>
        <w:spacing w:after="0"/>
        <w:rPr>
          <w:rFonts w:ascii="Calibri" w:hAnsi="Calibri"/>
        </w:rPr>
      </w:pPr>
      <w:r>
        <w:rPr>
          <w:rFonts w:ascii="Calibri" w:hAnsi="Calibri"/>
        </w:rPr>
        <w:br w:type="page"/>
      </w:r>
    </w:p>
    <w:p w14:paraId="0A3070BA" w14:textId="77777777" w:rsidR="00BD622A" w:rsidRDefault="00BD622A" w:rsidP="00BD622A">
      <w:pPr>
        <w:spacing w:after="0" w:line="360" w:lineRule="auto"/>
        <w:jc w:val="both"/>
        <w:rPr>
          <w:rFonts w:ascii="Calibri" w:hAnsi="Calibri"/>
          <w:noProof/>
          <w:lang w:eastAsia="en-AU"/>
        </w:rPr>
      </w:pPr>
      <w:r>
        <w:rPr>
          <w:rFonts w:ascii="Calibri" w:hAnsi="Calibri"/>
          <w:noProof/>
          <w:lang w:eastAsia="en-AU"/>
        </w:rPr>
        <w:lastRenderedPageBreak/>
        <w:t>In the period 2017-21, the suicide rate in the SA3 area of Dandenong (which encompasses most of the Greater Dandenong municipaliy) averaged 7.5 deaths per 100,000 – substantially lower than the Victorian average of 10.5 during this period.</w:t>
      </w:r>
    </w:p>
    <w:p w14:paraId="7F6145F7" w14:textId="77777777" w:rsidR="00BD622A" w:rsidRDefault="00BD622A" w:rsidP="00BD622A">
      <w:pPr>
        <w:spacing w:after="0"/>
        <w:jc w:val="both"/>
        <w:rPr>
          <w:rFonts w:ascii="Calibri" w:hAnsi="Calibri"/>
          <w:sz w:val="10"/>
          <w:szCs w:val="10"/>
        </w:rPr>
      </w:pPr>
    </w:p>
    <w:p w14:paraId="51C60FFD" w14:textId="77777777" w:rsidR="00BD622A" w:rsidRDefault="00BD622A" w:rsidP="00BD622A">
      <w:pPr>
        <w:spacing w:after="0"/>
        <w:jc w:val="both"/>
        <w:rPr>
          <w:rFonts w:ascii="Calibri" w:hAnsi="Calibri"/>
          <w:sz w:val="10"/>
          <w:szCs w:val="10"/>
        </w:rPr>
      </w:pPr>
    </w:p>
    <w:p w14:paraId="36602F1B" w14:textId="77777777" w:rsidR="00BD622A" w:rsidRPr="00031EF0" w:rsidRDefault="00BD622A" w:rsidP="00BD622A">
      <w:pPr>
        <w:spacing w:after="0"/>
        <w:jc w:val="both"/>
        <w:rPr>
          <w:rFonts w:ascii="Calibri" w:hAnsi="Calibri"/>
          <w:sz w:val="10"/>
          <w:szCs w:val="10"/>
        </w:rPr>
      </w:pPr>
    </w:p>
    <w:p w14:paraId="22FC029D" w14:textId="77777777" w:rsidR="00BD622A" w:rsidRPr="0017731B" w:rsidRDefault="00BD622A" w:rsidP="00BD622A">
      <w:pPr>
        <w:spacing w:after="0" w:line="360" w:lineRule="auto"/>
        <w:jc w:val="both"/>
        <w:rPr>
          <w:rFonts w:ascii="Calibri" w:hAnsi="Calibri"/>
          <w:b/>
        </w:rPr>
      </w:pPr>
      <w:r w:rsidRPr="0017731B">
        <w:rPr>
          <w:rFonts w:ascii="Calibri" w:hAnsi="Calibri"/>
          <w:b/>
        </w:rPr>
        <w:t>Suicide and Unemployment</w:t>
      </w:r>
    </w:p>
    <w:p w14:paraId="38FD18C7" w14:textId="77777777" w:rsidR="00BD622A" w:rsidRDefault="00BD622A" w:rsidP="00BD622A">
      <w:pPr>
        <w:spacing w:after="0" w:line="360" w:lineRule="auto"/>
        <w:jc w:val="both"/>
        <w:rPr>
          <w:rFonts w:ascii="Calibri" w:hAnsi="Calibri"/>
          <w:noProof/>
        </w:rPr>
      </w:pPr>
      <w:r>
        <w:rPr>
          <w:rFonts w:ascii="Calibri" w:hAnsi="Calibri"/>
          <w:noProof/>
        </w:rPr>
        <w:t xml:space="preserve">A variety of factors contribute to suicide, including personally traumatic events, personal resilience, mental health issues and conditions, chronic illness, unemployment and others. </w:t>
      </w:r>
    </w:p>
    <w:p w14:paraId="60AC58AB" w14:textId="77777777" w:rsidR="00BD622A" w:rsidRPr="00031EF0" w:rsidRDefault="00BD622A" w:rsidP="00BD622A">
      <w:pPr>
        <w:spacing w:after="0" w:line="336" w:lineRule="auto"/>
        <w:jc w:val="both"/>
        <w:rPr>
          <w:rFonts w:cstheme="minorHAnsi"/>
          <w:lang w:val="en-GB"/>
        </w:rPr>
      </w:pPr>
      <w:r w:rsidRPr="00675403">
        <w:rPr>
          <w:rFonts w:cstheme="minorHAnsi"/>
          <w:lang w:val="en-GB"/>
        </w:rPr>
        <w:t>Explanations advanced by researchers include a lesser fear of death and sensitivity to pain among males, a higher prevalence of impulsive-aggressive tendencies</w:t>
      </w:r>
      <w:r>
        <w:rPr>
          <w:rStyle w:val="FootnoteReference"/>
          <w:rFonts w:cstheme="minorHAnsi"/>
          <w:lang w:val="en-GB"/>
        </w:rPr>
        <w:footnoteReference w:id="40"/>
      </w:r>
      <w:r w:rsidRPr="00675403">
        <w:rPr>
          <w:rFonts w:cstheme="minorHAnsi"/>
          <w:lang w:val="en-GB"/>
        </w:rPr>
        <w:t>, an unwillingness to acknowledge or communicate their own distresses</w:t>
      </w:r>
      <w:r>
        <w:rPr>
          <w:rStyle w:val="FootnoteReference"/>
          <w:rFonts w:cstheme="minorHAnsi"/>
          <w:lang w:val="en-GB"/>
        </w:rPr>
        <w:footnoteReference w:id="41"/>
      </w:r>
      <w:r w:rsidRPr="00675403">
        <w:rPr>
          <w:rFonts w:cstheme="minorHAnsi"/>
          <w:lang w:val="en-GB"/>
        </w:rPr>
        <w:t>, limited range of social support and connection</w:t>
      </w:r>
      <w:r>
        <w:rPr>
          <w:rStyle w:val="FootnoteReference"/>
          <w:rFonts w:cstheme="minorHAnsi"/>
          <w:lang w:val="en-GB"/>
        </w:rPr>
        <w:footnoteReference w:id="42"/>
      </w:r>
      <w:r w:rsidRPr="00675403">
        <w:rPr>
          <w:rFonts w:cstheme="minorHAnsi"/>
          <w:lang w:val="en-GB"/>
        </w:rPr>
        <w:t>, a reluctance to seek help</w:t>
      </w:r>
      <w:r>
        <w:rPr>
          <w:rStyle w:val="FootnoteReference"/>
          <w:rFonts w:cstheme="minorHAnsi"/>
          <w:lang w:val="en-GB"/>
        </w:rPr>
        <w:footnoteReference w:id="43"/>
      </w:r>
      <w:r w:rsidRPr="00675403">
        <w:rPr>
          <w:rFonts w:cstheme="minorHAnsi"/>
          <w:lang w:val="en-GB"/>
        </w:rPr>
        <w:t>, lack of awareness of, or confidence in, support services</w:t>
      </w:r>
      <w:r>
        <w:rPr>
          <w:rStyle w:val="FootnoteReference"/>
          <w:rFonts w:cstheme="minorHAnsi"/>
          <w:lang w:val="en-GB"/>
        </w:rPr>
        <w:footnoteReference w:id="44"/>
      </w:r>
      <w:r w:rsidRPr="00675403">
        <w:rPr>
          <w:rFonts w:cstheme="minorHAnsi"/>
          <w:lang w:val="en-GB"/>
        </w:rPr>
        <w:t>, and a propensity to select more lethal methods of suicide</w:t>
      </w:r>
      <w:r>
        <w:rPr>
          <w:rStyle w:val="FootnoteReference"/>
          <w:rFonts w:cstheme="minorHAnsi"/>
          <w:lang w:val="en-GB"/>
        </w:rPr>
        <w:footnoteReference w:id="45"/>
      </w:r>
      <w:r w:rsidRPr="00675403">
        <w:rPr>
          <w:rFonts w:cstheme="minorHAnsi"/>
          <w:lang w:val="en-GB"/>
        </w:rPr>
        <w:t xml:space="preserve">. It is possible that these factors share a common direct or indirect underlying cause in the well-documented tendency among men to suppress emotions </w:t>
      </w:r>
      <w:r w:rsidRPr="00031EF0">
        <w:rPr>
          <w:rFonts w:cstheme="minorHAnsi"/>
          <w:lang w:val="en-GB"/>
        </w:rPr>
        <w:t>and their expression</w:t>
      </w:r>
      <w:r>
        <w:rPr>
          <w:rStyle w:val="FootnoteReference"/>
          <w:rFonts w:cstheme="minorHAnsi"/>
          <w:lang w:val="en-GB"/>
        </w:rPr>
        <w:footnoteReference w:id="46"/>
      </w:r>
      <w:r w:rsidRPr="00031EF0">
        <w:rPr>
          <w:rFonts w:cstheme="minorHAnsi"/>
          <w:lang w:val="en-GB"/>
        </w:rPr>
        <w:t xml:space="preserve"> - a condition which may largely originate from social pressures and other influences.</w:t>
      </w:r>
    </w:p>
    <w:p w14:paraId="4ED271CF" w14:textId="77777777" w:rsidR="00BD622A" w:rsidRDefault="00BD622A" w:rsidP="00BD622A">
      <w:pPr>
        <w:spacing w:after="0" w:line="360" w:lineRule="auto"/>
        <w:jc w:val="both"/>
        <w:rPr>
          <w:rFonts w:ascii="Calibri" w:hAnsi="Calibri"/>
        </w:rPr>
      </w:pPr>
      <w:r>
        <w:rPr>
          <w:rFonts w:ascii="Calibri" w:hAnsi="Calibri"/>
          <w:noProof/>
        </w:rPr>
        <w:drawing>
          <wp:anchor distT="0" distB="0" distL="114300" distR="114300" simplePos="0" relativeHeight="252029952" behindDoc="0" locked="0" layoutInCell="1" allowOverlap="1" wp14:anchorId="55750931" wp14:editId="05EE8BEC">
            <wp:simplePos x="0" y="0"/>
            <wp:positionH relativeFrom="column">
              <wp:posOffset>635</wp:posOffset>
            </wp:positionH>
            <wp:positionV relativeFrom="paragraph">
              <wp:posOffset>51667</wp:posOffset>
            </wp:positionV>
            <wp:extent cx="3579495" cy="2593975"/>
            <wp:effectExtent l="0" t="0" r="1905" b="0"/>
            <wp:wrapSquare wrapText="bothSides"/>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3579495" cy="2593975"/>
                    </a:xfrm>
                    <a:prstGeom prst="rect">
                      <a:avLst/>
                    </a:prstGeom>
                    <a:noFill/>
                  </pic:spPr>
                </pic:pic>
              </a:graphicData>
            </a:graphic>
            <wp14:sizeRelH relativeFrom="page">
              <wp14:pctWidth>0</wp14:pctWidth>
            </wp14:sizeRelH>
            <wp14:sizeRelV relativeFrom="page">
              <wp14:pctHeight>0</wp14:pctHeight>
            </wp14:sizeRelV>
          </wp:anchor>
        </w:drawing>
      </w:r>
    </w:p>
    <w:p w14:paraId="7A64FC4B" w14:textId="77777777" w:rsidR="00BD622A" w:rsidRDefault="00BD622A" w:rsidP="00BD622A">
      <w:pPr>
        <w:spacing w:after="0" w:line="360" w:lineRule="auto"/>
        <w:jc w:val="both"/>
        <w:rPr>
          <w:rFonts w:ascii="Calibri" w:hAnsi="Calibri"/>
        </w:rPr>
      </w:pPr>
      <w:r>
        <w:rPr>
          <w:rFonts w:ascii="Calibri" w:hAnsi="Calibri"/>
        </w:rPr>
        <w:t>In addition, A</w:t>
      </w:r>
      <w:r w:rsidRPr="00870900">
        <w:rPr>
          <w:rFonts w:ascii="Calibri" w:hAnsi="Calibri"/>
        </w:rPr>
        <w:t>ustralian</w:t>
      </w:r>
      <w:r>
        <w:rPr>
          <w:rFonts w:ascii="Calibri" w:hAnsi="Calibri"/>
        </w:rPr>
        <w:t xml:space="preserve"> male</w:t>
      </w:r>
      <w:r w:rsidRPr="001950CF">
        <w:rPr>
          <w:rFonts w:ascii="Calibri" w:hAnsi="Calibri"/>
        </w:rPr>
        <w:t xml:space="preserve"> suicide </w:t>
      </w:r>
      <w:r>
        <w:rPr>
          <w:rFonts w:ascii="Calibri" w:hAnsi="Calibri"/>
        </w:rPr>
        <w:t>rates are strongly associated with the unemployment rate among men</w:t>
      </w:r>
      <w:r>
        <w:rPr>
          <w:rStyle w:val="FootnoteReference"/>
          <w:rFonts w:ascii="Calibri" w:hAnsi="Calibri"/>
        </w:rPr>
        <w:footnoteReference w:id="47"/>
      </w:r>
      <w:r>
        <w:rPr>
          <w:rFonts w:ascii="Calibri" w:hAnsi="Calibri"/>
        </w:rPr>
        <w:t xml:space="preserve"> four years earlier, suggesting a delayed influence of unemployment upon suicide.</w:t>
      </w:r>
      <w:r>
        <w:rPr>
          <w:rStyle w:val="FootnoteReference"/>
          <w:rFonts w:ascii="Calibri" w:hAnsi="Calibri"/>
        </w:rPr>
        <w:footnoteReference w:id="48"/>
      </w:r>
    </w:p>
    <w:p w14:paraId="0F2FD13F" w14:textId="77777777" w:rsidR="00BD622A" w:rsidRPr="00782EB0" w:rsidRDefault="00BD622A" w:rsidP="00BD622A">
      <w:pPr>
        <w:spacing w:after="0" w:line="360" w:lineRule="auto"/>
        <w:jc w:val="both"/>
        <w:rPr>
          <w:rFonts w:ascii="Calibri" w:hAnsi="Calibri"/>
          <w:color w:val="808080"/>
          <w:sz w:val="20"/>
          <w:szCs w:val="20"/>
        </w:rPr>
      </w:pPr>
    </w:p>
    <w:p w14:paraId="4D82151E" w14:textId="387B0513" w:rsidR="00DE7374" w:rsidRDefault="00BD622A" w:rsidP="00BD622A">
      <w:pPr>
        <w:spacing w:after="0" w:line="360" w:lineRule="auto"/>
      </w:pPr>
      <w:r w:rsidRPr="001950CF">
        <w:rPr>
          <w:rFonts w:ascii="Calibri" w:hAnsi="Calibri"/>
          <w:color w:val="808080"/>
          <w:sz w:val="20"/>
          <w:szCs w:val="20"/>
        </w:rPr>
        <w:t>Unemployment Levels and Suicide Rates Four</w:t>
      </w:r>
    </w:p>
    <w:p w14:paraId="00B0ADB7" w14:textId="1504EB52" w:rsidR="00BD622A" w:rsidRDefault="00BD622A" w:rsidP="00BD622A">
      <w:pPr>
        <w:spacing w:after="0" w:line="360" w:lineRule="auto"/>
      </w:pPr>
    </w:p>
    <w:p w14:paraId="78C47836" w14:textId="2444A9A4" w:rsidR="00BD622A" w:rsidRDefault="00BD622A" w:rsidP="00DE7374">
      <w:pPr>
        <w:spacing w:after="0" w:line="360" w:lineRule="auto"/>
      </w:pPr>
    </w:p>
    <w:p w14:paraId="792CB7BD" w14:textId="77777777" w:rsidR="00BD622A" w:rsidRDefault="00BD622A" w:rsidP="00DE7374">
      <w:pPr>
        <w:spacing w:after="0" w:line="360" w:lineRule="auto"/>
      </w:pPr>
    </w:p>
    <w:p w14:paraId="4E167A92" w14:textId="77777777" w:rsidR="00EA49C9" w:rsidRPr="00A3419A" w:rsidRDefault="00EA49C9" w:rsidP="00A3419A">
      <w:pPr>
        <w:pBdr>
          <w:top w:val="single" w:sz="4" w:space="1" w:color="auto"/>
          <w:bottom w:val="single" w:sz="4" w:space="1" w:color="auto"/>
        </w:pBdr>
        <w:tabs>
          <w:tab w:val="center" w:pos="4678"/>
        </w:tabs>
        <w:jc w:val="center"/>
        <w:rPr>
          <w:rFonts w:ascii="Calibri" w:eastAsia="Times New Roman" w:hAnsi="Calibri"/>
          <w:noProof/>
          <w:sz w:val="32"/>
          <w:szCs w:val="32"/>
          <w:lang w:val="en-US"/>
        </w:rPr>
      </w:pPr>
      <w:r w:rsidRPr="00A3419A">
        <w:rPr>
          <w:rFonts w:ascii="Calibri" w:eastAsia="Times New Roman" w:hAnsi="Calibri"/>
          <w:noProof/>
          <w:sz w:val="32"/>
          <w:szCs w:val="32"/>
          <w:lang w:val="en-US"/>
        </w:rPr>
        <w:lastRenderedPageBreak/>
        <w:t>Alcohol Consumption</w:t>
      </w:r>
    </w:p>
    <w:p w14:paraId="58BD9C27" w14:textId="77777777" w:rsidR="00EA49C9" w:rsidRDefault="00EA49C9" w:rsidP="00EA49C9">
      <w:pPr>
        <w:spacing w:after="0" w:line="240" w:lineRule="auto"/>
        <w:jc w:val="both"/>
        <w:rPr>
          <w:sz w:val="10"/>
          <w:szCs w:val="10"/>
        </w:rPr>
      </w:pPr>
    </w:p>
    <w:p w14:paraId="453DD9AA" w14:textId="77777777" w:rsidR="00EA49C9" w:rsidRDefault="00EA49C9" w:rsidP="00EA49C9">
      <w:pPr>
        <w:spacing w:after="0" w:line="240" w:lineRule="auto"/>
        <w:jc w:val="both"/>
        <w:rPr>
          <w:sz w:val="10"/>
          <w:szCs w:val="10"/>
        </w:rPr>
      </w:pPr>
    </w:p>
    <w:p w14:paraId="4F691E8F" w14:textId="7D1C6439" w:rsidR="00EA49C9" w:rsidRPr="001663FA" w:rsidRDefault="00EA49C9" w:rsidP="00EA49C9">
      <w:pPr>
        <w:spacing w:after="0" w:line="240" w:lineRule="auto"/>
        <w:jc w:val="both"/>
        <w:rPr>
          <w:sz w:val="10"/>
          <w:szCs w:val="10"/>
        </w:rPr>
      </w:pPr>
      <w:r w:rsidRPr="001663FA">
        <w:rPr>
          <w:noProof/>
          <w:sz w:val="10"/>
          <w:szCs w:val="10"/>
          <w:lang w:val="en-US"/>
        </w:rPr>
        <w:drawing>
          <wp:anchor distT="24384" distB="78105" distL="138684" distR="192913" simplePos="0" relativeHeight="252033024" behindDoc="1" locked="0" layoutInCell="1" allowOverlap="1" wp14:anchorId="03BE5C03" wp14:editId="38DC9663">
            <wp:simplePos x="0" y="0"/>
            <wp:positionH relativeFrom="margin">
              <wp:align>right</wp:align>
            </wp:positionH>
            <wp:positionV relativeFrom="paragraph">
              <wp:posOffset>43180</wp:posOffset>
            </wp:positionV>
            <wp:extent cx="1282700" cy="723265"/>
            <wp:effectExtent l="0" t="0" r="0" b="635"/>
            <wp:wrapTight wrapText="bothSides">
              <wp:wrapPolygon edited="0">
                <wp:start x="1283" y="0"/>
                <wp:lineTo x="0" y="1138"/>
                <wp:lineTo x="0" y="19343"/>
                <wp:lineTo x="642" y="21050"/>
                <wp:lineTo x="1283" y="21050"/>
                <wp:lineTo x="19889" y="21050"/>
                <wp:lineTo x="20531" y="21050"/>
                <wp:lineTo x="21172" y="19343"/>
                <wp:lineTo x="21172" y="1138"/>
                <wp:lineTo x="19889" y="0"/>
                <wp:lineTo x="1283" y="0"/>
              </wp:wrapPolygon>
            </wp:wrapTight>
            <wp:docPr id="353" name="Picture 63" descr="alcohol consum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63" descr="alcohol consumption"/>
                    <pic:cNvPicPr>
                      <a:picLocks noChangeAspect="1" noChangeArrowheads="1"/>
                    </pic:cNvPicPr>
                  </pic:nvPicPr>
                  <pic:blipFill>
                    <a:blip r:embed="rId207" cstate="print"/>
                    <a:srcRect/>
                    <a:stretch>
                      <a:fillRect/>
                    </a:stretch>
                  </pic:blipFill>
                  <pic:spPr bwMode="auto">
                    <a:xfrm>
                      <a:off x="0" y="0"/>
                      <a:ext cx="1282700" cy="7232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EC646E4" w14:textId="77777777" w:rsidR="00EA49C9" w:rsidRPr="00037B07" w:rsidRDefault="00EA49C9" w:rsidP="00EA49C9">
      <w:pPr>
        <w:spacing w:after="0" w:line="360" w:lineRule="auto"/>
        <w:jc w:val="both"/>
        <w:rPr>
          <w:rFonts w:cstheme="minorHAnsi"/>
          <w:b/>
        </w:rPr>
      </w:pPr>
      <w:r w:rsidRPr="00037B07">
        <w:rPr>
          <w:rFonts w:cstheme="minorHAnsi"/>
          <w:b/>
        </w:rPr>
        <w:t>Effects and Costs of Alcohol Consumption</w:t>
      </w:r>
    </w:p>
    <w:p w14:paraId="679A64BA" w14:textId="3F14661F" w:rsidR="00EA49C9" w:rsidRPr="00037B07" w:rsidRDefault="00EA49C9" w:rsidP="00EA49C9">
      <w:pPr>
        <w:spacing w:after="0" w:line="360" w:lineRule="auto"/>
        <w:jc w:val="both"/>
        <w:rPr>
          <w:rFonts w:cstheme="minorHAnsi"/>
        </w:rPr>
      </w:pPr>
      <w:r w:rsidRPr="00037B07">
        <w:rPr>
          <w:rFonts w:cstheme="minorHAnsi"/>
        </w:rPr>
        <w:t xml:space="preserve">Alcohol consumption contributes to a variety of health conditions; among them: </w:t>
      </w:r>
      <w:r>
        <w:rPr>
          <w:rFonts w:cstheme="minorHAnsi"/>
        </w:rPr>
        <w:t xml:space="preserve">disorders of the liver; cardiovascular disease; central nervous system conditions; </w:t>
      </w:r>
      <w:r w:rsidRPr="00037B07">
        <w:rPr>
          <w:rFonts w:cstheme="minorHAnsi"/>
        </w:rPr>
        <w:t xml:space="preserve">cancers of the mouth, larynx, oesophagus, gastrointestinal system, breast and liver; </w:t>
      </w:r>
      <w:r>
        <w:rPr>
          <w:rFonts w:cstheme="minorHAnsi"/>
        </w:rPr>
        <w:t>and</w:t>
      </w:r>
      <w:r w:rsidRPr="00037B07">
        <w:rPr>
          <w:rFonts w:cstheme="minorHAnsi"/>
        </w:rPr>
        <w:t xml:space="preserve"> </w:t>
      </w:r>
      <w:r>
        <w:rPr>
          <w:rFonts w:cstheme="minorHAnsi"/>
        </w:rPr>
        <w:t xml:space="preserve">serious </w:t>
      </w:r>
      <w:r w:rsidRPr="00037B07">
        <w:rPr>
          <w:rFonts w:cstheme="minorHAnsi"/>
        </w:rPr>
        <w:t>foetal developmental defects</w:t>
      </w:r>
      <w:r>
        <w:rPr>
          <w:rFonts w:cstheme="minorHAnsi"/>
        </w:rPr>
        <w:t xml:space="preserve">. </w:t>
      </w:r>
      <w:r w:rsidRPr="00037B07">
        <w:rPr>
          <w:rFonts w:cstheme="minorHAnsi"/>
        </w:rPr>
        <w:t xml:space="preserve">Alcohol use </w:t>
      </w:r>
      <w:r>
        <w:rPr>
          <w:rFonts w:cstheme="minorHAnsi"/>
        </w:rPr>
        <w:t>during pregnancy</w:t>
      </w:r>
      <w:r w:rsidRPr="00037B07">
        <w:rPr>
          <w:rFonts w:cstheme="minorHAnsi"/>
        </w:rPr>
        <w:t xml:space="preserve"> contributes to impaired </w:t>
      </w:r>
      <w:r>
        <w:rPr>
          <w:rFonts w:cstheme="minorHAnsi"/>
        </w:rPr>
        <w:t xml:space="preserve">childhood </w:t>
      </w:r>
      <w:r w:rsidRPr="00037B07">
        <w:rPr>
          <w:rFonts w:cstheme="minorHAnsi"/>
        </w:rPr>
        <w:t xml:space="preserve">physical and mental development, learning difficulties, abuse and neglect </w:t>
      </w:r>
      <w:r>
        <w:rPr>
          <w:rFonts w:cstheme="minorHAnsi"/>
        </w:rPr>
        <w:t xml:space="preserve">and </w:t>
      </w:r>
      <w:r w:rsidRPr="00037B07">
        <w:rPr>
          <w:rFonts w:cstheme="minorHAnsi"/>
        </w:rPr>
        <w:t xml:space="preserve">problems in adolescence. </w:t>
      </w:r>
      <w:r>
        <w:rPr>
          <w:rFonts w:cstheme="minorHAnsi"/>
        </w:rPr>
        <w:t xml:space="preserve">In 2014, VicHealth estimated that </w:t>
      </w:r>
      <w:r w:rsidRPr="00037B07">
        <w:rPr>
          <w:rFonts w:cstheme="minorHAnsi"/>
        </w:rPr>
        <w:t>proximately 157,000 Victorians are hospitalised from the effects of alcohol each year and 5,600 die from its consequences</w:t>
      </w:r>
      <w:r>
        <w:rPr>
          <w:rStyle w:val="FootnoteReference"/>
          <w:rFonts w:cstheme="minorHAnsi"/>
        </w:rPr>
        <w:footnoteReference w:id="49"/>
      </w:r>
      <w:r>
        <w:rPr>
          <w:rFonts w:cstheme="minorHAnsi"/>
        </w:rPr>
        <w:t xml:space="preserve"> - the equivalent of about 4,400 hospitalisations and 150 deaths in Greater </w:t>
      </w:r>
      <w:r w:rsidR="009C4713">
        <w:rPr>
          <w:rFonts w:cstheme="minorHAnsi"/>
        </w:rPr>
        <w:t>Dandenong</w:t>
      </w:r>
      <w:r>
        <w:rPr>
          <w:rFonts w:cstheme="minorHAnsi"/>
        </w:rPr>
        <w:t xml:space="preserve"> in 2022</w:t>
      </w:r>
      <w:r w:rsidRPr="00037B07">
        <w:rPr>
          <w:rFonts w:cstheme="minorHAnsi"/>
        </w:rPr>
        <w:t>.</w:t>
      </w:r>
    </w:p>
    <w:p w14:paraId="291733D9" w14:textId="77777777" w:rsidR="00EA49C9" w:rsidRPr="00037B07" w:rsidRDefault="00EA49C9" w:rsidP="00EA49C9">
      <w:pPr>
        <w:spacing w:after="0" w:line="360" w:lineRule="auto"/>
        <w:jc w:val="both"/>
        <w:rPr>
          <w:rFonts w:cstheme="minorHAnsi"/>
        </w:rPr>
      </w:pPr>
      <w:r w:rsidRPr="00037B07">
        <w:rPr>
          <w:rFonts w:cstheme="minorHAnsi"/>
        </w:rPr>
        <w:t>Alcohol intoxication is also implicated in almost half of assaults, contributes to a third of road accidents leading to injury or death and causes at least 3,300 deaths each year</w:t>
      </w:r>
      <w:r>
        <w:rPr>
          <w:rFonts w:cstheme="minorHAnsi"/>
        </w:rPr>
        <w:t>,</w:t>
      </w:r>
      <w:r w:rsidRPr="00037B07">
        <w:rPr>
          <w:rFonts w:cstheme="minorHAnsi"/>
        </w:rPr>
        <w:t xml:space="preserve"> across Australia.</w:t>
      </w:r>
      <w:r w:rsidRPr="00037B07">
        <w:rPr>
          <w:rStyle w:val="FootnoteReference"/>
          <w:rFonts w:cstheme="minorHAnsi"/>
        </w:rPr>
        <w:footnoteReference w:id="50"/>
      </w:r>
      <w:r w:rsidRPr="00037B07">
        <w:rPr>
          <w:rFonts w:cstheme="minorHAnsi"/>
        </w:rPr>
        <w:t xml:space="preserve">. The 2016 Australian Personal Safety Survey </w:t>
      </w:r>
      <w:r>
        <w:rPr>
          <w:rFonts w:cstheme="minorHAnsi"/>
        </w:rPr>
        <w:t>concluded</w:t>
      </w:r>
      <w:r w:rsidRPr="00037B07">
        <w:rPr>
          <w:rFonts w:cstheme="minorHAnsi"/>
        </w:rPr>
        <w:t xml:space="preserve"> that alcohol was a contributing factor in half of the most recent assaults </w:t>
      </w:r>
      <w:r>
        <w:rPr>
          <w:rFonts w:cstheme="minorHAnsi"/>
        </w:rPr>
        <w:t>inflicted upon</w:t>
      </w:r>
      <w:r w:rsidRPr="00037B07">
        <w:rPr>
          <w:rFonts w:cstheme="minorHAnsi"/>
        </w:rPr>
        <w:t xml:space="preserve"> women and two-thirds of those experienced by men</w:t>
      </w:r>
      <w:r>
        <w:rPr>
          <w:rStyle w:val="FootnoteReference"/>
          <w:rFonts w:cstheme="minorHAnsi"/>
        </w:rPr>
        <w:footnoteReference w:id="51"/>
      </w:r>
      <w:r w:rsidRPr="00037B07">
        <w:rPr>
          <w:rFonts w:cstheme="minorHAnsi"/>
        </w:rPr>
        <w:t>.</w:t>
      </w:r>
    </w:p>
    <w:p w14:paraId="7A2CE478" w14:textId="77777777" w:rsidR="00EA49C9" w:rsidRDefault="00EA49C9" w:rsidP="00EA49C9">
      <w:pPr>
        <w:spacing w:after="0" w:line="360" w:lineRule="auto"/>
        <w:jc w:val="both"/>
        <w:rPr>
          <w:noProof/>
        </w:rPr>
      </w:pPr>
      <w:r w:rsidRPr="00037B07">
        <w:rPr>
          <w:rFonts w:cstheme="minorHAnsi"/>
        </w:rPr>
        <w:t xml:space="preserve">In 2013, the Australian Institute of Criminology assessed the cost of alcohol misuse upon the Australian economy at </w:t>
      </w:r>
      <w:r>
        <w:rPr>
          <w:rFonts w:cstheme="minorHAnsi"/>
        </w:rPr>
        <w:t xml:space="preserve">the equivalent of $17.5 billion </w:t>
      </w:r>
      <w:r w:rsidRPr="00037B07">
        <w:rPr>
          <w:rFonts w:cstheme="minorHAnsi"/>
        </w:rPr>
        <w:t xml:space="preserve">per annum </w:t>
      </w:r>
      <w:r>
        <w:rPr>
          <w:rFonts w:cstheme="minorHAnsi"/>
        </w:rPr>
        <w:t xml:space="preserve">in 2022 </w:t>
      </w:r>
      <w:r w:rsidRPr="00037B07">
        <w:rPr>
          <w:rFonts w:cstheme="minorHAnsi"/>
        </w:rPr>
        <w:t xml:space="preserve">– </w:t>
      </w:r>
      <w:r>
        <w:rPr>
          <w:rFonts w:cstheme="minorHAnsi"/>
        </w:rPr>
        <w:t>equating to</w:t>
      </w:r>
      <w:r w:rsidRPr="00037B07">
        <w:rPr>
          <w:rFonts w:cstheme="minorHAnsi"/>
        </w:rPr>
        <w:t xml:space="preserve"> $</w:t>
      </w:r>
      <w:r>
        <w:rPr>
          <w:rFonts w:cstheme="minorHAnsi"/>
        </w:rPr>
        <w:t>113</w:t>
      </w:r>
      <w:r w:rsidRPr="00037B07">
        <w:rPr>
          <w:rFonts w:cstheme="minorHAnsi"/>
        </w:rPr>
        <w:t xml:space="preserve"> million </w:t>
      </w:r>
      <w:r>
        <w:rPr>
          <w:rFonts w:cstheme="minorHAnsi"/>
        </w:rPr>
        <w:t>in</w:t>
      </w:r>
      <w:r w:rsidRPr="00037B07">
        <w:rPr>
          <w:rFonts w:cstheme="minorHAnsi"/>
        </w:rPr>
        <w:t xml:space="preserve"> Greater </w:t>
      </w:r>
      <w:r>
        <w:rPr>
          <w:rFonts w:cstheme="minorHAnsi"/>
        </w:rPr>
        <w:t>Dandenong.</w:t>
      </w:r>
    </w:p>
    <w:p w14:paraId="2745CB3A" w14:textId="77777777" w:rsidR="00EA49C9" w:rsidRDefault="00EA49C9" w:rsidP="00EA49C9">
      <w:pPr>
        <w:spacing w:after="0" w:line="360" w:lineRule="auto"/>
        <w:jc w:val="both"/>
        <w:rPr>
          <w:b/>
          <w:lang w:val="en-US"/>
        </w:rPr>
      </w:pPr>
    </w:p>
    <w:p w14:paraId="3B923ED2" w14:textId="77777777" w:rsidR="00EA49C9" w:rsidRPr="00AE351D" w:rsidRDefault="00EA49C9" w:rsidP="00EA49C9">
      <w:pPr>
        <w:spacing w:after="0" w:line="360" w:lineRule="auto"/>
        <w:jc w:val="both"/>
        <w:rPr>
          <w:b/>
          <w:lang w:val="en-US"/>
        </w:rPr>
      </w:pPr>
      <w:r w:rsidRPr="00AE351D">
        <w:rPr>
          <w:b/>
          <w:lang w:val="en-US"/>
        </w:rPr>
        <w:t xml:space="preserve">Prevalence of Alcohol Consumption </w:t>
      </w:r>
    </w:p>
    <w:p w14:paraId="7480D474" w14:textId="77777777" w:rsidR="00EA49C9" w:rsidRDefault="00EA49C9" w:rsidP="00EA49C9">
      <w:pPr>
        <w:spacing w:after="0" w:line="360" w:lineRule="auto"/>
        <w:jc w:val="both"/>
      </w:pPr>
      <w:r>
        <w:rPr>
          <w:noProof/>
          <w:lang w:val="en-US"/>
        </w:rPr>
        <w:drawing>
          <wp:anchor distT="0" distB="0" distL="114300" distR="114300" simplePos="0" relativeHeight="252039168" behindDoc="0" locked="0" layoutInCell="1" allowOverlap="1" wp14:anchorId="01822FC2" wp14:editId="7A6EC624">
            <wp:simplePos x="0" y="0"/>
            <wp:positionH relativeFrom="column">
              <wp:posOffset>1633220</wp:posOffset>
            </wp:positionH>
            <wp:positionV relativeFrom="paragraph">
              <wp:posOffset>521527</wp:posOffset>
            </wp:positionV>
            <wp:extent cx="1258647" cy="673395"/>
            <wp:effectExtent l="0" t="0" r="0" b="0"/>
            <wp:wrapNone/>
            <wp:docPr id="354" name="Picture 81" descr="alcoh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alcohol.jpg"/>
                    <pic:cNvPicPr>
                      <a:picLocks noChangeAspect="1" noChangeArrowheads="1"/>
                    </pic:cNvPicPr>
                  </pic:nvPicPr>
                  <pic:blipFill rotWithShape="1">
                    <a:blip r:embed="rId318" cstate="print">
                      <a:extLst>
                        <a:ext uri="{28A0092B-C50C-407E-A947-70E740481C1C}">
                          <a14:useLocalDpi xmlns:a14="http://schemas.microsoft.com/office/drawing/2010/main" val="0"/>
                        </a:ext>
                      </a:extLst>
                    </a:blip>
                    <a:srcRect l="3158" t="6848" r="10263" b="17826"/>
                    <a:stretch/>
                  </pic:blipFill>
                  <pic:spPr bwMode="auto">
                    <a:xfrm>
                      <a:off x="0" y="0"/>
                      <a:ext cx="1258647" cy="673395"/>
                    </a:xfrm>
                    <a:prstGeom prst="rect">
                      <a:avLst/>
                    </a:prstGeom>
                    <a:noFill/>
                    <a:ln>
                      <a:noFill/>
                    </a:ln>
                    <a:effectLst>
                      <a:softEdge rad="63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The 2019 National Drug Strategy Household Survey found that just over 5%</w:t>
      </w:r>
      <w:r w:rsidRPr="00206265">
        <w:t xml:space="preserve"> of Australians aged 14 years or more were </w:t>
      </w:r>
      <w:r>
        <w:t>daily</w:t>
      </w:r>
      <w:r w:rsidRPr="00206265">
        <w:t xml:space="preserve"> drinkers</w:t>
      </w:r>
      <w:r>
        <w:t>,</w:t>
      </w:r>
      <w:r w:rsidRPr="00206265">
        <w:t xml:space="preserve"> </w:t>
      </w:r>
      <w:r>
        <w:t>while</w:t>
      </w:r>
      <w:r w:rsidRPr="00206265">
        <w:t xml:space="preserve"> </w:t>
      </w:r>
      <w:r>
        <w:t>40% of Australians consumed alcohol at least weekly.</w:t>
      </w:r>
      <w:r w:rsidRPr="00206265">
        <w:t xml:space="preserve"> </w:t>
      </w:r>
    </w:p>
    <w:p w14:paraId="0D636200" w14:textId="77777777" w:rsidR="00EA49C9" w:rsidRDefault="00EA49C9" w:rsidP="00EA49C9">
      <w:pPr>
        <w:spacing w:after="0" w:line="360" w:lineRule="auto"/>
        <w:jc w:val="both"/>
        <w:rPr>
          <w:b/>
          <w:lang w:val="en-US"/>
        </w:rPr>
      </w:pPr>
      <w:r>
        <w:rPr>
          <w:b/>
          <w:noProof/>
          <w:lang w:val="en-US"/>
        </w:rPr>
        <w:drawing>
          <wp:anchor distT="0" distB="0" distL="114300" distR="114300" simplePos="0" relativeHeight="252036096" behindDoc="0" locked="0" layoutInCell="1" allowOverlap="1" wp14:anchorId="06B45AC7" wp14:editId="500B4182">
            <wp:simplePos x="0" y="0"/>
            <wp:positionH relativeFrom="margin">
              <wp:align>left</wp:align>
            </wp:positionH>
            <wp:positionV relativeFrom="paragraph">
              <wp:posOffset>263451</wp:posOffset>
            </wp:positionV>
            <wp:extent cx="2876550" cy="1980565"/>
            <wp:effectExtent l="0" t="0" r="0" b="635"/>
            <wp:wrapSquare wrapText="bothSides"/>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9">
                      <a:extLst>
                        <a:ext uri="{28A0092B-C50C-407E-A947-70E740481C1C}">
                          <a14:useLocalDpi xmlns:a14="http://schemas.microsoft.com/office/drawing/2010/main" val="0"/>
                        </a:ext>
                      </a:extLst>
                    </a:blip>
                    <a:srcRect t="7144" r="13342"/>
                    <a:stretch/>
                  </pic:blipFill>
                  <pic:spPr bwMode="auto">
                    <a:xfrm>
                      <a:off x="0" y="0"/>
                      <a:ext cx="2876550" cy="1980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B35738" w14:textId="77777777" w:rsidR="00EA49C9" w:rsidRPr="00223C8B" w:rsidRDefault="00EA49C9" w:rsidP="00EA49C9">
      <w:pPr>
        <w:spacing w:after="0" w:line="360" w:lineRule="auto"/>
        <w:jc w:val="both"/>
        <w:rPr>
          <w:rFonts w:cstheme="minorHAnsi"/>
          <w:bCs/>
          <w:lang w:val="en-US"/>
        </w:rPr>
      </w:pPr>
      <w:r w:rsidRPr="00DE1E82">
        <w:rPr>
          <w:rFonts w:cstheme="minorHAnsi"/>
          <w:bCs/>
          <w:lang w:val="en-US"/>
        </w:rPr>
        <w:t xml:space="preserve">The prevalence of daily alcohol consumption among Australians aged 14 or more was </w:t>
      </w:r>
      <w:r>
        <w:rPr>
          <w:rFonts w:cstheme="minorHAnsi"/>
          <w:bCs/>
          <w:lang w:val="en-US"/>
        </w:rPr>
        <w:t>greater</w:t>
      </w:r>
      <w:r w:rsidRPr="00DE1E82">
        <w:rPr>
          <w:rFonts w:cstheme="minorHAnsi"/>
          <w:bCs/>
          <w:lang w:val="en-US"/>
        </w:rPr>
        <w:t xml:space="preserve"> among males, at nearly 7%, than among females, at less than 4%.</w:t>
      </w:r>
    </w:p>
    <w:p w14:paraId="5325C22E" w14:textId="77777777" w:rsidR="00EA49C9" w:rsidRPr="00297EA3" w:rsidRDefault="00EA49C9" w:rsidP="00EA49C9">
      <w:pPr>
        <w:spacing w:after="0" w:line="360" w:lineRule="auto"/>
        <w:jc w:val="both"/>
        <w:rPr>
          <w:b/>
          <w:sz w:val="6"/>
          <w:szCs w:val="6"/>
          <w:lang w:val="en-US"/>
        </w:rPr>
      </w:pPr>
    </w:p>
    <w:p w14:paraId="6A973972" w14:textId="77777777" w:rsidR="00EA49C9" w:rsidRDefault="00EA49C9" w:rsidP="00EA49C9">
      <w:pPr>
        <w:spacing w:after="0" w:line="240" w:lineRule="auto"/>
        <w:jc w:val="both"/>
      </w:pPr>
      <w:r w:rsidRPr="00206265">
        <w:rPr>
          <w:color w:val="7F7F7F"/>
          <w:sz w:val="20"/>
          <w:szCs w:val="20"/>
          <w:lang w:val="en-US"/>
        </w:rPr>
        <w:t xml:space="preserve">Prevalence of Daily Alcohol Consumption by </w:t>
      </w:r>
      <w:r>
        <w:rPr>
          <w:color w:val="7F7F7F"/>
          <w:sz w:val="20"/>
          <w:szCs w:val="20"/>
          <w:lang w:val="en-US"/>
        </w:rPr>
        <w:t>Sex: 2019</w:t>
      </w:r>
    </w:p>
    <w:p w14:paraId="4683C958" w14:textId="77777777" w:rsidR="00EA49C9" w:rsidRDefault="00EA49C9" w:rsidP="00EA49C9">
      <w:pPr>
        <w:spacing w:after="0" w:line="360" w:lineRule="auto"/>
        <w:jc w:val="both"/>
        <w:rPr>
          <w:b/>
          <w:lang w:val="en-US"/>
        </w:rPr>
      </w:pPr>
    </w:p>
    <w:p w14:paraId="48D00345" w14:textId="77777777" w:rsidR="00EA49C9" w:rsidRPr="002E2ADF" w:rsidRDefault="00EA49C9" w:rsidP="00EA49C9">
      <w:pPr>
        <w:spacing w:after="0" w:line="240" w:lineRule="auto"/>
        <w:jc w:val="both"/>
        <w:rPr>
          <w:b/>
          <w:sz w:val="8"/>
          <w:szCs w:val="8"/>
          <w:lang w:val="en-US"/>
        </w:rPr>
      </w:pPr>
    </w:p>
    <w:p w14:paraId="6F1A40C9" w14:textId="3B4A9D86" w:rsidR="00EA49C9" w:rsidRDefault="00EA49C9" w:rsidP="00EA49C9">
      <w:pPr>
        <w:spacing w:after="0" w:line="360" w:lineRule="auto"/>
        <w:jc w:val="both"/>
        <w:rPr>
          <w:bCs/>
          <w:lang w:val="en-US"/>
        </w:rPr>
      </w:pPr>
      <w:r w:rsidRPr="002E2ADF">
        <w:rPr>
          <w:noProof/>
          <w:sz w:val="8"/>
          <w:szCs w:val="8"/>
          <w:lang w:val="en-US"/>
        </w:rPr>
        <w:lastRenderedPageBreak/>
        <w:drawing>
          <wp:anchor distT="140208" distB="335407" distL="242316" distR="447675" simplePos="0" relativeHeight="252038144" behindDoc="0" locked="0" layoutInCell="1" allowOverlap="1" wp14:anchorId="0A16F4D0" wp14:editId="34FC7209">
            <wp:simplePos x="0" y="0"/>
            <wp:positionH relativeFrom="margin">
              <wp:posOffset>405362</wp:posOffset>
            </wp:positionH>
            <wp:positionV relativeFrom="paragraph">
              <wp:posOffset>225874</wp:posOffset>
            </wp:positionV>
            <wp:extent cx="1209675" cy="814443"/>
            <wp:effectExtent l="0" t="0" r="0" b="5080"/>
            <wp:wrapNone/>
            <wp:docPr id="357" name="Picture 172" descr="alcohol consumpt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2" descr="alcohol consumption 2.jpg"/>
                    <pic:cNvPicPr/>
                  </pic:nvPicPr>
                  <pic:blipFill rotWithShape="1">
                    <a:blip r:embed="rId320" cstate="print"/>
                    <a:srcRect t="7549"/>
                    <a:stretch/>
                  </pic:blipFill>
                  <pic:spPr bwMode="auto">
                    <a:xfrm>
                      <a:off x="0" y="0"/>
                      <a:ext cx="1209675" cy="814443"/>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E2ADF">
        <w:rPr>
          <w:b/>
          <w:noProof/>
          <w:sz w:val="8"/>
          <w:szCs w:val="8"/>
          <w:lang w:val="en-US"/>
        </w:rPr>
        <w:drawing>
          <wp:anchor distT="0" distB="0" distL="114300" distR="114300" simplePos="0" relativeHeight="252037120" behindDoc="0" locked="0" layoutInCell="1" allowOverlap="1" wp14:anchorId="5ADD016D" wp14:editId="6B8C8D55">
            <wp:simplePos x="0" y="0"/>
            <wp:positionH relativeFrom="margin">
              <wp:align>left</wp:align>
            </wp:positionH>
            <wp:positionV relativeFrom="paragraph">
              <wp:posOffset>9672</wp:posOffset>
            </wp:positionV>
            <wp:extent cx="3168015" cy="2033905"/>
            <wp:effectExtent l="0" t="0" r="0" b="4445"/>
            <wp:wrapSquare wrapText="bothSides"/>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21">
                      <a:extLst>
                        <a:ext uri="{28A0092B-C50C-407E-A947-70E740481C1C}">
                          <a14:useLocalDpi xmlns:a14="http://schemas.microsoft.com/office/drawing/2010/main" val="0"/>
                        </a:ext>
                      </a:extLst>
                    </a:blip>
                    <a:srcRect t="5132" r="3471"/>
                    <a:stretch/>
                  </pic:blipFill>
                  <pic:spPr bwMode="auto">
                    <a:xfrm>
                      <a:off x="0" y="0"/>
                      <a:ext cx="3182310" cy="20427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7EA3">
        <w:rPr>
          <w:bCs/>
          <w:lang w:val="en-US"/>
        </w:rPr>
        <w:t>Among both females and males, the prevalence of daily alcohol consumption rises steeply with age to its peak among people over 70.</w:t>
      </w:r>
    </w:p>
    <w:p w14:paraId="3889F0DA" w14:textId="77777777" w:rsidR="00B70A36" w:rsidRPr="002E2ADF" w:rsidRDefault="00B70A36" w:rsidP="00EA49C9">
      <w:pPr>
        <w:spacing w:after="0" w:line="360" w:lineRule="auto"/>
        <w:jc w:val="both"/>
        <w:rPr>
          <w:b/>
          <w:lang w:val="en-US"/>
        </w:rPr>
      </w:pPr>
    </w:p>
    <w:p w14:paraId="5D344D3D" w14:textId="086C9D79" w:rsidR="00EA49C9" w:rsidRDefault="00EA49C9" w:rsidP="00EA49C9">
      <w:pPr>
        <w:spacing w:after="0" w:line="240" w:lineRule="auto"/>
        <w:jc w:val="both"/>
        <w:rPr>
          <w:color w:val="7F7F7F"/>
          <w:sz w:val="20"/>
          <w:szCs w:val="20"/>
          <w:lang w:val="en-US"/>
        </w:rPr>
      </w:pPr>
      <w:r w:rsidRPr="00206265">
        <w:rPr>
          <w:color w:val="7F7F7F"/>
          <w:sz w:val="20"/>
          <w:szCs w:val="20"/>
          <w:lang w:val="en-US"/>
        </w:rPr>
        <w:t xml:space="preserve">Prevalence of Daily Alcohol Consumption by </w:t>
      </w:r>
      <w:r>
        <w:rPr>
          <w:color w:val="7F7F7F"/>
          <w:sz w:val="20"/>
          <w:szCs w:val="20"/>
          <w:lang w:val="en-US"/>
        </w:rPr>
        <w:t>Age and Sex: 2019</w:t>
      </w:r>
    </w:p>
    <w:p w14:paraId="3A83FE7E" w14:textId="77777777" w:rsidR="00EA49C9" w:rsidRDefault="00EA49C9" w:rsidP="00EA49C9">
      <w:pPr>
        <w:spacing w:after="0" w:line="240" w:lineRule="auto"/>
        <w:jc w:val="both"/>
        <w:rPr>
          <w:color w:val="7F7F7F"/>
          <w:sz w:val="20"/>
          <w:szCs w:val="20"/>
          <w:lang w:val="en-US"/>
        </w:rPr>
      </w:pPr>
    </w:p>
    <w:p w14:paraId="114DD8F1" w14:textId="6CF4A30D" w:rsidR="00EA49C9" w:rsidRDefault="00EA49C9" w:rsidP="00EA49C9">
      <w:pPr>
        <w:spacing w:after="0" w:line="240" w:lineRule="auto"/>
        <w:jc w:val="both"/>
      </w:pPr>
    </w:p>
    <w:p w14:paraId="00200BE2" w14:textId="53E97616" w:rsidR="00EA49C9" w:rsidRDefault="00EA49C9" w:rsidP="00EA49C9">
      <w:pPr>
        <w:spacing w:after="0" w:line="240" w:lineRule="auto"/>
        <w:jc w:val="both"/>
      </w:pPr>
    </w:p>
    <w:p w14:paraId="33B05F33" w14:textId="77777777" w:rsidR="00EA49C9" w:rsidRDefault="00EA49C9" w:rsidP="00EA49C9">
      <w:pPr>
        <w:spacing w:after="0" w:line="240" w:lineRule="auto"/>
        <w:jc w:val="both"/>
      </w:pPr>
    </w:p>
    <w:p w14:paraId="728862F3" w14:textId="77777777" w:rsidR="00EA49C9" w:rsidRDefault="00EA49C9" w:rsidP="00EA49C9">
      <w:pPr>
        <w:spacing w:after="0" w:line="240" w:lineRule="auto"/>
        <w:jc w:val="both"/>
        <w:rPr>
          <w:b/>
          <w:sz w:val="8"/>
          <w:szCs w:val="8"/>
          <w:lang w:val="en-US"/>
        </w:rPr>
      </w:pPr>
    </w:p>
    <w:p w14:paraId="7548F677" w14:textId="70D42B71" w:rsidR="00EA49C9" w:rsidRDefault="00EA49C9" w:rsidP="00EA49C9">
      <w:pPr>
        <w:spacing w:after="0" w:line="240" w:lineRule="auto"/>
        <w:jc w:val="both"/>
        <w:rPr>
          <w:b/>
          <w:sz w:val="8"/>
          <w:szCs w:val="8"/>
          <w:lang w:val="en-US"/>
        </w:rPr>
      </w:pPr>
    </w:p>
    <w:p w14:paraId="16938258" w14:textId="33FC19D9" w:rsidR="00EA49C9" w:rsidRDefault="00EA49C9" w:rsidP="00EA49C9">
      <w:pPr>
        <w:spacing w:after="0" w:line="240" w:lineRule="auto"/>
        <w:jc w:val="both"/>
        <w:rPr>
          <w:b/>
          <w:sz w:val="8"/>
          <w:szCs w:val="8"/>
          <w:lang w:val="en-US"/>
        </w:rPr>
      </w:pPr>
    </w:p>
    <w:p w14:paraId="6978764B" w14:textId="77777777" w:rsidR="00EA49C9" w:rsidRPr="002E2ADF" w:rsidRDefault="00EA49C9" w:rsidP="00EA49C9">
      <w:pPr>
        <w:spacing w:after="0" w:line="240" w:lineRule="auto"/>
        <w:jc w:val="both"/>
        <w:rPr>
          <w:b/>
          <w:sz w:val="8"/>
          <w:szCs w:val="8"/>
          <w:lang w:val="en-US"/>
        </w:rPr>
      </w:pPr>
    </w:p>
    <w:p w14:paraId="0B242C8B" w14:textId="77777777" w:rsidR="00EA49C9" w:rsidRPr="007547FC" w:rsidRDefault="00EA49C9" w:rsidP="00EA49C9">
      <w:pPr>
        <w:spacing w:after="0" w:line="240" w:lineRule="auto"/>
        <w:jc w:val="both"/>
        <w:rPr>
          <w:color w:val="7F7F7F" w:themeColor="text1" w:themeTint="80"/>
          <w:sz w:val="20"/>
          <w:szCs w:val="20"/>
          <w:lang w:val="en-US"/>
        </w:rPr>
      </w:pPr>
      <w:r w:rsidRPr="00BE2F20">
        <w:rPr>
          <w:b/>
          <w:lang w:val="en-US"/>
        </w:rPr>
        <w:t xml:space="preserve">Local </w:t>
      </w:r>
      <w:r>
        <w:rPr>
          <w:b/>
          <w:lang w:val="en-US"/>
        </w:rPr>
        <w:t>Patterns</w:t>
      </w:r>
      <w:r w:rsidRPr="00BE2F20">
        <w:rPr>
          <w:b/>
          <w:lang w:val="en-US"/>
        </w:rPr>
        <w:t xml:space="preserve"> of Alcohol </w:t>
      </w:r>
      <w:r w:rsidRPr="00DC1D96">
        <w:rPr>
          <w:b/>
          <w:lang w:val="en-US"/>
        </w:rPr>
        <w:t>Consumption</w:t>
      </w:r>
      <w:r w:rsidRPr="00DC1D96">
        <w:rPr>
          <w:color w:val="7F7F7F" w:themeColor="text1" w:themeTint="80"/>
          <w:sz w:val="20"/>
          <w:szCs w:val="20"/>
          <w:lang w:val="en-US"/>
        </w:rPr>
        <w:t xml:space="preserve">          </w:t>
      </w:r>
      <w:r>
        <w:rPr>
          <w:color w:val="7F7F7F" w:themeColor="text1" w:themeTint="80"/>
          <w:sz w:val="20"/>
          <w:szCs w:val="20"/>
          <w:lang w:val="en-US"/>
        </w:rPr>
        <w:t xml:space="preserve">                               </w:t>
      </w:r>
      <w:r w:rsidRPr="007547FC">
        <w:rPr>
          <w:color w:val="7F7F7F" w:themeColor="text1" w:themeTint="80"/>
          <w:sz w:val="20"/>
          <w:szCs w:val="20"/>
          <w:lang w:val="en-US"/>
        </w:rPr>
        <w:t xml:space="preserve">Volume of Liquor Sold per Adult: </w:t>
      </w:r>
    </w:p>
    <w:p w14:paraId="05CD86F9" w14:textId="77777777" w:rsidR="00EA49C9" w:rsidRPr="00DC1D96" w:rsidRDefault="00EA49C9" w:rsidP="00EA49C9">
      <w:pPr>
        <w:tabs>
          <w:tab w:val="left" w:pos="5387"/>
        </w:tabs>
        <w:spacing w:after="0" w:line="240" w:lineRule="auto"/>
        <w:jc w:val="both"/>
        <w:rPr>
          <w:color w:val="7F7F7F" w:themeColor="text1" w:themeTint="80"/>
          <w:sz w:val="20"/>
          <w:szCs w:val="20"/>
          <w:lang w:val="en-US"/>
        </w:rPr>
      </w:pPr>
      <w:r>
        <w:rPr>
          <w:color w:val="7F7F7F" w:themeColor="text1" w:themeTint="80"/>
          <w:sz w:val="20"/>
          <w:szCs w:val="20"/>
          <w:lang w:val="en-US"/>
        </w:rPr>
        <w:tab/>
      </w:r>
      <w:r w:rsidRPr="00DC1D96">
        <w:rPr>
          <w:color w:val="7F7F7F" w:themeColor="text1" w:themeTint="80"/>
          <w:sz w:val="20"/>
          <w:szCs w:val="20"/>
          <w:lang w:val="en-US"/>
        </w:rPr>
        <w:t>Greater Dandenong and Victoria, 2015/16</w:t>
      </w:r>
    </w:p>
    <w:p w14:paraId="38BFB3F5" w14:textId="77777777" w:rsidR="00EA49C9" w:rsidRDefault="00EA49C9" w:rsidP="00EA49C9">
      <w:pPr>
        <w:spacing w:after="0" w:line="360" w:lineRule="auto"/>
        <w:jc w:val="both"/>
        <w:rPr>
          <w:lang w:val="en-US"/>
        </w:rPr>
      </w:pPr>
      <w:r>
        <w:rPr>
          <w:noProof/>
          <w:lang w:val="en-US"/>
        </w:rPr>
        <w:drawing>
          <wp:anchor distT="0" distB="0" distL="114300" distR="114300" simplePos="0" relativeHeight="252032000" behindDoc="0" locked="0" layoutInCell="1" allowOverlap="1" wp14:anchorId="658CFBF6" wp14:editId="6CAAF258">
            <wp:simplePos x="0" y="0"/>
            <wp:positionH relativeFrom="column">
              <wp:posOffset>2987040</wp:posOffset>
            </wp:positionH>
            <wp:positionV relativeFrom="paragraph">
              <wp:posOffset>46990</wp:posOffset>
            </wp:positionV>
            <wp:extent cx="3166745" cy="2242185"/>
            <wp:effectExtent l="0" t="0" r="0" b="5715"/>
            <wp:wrapSquare wrapText="bothSides"/>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2" cstate="print">
                      <a:extLst>
                        <a:ext uri="{28A0092B-C50C-407E-A947-70E740481C1C}">
                          <a14:useLocalDpi xmlns:a14="http://schemas.microsoft.com/office/drawing/2010/main" val="0"/>
                        </a:ext>
                      </a:extLst>
                    </a:blip>
                    <a:srcRect t="7560" r="4148" b="2319"/>
                    <a:stretch/>
                  </pic:blipFill>
                  <pic:spPr bwMode="auto">
                    <a:xfrm>
                      <a:off x="0" y="0"/>
                      <a:ext cx="3166745" cy="22421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2035072" behindDoc="0" locked="0" layoutInCell="1" allowOverlap="1" wp14:anchorId="751FFBF9" wp14:editId="67126FC6">
            <wp:simplePos x="0" y="0"/>
            <wp:positionH relativeFrom="column">
              <wp:posOffset>3996247</wp:posOffset>
            </wp:positionH>
            <wp:positionV relativeFrom="paragraph">
              <wp:posOffset>572756</wp:posOffset>
            </wp:positionV>
            <wp:extent cx="1379574" cy="1028700"/>
            <wp:effectExtent l="0" t="0" r="0" b="0"/>
            <wp:wrapNone/>
            <wp:docPr id="35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Drugs 11.jpg"/>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1379574" cy="1028700"/>
                    </a:xfrm>
                    <a:prstGeom prst="rect">
                      <a:avLst/>
                    </a:prstGeom>
                    <a:ln>
                      <a:noFill/>
                    </a:ln>
                    <a:effectLst>
                      <a:softEdge rad="317500"/>
                    </a:effectLst>
                  </pic:spPr>
                </pic:pic>
              </a:graphicData>
            </a:graphic>
            <wp14:sizeRelH relativeFrom="margin">
              <wp14:pctWidth>0</wp14:pctWidth>
            </wp14:sizeRelH>
            <wp14:sizeRelV relativeFrom="margin">
              <wp14:pctHeight>0</wp14:pctHeight>
            </wp14:sizeRelV>
          </wp:anchor>
        </w:drawing>
      </w:r>
      <w:r>
        <w:rPr>
          <w:lang w:val="en-US"/>
        </w:rPr>
        <w:t>Local measures indicate that overall levels of alcohol consumption are lower in Greater Dandenong than the metropolitan average, though harms arising from alcohol abuse in this community are substantial.</w:t>
      </w:r>
    </w:p>
    <w:p w14:paraId="2D678C01" w14:textId="77777777" w:rsidR="00EA49C9" w:rsidRDefault="00EA49C9" w:rsidP="00EA49C9">
      <w:pPr>
        <w:spacing w:after="0" w:line="360" w:lineRule="auto"/>
        <w:jc w:val="both"/>
        <w:rPr>
          <w:color w:val="000000"/>
        </w:rPr>
      </w:pPr>
      <w:r>
        <w:rPr>
          <w:color w:val="000000"/>
        </w:rPr>
        <w:t xml:space="preserve">In 2017, the Victorian Commission for Gambling and Liquor Regulation released details of the volume of alcohol sold in each Victorian municipality during 2015/16. These data showed that </w:t>
      </w:r>
      <w:r w:rsidRPr="00337A02">
        <w:rPr>
          <w:color w:val="000000"/>
        </w:rPr>
        <w:t>volumes of beer,</w:t>
      </w:r>
      <w:r>
        <w:rPr>
          <w:color w:val="000000"/>
        </w:rPr>
        <w:t xml:space="preserve"> cider and wine sold, per adult,</w:t>
      </w:r>
      <w:r w:rsidRPr="00337A02">
        <w:rPr>
          <w:color w:val="000000"/>
        </w:rPr>
        <w:t xml:space="preserve"> in Greater Dandenong </w:t>
      </w:r>
      <w:r>
        <w:rPr>
          <w:color w:val="000000"/>
        </w:rPr>
        <w:t>were each substantially lower than the Victorian average and</w:t>
      </w:r>
      <w:r w:rsidRPr="00337A02">
        <w:rPr>
          <w:color w:val="000000"/>
        </w:rPr>
        <w:t xml:space="preserve"> among the lowest in </w:t>
      </w:r>
      <w:r>
        <w:rPr>
          <w:color w:val="000000"/>
        </w:rPr>
        <w:t xml:space="preserve">the State (diagram above). </w:t>
      </w:r>
    </w:p>
    <w:p w14:paraId="7872DF92" w14:textId="4D5EFAA1" w:rsidR="00EA49C9" w:rsidRDefault="00EA49C9" w:rsidP="00EA49C9">
      <w:pPr>
        <w:spacing w:after="0" w:line="360" w:lineRule="auto"/>
        <w:jc w:val="both"/>
        <w:rPr>
          <w:b/>
          <w:color w:val="000000"/>
          <w:sz w:val="10"/>
          <w:szCs w:val="10"/>
        </w:rPr>
      </w:pPr>
    </w:p>
    <w:p w14:paraId="4FC1D518" w14:textId="77777777" w:rsidR="00EA49C9" w:rsidRPr="00CB2DAC" w:rsidRDefault="00EA49C9" w:rsidP="00EA49C9">
      <w:pPr>
        <w:spacing w:after="0" w:line="360" w:lineRule="auto"/>
        <w:jc w:val="both"/>
        <w:rPr>
          <w:b/>
          <w:color w:val="000000"/>
          <w:sz w:val="10"/>
          <w:szCs w:val="10"/>
        </w:rPr>
      </w:pPr>
    </w:p>
    <w:p w14:paraId="69F7E2BE" w14:textId="77777777" w:rsidR="00EA49C9" w:rsidRPr="009E39D1" w:rsidRDefault="00EA49C9" w:rsidP="00EA49C9">
      <w:pPr>
        <w:spacing w:after="0" w:line="360" w:lineRule="auto"/>
        <w:jc w:val="both"/>
        <w:rPr>
          <w:b/>
          <w:color w:val="000000"/>
        </w:rPr>
      </w:pPr>
      <w:r>
        <w:rPr>
          <w:b/>
          <w:color w:val="000000"/>
        </w:rPr>
        <w:t xml:space="preserve">Local Measures of </w:t>
      </w:r>
      <w:r w:rsidRPr="009E39D1">
        <w:rPr>
          <w:b/>
          <w:color w:val="000000"/>
        </w:rPr>
        <w:t>Alcohol-related Harm</w:t>
      </w:r>
    </w:p>
    <w:p w14:paraId="65C272DB" w14:textId="77777777" w:rsidR="00EA49C9" w:rsidRPr="00CB2DAC" w:rsidRDefault="00EA49C9" w:rsidP="00EA49C9">
      <w:pPr>
        <w:spacing w:after="0" w:line="360" w:lineRule="auto"/>
        <w:jc w:val="both"/>
        <w:rPr>
          <w:color w:val="000000"/>
        </w:rPr>
      </w:pPr>
      <w:r>
        <w:rPr>
          <w:color w:val="000000"/>
        </w:rPr>
        <w:t xml:space="preserve">The profile of local harm associated with alcohol may not necessarily match consumption patterns though. Measures </w:t>
      </w:r>
      <w:r>
        <w:rPr>
          <w:lang w:val="en-US"/>
        </w:rPr>
        <w:t>of the social and health impacts of excessive alcohol consumption, published by Turning Point, record levels of the impact of alcohol upon Greater Dandenong residents that exceed metropolitan levels.</w:t>
      </w:r>
    </w:p>
    <w:p w14:paraId="6FBD219C" w14:textId="77777777" w:rsidR="00EA49C9" w:rsidRPr="00CB2DAC" w:rsidRDefault="00EA49C9" w:rsidP="00EA49C9">
      <w:pPr>
        <w:pStyle w:val="ListParagraph"/>
        <w:numPr>
          <w:ilvl w:val="0"/>
          <w:numId w:val="4"/>
        </w:numPr>
        <w:spacing w:line="360" w:lineRule="auto"/>
        <w:ind w:left="426"/>
        <w:contextualSpacing/>
        <w:jc w:val="both"/>
        <w:rPr>
          <w:lang w:val="en-US"/>
        </w:rPr>
      </w:pPr>
      <w:r>
        <w:rPr>
          <w:lang w:val="en-US"/>
        </w:rPr>
        <w:t>The rate</w:t>
      </w:r>
      <w:r w:rsidRPr="00CB2DAC">
        <w:rPr>
          <w:lang w:val="en-US"/>
        </w:rPr>
        <w:t xml:space="preserve"> of ambulance attendances for alcohol intoxication</w:t>
      </w:r>
      <w:r>
        <w:rPr>
          <w:lang w:val="en-US"/>
        </w:rPr>
        <w:t xml:space="preserve"> </w:t>
      </w:r>
      <w:r w:rsidRPr="00CB2DAC">
        <w:rPr>
          <w:lang w:val="en-US"/>
        </w:rPr>
        <w:t xml:space="preserve">(with or without other substances) </w:t>
      </w:r>
      <w:r>
        <w:rPr>
          <w:lang w:val="en-US"/>
        </w:rPr>
        <w:t>in Greater Dandenong during</w:t>
      </w:r>
      <w:r w:rsidRPr="00CB2DAC">
        <w:rPr>
          <w:lang w:val="en-US"/>
        </w:rPr>
        <w:t xml:space="preserve"> 2021/22 was 19% higher than metropolitan levels.</w:t>
      </w:r>
    </w:p>
    <w:p w14:paraId="45BF46A5" w14:textId="77777777" w:rsidR="00EA49C9" w:rsidRPr="00CB2DAC" w:rsidRDefault="00EA49C9" w:rsidP="00EA49C9">
      <w:pPr>
        <w:pStyle w:val="ListParagraph"/>
        <w:numPr>
          <w:ilvl w:val="0"/>
          <w:numId w:val="4"/>
        </w:numPr>
        <w:spacing w:line="360" w:lineRule="auto"/>
        <w:ind w:left="426"/>
        <w:contextualSpacing/>
        <w:jc w:val="both"/>
        <w:rPr>
          <w:lang w:val="en-US"/>
        </w:rPr>
      </w:pPr>
      <w:r w:rsidRPr="00CB2DAC">
        <w:rPr>
          <w:lang w:val="en-US"/>
        </w:rPr>
        <w:t xml:space="preserve">Similarly, rates of </w:t>
      </w:r>
      <w:r>
        <w:rPr>
          <w:lang w:val="en-US"/>
        </w:rPr>
        <w:t xml:space="preserve">local </w:t>
      </w:r>
      <w:r w:rsidRPr="00CB2DAC">
        <w:rPr>
          <w:lang w:val="en-US"/>
        </w:rPr>
        <w:t>ambulance attendances relation to acute effects of alcohol consumption in 2019 – the latest year available – was 18% greater than the metropolitan average.</w:t>
      </w:r>
    </w:p>
    <w:p w14:paraId="56061436" w14:textId="459974D0" w:rsidR="00EA49C9" w:rsidRPr="00CB2DAC" w:rsidRDefault="00EA49C9" w:rsidP="00EA49C9">
      <w:pPr>
        <w:pStyle w:val="ListParagraph"/>
        <w:numPr>
          <w:ilvl w:val="0"/>
          <w:numId w:val="4"/>
        </w:numPr>
        <w:spacing w:line="360" w:lineRule="auto"/>
        <w:ind w:left="426"/>
        <w:contextualSpacing/>
        <w:jc w:val="both"/>
        <w:rPr>
          <w:lang w:val="en-US"/>
        </w:rPr>
      </w:pPr>
      <w:r w:rsidRPr="00CB2DAC">
        <w:rPr>
          <w:lang w:val="en-US"/>
        </w:rPr>
        <w:t xml:space="preserve">The rate of family violence incidents </w:t>
      </w:r>
      <w:r>
        <w:rPr>
          <w:lang w:val="en-US"/>
        </w:rPr>
        <w:t xml:space="preserve">in Greater </w:t>
      </w:r>
      <w:r w:rsidR="009C4713">
        <w:rPr>
          <w:lang w:val="en-US"/>
        </w:rPr>
        <w:t>Dandenong</w:t>
      </w:r>
      <w:r w:rsidRPr="00CB2DAC">
        <w:rPr>
          <w:lang w:val="en-US"/>
        </w:rPr>
        <w:t xml:space="preserve"> recorded by police in 2021</w:t>
      </w:r>
      <w:r>
        <w:rPr>
          <w:lang w:val="en-US"/>
        </w:rPr>
        <w:t xml:space="preserve">, </w:t>
      </w:r>
      <w:r w:rsidRPr="00CB2DAC">
        <w:rPr>
          <w:lang w:val="en-US"/>
        </w:rPr>
        <w:t>where alcohol was definitely or likely involved, was 21% higher than the metropolitan level.</w:t>
      </w:r>
    </w:p>
    <w:p w14:paraId="42424784" w14:textId="77777777" w:rsidR="00EA49C9" w:rsidRPr="00CB2DAC" w:rsidRDefault="00EA49C9" w:rsidP="00EA49C9">
      <w:pPr>
        <w:pStyle w:val="ListParagraph"/>
        <w:numPr>
          <w:ilvl w:val="0"/>
          <w:numId w:val="4"/>
        </w:numPr>
        <w:spacing w:line="360" w:lineRule="auto"/>
        <w:ind w:left="426"/>
        <w:contextualSpacing/>
        <w:jc w:val="both"/>
        <w:rPr>
          <w:lang w:val="en-US"/>
        </w:rPr>
      </w:pPr>
      <w:r>
        <w:rPr>
          <w:noProof/>
          <w:lang w:val="en-US"/>
        </w:rPr>
        <w:drawing>
          <wp:anchor distT="0" distB="0" distL="114300" distR="114300" simplePos="0" relativeHeight="252034048" behindDoc="0" locked="0" layoutInCell="1" allowOverlap="1" wp14:anchorId="4956E38F" wp14:editId="72FC2B98">
            <wp:simplePos x="0" y="0"/>
            <wp:positionH relativeFrom="margin">
              <wp:align>right</wp:align>
            </wp:positionH>
            <wp:positionV relativeFrom="paragraph">
              <wp:posOffset>269426</wp:posOffset>
            </wp:positionV>
            <wp:extent cx="1314450" cy="705485"/>
            <wp:effectExtent l="0" t="0" r="0" b="0"/>
            <wp:wrapSquare wrapText="bothSides"/>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Drugs 12.jpg"/>
                    <pic:cNvPicPr/>
                  </pic:nvPicPr>
                  <pic:blipFill>
                    <a:blip r:embed="rId324" cstate="print">
                      <a:extLst>
                        <a:ext uri="{28A0092B-C50C-407E-A947-70E740481C1C}">
                          <a14:useLocalDpi xmlns:a14="http://schemas.microsoft.com/office/drawing/2010/main" val="0"/>
                        </a:ext>
                      </a:extLst>
                    </a:blip>
                    <a:stretch>
                      <a:fillRect/>
                    </a:stretch>
                  </pic:blipFill>
                  <pic:spPr>
                    <a:xfrm>
                      <a:off x="0" y="0"/>
                      <a:ext cx="1314450" cy="7054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CB2DAC">
        <w:rPr>
          <w:lang w:val="en-US"/>
        </w:rPr>
        <w:t>And rate of mortality due to circumstances associated with alcohol use in Greater Dandenong in 2020 was also 21% higher than the metropolitan rate.</w:t>
      </w:r>
    </w:p>
    <w:p w14:paraId="04A54509" w14:textId="77777777" w:rsidR="00B70A36" w:rsidRDefault="00B70A36">
      <w:r>
        <w:br w:type="page"/>
      </w:r>
    </w:p>
    <w:p w14:paraId="6C5C6CA0" w14:textId="1EE9A680" w:rsidR="00787378" w:rsidRPr="00A3419A" w:rsidRDefault="00787378" w:rsidP="00A3419A">
      <w:pPr>
        <w:pBdr>
          <w:top w:val="single" w:sz="4" w:space="1" w:color="auto"/>
          <w:bottom w:val="single" w:sz="4" w:space="1" w:color="auto"/>
        </w:pBdr>
        <w:tabs>
          <w:tab w:val="center" w:pos="4678"/>
        </w:tabs>
        <w:jc w:val="center"/>
        <w:rPr>
          <w:rFonts w:ascii="Calibri" w:eastAsia="Times New Roman" w:hAnsi="Calibri"/>
          <w:noProof/>
          <w:sz w:val="32"/>
          <w:szCs w:val="32"/>
          <w:lang w:val="en-US"/>
        </w:rPr>
      </w:pPr>
      <w:r w:rsidRPr="00A3419A">
        <w:rPr>
          <w:rFonts w:ascii="Calibri" w:eastAsia="Times New Roman" w:hAnsi="Calibri"/>
          <w:noProof/>
          <w:sz w:val="32"/>
          <w:szCs w:val="32"/>
          <w:lang w:val="en-US"/>
        </w:rPr>
        <w:lastRenderedPageBreak/>
        <w:t>Illicit Drug Use</w:t>
      </w:r>
    </w:p>
    <w:p w14:paraId="30C01C2E" w14:textId="77777777" w:rsidR="00787378" w:rsidRPr="00301042" w:rsidRDefault="00787378" w:rsidP="00787378">
      <w:pPr>
        <w:spacing w:after="0" w:line="360" w:lineRule="auto"/>
        <w:ind w:left="5103"/>
        <w:jc w:val="both"/>
        <w:rPr>
          <w:rFonts w:ascii="Calibri" w:hAnsi="Calibri"/>
          <w:b/>
          <w:sz w:val="12"/>
          <w:szCs w:val="12"/>
        </w:rPr>
      </w:pPr>
      <w:r>
        <w:rPr>
          <w:rFonts w:ascii="Calibri" w:hAnsi="Calibri"/>
          <w:b/>
          <w:noProof/>
          <w:sz w:val="12"/>
          <w:szCs w:val="12"/>
          <w:lang w:eastAsia="en-AU"/>
        </w:rPr>
        <w:drawing>
          <wp:anchor distT="0" distB="0" distL="114300" distR="114300" simplePos="0" relativeHeight="252050432" behindDoc="0" locked="0" layoutInCell="1" allowOverlap="1" wp14:anchorId="45B0E20C" wp14:editId="2DDCB87B">
            <wp:simplePos x="0" y="0"/>
            <wp:positionH relativeFrom="column">
              <wp:posOffset>5035668</wp:posOffset>
            </wp:positionH>
            <wp:positionV relativeFrom="paragraph">
              <wp:posOffset>140365</wp:posOffset>
            </wp:positionV>
            <wp:extent cx="1062772" cy="1046351"/>
            <wp:effectExtent l="0" t="0" r="4445" b="1905"/>
            <wp:wrapNone/>
            <wp:docPr id="361" name="Picture 65" descr="illicit dru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llicit drugs"/>
                    <pic:cNvPicPr>
                      <a:picLocks noChangeAspect="1" noChangeArrowheads="1"/>
                    </pic:cNvPicPr>
                  </pic:nvPicPr>
                  <pic:blipFill rotWithShape="1">
                    <a:blip r:embed="rId325" cstate="print"/>
                    <a:srcRect t="8790" r="4268" b="5781"/>
                    <a:stretch/>
                  </pic:blipFill>
                  <pic:spPr bwMode="auto">
                    <a:xfrm>
                      <a:off x="0" y="0"/>
                      <a:ext cx="1067779" cy="105128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05D379" w14:textId="77777777" w:rsidR="00787378" w:rsidRPr="009815FD" w:rsidRDefault="00787378" w:rsidP="00787378">
      <w:pPr>
        <w:spacing w:after="0" w:line="360" w:lineRule="auto"/>
        <w:jc w:val="both"/>
        <w:rPr>
          <w:rFonts w:ascii="Calibri" w:hAnsi="Calibri"/>
          <w:b/>
        </w:rPr>
      </w:pPr>
      <w:r>
        <w:rPr>
          <w:rFonts w:ascii="Calibri" w:hAnsi="Calibri"/>
          <w:noProof/>
        </w:rPr>
        <w:drawing>
          <wp:anchor distT="0" distB="0" distL="114300" distR="114300" simplePos="0" relativeHeight="252041216" behindDoc="0" locked="0" layoutInCell="1" allowOverlap="1" wp14:anchorId="079E2386" wp14:editId="58C5812D">
            <wp:simplePos x="0" y="0"/>
            <wp:positionH relativeFrom="column">
              <wp:posOffset>2478405</wp:posOffset>
            </wp:positionH>
            <wp:positionV relativeFrom="paragraph">
              <wp:posOffset>262255</wp:posOffset>
            </wp:positionV>
            <wp:extent cx="3641725" cy="2271395"/>
            <wp:effectExtent l="0" t="0" r="0" b="0"/>
            <wp:wrapSquare wrapText="bothSides"/>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3641725" cy="2271395"/>
                    </a:xfrm>
                    <a:prstGeom prst="rect">
                      <a:avLst/>
                    </a:prstGeom>
                    <a:noFill/>
                  </pic:spPr>
                </pic:pic>
              </a:graphicData>
            </a:graphic>
            <wp14:sizeRelH relativeFrom="page">
              <wp14:pctWidth>0</wp14:pctWidth>
            </wp14:sizeRelH>
            <wp14:sizeRelV relativeFrom="page">
              <wp14:pctHeight>0</wp14:pctHeight>
            </wp14:sizeRelV>
          </wp:anchor>
        </w:drawing>
      </w:r>
      <w:r w:rsidRPr="009815FD">
        <w:rPr>
          <w:rFonts w:ascii="Calibri" w:hAnsi="Calibri"/>
          <w:b/>
        </w:rPr>
        <w:t>Prevalence and Patterns of Illicit Drug Use</w:t>
      </w:r>
    </w:p>
    <w:p w14:paraId="5B8E9CBA" w14:textId="77777777" w:rsidR="00787378" w:rsidRDefault="00787378" w:rsidP="00787378">
      <w:pPr>
        <w:spacing w:after="0" w:line="360" w:lineRule="auto"/>
        <w:jc w:val="both"/>
        <w:rPr>
          <w:rFonts w:ascii="Calibri" w:hAnsi="Calibri"/>
        </w:rPr>
      </w:pPr>
      <w:r w:rsidRPr="009815FD">
        <w:rPr>
          <w:rFonts w:ascii="Calibri" w:hAnsi="Calibri"/>
        </w:rPr>
        <w:t>The 201</w:t>
      </w:r>
      <w:r>
        <w:rPr>
          <w:rFonts w:ascii="Calibri" w:hAnsi="Calibri"/>
        </w:rPr>
        <w:t>9</w:t>
      </w:r>
      <w:r w:rsidRPr="009815FD">
        <w:rPr>
          <w:rFonts w:ascii="Calibri" w:hAnsi="Calibri"/>
        </w:rPr>
        <w:t xml:space="preserve"> National Drug Strategy Household Survey </w:t>
      </w:r>
      <w:r>
        <w:rPr>
          <w:rFonts w:ascii="Calibri" w:hAnsi="Calibri"/>
        </w:rPr>
        <w:t>found that 43</w:t>
      </w:r>
      <w:r w:rsidRPr="008258A4">
        <w:rPr>
          <w:rFonts w:ascii="Calibri" w:hAnsi="Calibri"/>
        </w:rPr>
        <w:t xml:space="preserve">% of Australians </w:t>
      </w:r>
      <w:r>
        <w:rPr>
          <w:rFonts w:ascii="Calibri" w:hAnsi="Calibri"/>
        </w:rPr>
        <w:t xml:space="preserve">aged </w:t>
      </w:r>
      <w:r w:rsidRPr="008258A4">
        <w:rPr>
          <w:rFonts w:ascii="Calibri" w:hAnsi="Calibri"/>
        </w:rPr>
        <w:t>14</w:t>
      </w:r>
      <w:r>
        <w:rPr>
          <w:rFonts w:ascii="Calibri" w:hAnsi="Calibri"/>
        </w:rPr>
        <w:t xml:space="preserve"> years</w:t>
      </w:r>
      <w:r w:rsidRPr="008258A4">
        <w:rPr>
          <w:rFonts w:ascii="Calibri" w:hAnsi="Calibri"/>
        </w:rPr>
        <w:t xml:space="preserve"> or </w:t>
      </w:r>
      <w:r>
        <w:rPr>
          <w:rFonts w:ascii="Calibri" w:hAnsi="Calibri"/>
        </w:rPr>
        <w:t>more</w:t>
      </w:r>
      <w:r w:rsidRPr="008258A4">
        <w:rPr>
          <w:rFonts w:ascii="Calibri" w:hAnsi="Calibri"/>
        </w:rPr>
        <w:t xml:space="preserve"> had used illicit drugs in their lifetimes (including abuse of pharmaceuticals), and </w:t>
      </w:r>
      <w:r>
        <w:rPr>
          <w:rFonts w:ascii="Calibri" w:hAnsi="Calibri"/>
        </w:rPr>
        <w:t>9.2</w:t>
      </w:r>
      <w:r w:rsidRPr="008258A4">
        <w:rPr>
          <w:rFonts w:ascii="Calibri" w:hAnsi="Calibri"/>
        </w:rPr>
        <w:t xml:space="preserve">% during the </w:t>
      </w:r>
      <w:r>
        <w:rPr>
          <w:rFonts w:ascii="Calibri" w:hAnsi="Calibri"/>
        </w:rPr>
        <w:t>previous month</w:t>
      </w:r>
      <w:r w:rsidRPr="008258A4">
        <w:rPr>
          <w:rFonts w:ascii="Calibri" w:hAnsi="Calibri"/>
        </w:rPr>
        <w:t>.</w:t>
      </w:r>
    </w:p>
    <w:p w14:paraId="091F6843" w14:textId="77777777" w:rsidR="00787378" w:rsidRPr="002D53C6" w:rsidRDefault="00787378" w:rsidP="00787378">
      <w:pPr>
        <w:spacing w:after="0"/>
        <w:jc w:val="both"/>
        <w:rPr>
          <w:rFonts w:ascii="Calibri" w:hAnsi="Calibri"/>
          <w:sz w:val="10"/>
          <w:szCs w:val="10"/>
        </w:rPr>
      </w:pPr>
    </w:p>
    <w:p w14:paraId="14EF79E8" w14:textId="77777777" w:rsidR="00787378" w:rsidRPr="002D53C6" w:rsidRDefault="00787378" w:rsidP="00787378">
      <w:pPr>
        <w:spacing w:after="0"/>
        <w:jc w:val="both"/>
        <w:rPr>
          <w:rFonts w:ascii="Calibri" w:hAnsi="Calibri"/>
          <w:color w:val="7F7F7F" w:themeColor="text1" w:themeTint="80"/>
          <w:sz w:val="20"/>
          <w:szCs w:val="20"/>
        </w:rPr>
      </w:pPr>
      <w:r w:rsidRPr="002D53C6">
        <w:rPr>
          <w:rFonts w:ascii="Calibri" w:hAnsi="Calibri"/>
          <w:color w:val="7F7F7F" w:themeColor="text1" w:themeTint="80"/>
          <w:sz w:val="20"/>
          <w:szCs w:val="20"/>
        </w:rPr>
        <w:t>Prevalence of Monthly and Lifetime Use of Illicit Drugs, persons 14+, Australia: 2019</w:t>
      </w:r>
    </w:p>
    <w:p w14:paraId="42246929" w14:textId="77777777" w:rsidR="00787378" w:rsidRDefault="00787378" w:rsidP="00787378">
      <w:pPr>
        <w:spacing w:after="0" w:line="360" w:lineRule="auto"/>
        <w:jc w:val="both"/>
        <w:rPr>
          <w:rFonts w:ascii="Calibri" w:hAnsi="Calibri"/>
        </w:rPr>
      </w:pPr>
    </w:p>
    <w:p w14:paraId="6A435071" w14:textId="77777777" w:rsidR="00787378" w:rsidRDefault="00787378" w:rsidP="00787378">
      <w:pPr>
        <w:spacing w:after="0" w:line="360" w:lineRule="auto"/>
        <w:jc w:val="both"/>
        <w:rPr>
          <w:rFonts w:ascii="Calibri" w:hAnsi="Calibri"/>
        </w:rPr>
      </w:pPr>
    </w:p>
    <w:p w14:paraId="3371E1A8" w14:textId="77777777" w:rsidR="00787378" w:rsidRDefault="00787378" w:rsidP="00787378">
      <w:pPr>
        <w:spacing w:after="0" w:line="360" w:lineRule="auto"/>
        <w:jc w:val="both"/>
        <w:rPr>
          <w:rFonts w:ascii="Calibri" w:hAnsi="Calibri"/>
        </w:rPr>
      </w:pPr>
      <w:r>
        <w:rPr>
          <w:rFonts w:ascii="Calibri" w:hAnsi="Calibri"/>
          <w:noProof/>
        </w:rPr>
        <w:drawing>
          <wp:anchor distT="0" distB="0" distL="114300" distR="114300" simplePos="0" relativeHeight="252042240" behindDoc="0" locked="0" layoutInCell="1" allowOverlap="1" wp14:anchorId="2BF98FB6" wp14:editId="200B1655">
            <wp:simplePos x="0" y="0"/>
            <wp:positionH relativeFrom="column">
              <wp:posOffset>55880</wp:posOffset>
            </wp:positionH>
            <wp:positionV relativeFrom="paragraph">
              <wp:posOffset>2540</wp:posOffset>
            </wp:positionV>
            <wp:extent cx="3776345" cy="2451735"/>
            <wp:effectExtent l="0" t="0" r="0" b="5715"/>
            <wp:wrapSquare wrapText="bothSides"/>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3776345" cy="2451735"/>
                    </a:xfrm>
                    <a:prstGeom prst="rect">
                      <a:avLst/>
                    </a:prstGeom>
                    <a:noFill/>
                  </pic:spPr>
                </pic:pic>
              </a:graphicData>
            </a:graphic>
            <wp14:sizeRelH relativeFrom="page">
              <wp14:pctWidth>0</wp14:pctWidth>
            </wp14:sizeRelH>
            <wp14:sizeRelV relativeFrom="page">
              <wp14:pctHeight>0</wp14:pctHeight>
            </wp14:sizeRelV>
          </wp:anchor>
        </w:drawing>
      </w:r>
    </w:p>
    <w:p w14:paraId="32EAC55F" w14:textId="77777777" w:rsidR="00787378" w:rsidRDefault="00787378" w:rsidP="00787378">
      <w:pPr>
        <w:spacing w:after="0" w:line="360" w:lineRule="auto"/>
        <w:jc w:val="both"/>
        <w:rPr>
          <w:rFonts w:ascii="Calibri" w:hAnsi="Calibri"/>
        </w:rPr>
      </w:pPr>
    </w:p>
    <w:p w14:paraId="73A29118" w14:textId="77777777" w:rsidR="00787378" w:rsidRDefault="00787378" w:rsidP="00787378">
      <w:pPr>
        <w:spacing w:after="0" w:line="360" w:lineRule="auto"/>
        <w:jc w:val="both"/>
        <w:rPr>
          <w:rFonts w:ascii="Calibri" w:hAnsi="Calibri"/>
        </w:rPr>
      </w:pPr>
      <w:r>
        <w:rPr>
          <w:rFonts w:ascii="Calibri" w:hAnsi="Calibri"/>
        </w:rPr>
        <w:t>The proportion of people who had used illicit drugs in the previous month was highest among young adults and males.</w:t>
      </w:r>
    </w:p>
    <w:p w14:paraId="3EA53FC7" w14:textId="77777777" w:rsidR="00787378" w:rsidRDefault="00787378" w:rsidP="00787378">
      <w:pPr>
        <w:spacing w:after="0"/>
        <w:jc w:val="both"/>
        <w:rPr>
          <w:rFonts w:ascii="Calibri" w:hAnsi="Calibri"/>
          <w:sz w:val="8"/>
          <w:szCs w:val="8"/>
        </w:rPr>
      </w:pPr>
    </w:p>
    <w:p w14:paraId="648C8B15" w14:textId="77777777" w:rsidR="00787378" w:rsidRPr="00A47712" w:rsidRDefault="00787378" w:rsidP="00787378">
      <w:pPr>
        <w:spacing w:after="0"/>
        <w:jc w:val="both"/>
        <w:rPr>
          <w:rFonts w:ascii="Calibri" w:hAnsi="Calibri"/>
          <w:sz w:val="8"/>
          <w:szCs w:val="8"/>
        </w:rPr>
      </w:pPr>
    </w:p>
    <w:p w14:paraId="7EC0A401" w14:textId="77777777" w:rsidR="00787378" w:rsidRPr="002D53C6" w:rsidRDefault="00787378" w:rsidP="00787378">
      <w:pPr>
        <w:spacing w:after="0"/>
        <w:jc w:val="both"/>
        <w:rPr>
          <w:rFonts w:ascii="Calibri" w:hAnsi="Calibri"/>
          <w:color w:val="7F7F7F" w:themeColor="text1" w:themeTint="80"/>
          <w:sz w:val="20"/>
          <w:szCs w:val="20"/>
        </w:rPr>
      </w:pPr>
      <w:r w:rsidRPr="002D53C6">
        <w:rPr>
          <w:rFonts w:ascii="Calibri" w:hAnsi="Calibri"/>
          <w:color w:val="7F7F7F" w:themeColor="text1" w:themeTint="80"/>
          <w:sz w:val="20"/>
          <w:szCs w:val="20"/>
        </w:rPr>
        <w:t xml:space="preserve">Prevalence of </w:t>
      </w:r>
      <w:r>
        <w:rPr>
          <w:rFonts w:ascii="Calibri" w:hAnsi="Calibri"/>
          <w:color w:val="7F7F7F" w:themeColor="text1" w:themeTint="80"/>
          <w:sz w:val="20"/>
          <w:szCs w:val="20"/>
        </w:rPr>
        <w:t>the</w:t>
      </w:r>
      <w:r w:rsidRPr="002D53C6">
        <w:rPr>
          <w:rFonts w:ascii="Calibri" w:hAnsi="Calibri"/>
          <w:color w:val="7F7F7F" w:themeColor="text1" w:themeTint="80"/>
          <w:sz w:val="20"/>
          <w:szCs w:val="20"/>
        </w:rPr>
        <w:t xml:space="preserve"> Use of Illicit Drugs</w:t>
      </w:r>
      <w:r>
        <w:rPr>
          <w:rFonts w:ascii="Calibri" w:hAnsi="Calibri"/>
          <w:color w:val="7F7F7F" w:themeColor="text1" w:themeTint="80"/>
          <w:sz w:val="20"/>
          <w:szCs w:val="20"/>
        </w:rPr>
        <w:t xml:space="preserve"> During the Previous Month by Sex and Age</w:t>
      </w:r>
      <w:r w:rsidRPr="002D53C6">
        <w:rPr>
          <w:rFonts w:ascii="Calibri" w:hAnsi="Calibri"/>
          <w:color w:val="7F7F7F" w:themeColor="text1" w:themeTint="80"/>
          <w:sz w:val="20"/>
          <w:szCs w:val="20"/>
        </w:rPr>
        <w:t>, Australia: 2019</w:t>
      </w:r>
    </w:p>
    <w:p w14:paraId="3F60B279" w14:textId="77777777" w:rsidR="00787378" w:rsidRDefault="00787378" w:rsidP="00787378">
      <w:pPr>
        <w:spacing w:after="0"/>
        <w:jc w:val="both"/>
        <w:rPr>
          <w:rFonts w:ascii="Calibri" w:hAnsi="Calibri"/>
          <w:sz w:val="8"/>
          <w:szCs w:val="8"/>
        </w:rPr>
      </w:pPr>
    </w:p>
    <w:p w14:paraId="7BABAC63" w14:textId="77777777" w:rsidR="00787378" w:rsidRPr="00A47712" w:rsidRDefault="00787378" w:rsidP="00787378">
      <w:pPr>
        <w:spacing w:after="0"/>
        <w:jc w:val="both"/>
        <w:rPr>
          <w:rFonts w:ascii="Calibri" w:hAnsi="Calibri"/>
          <w:sz w:val="8"/>
          <w:szCs w:val="8"/>
        </w:rPr>
      </w:pPr>
    </w:p>
    <w:p w14:paraId="04014968" w14:textId="77777777" w:rsidR="00787378" w:rsidRDefault="00787378" w:rsidP="00787378">
      <w:pPr>
        <w:spacing w:after="0" w:line="360" w:lineRule="auto"/>
        <w:jc w:val="both"/>
        <w:rPr>
          <w:rFonts w:ascii="Calibri" w:hAnsi="Calibri"/>
        </w:rPr>
      </w:pPr>
    </w:p>
    <w:p w14:paraId="4069BC93" w14:textId="77777777" w:rsidR="00787378" w:rsidRDefault="00787378" w:rsidP="00787378">
      <w:pPr>
        <w:spacing w:after="0" w:line="360" w:lineRule="auto"/>
        <w:jc w:val="both"/>
        <w:rPr>
          <w:rFonts w:ascii="Calibri" w:hAnsi="Calibri"/>
        </w:rPr>
      </w:pPr>
    </w:p>
    <w:p w14:paraId="33742A2C" w14:textId="77777777" w:rsidR="00787378" w:rsidRDefault="00787378" w:rsidP="00787378">
      <w:pPr>
        <w:spacing w:after="0" w:line="360" w:lineRule="auto"/>
        <w:jc w:val="both"/>
        <w:rPr>
          <w:rFonts w:ascii="Calibri" w:hAnsi="Calibri"/>
        </w:rPr>
      </w:pPr>
    </w:p>
    <w:p w14:paraId="0A829A80" w14:textId="77777777" w:rsidR="00787378" w:rsidRDefault="00787378" w:rsidP="00787378">
      <w:pPr>
        <w:spacing w:after="0" w:line="360" w:lineRule="auto"/>
        <w:jc w:val="both"/>
        <w:rPr>
          <w:rFonts w:ascii="Calibri" w:hAnsi="Calibri"/>
        </w:rPr>
      </w:pPr>
      <w:r>
        <w:rPr>
          <w:rFonts w:ascii="Calibri" w:hAnsi="Calibri"/>
          <w:noProof/>
        </w:rPr>
        <w:drawing>
          <wp:anchor distT="0" distB="0" distL="114300" distR="114300" simplePos="0" relativeHeight="252051456" behindDoc="0" locked="0" layoutInCell="1" allowOverlap="1" wp14:anchorId="64646CDB" wp14:editId="7BB0ED50">
            <wp:simplePos x="0" y="0"/>
            <wp:positionH relativeFrom="column">
              <wp:posOffset>2355850</wp:posOffset>
            </wp:positionH>
            <wp:positionV relativeFrom="paragraph">
              <wp:posOffset>278130</wp:posOffset>
            </wp:positionV>
            <wp:extent cx="3768090" cy="2342515"/>
            <wp:effectExtent l="0" t="0" r="3810" b="635"/>
            <wp:wrapSquare wrapText="bothSides"/>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3768090" cy="2342515"/>
                    </a:xfrm>
                    <a:prstGeom prst="rect">
                      <a:avLst/>
                    </a:prstGeom>
                    <a:noFill/>
                  </pic:spPr>
                </pic:pic>
              </a:graphicData>
            </a:graphic>
            <wp14:sizeRelH relativeFrom="page">
              <wp14:pctWidth>0</wp14:pctWidth>
            </wp14:sizeRelH>
            <wp14:sizeRelV relativeFrom="page">
              <wp14:pctHeight>0</wp14:pctHeight>
            </wp14:sizeRelV>
          </wp:anchor>
        </w:drawing>
      </w:r>
      <w:r w:rsidRPr="00A47712">
        <w:rPr>
          <w:rFonts w:ascii="Calibri" w:hAnsi="Calibri"/>
        </w:rPr>
        <w:t xml:space="preserve">The </w:t>
      </w:r>
      <w:r>
        <w:rPr>
          <w:rFonts w:ascii="Calibri" w:hAnsi="Calibri"/>
        </w:rPr>
        <w:t>prevalence of</w:t>
      </w:r>
      <w:r w:rsidRPr="00A47712">
        <w:rPr>
          <w:rFonts w:ascii="Calibri" w:hAnsi="Calibri"/>
        </w:rPr>
        <w:t xml:space="preserve"> illicit drug</w:t>
      </w:r>
      <w:r>
        <w:rPr>
          <w:rFonts w:ascii="Calibri" w:hAnsi="Calibri"/>
        </w:rPr>
        <w:t xml:space="preserve"> use</w:t>
      </w:r>
      <w:r w:rsidRPr="00A47712">
        <w:rPr>
          <w:rFonts w:ascii="Calibri" w:hAnsi="Calibri"/>
        </w:rPr>
        <w:t xml:space="preserve"> was </w:t>
      </w:r>
      <w:r>
        <w:rPr>
          <w:rFonts w:ascii="Calibri" w:hAnsi="Calibri"/>
        </w:rPr>
        <w:t xml:space="preserve">also </w:t>
      </w:r>
      <w:r w:rsidRPr="00A47712">
        <w:rPr>
          <w:rFonts w:ascii="Calibri" w:hAnsi="Calibri"/>
        </w:rPr>
        <w:t xml:space="preserve">slightly higher among </w:t>
      </w:r>
      <w:r>
        <w:rPr>
          <w:rFonts w:ascii="Calibri" w:hAnsi="Calibri"/>
        </w:rPr>
        <w:t>people</w:t>
      </w:r>
      <w:r w:rsidRPr="00A47712">
        <w:rPr>
          <w:rFonts w:ascii="Calibri" w:hAnsi="Calibri"/>
        </w:rPr>
        <w:t xml:space="preserve"> with limited formal education, those who were unemployed and those living in less affluent localities.</w:t>
      </w:r>
      <w:r>
        <w:rPr>
          <w:rFonts w:ascii="Calibri" w:hAnsi="Calibri"/>
        </w:rPr>
        <w:t xml:space="preserve"> The highest</w:t>
      </w:r>
      <w:r w:rsidRPr="00A47712">
        <w:rPr>
          <w:rFonts w:ascii="Calibri" w:hAnsi="Calibri"/>
        </w:rPr>
        <w:t xml:space="preserve"> rates of use of illicit drugs in the previous 12 months though</w:t>
      </w:r>
      <w:r>
        <w:rPr>
          <w:rFonts w:ascii="Calibri" w:hAnsi="Calibri"/>
        </w:rPr>
        <w:t>,</w:t>
      </w:r>
      <w:r w:rsidRPr="00A47712">
        <w:rPr>
          <w:rFonts w:ascii="Calibri" w:hAnsi="Calibri"/>
        </w:rPr>
        <w:t xml:space="preserve"> were recorded among indigenous people</w:t>
      </w:r>
      <w:r>
        <w:rPr>
          <w:rFonts w:ascii="Calibri" w:hAnsi="Calibri"/>
        </w:rPr>
        <w:t xml:space="preserve"> and</w:t>
      </w:r>
      <w:r w:rsidRPr="00A47712">
        <w:rPr>
          <w:rFonts w:ascii="Calibri" w:hAnsi="Calibri"/>
        </w:rPr>
        <w:t xml:space="preserve"> </w:t>
      </w:r>
      <w:r>
        <w:rPr>
          <w:rFonts w:ascii="Calibri" w:hAnsi="Calibri"/>
        </w:rPr>
        <w:t>same-sex attracted persons (diagram, right)</w:t>
      </w:r>
      <w:r w:rsidRPr="00A47712">
        <w:rPr>
          <w:rFonts w:ascii="Calibri" w:hAnsi="Calibri"/>
        </w:rPr>
        <w:t>.</w:t>
      </w:r>
    </w:p>
    <w:p w14:paraId="4F6DE309" w14:textId="77777777" w:rsidR="00787378" w:rsidRPr="003F2584" w:rsidRDefault="00787378" w:rsidP="00787378">
      <w:pPr>
        <w:spacing w:after="0" w:line="360" w:lineRule="auto"/>
        <w:jc w:val="both"/>
        <w:rPr>
          <w:rFonts w:ascii="Calibri" w:hAnsi="Calibri"/>
          <w:sz w:val="8"/>
          <w:szCs w:val="8"/>
        </w:rPr>
      </w:pPr>
    </w:p>
    <w:p w14:paraId="45ABB57F" w14:textId="77777777" w:rsidR="00787378" w:rsidRPr="002D53C6" w:rsidRDefault="00787378" w:rsidP="00787378">
      <w:pPr>
        <w:spacing w:after="0"/>
        <w:jc w:val="both"/>
        <w:rPr>
          <w:rFonts w:ascii="Calibri" w:hAnsi="Calibri"/>
          <w:color w:val="7F7F7F" w:themeColor="text1" w:themeTint="80"/>
          <w:sz w:val="20"/>
          <w:szCs w:val="20"/>
        </w:rPr>
      </w:pPr>
      <w:r w:rsidRPr="002D53C6">
        <w:rPr>
          <w:rFonts w:ascii="Calibri" w:hAnsi="Calibri"/>
          <w:color w:val="7F7F7F" w:themeColor="text1" w:themeTint="80"/>
          <w:sz w:val="20"/>
          <w:szCs w:val="20"/>
        </w:rPr>
        <w:t xml:space="preserve">Prevalence of </w:t>
      </w:r>
      <w:r>
        <w:rPr>
          <w:rFonts w:ascii="Calibri" w:hAnsi="Calibri"/>
          <w:color w:val="7F7F7F" w:themeColor="text1" w:themeTint="80"/>
          <w:sz w:val="20"/>
          <w:szCs w:val="20"/>
        </w:rPr>
        <w:t>the</w:t>
      </w:r>
      <w:r w:rsidRPr="002D53C6">
        <w:rPr>
          <w:rFonts w:ascii="Calibri" w:hAnsi="Calibri"/>
          <w:color w:val="7F7F7F" w:themeColor="text1" w:themeTint="80"/>
          <w:sz w:val="20"/>
          <w:szCs w:val="20"/>
        </w:rPr>
        <w:t xml:space="preserve"> Use of Illicit Drugs</w:t>
      </w:r>
      <w:r>
        <w:rPr>
          <w:rFonts w:ascii="Calibri" w:hAnsi="Calibri"/>
          <w:color w:val="7F7F7F" w:themeColor="text1" w:themeTint="80"/>
          <w:sz w:val="20"/>
          <w:szCs w:val="20"/>
        </w:rPr>
        <w:t xml:space="preserve"> During the Previous Month by Selected Social Characteristics</w:t>
      </w:r>
      <w:r w:rsidRPr="002D53C6">
        <w:rPr>
          <w:rFonts w:ascii="Calibri" w:hAnsi="Calibri"/>
          <w:color w:val="7F7F7F" w:themeColor="text1" w:themeTint="80"/>
          <w:sz w:val="20"/>
          <w:szCs w:val="20"/>
        </w:rPr>
        <w:t>, Australia: 2019</w:t>
      </w:r>
    </w:p>
    <w:p w14:paraId="675EB22F" w14:textId="77777777" w:rsidR="00787378" w:rsidRDefault="00787378" w:rsidP="00787378">
      <w:pPr>
        <w:spacing w:after="0" w:line="360" w:lineRule="auto"/>
        <w:jc w:val="both"/>
        <w:rPr>
          <w:rFonts w:ascii="Calibri" w:hAnsi="Calibri"/>
        </w:rPr>
      </w:pPr>
    </w:p>
    <w:p w14:paraId="36E6A83D" w14:textId="77777777" w:rsidR="00787378" w:rsidRDefault="00787378" w:rsidP="00787378">
      <w:pPr>
        <w:spacing w:after="0" w:line="360" w:lineRule="auto"/>
        <w:jc w:val="both"/>
        <w:rPr>
          <w:rFonts w:ascii="Calibri" w:hAnsi="Calibri"/>
        </w:rPr>
      </w:pPr>
      <w:r>
        <w:rPr>
          <w:rFonts w:ascii="Calibri" w:hAnsi="Calibri"/>
          <w:noProof/>
        </w:rPr>
        <w:lastRenderedPageBreak/>
        <w:drawing>
          <wp:anchor distT="0" distB="0" distL="114300" distR="114300" simplePos="0" relativeHeight="252043264" behindDoc="0" locked="0" layoutInCell="1" allowOverlap="1" wp14:anchorId="4D8D1B82" wp14:editId="39653766">
            <wp:simplePos x="0" y="0"/>
            <wp:positionH relativeFrom="column">
              <wp:posOffset>2341880</wp:posOffset>
            </wp:positionH>
            <wp:positionV relativeFrom="paragraph">
              <wp:posOffset>0</wp:posOffset>
            </wp:positionV>
            <wp:extent cx="3776345" cy="3052445"/>
            <wp:effectExtent l="0" t="0" r="0" b="0"/>
            <wp:wrapSquare wrapText="bothSides"/>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29">
                      <a:extLst>
                        <a:ext uri="{28A0092B-C50C-407E-A947-70E740481C1C}">
                          <a14:useLocalDpi xmlns:a14="http://schemas.microsoft.com/office/drawing/2010/main" val="0"/>
                        </a:ext>
                      </a:extLst>
                    </a:blip>
                    <a:srcRect b="5753"/>
                    <a:stretch/>
                  </pic:blipFill>
                  <pic:spPr bwMode="auto">
                    <a:xfrm>
                      <a:off x="0" y="0"/>
                      <a:ext cx="3776345" cy="3052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rPr>
        <w:t>The illicit drugs most widely used in the previous month were cannabis, cocaine and ecstasy.</w:t>
      </w:r>
    </w:p>
    <w:p w14:paraId="49D10CF8" w14:textId="77777777" w:rsidR="00787378" w:rsidRDefault="00787378" w:rsidP="00787378">
      <w:pPr>
        <w:spacing w:after="0" w:line="360" w:lineRule="auto"/>
        <w:jc w:val="both"/>
        <w:rPr>
          <w:rFonts w:ascii="Calibri" w:hAnsi="Calibri"/>
        </w:rPr>
      </w:pPr>
      <w:r>
        <w:rPr>
          <w:rFonts w:ascii="Calibri" w:hAnsi="Calibri"/>
        </w:rPr>
        <w:t>Pain-relieving drugs and tranquillizers were the most popular pharmaceutical drugs – illustrated in blue in the accompanying chart.</w:t>
      </w:r>
    </w:p>
    <w:p w14:paraId="73EB53A4" w14:textId="77777777" w:rsidR="00787378" w:rsidRPr="002D53C6" w:rsidRDefault="00787378" w:rsidP="00787378">
      <w:pPr>
        <w:spacing w:after="0" w:line="360" w:lineRule="auto"/>
        <w:jc w:val="both"/>
        <w:rPr>
          <w:rFonts w:ascii="Calibri" w:hAnsi="Calibri"/>
          <w:sz w:val="8"/>
          <w:szCs w:val="8"/>
        </w:rPr>
      </w:pPr>
    </w:p>
    <w:p w14:paraId="25F4BAB5" w14:textId="77777777" w:rsidR="00787378" w:rsidRPr="00E3487A" w:rsidRDefault="00787378" w:rsidP="00787378">
      <w:pPr>
        <w:spacing w:after="0" w:line="360" w:lineRule="auto"/>
        <w:jc w:val="both"/>
        <w:rPr>
          <w:rFonts w:ascii="Calibri" w:hAnsi="Calibri"/>
          <w:sz w:val="6"/>
          <w:szCs w:val="6"/>
        </w:rPr>
      </w:pPr>
    </w:p>
    <w:p w14:paraId="38AB7C9C" w14:textId="77777777" w:rsidR="00787378" w:rsidRDefault="00787378" w:rsidP="00787378">
      <w:pPr>
        <w:spacing w:after="0"/>
        <w:jc w:val="both"/>
        <w:rPr>
          <w:rFonts w:ascii="Calibri" w:hAnsi="Calibri"/>
          <w:color w:val="7F7F7F" w:themeColor="text1" w:themeTint="80"/>
          <w:sz w:val="20"/>
          <w:szCs w:val="20"/>
        </w:rPr>
      </w:pPr>
      <w:r w:rsidRPr="002D53C6">
        <w:rPr>
          <w:rFonts w:ascii="Calibri" w:hAnsi="Calibri"/>
          <w:color w:val="7F7F7F" w:themeColor="text1" w:themeTint="80"/>
          <w:sz w:val="20"/>
          <w:szCs w:val="20"/>
        </w:rPr>
        <w:t xml:space="preserve">Prevalence of </w:t>
      </w:r>
      <w:r>
        <w:rPr>
          <w:rFonts w:ascii="Calibri" w:hAnsi="Calibri"/>
          <w:color w:val="7F7F7F" w:themeColor="text1" w:themeTint="80"/>
          <w:sz w:val="20"/>
          <w:szCs w:val="20"/>
        </w:rPr>
        <w:t>the</w:t>
      </w:r>
      <w:r w:rsidRPr="002D53C6">
        <w:rPr>
          <w:rFonts w:ascii="Calibri" w:hAnsi="Calibri"/>
          <w:color w:val="7F7F7F" w:themeColor="text1" w:themeTint="80"/>
          <w:sz w:val="20"/>
          <w:szCs w:val="20"/>
        </w:rPr>
        <w:t xml:space="preserve"> Use of Illicit Drugs</w:t>
      </w:r>
      <w:r>
        <w:rPr>
          <w:rFonts w:ascii="Calibri" w:hAnsi="Calibri"/>
          <w:color w:val="7F7F7F" w:themeColor="text1" w:themeTint="80"/>
          <w:sz w:val="20"/>
          <w:szCs w:val="20"/>
        </w:rPr>
        <w:t xml:space="preserve"> During the Previous Month among Persons aged 14+, by Drug Category</w:t>
      </w:r>
      <w:r w:rsidRPr="002D53C6">
        <w:rPr>
          <w:rFonts w:ascii="Calibri" w:hAnsi="Calibri"/>
          <w:color w:val="7F7F7F" w:themeColor="text1" w:themeTint="80"/>
          <w:sz w:val="20"/>
          <w:szCs w:val="20"/>
        </w:rPr>
        <w:t>, Australia: 2019</w:t>
      </w:r>
    </w:p>
    <w:p w14:paraId="25D831C2" w14:textId="77777777" w:rsidR="00787378" w:rsidRDefault="00787378" w:rsidP="00787378">
      <w:pPr>
        <w:spacing w:after="0" w:line="360" w:lineRule="auto"/>
        <w:jc w:val="both"/>
        <w:rPr>
          <w:rFonts w:ascii="Calibri" w:hAnsi="Calibri"/>
        </w:rPr>
      </w:pPr>
    </w:p>
    <w:p w14:paraId="71F9A515" w14:textId="77777777" w:rsidR="00787378" w:rsidRDefault="00787378" w:rsidP="00787378">
      <w:pPr>
        <w:spacing w:after="0" w:line="360" w:lineRule="auto"/>
        <w:jc w:val="both"/>
        <w:rPr>
          <w:rFonts w:ascii="Calibri" w:hAnsi="Calibri"/>
          <w:i/>
        </w:rPr>
      </w:pPr>
      <w:r>
        <w:rPr>
          <w:rFonts w:ascii="Calibri" w:hAnsi="Calibri"/>
          <w:noProof/>
        </w:rPr>
        <w:drawing>
          <wp:anchor distT="0" distB="0" distL="114300" distR="114300" simplePos="0" relativeHeight="252044288" behindDoc="0" locked="0" layoutInCell="1" allowOverlap="1" wp14:anchorId="7B0B107A" wp14:editId="72842303">
            <wp:simplePos x="0" y="0"/>
            <wp:positionH relativeFrom="column">
              <wp:posOffset>60960</wp:posOffset>
            </wp:positionH>
            <wp:positionV relativeFrom="paragraph">
              <wp:posOffset>325120</wp:posOffset>
            </wp:positionV>
            <wp:extent cx="3423920" cy="2147570"/>
            <wp:effectExtent l="0" t="0" r="5080" b="5080"/>
            <wp:wrapSquare wrapText="bothSides"/>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30">
                      <a:extLst>
                        <a:ext uri="{28A0092B-C50C-407E-A947-70E740481C1C}">
                          <a14:useLocalDpi xmlns:a14="http://schemas.microsoft.com/office/drawing/2010/main" val="0"/>
                        </a:ext>
                      </a:extLst>
                    </a:blip>
                    <a:srcRect t="13378"/>
                    <a:stretch/>
                  </pic:blipFill>
                  <pic:spPr bwMode="auto">
                    <a:xfrm>
                      <a:off x="0" y="0"/>
                      <a:ext cx="3423920" cy="21475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3F0D05" w14:textId="77777777" w:rsidR="00787378" w:rsidRPr="009815FD" w:rsidRDefault="00787378" w:rsidP="00787378">
      <w:pPr>
        <w:spacing w:after="0" w:line="360" w:lineRule="auto"/>
        <w:jc w:val="both"/>
        <w:rPr>
          <w:rFonts w:ascii="Calibri" w:hAnsi="Calibri"/>
          <w:i/>
        </w:rPr>
      </w:pPr>
      <w:r w:rsidRPr="009815FD">
        <w:rPr>
          <w:rFonts w:ascii="Calibri" w:hAnsi="Calibri"/>
          <w:i/>
        </w:rPr>
        <w:t>Cannabis</w:t>
      </w:r>
    </w:p>
    <w:p w14:paraId="3AE32BFE" w14:textId="77777777" w:rsidR="00787378" w:rsidRPr="00A21AF6" w:rsidRDefault="00787378" w:rsidP="00787378">
      <w:pPr>
        <w:spacing w:after="0" w:line="360" w:lineRule="auto"/>
        <w:jc w:val="both"/>
        <w:rPr>
          <w:rFonts w:ascii="Calibri" w:hAnsi="Calibri"/>
        </w:rPr>
      </w:pPr>
      <w:r w:rsidRPr="009815FD">
        <w:rPr>
          <w:rFonts w:ascii="Calibri" w:hAnsi="Calibri"/>
        </w:rPr>
        <w:t>Cannabis, the most popular illicit drug</w:t>
      </w:r>
      <w:r>
        <w:rPr>
          <w:rFonts w:ascii="Calibri" w:hAnsi="Calibri"/>
        </w:rPr>
        <w:t>,</w:t>
      </w:r>
      <w:r w:rsidRPr="009815FD">
        <w:rPr>
          <w:rFonts w:ascii="Calibri" w:hAnsi="Calibri"/>
        </w:rPr>
        <w:t xml:space="preserve"> ha</w:t>
      </w:r>
      <w:r>
        <w:rPr>
          <w:rFonts w:ascii="Calibri" w:hAnsi="Calibri"/>
        </w:rPr>
        <w:t>d</w:t>
      </w:r>
      <w:r w:rsidRPr="009815FD">
        <w:rPr>
          <w:rFonts w:ascii="Calibri" w:hAnsi="Calibri"/>
        </w:rPr>
        <w:t xml:space="preserve"> been used by </w:t>
      </w:r>
      <w:r>
        <w:rPr>
          <w:rFonts w:ascii="Calibri" w:hAnsi="Calibri"/>
        </w:rPr>
        <w:t>over a third (</w:t>
      </w:r>
      <w:r w:rsidRPr="009815FD">
        <w:rPr>
          <w:rFonts w:ascii="Calibri" w:hAnsi="Calibri"/>
        </w:rPr>
        <w:t>3</w:t>
      </w:r>
      <w:r>
        <w:rPr>
          <w:rFonts w:ascii="Calibri" w:hAnsi="Calibri"/>
        </w:rPr>
        <w:t>7</w:t>
      </w:r>
      <w:r w:rsidRPr="009815FD">
        <w:rPr>
          <w:rFonts w:ascii="Calibri" w:hAnsi="Calibri"/>
        </w:rPr>
        <w:t>%</w:t>
      </w:r>
      <w:r>
        <w:rPr>
          <w:rFonts w:ascii="Calibri" w:hAnsi="Calibri"/>
        </w:rPr>
        <w:t>)</w:t>
      </w:r>
      <w:r w:rsidRPr="009815FD">
        <w:rPr>
          <w:rFonts w:ascii="Calibri" w:hAnsi="Calibri"/>
        </w:rPr>
        <w:t xml:space="preserve"> of Australians over 14, and </w:t>
      </w:r>
      <w:r>
        <w:rPr>
          <w:rFonts w:ascii="Calibri" w:hAnsi="Calibri"/>
        </w:rPr>
        <w:t>12%</w:t>
      </w:r>
      <w:r w:rsidRPr="009815FD">
        <w:rPr>
          <w:rFonts w:ascii="Calibri" w:hAnsi="Calibri"/>
        </w:rPr>
        <w:t xml:space="preserve"> in the past month</w:t>
      </w:r>
      <w:r>
        <w:rPr>
          <w:rFonts w:ascii="Calibri" w:hAnsi="Calibri"/>
        </w:rPr>
        <w:t>, according to the findings of the 2019 National Drug Strategy Household Survey</w:t>
      </w:r>
      <w:r w:rsidRPr="009815FD">
        <w:rPr>
          <w:rFonts w:ascii="Calibri" w:hAnsi="Calibri"/>
        </w:rPr>
        <w:t xml:space="preserve">. </w:t>
      </w:r>
    </w:p>
    <w:p w14:paraId="381B8B70" w14:textId="77777777" w:rsidR="00787378" w:rsidRDefault="00787378" w:rsidP="00787378">
      <w:pPr>
        <w:spacing w:after="0"/>
        <w:jc w:val="both"/>
        <w:rPr>
          <w:rFonts w:ascii="Calibri" w:hAnsi="Calibri"/>
        </w:rPr>
      </w:pPr>
      <w:r w:rsidRPr="002D53C6">
        <w:rPr>
          <w:rFonts w:ascii="Calibri" w:hAnsi="Calibri"/>
          <w:color w:val="7F7F7F" w:themeColor="text1" w:themeTint="80"/>
          <w:sz w:val="20"/>
          <w:szCs w:val="20"/>
        </w:rPr>
        <w:t xml:space="preserve">Prevalence of </w:t>
      </w:r>
      <w:r>
        <w:rPr>
          <w:rFonts w:ascii="Calibri" w:hAnsi="Calibri"/>
          <w:color w:val="7F7F7F" w:themeColor="text1" w:themeTint="80"/>
          <w:sz w:val="20"/>
          <w:szCs w:val="20"/>
        </w:rPr>
        <w:t>the</w:t>
      </w:r>
      <w:r w:rsidRPr="002D53C6">
        <w:rPr>
          <w:rFonts w:ascii="Calibri" w:hAnsi="Calibri"/>
          <w:color w:val="7F7F7F" w:themeColor="text1" w:themeTint="80"/>
          <w:sz w:val="20"/>
          <w:szCs w:val="20"/>
        </w:rPr>
        <w:t xml:space="preserve"> Use of </w:t>
      </w:r>
      <w:r>
        <w:rPr>
          <w:rFonts w:ascii="Calibri" w:hAnsi="Calibri"/>
          <w:color w:val="7F7F7F" w:themeColor="text1" w:themeTint="80"/>
          <w:sz w:val="20"/>
          <w:szCs w:val="20"/>
        </w:rPr>
        <w:t xml:space="preserve">Cannabis During the Previous Year, by Sex and Age, </w:t>
      </w:r>
      <w:r w:rsidRPr="002D53C6">
        <w:rPr>
          <w:rFonts w:ascii="Calibri" w:hAnsi="Calibri"/>
          <w:color w:val="7F7F7F" w:themeColor="text1" w:themeTint="80"/>
          <w:sz w:val="20"/>
          <w:szCs w:val="20"/>
        </w:rPr>
        <w:t>Australia: 2019</w:t>
      </w:r>
    </w:p>
    <w:p w14:paraId="13C10B33" w14:textId="77777777" w:rsidR="00787378" w:rsidRPr="003F2584" w:rsidRDefault="00787378" w:rsidP="00787378">
      <w:pPr>
        <w:spacing w:after="0" w:line="360" w:lineRule="auto"/>
        <w:jc w:val="both"/>
        <w:rPr>
          <w:rFonts w:ascii="Calibri" w:hAnsi="Calibri"/>
          <w:sz w:val="8"/>
          <w:szCs w:val="8"/>
        </w:rPr>
      </w:pPr>
    </w:p>
    <w:p w14:paraId="6FD77040" w14:textId="77777777" w:rsidR="00787378" w:rsidRPr="00D907BB" w:rsidRDefault="00787378" w:rsidP="00787378">
      <w:pPr>
        <w:spacing w:after="0" w:line="360" w:lineRule="auto"/>
        <w:jc w:val="both"/>
        <w:rPr>
          <w:rFonts w:ascii="Calibri" w:hAnsi="Calibri"/>
        </w:rPr>
      </w:pPr>
      <w:r w:rsidRPr="009815FD">
        <w:rPr>
          <w:rFonts w:ascii="Calibri" w:hAnsi="Calibri"/>
        </w:rPr>
        <w:t xml:space="preserve">Cannabis is most popular among males and people aged in their 20s. </w:t>
      </w:r>
    </w:p>
    <w:p w14:paraId="36FA4774" w14:textId="77777777" w:rsidR="00787378" w:rsidRDefault="00787378" w:rsidP="00787378">
      <w:pPr>
        <w:spacing w:after="0" w:line="360" w:lineRule="auto"/>
        <w:jc w:val="both"/>
        <w:rPr>
          <w:rFonts w:ascii="Calibri" w:hAnsi="Calibri"/>
          <w:i/>
        </w:rPr>
      </w:pPr>
    </w:p>
    <w:p w14:paraId="3A93FEE3" w14:textId="77777777" w:rsidR="00787378" w:rsidRPr="009815FD" w:rsidRDefault="00787378" w:rsidP="00787378">
      <w:pPr>
        <w:spacing w:after="0" w:line="360" w:lineRule="auto"/>
        <w:jc w:val="both"/>
        <w:rPr>
          <w:rFonts w:ascii="Calibri" w:hAnsi="Calibri"/>
          <w:i/>
        </w:rPr>
      </w:pPr>
      <w:r>
        <w:rPr>
          <w:rFonts w:ascii="Calibri" w:hAnsi="Calibri"/>
          <w:i/>
          <w:noProof/>
        </w:rPr>
        <w:drawing>
          <wp:anchor distT="0" distB="0" distL="114300" distR="114300" simplePos="0" relativeHeight="252046336" behindDoc="0" locked="0" layoutInCell="1" allowOverlap="1" wp14:anchorId="52400C52" wp14:editId="7E2584B8">
            <wp:simplePos x="0" y="0"/>
            <wp:positionH relativeFrom="column">
              <wp:posOffset>2618105</wp:posOffset>
            </wp:positionH>
            <wp:positionV relativeFrom="paragraph">
              <wp:posOffset>146050</wp:posOffset>
            </wp:positionV>
            <wp:extent cx="3537585" cy="2228850"/>
            <wp:effectExtent l="0" t="0" r="5715" b="0"/>
            <wp:wrapSquare wrapText="bothSides"/>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31">
                      <a:extLst>
                        <a:ext uri="{28A0092B-C50C-407E-A947-70E740481C1C}">
                          <a14:useLocalDpi xmlns:a14="http://schemas.microsoft.com/office/drawing/2010/main" val="0"/>
                        </a:ext>
                      </a:extLst>
                    </a:blip>
                    <a:srcRect t="9632"/>
                    <a:stretch/>
                  </pic:blipFill>
                  <pic:spPr bwMode="auto">
                    <a:xfrm>
                      <a:off x="0" y="0"/>
                      <a:ext cx="3537585" cy="2228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815FD">
        <w:rPr>
          <w:rFonts w:ascii="Calibri" w:hAnsi="Calibri"/>
          <w:i/>
        </w:rPr>
        <w:t>Ecstasy</w:t>
      </w:r>
    </w:p>
    <w:p w14:paraId="5AA62AD2" w14:textId="77777777" w:rsidR="00787378" w:rsidRDefault="00787378" w:rsidP="00787378">
      <w:pPr>
        <w:spacing w:after="0" w:line="360" w:lineRule="auto"/>
        <w:jc w:val="both"/>
        <w:rPr>
          <w:rFonts w:ascii="Calibri" w:hAnsi="Calibri"/>
        </w:rPr>
      </w:pPr>
      <w:r>
        <w:rPr>
          <w:rFonts w:ascii="Calibri" w:hAnsi="Calibri"/>
        </w:rPr>
        <w:t>The survey found that e</w:t>
      </w:r>
      <w:r w:rsidRPr="00514FDB">
        <w:rPr>
          <w:rFonts w:ascii="Calibri" w:hAnsi="Calibri"/>
        </w:rPr>
        <w:t>cstasy ha</w:t>
      </w:r>
      <w:r>
        <w:rPr>
          <w:rFonts w:ascii="Calibri" w:hAnsi="Calibri"/>
        </w:rPr>
        <w:t>d</w:t>
      </w:r>
      <w:r w:rsidRPr="00514FDB">
        <w:rPr>
          <w:rFonts w:ascii="Calibri" w:hAnsi="Calibri"/>
        </w:rPr>
        <w:t xml:space="preserve"> been use</w:t>
      </w:r>
      <w:r>
        <w:rPr>
          <w:rFonts w:ascii="Calibri" w:hAnsi="Calibri"/>
        </w:rPr>
        <w:t>d</w:t>
      </w:r>
      <w:r w:rsidRPr="00514FDB">
        <w:rPr>
          <w:rFonts w:ascii="Calibri" w:hAnsi="Calibri"/>
        </w:rPr>
        <w:t xml:space="preserve"> by </w:t>
      </w:r>
      <w:r>
        <w:rPr>
          <w:rFonts w:ascii="Calibri" w:hAnsi="Calibri"/>
        </w:rPr>
        <w:t xml:space="preserve">approximately </w:t>
      </w:r>
      <w:r w:rsidRPr="00514FDB">
        <w:rPr>
          <w:rFonts w:ascii="Calibri" w:hAnsi="Calibri"/>
        </w:rPr>
        <w:t>1</w:t>
      </w:r>
      <w:r>
        <w:rPr>
          <w:rFonts w:ascii="Calibri" w:hAnsi="Calibri"/>
        </w:rPr>
        <w:t>3</w:t>
      </w:r>
      <w:r w:rsidRPr="00514FDB">
        <w:rPr>
          <w:rFonts w:ascii="Calibri" w:hAnsi="Calibri"/>
        </w:rPr>
        <w:t>%</w:t>
      </w:r>
      <w:r>
        <w:rPr>
          <w:rFonts w:ascii="Calibri" w:hAnsi="Calibri"/>
        </w:rPr>
        <w:t xml:space="preserve"> of Australians aged 14 years or more</w:t>
      </w:r>
      <w:r w:rsidRPr="00514FDB">
        <w:rPr>
          <w:rFonts w:ascii="Calibri" w:hAnsi="Calibri"/>
        </w:rPr>
        <w:t xml:space="preserve"> </w:t>
      </w:r>
      <w:r>
        <w:rPr>
          <w:rFonts w:ascii="Calibri" w:hAnsi="Calibri"/>
        </w:rPr>
        <w:t xml:space="preserve">at some time in their lives, </w:t>
      </w:r>
      <w:r w:rsidRPr="00514FDB">
        <w:rPr>
          <w:rFonts w:ascii="Calibri" w:hAnsi="Calibri"/>
        </w:rPr>
        <w:t xml:space="preserve">and in the past month by </w:t>
      </w:r>
      <w:r>
        <w:rPr>
          <w:rFonts w:ascii="Calibri" w:hAnsi="Calibri"/>
        </w:rPr>
        <w:t>4.2%</w:t>
      </w:r>
      <w:r w:rsidRPr="00514FDB">
        <w:rPr>
          <w:rFonts w:ascii="Calibri" w:hAnsi="Calibri"/>
        </w:rPr>
        <w:t xml:space="preserve">. </w:t>
      </w:r>
      <w:r>
        <w:rPr>
          <w:rFonts w:ascii="Calibri" w:hAnsi="Calibri"/>
        </w:rPr>
        <w:t>Its use was most widespread among males and younger adults.</w:t>
      </w:r>
    </w:p>
    <w:p w14:paraId="33C5AAC2" w14:textId="77777777" w:rsidR="00787378" w:rsidRDefault="00787378" w:rsidP="00787378">
      <w:pPr>
        <w:spacing w:after="0"/>
        <w:jc w:val="both"/>
        <w:rPr>
          <w:rFonts w:ascii="Calibri" w:hAnsi="Calibri"/>
        </w:rPr>
      </w:pPr>
      <w:r w:rsidRPr="002D53C6">
        <w:rPr>
          <w:rFonts w:ascii="Calibri" w:hAnsi="Calibri"/>
          <w:color w:val="7F7F7F" w:themeColor="text1" w:themeTint="80"/>
          <w:sz w:val="20"/>
          <w:szCs w:val="20"/>
        </w:rPr>
        <w:t xml:space="preserve">Prevalence of </w:t>
      </w:r>
      <w:r>
        <w:rPr>
          <w:rFonts w:ascii="Calibri" w:hAnsi="Calibri"/>
          <w:color w:val="7F7F7F" w:themeColor="text1" w:themeTint="80"/>
          <w:sz w:val="20"/>
          <w:szCs w:val="20"/>
        </w:rPr>
        <w:t>the</w:t>
      </w:r>
      <w:r w:rsidRPr="002D53C6">
        <w:rPr>
          <w:rFonts w:ascii="Calibri" w:hAnsi="Calibri"/>
          <w:color w:val="7F7F7F" w:themeColor="text1" w:themeTint="80"/>
          <w:sz w:val="20"/>
          <w:szCs w:val="20"/>
        </w:rPr>
        <w:t xml:space="preserve"> Use of </w:t>
      </w:r>
      <w:r>
        <w:rPr>
          <w:rFonts w:ascii="Calibri" w:hAnsi="Calibri"/>
          <w:color w:val="7F7F7F" w:themeColor="text1" w:themeTint="80"/>
          <w:sz w:val="20"/>
          <w:szCs w:val="20"/>
        </w:rPr>
        <w:t xml:space="preserve">Ecstasy During the Previous Year, by Sex and Age, </w:t>
      </w:r>
      <w:r w:rsidRPr="002D53C6">
        <w:rPr>
          <w:rFonts w:ascii="Calibri" w:hAnsi="Calibri"/>
          <w:color w:val="7F7F7F" w:themeColor="text1" w:themeTint="80"/>
          <w:sz w:val="20"/>
          <w:szCs w:val="20"/>
        </w:rPr>
        <w:t>Australia: 2019</w:t>
      </w:r>
    </w:p>
    <w:p w14:paraId="4134A09B" w14:textId="77777777" w:rsidR="00787378" w:rsidRDefault="00787378" w:rsidP="00787378">
      <w:pPr>
        <w:spacing w:after="0" w:line="360" w:lineRule="auto"/>
        <w:jc w:val="both"/>
        <w:rPr>
          <w:rFonts w:ascii="Calibri" w:hAnsi="Calibri"/>
          <w:sz w:val="10"/>
          <w:szCs w:val="10"/>
        </w:rPr>
      </w:pPr>
    </w:p>
    <w:p w14:paraId="1B0222C4" w14:textId="77777777" w:rsidR="00787378" w:rsidRDefault="00787378" w:rsidP="00787378">
      <w:pPr>
        <w:spacing w:after="0" w:line="360" w:lineRule="auto"/>
        <w:jc w:val="both"/>
        <w:rPr>
          <w:rFonts w:ascii="Calibri" w:hAnsi="Calibri"/>
        </w:rPr>
      </w:pPr>
      <w:r>
        <w:rPr>
          <w:rFonts w:ascii="Calibri" w:hAnsi="Calibri"/>
        </w:rPr>
        <w:t>A further report concluded that users of ecstasy were largely under 25 years, most consuming the drug at nightclubs and music events, adding that 40% using ecstasy for two or more days without sleep, on occasion</w:t>
      </w:r>
      <w:r>
        <w:rPr>
          <w:rStyle w:val="FootnoteReference"/>
          <w:rFonts w:ascii="Calibri" w:hAnsi="Calibri"/>
        </w:rPr>
        <w:footnoteReference w:id="52"/>
      </w:r>
      <w:r>
        <w:rPr>
          <w:rFonts w:ascii="Calibri" w:hAnsi="Calibri"/>
        </w:rPr>
        <w:t>.</w:t>
      </w:r>
    </w:p>
    <w:p w14:paraId="3BFC857B" w14:textId="77777777" w:rsidR="00787378" w:rsidRPr="009815FD" w:rsidRDefault="00787378" w:rsidP="00787378">
      <w:pPr>
        <w:spacing w:after="0" w:line="360" w:lineRule="auto"/>
        <w:ind w:left="4820"/>
        <w:rPr>
          <w:rFonts w:ascii="Calibri" w:hAnsi="Calibri"/>
          <w:i/>
        </w:rPr>
      </w:pPr>
      <w:r>
        <w:rPr>
          <w:rFonts w:ascii="Calibri" w:hAnsi="Calibri"/>
          <w:noProof/>
        </w:rPr>
        <w:lastRenderedPageBreak/>
        <w:drawing>
          <wp:anchor distT="0" distB="0" distL="114300" distR="114300" simplePos="0" relativeHeight="252045312" behindDoc="0" locked="0" layoutInCell="1" allowOverlap="1" wp14:anchorId="00618C5F" wp14:editId="3952C000">
            <wp:simplePos x="0" y="0"/>
            <wp:positionH relativeFrom="column">
              <wp:posOffset>2540</wp:posOffset>
            </wp:positionH>
            <wp:positionV relativeFrom="paragraph">
              <wp:posOffset>66675</wp:posOffset>
            </wp:positionV>
            <wp:extent cx="3005455" cy="2012950"/>
            <wp:effectExtent l="0" t="0" r="4445" b="6350"/>
            <wp:wrapSquare wrapText="bothSides"/>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32">
                      <a:extLst>
                        <a:ext uri="{28A0092B-C50C-407E-A947-70E740481C1C}">
                          <a14:useLocalDpi xmlns:a14="http://schemas.microsoft.com/office/drawing/2010/main" val="0"/>
                        </a:ext>
                      </a:extLst>
                    </a:blip>
                    <a:srcRect t="7345"/>
                    <a:stretch/>
                  </pic:blipFill>
                  <pic:spPr bwMode="auto">
                    <a:xfrm>
                      <a:off x="0" y="0"/>
                      <a:ext cx="3005455" cy="2012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i/>
        </w:rPr>
        <w:t>Cocaine</w:t>
      </w:r>
    </w:p>
    <w:p w14:paraId="61999613" w14:textId="77777777" w:rsidR="00787378" w:rsidRDefault="00787378" w:rsidP="00787378">
      <w:pPr>
        <w:spacing w:after="0" w:line="360" w:lineRule="auto"/>
        <w:jc w:val="both"/>
        <w:rPr>
          <w:rFonts w:ascii="Calibri" w:hAnsi="Calibri"/>
        </w:rPr>
      </w:pPr>
      <w:r w:rsidRPr="009815FD">
        <w:rPr>
          <w:rFonts w:ascii="Calibri" w:hAnsi="Calibri"/>
        </w:rPr>
        <w:t>The 201</w:t>
      </w:r>
      <w:r>
        <w:rPr>
          <w:rFonts w:ascii="Calibri" w:hAnsi="Calibri"/>
        </w:rPr>
        <w:t>9</w:t>
      </w:r>
      <w:r w:rsidRPr="009815FD">
        <w:rPr>
          <w:rFonts w:ascii="Calibri" w:hAnsi="Calibri"/>
        </w:rPr>
        <w:t xml:space="preserve"> National Drug Strategy Household Survey</w:t>
      </w:r>
      <w:r>
        <w:rPr>
          <w:rFonts w:ascii="Calibri" w:hAnsi="Calibri"/>
        </w:rPr>
        <w:t xml:space="preserve"> determined that 11% of Australians aged 14 or more had ever used cocaine, and 4.5% in the previous month. As with ecstasy, its use is most common among males and young adults.</w:t>
      </w:r>
    </w:p>
    <w:p w14:paraId="5C1F414D" w14:textId="77777777" w:rsidR="00787378" w:rsidRPr="003345F5" w:rsidRDefault="00787378" w:rsidP="00787378">
      <w:pPr>
        <w:spacing w:after="0" w:line="360" w:lineRule="auto"/>
        <w:jc w:val="both"/>
        <w:rPr>
          <w:rFonts w:ascii="Calibri" w:hAnsi="Calibri"/>
          <w:sz w:val="8"/>
          <w:szCs w:val="8"/>
        </w:rPr>
      </w:pPr>
    </w:p>
    <w:p w14:paraId="3618FE1D" w14:textId="77777777" w:rsidR="00787378" w:rsidRDefault="00787378" w:rsidP="00787378">
      <w:pPr>
        <w:spacing w:after="0"/>
        <w:jc w:val="both"/>
        <w:rPr>
          <w:rFonts w:ascii="Calibri" w:hAnsi="Calibri"/>
        </w:rPr>
      </w:pPr>
      <w:r w:rsidRPr="002D53C6">
        <w:rPr>
          <w:rFonts w:ascii="Calibri" w:hAnsi="Calibri"/>
          <w:color w:val="7F7F7F" w:themeColor="text1" w:themeTint="80"/>
          <w:sz w:val="20"/>
          <w:szCs w:val="20"/>
        </w:rPr>
        <w:t xml:space="preserve">Prevalence of </w:t>
      </w:r>
      <w:r>
        <w:rPr>
          <w:rFonts w:ascii="Calibri" w:hAnsi="Calibri"/>
          <w:color w:val="7F7F7F" w:themeColor="text1" w:themeTint="80"/>
          <w:sz w:val="20"/>
          <w:szCs w:val="20"/>
        </w:rPr>
        <w:t>the</w:t>
      </w:r>
      <w:r w:rsidRPr="002D53C6">
        <w:rPr>
          <w:rFonts w:ascii="Calibri" w:hAnsi="Calibri"/>
          <w:color w:val="7F7F7F" w:themeColor="text1" w:themeTint="80"/>
          <w:sz w:val="20"/>
          <w:szCs w:val="20"/>
        </w:rPr>
        <w:t xml:space="preserve"> Use of </w:t>
      </w:r>
      <w:r>
        <w:rPr>
          <w:rFonts w:ascii="Calibri" w:hAnsi="Calibri"/>
          <w:color w:val="7F7F7F" w:themeColor="text1" w:themeTint="80"/>
          <w:sz w:val="20"/>
          <w:szCs w:val="20"/>
        </w:rPr>
        <w:t xml:space="preserve">Cocaine During the Previous Year, by Sex and Age, </w:t>
      </w:r>
      <w:r w:rsidRPr="002D53C6">
        <w:rPr>
          <w:rFonts w:ascii="Calibri" w:hAnsi="Calibri"/>
          <w:color w:val="7F7F7F" w:themeColor="text1" w:themeTint="80"/>
          <w:sz w:val="20"/>
          <w:szCs w:val="20"/>
        </w:rPr>
        <w:t>Australia: 2019</w:t>
      </w:r>
    </w:p>
    <w:p w14:paraId="77D981E3" w14:textId="77777777" w:rsidR="00787378" w:rsidRDefault="00787378" w:rsidP="00787378">
      <w:pPr>
        <w:spacing w:after="0"/>
        <w:jc w:val="both"/>
        <w:rPr>
          <w:rFonts w:ascii="Calibri" w:hAnsi="Calibri"/>
          <w:i/>
        </w:rPr>
      </w:pPr>
    </w:p>
    <w:p w14:paraId="6E58DC1F" w14:textId="77777777" w:rsidR="00787378" w:rsidRPr="009815FD" w:rsidRDefault="00787378" w:rsidP="00787378">
      <w:pPr>
        <w:spacing w:after="0" w:line="360" w:lineRule="auto"/>
        <w:jc w:val="both"/>
        <w:rPr>
          <w:rFonts w:ascii="Calibri" w:hAnsi="Calibri"/>
          <w:i/>
        </w:rPr>
      </w:pPr>
      <w:r w:rsidRPr="009815FD">
        <w:rPr>
          <w:rFonts w:ascii="Calibri" w:hAnsi="Calibri"/>
          <w:i/>
        </w:rPr>
        <w:t>Amphetamines - including ‘Ice’</w:t>
      </w:r>
    </w:p>
    <w:p w14:paraId="62017870" w14:textId="77777777" w:rsidR="00787378" w:rsidRPr="00A21AF6" w:rsidRDefault="00787378" w:rsidP="00787378">
      <w:pPr>
        <w:spacing w:after="0" w:line="360" w:lineRule="auto"/>
        <w:jc w:val="both"/>
      </w:pPr>
      <w:r>
        <w:rPr>
          <w:rFonts w:ascii="Calibri" w:hAnsi="Calibri"/>
          <w:noProof/>
          <w:lang w:eastAsia="en-AU"/>
        </w:rPr>
        <w:drawing>
          <wp:anchor distT="0" distB="0" distL="114300" distR="114300" simplePos="0" relativeHeight="252049408" behindDoc="0" locked="0" layoutInCell="1" allowOverlap="1" wp14:anchorId="369C8F47" wp14:editId="2F315F66">
            <wp:simplePos x="0" y="0"/>
            <wp:positionH relativeFrom="column">
              <wp:posOffset>3934129</wp:posOffset>
            </wp:positionH>
            <wp:positionV relativeFrom="paragraph">
              <wp:posOffset>1709273</wp:posOffset>
            </wp:positionV>
            <wp:extent cx="1209529" cy="562979"/>
            <wp:effectExtent l="0" t="0" r="0" b="8890"/>
            <wp:wrapNone/>
            <wp:docPr id="369" name="Picture 83" descr="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Pills"/>
                    <pic:cNvPicPr>
                      <a:picLocks noChangeAspect="1" noChangeArrowheads="1"/>
                    </pic:cNvPicPr>
                  </pic:nvPicPr>
                  <pic:blipFill>
                    <a:blip r:embed="rId333" cstate="print"/>
                    <a:srcRect/>
                    <a:stretch>
                      <a:fillRect/>
                    </a:stretch>
                  </pic:blipFill>
                  <pic:spPr bwMode="auto">
                    <a:xfrm>
                      <a:off x="0" y="0"/>
                      <a:ext cx="1209529" cy="562979"/>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9815FD">
        <w:rPr>
          <w:rFonts w:ascii="Calibri" w:hAnsi="Calibri"/>
        </w:rPr>
        <w:t>The Survey</w:t>
      </w:r>
      <w:r>
        <w:rPr>
          <w:rFonts w:ascii="Calibri" w:hAnsi="Calibri"/>
        </w:rPr>
        <w:t xml:space="preserve"> found that </w:t>
      </w:r>
      <w:r>
        <w:t>5.8</w:t>
      </w:r>
      <w:r w:rsidRPr="007656D7">
        <w:t xml:space="preserve">% </w:t>
      </w:r>
      <w:r>
        <w:t xml:space="preserve">of </w:t>
      </w:r>
      <w:r w:rsidRPr="007656D7">
        <w:t>Australians had used methamphetamines</w:t>
      </w:r>
      <w:r>
        <w:t xml:space="preserve"> at any time in their lives, and 1.4% in the past 12 months, chiefly by young adults and males. Other inquiries have determined that people who are</w:t>
      </w:r>
      <w:r w:rsidRPr="007656D7">
        <w:t xml:space="preserve"> </w:t>
      </w:r>
      <w:r>
        <w:t>un</w:t>
      </w:r>
      <w:r w:rsidRPr="007656D7">
        <w:t>employed</w:t>
      </w:r>
      <w:r>
        <w:t>, less educated</w:t>
      </w:r>
      <w:r w:rsidRPr="007656D7">
        <w:t xml:space="preserve"> </w:t>
      </w:r>
      <w:r>
        <w:t>and affected by</w:t>
      </w:r>
      <w:r w:rsidRPr="007656D7">
        <w:t xml:space="preserve"> mental illness</w:t>
      </w:r>
      <w:r>
        <w:t xml:space="preserve"> are most highly represented among its users</w:t>
      </w:r>
      <w:r>
        <w:rPr>
          <w:rStyle w:val="FootnoteReference"/>
        </w:rPr>
        <w:footnoteReference w:id="53"/>
      </w:r>
      <w:r w:rsidRPr="007656D7">
        <w:t xml:space="preserve">. </w:t>
      </w:r>
      <w:r>
        <w:t>A 2014</w:t>
      </w:r>
      <w:r w:rsidRPr="007656D7">
        <w:rPr>
          <w:color w:val="211D1E"/>
        </w:rPr>
        <w:t xml:space="preserve"> Victorian Parliamentary</w:t>
      </w:r>
      <w:r w:rsidRPr="007656D7">
        <w:rPr>
          <w:i/>
          <w:color w:val="211D1E"/>
        </w:rPr>
        <w:t xml:space="preserve"> </w:t>
      </w:r>
      <w:r>
        <w:rPr>
          <w:color w:val="211D1E"/>
        </w:rPr>
        <w:t>i</w:t>
      </w:r>
      <w:r w:rsidRPr="007656D7">
        <w:rPr>
          <w:color w:val="211D1E"/>
        </w:rPr>
        <w:t>nquiry</w:t>
      </w:r>
      <w:r>
        <w:rPr>
          <w:color w:val="211D1E"/>
        </w:rPr>
        <w:t xml:space="preserve"> received evidence</w:t>
      </w:r>
      <w:r w:rsidRPr="007656D7">
        <w:rPr>
          <w:color w:val="211D1E"/>
        </w:rPr>
        <w:t xml:space="preserve"> that, while ice seldom causes abrupt fatality, its use </w:t>
      </w:r>
      <w:r>
        <w:rPr>
          <w:color w:val="211D1E"/>
        </w:rPr>
        <w:t>contributes to</w:t>
      </w:r>
      <w:r w:rsidRPr="007656D7">
        <w:rPr>
          <w:color w:val="211D1E"/>
        </w:rPr>
        <w:t xml:space="preserve"> neurological and other health problems, aggression and violence, depression, crime, unemployment, and deterioration in family and social relationships.</w:t>
      </w:r>
      <w:r>
        <w:rPr>
          <w:color w:val="211D1E"/>
        </w:rPr>
        <w:t>’</w:t>
      </w:r>
      <w:r>
        <w:rPr>
          <w:rStyle w:val="FootnoteReference"/>
          <w:color w:val="211D1E"/>
        </w:rPr>
        <w:footnoteReference w:id="54"/>
      </w:r>
    </w:p>
    <w:p w14:paraId="6D763F2B" w14:textId="77777777" w:rsidR="00787378" w:rsidRPr="00D907BB" w:rsidRDefault="00787378" w:rsidP="00787378">
      <w:pPr>
        <w:spacing w:after="0"/>
        <w:jc w:val="both"/>
        <w:rPr>
          <w:rFonts w:ascii="Calibri" w:hAnsi="Calibri"/>
          <w:bCs/>
          <w:i/>
          <w:iCs/>
        </w:rPr>
      </w:pPr>
      <w:r w:rsidRPr="00D907BB">
        <w:rPr>
          <w:rFonts w:ascii="Calibri" w:hAnsi="Calibri"/>
          <w:bCs/>
          <w:i/>
          <w:iCs/>
          <w:noProof/>
        </w:rPr>
        <w:drawing>
          <wp:anchor distT="0" distB="0" distL="114300" distR="114300" simplePos="0" relativeHeight="252047360" behindDoc="0" locked="0" layoutInCell="1" allowOverlap="1" wp14:anchorId="1425A645" wp14:editId="03687338">
            <wp:simplePos x="0" y="0"/>
            <wp:positionH relativeFrom="column">
              <wp:posOffset>2903855</wp:posOffset>
            </wp:positionH>
            <wp:positionV relativeFrom="paragraph">
              <wp:posOffset>635</wp:posOffset>
            </wp:positionV>
            <wp:extent cx="3202940" cy="2339340"/>
            <wp:effectExtent l="0" t="0" r="0" b="3810"/>
            <wp:wrapSquare wrapText="bothSides"/>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3202940" cy="2339340"/>
                    </a:xfrm>
                    <a:prstGeom prst="rect">
                      <a:avLst/>
                    </a:prstGeom>
                    <a:noFill/>
                  </pic:spPr>
                </pic:pic>
              </a:graphicData>
            </a:graphic>
            <wp14:sizeRelH relativeFrom="page">
              <wp14:pctWidth>0</wp14:pctWidth>
            </wp14:sizeRelH>
            <wp14:sizeRelV relativeFrom="page">
              <wp14:pctHeight>0</wp14:pctHeight>
            </wp14:sizeRelV>
          </wp:anchor>
        </w:drawing>
      </w:r>
      <w:r w:rsidRPr="00D907BB">
        <w:rPr>
          <w:rFonts w:ascii="Calibri" w:hAnsi="Calibri"/>
          <w:bCs/>
          <w:i/>
          <w:iCs/>
        </w:rPr>
        <w:t>Pharmaceuticals</w:t>
      </w:r>
    </w:p>
    <w:p w14:paraId="6C6256B2" w14:textId="77777777" w:rsidR="00787378" w:rsidRDefault="00787378" w:rsidP="00787378">
      <w:pPr>
        <w:spacing w:after="0" w:line="360" w:lineRule="auto"/>
        <w:jc w:val="both"/>
        <w:rPr>
          <w:rFonts w:ascii="Calibri" w:hAnsi="Calibri"/>
        </w:rPr>
      </w:pPr>
      <w:r w:rsidRPr="009815FD">
        <w:rPr>
          <w:rFonts w:ascii="Calibri" w:hAnsi="Calibri"/>
        </w:rPr>
        <w:t xml:space="preserve">The </w:t>
      </w:r>
      <w:r>
        <w:rPr>
          <w:rFonts w:ascii="Calibri" w:hAnsi="Calibri"/>
          <w:bCs/>
        </w:rPr>
        <w:t>2019 National Drug Strategy Household Survey</w:t>
      </w:r>
      <w:r>
        <w:rPr>
          <w:rFonts w:ascii="Calibri" w:hAnsi="Calibri"/>
        </w:rPr>
        <w:t xml:space="preserve"> established</w:t>
      </w:r>
      <w:r w:rsidRPr="009815FD">
        <w:rPr>
          <w:rFonts w:ascii="Calibri" w:hAnsi="Calibri"/>
        </w:rPr>
        <w:t xml:space="preserve"> that </w:t>
      </w:r>
      <w:r>
        <w:rPr>
          <w:rFonts w:ascii="Calibri" w:hAnsi="Calibri"/>
        </w:rPr>
        <w:t xml:space="preserve">during </w:t>
      </w:r>
      <w:r w:rsidRPr="002D41B1">
        <w:rPr>
          <w:rFonts w:ascii="Calibri" w:hAnsi="Calibri"/>
        </w:rPr>
        <w:t xml:space="preserve">the </w:t>
      </w:r>
      <w:r>
        <w:rPr>
          <w:rFonts w:ascii="Calibri" w:hAnsi="Calibri"/>
        </w:rPr>
        <w:t>previous</w:t>
      </w:r>
      <w:r w:rsidRPr="002D41B1">
        <w:rPr>
          <w:rFonts w:ascii="Calibri" w:hAnsi="Calibri"/>
        </w:rPr>
        <w:t xml:space="preserve"> year, </w:t>
      </w:r>
      <w:r>
        <w:rPr>
          <w:rFonts w:ascii="Calibri" w:hAnsi="Calibri"/>
        </w:rPr>
        <w:t>4.2%</w:t>
      </w:r>
      <w:r w:rsidRPr="002D41B1">
        <w:rPr>
          <w:rFonts w:ascii="Calibri" w:hAnsi="Calibri"/>
        </w:rPr>
        <w:t xml:space="preserve"> of Australians aged 14 years or more had misused pharmaceuticals</w:t>
      </w:r>
      <w:r>
        <w:rPr>
          <w:rFonts w:ascii="Calibri" w:hAnsi="Calibri"/>
        </w:rPr>
        <w:t>: among them, 4.7% of males and 3.7% of females.</w:t>
      </w:r>
    </w:p>
    <w:p w14:paraId="13A4D118" w14:textId="77777777" w:rsidR="00787378" w:rsidRPr="00EE796D" w:rsidRDefault="00787378" w:rsidP="00787378">
      <w:pPr>
        <w:spacing w:after="0"/>
        <w:jc w:val="both"/>
        <w:rPr>
          <w:rFonts w:ascii="Calibri" w:hAnsi="Calibri"/>
          <w:sz w:val="8"/>
          <w:szCs w:val="8"/>
        </w:rPr>
      </w:pPr>
    </w:p>
    <w:p w14:paraId="34F644E2" w14:textId="77777777" w:rsidR="00787378" w:rsidRDefault="00787378" w:rsidP="00787378">
      <w:pPr>
        <w:spacing w:after="0"/>
        <w:jc w:val="both"/>
        <w:rPr>
          <w:rFonts w:ascii="Calibri" w:hAnsi="Calibri"/>
        </w:rPr>
      </w:pPr>
      <w:r w:rsidRPr="002D53C6">
        <w:rPr>
          <w:rFonts w:ascii="Calibri" w:hAnsi="Calibri"/>
          <w:color w:val="7F7F7F" w:themeColor="text1" w:themeTint="80"/>
          <w:sz w:val="20"/>
          <w:szCs w:val="20"/>
        </w:rPr>
        <w:t xml:space="preserve">Prevalence of </w:t>
      </w:r>
      <w:r>
        <w:rPr>
          <w:rFonts w:ascii="Calibri" w:hAnsi="Calibri"/>
          <w:color w:val="7F7F7F" w:themeColor="text1" w:themeTint="80"/>
          <w:sz w:val="20"/>
          <w:szCs w:val="20"/>
        </w:rPr>
        <w:t>the</w:t>
      </w:r>
      <w:r w:rsidRPr="002D53C6">
        <w:rPr>
          <w:rFonts w:ascii="Calibri" w:hAnsi="Calibri"/>
          <w:color w:val="7F7F7F" w:themeColor="text1" w:themeTint="80"/>
          <w:sz w:val="20"/>
          <w:szCs w:val="20"/>
        </w:rPr>
        <w:t xml:space="preserve"> </w:t>
      </w:r>
      <w:r>
        <w:rPr>
          <w:rFonts w:ascii="Calibri" w:hAnsi="Calibri"/>
          <w:color w:val="7F7F7F" w:themeColor="text1" w:themeTint="80"/>
          <w:sz w:val="20"/>
          <w:szCs w:val="20"/>
        </w:rPr>
        <w:t>Misuse</w:t>
      </w:r>
      <w:r w:rsidRPr="002D53C6">
        <w:rPr>
          <w:rFonts w:ascii="Calibri" w:hAnsi="Calibri"/>
          <w:color w:val="7F7F7F" w:themeColor="text1" w:themeTint="80"/>
          <w:sz w:val="20"/>
          <w:szCs w:val="20"/>
        </w:rPr>
        <w:t xml:space="preserve"> of </w:t>
      </w:r>
      <w:r>
        <w:rPr>
          <w:rFonts w:ascii="Calibri" w:hAnsi="Calibri"/>
          <w:color w:val="7F7F7F" w:themeColor="text1" w:themeTint="80"/>
          <w:sz w:val="20"/>
          <w:szCs w:val="20"/>
        </w:rPr>
        <w:t xml:space="preserve">Pharmaceuticals During the Previous Year, by Sex and Age, </w:t>
      </w:r>
      <w:r w:rsidRPr="002D53C6">
        <w:rPr>
          <w:rFonts w:ascii="Calibri" w:hAnsi="Calibri"/>
          <w:color w:val="7F7F7F" w:themeColor="text1" w:themeTint="80"/>
          <w:sz w:val="20"/>
          <w:szCs w:val="20"/>
        </w:rPr>
        <w:t>Australia: 2019</w:t>
      </w:r>
    </w:p>
    <w:p w14:paraId="66BD70A9" w14:textId="77777777" w:rsidR="00787378" w:rsidRDefault="00787378" w:rsidP="00787378">
      <w:pPr>
        <w:spacing w:after="0" w:line="360" w:lineRule="auto"/>
        <w:jc w:val="both"/>
        <w:rPr>
          <w:rFonts w:ascii="Calibri" w:hAnsi="Calibri"/>
        </w:rPr>
      </w:pPr>
      <w:r>
        <w:rPr>
          <w:rFonts w:ascii="Calibri" w:hAnsi="Calibri"/>
          <w:b/>
          <w:noProof/>
        </w:rPr>
        <w:drawing>
          <wp:anchor distT="0" distB="0" distL="114300" distR="114300" simplePos="0" relativeHeight="252048384" behindDoc="0" locked="0" layoutInCell="1" allowOverlap="1" wp14:anchorId="5918F020" wp14:editId="2CC0F217">
            <wp:simplePos x="0" y="0"/>
            <wp:positionH relativeFrom="column">
              <wp:posOffset>93980</wp:posOffset>
            </wp:positionH>
            <wp:positionV relativeFrom="paragraph">
              <wp:posOffset>396875</wp:posOffset>
            </wp:positionV>
            <wp:extent cx="3607435" cy="2290445"/>
            <wp:effectExtent l="0" t="0" r="0" b="0"/>
            <wp:wrapSquare wrapText="bothSides"/>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3607435" cy="2290445"/>
                    </a:xfrm>
                    <a:prstGeom prst="rect">
                      <a:avLst/>
                    </a:prstGeom>
                    <a:noFill/>
                  </pic:spPr>
                </pic:pic>
              </a:graphicData>
            </a:graphic>
            <wp14:sizeRelH relativeFrom="page">
              <wp14:pctWidth>0</wp14:pctWidth>
            </wp14:sizeRelH>
            <wp14:sizeRelV relativeFrom="page">
              <wp14:pctHeight>0</wp14:pctHeight>
            </wp14:sizeRelV>
          </wp:anchor>
        </w:drawing>
      </w:r>
    </w:p>
    <w:p w14:paraId="0C97E614" w14:textId="77777777" w:rsidR="00787378" w:rsidRDefault="00787378" w:rsidP="00787378">
      <w:pPr>
        <w:spacing w:after="0" w:line="360" w:lineRule="auto"/>
        <w:jc w:val="both"/>
        <w:rPr>
          <w:rFonts w:ascii="Calibri" w:hAnsi="Calibri"/>
        </w:rPr>
      </w:pPr>
    </w:p>
    <w:p w14:paraId="3A624935" w14:textId="77777777" w:rsidR="00787378" w:rsidRDefault="00787378" w:rsidP="00787378">
      <w:pPr>
        <w:spacing w:after="0" w:line="360" w:lineRule="auto"/>
        <w:jc w:val="both"/>
        <w:rPr>
          <w:rFonts w:ascii="Calibri" w:hAnsi="Calibri"/>
        </w:rPr>
      </w:pPr>
    </w:p>
    <w:p w14:paraId="679F5C14" w14:textId="77777777" w:rsidR="00787378" w:rsidRPr="002D41B1" w:rsidRDefault="00787378" w:rsidP="00787378">
      <w:pPr>
        <w:spacing w:after="0" w:line="360" w:lineRule="auto"/>
        <w:jc w:val="both"/>
        <w:rPr>
          <w:rFonts w:ascii="Calibri" w:hAnsi="Calibri"/>
        </w:rPr>
      </w:pPr>
      <w:r>
        <w:rPr>
          <w:rFonts w:ascii="Calibri" w:hAnsi="Calibri"/>
        </w:rPr>
        <w:t xml:space="preserve">Major pharmaceuticals used included </w:t>
      </w:r>
      <w:r w:rsidRPr="002D41B1">
        <w:rPr>
          <w:rFonts w:ascii="Calibri" w:hAnsi="Calibri"/>
        </w:rPr>
        <w:t>methadone or buprenorphine - used to alleviate opiate addiction</w:t>
      </w:r>
      <w:r>
        <w:rPr>
          <w:rFonts w:ascii="Calibri" w:hAnsi="Calibri"/>
        </w:rPr>
        <w:t xml:space="preserve">, </w:t>
      </w:r>
      <w:r w:rsidRPr="002D41B1">
        <w:rPr>
          <w:rFonts w:ascii="Calibri" w:hAnsi="Calibri"/>
        </w:rPr>
        <w:t xml:space="preserve">pain </w:t>
      </w:r>
      <w:r>
        <w:rPr>
          <w:rFonts w:ascii="Calibri" w:hAnsi="Calibri"/>
        </w:rPr>
        <w:t>relievers</w:t>
      </w:r>
      <w:r w:rsidRPr="002D41B1">
        <w:rPr>
          <w:rFonts w:ascii="Calibri" w:hAnsi="Calibri"/>
        </w:rPr>
        <w:t xml:space="preserve"> and opioids, tranquilizers</w:t>
      </w:r>
      <w:r>
        <w:rPr>
          <w:rFonts w:ascii="Calibri" w:hAnsi="Calibri"/>
        </w:rPr>
        <w:t>, and</w:t>
      </w:r>
      <w:r w:rsidRPr="002D41B1">
        <w:rPr>
          <w:rFonts w:ascii="Calibri" w:hAnsi="Calibri"/>
        </w:rPr>
        <w:t xml:space="preserve"> steroids</w:t>
      </w:r>
      <w:r>
        <w:rPr>
          <w:rFonts w:ascii="Calibri" w:hAnsi="Calibri"/>
        </w:rPr>
        <w:t>.</w:t>
      </w:r>
    </w:p>
    <w:p w14:paraId="679C65B2" w14:textId="77777777" w:rsidR="00787378" w:rsidRPr="007A2974" w:rsidRDefault="00787378" w:rsidP="00787378">
      <w:pPr>
        <w:spacing w:after="0"/>
        <w:jc w:val="both"/>
        <w:rPr>
          <w:rFonts w:ascii="Calibri" w:hAnsi="Calibri"/>
          <w:b/>
          <w:sz w:val="12"/>
          <w:szCs w:val="12"/>
        </w:rPr>
      </w:pPr>
    </w:p>
    <w:p w14:paraId="75F65639" w14:textId="77777777" w:rsidR="00787378" w:rsidRDefault="00787378" w:rsidP="00787378">
      <w:pPr>
        <w:spacing w:after="0"/>
        <w:jc w:val="both"/>
        <w:rPr>
          <w:rFonts w:ascii="Calibri" w:hAnsi="Calibri"/>
        </w:rPr>
      </w:pPr>
      <w:r w:rsidRPr="002D53C6">
        <w:rPr>
          <w:rFonts w:ascii="Calibri" w:hAnsi="Calibri"/>
          <w:color w:val="7F7F7F" w:themeColor="text1" w:themeTint="80"/>
          <w:sz w:val="20"/>
          <w:szCs w:val="20"/>
        </w:rPr>
        <w:t xml:space="preserve">Prevalence of </w:t>
      </w:r>
      <w:r>
        <w:rPr>
          <w:rFonts w:ascii="Calibri" w:hAnsi="Calibri"/>
          <w:color w:val="7F7F7F" w:themeColor="text1" w:themeTint="80"/>
          <w:sz w:val="20"/>
          <w:szCs w:val="20"/>
        </w:rPr>
        <w:t>the Illicit</w:t>
      </w:r>
      <w:r w:rsidRPr="002D53C6">
        <w:rPr>
          <w:rFonts w:ascii="Calibri" w:hAnsi="Calibri"/>
          <w:color w:val="7F7F7F" w:themeColor="text1" w:themeTint="80"/>
          <w:sz w:val="20"/>
          <w:szCs w:val="20"/>
        </w:rPr>
        <w:t xml:space="preserve"> Use of </w:t>
      </w:r>
      <w:r>
        <w:rPr>
          <w:rFonts w:ascii="Calibri" w:hAnsi="Calibri"/>
          <w:color w:val="7F7F7F" w:themeColor="text1" w:themeTint="80"/>
          <w:sz w:val="20"/>
          <w:szCs w:val="20"/>
        </w:rPr>
        <w:t xml:space="preserve">Pharmaceuticals During the Previous Year, by Sex and Age, </w:t>
      </w:r>
      <w:r w:rsidRPr="002D53C6">
        <w:rPr>
          <w:rFonts w:ascii="Calibri" w:hAnsi="Calibri"/>
          <w:color w:val="7F7F7F" w:themeColor="text1" w:themeTint="80"/>
          <w:sz w:val="20"/>
          <w:szCs w:val="20"/>
        </w:rPr>
        <w:t>Australia: 2019</w:t>
      </w:r>
    </w:p>
    <w:p w14:paraId="0656AC84" w14:textId="77777777" w:rsidR="00787378" w:rsidRPr="00AC0C4A" w:rsidRDefault="00787378" w:rsidP="00787378">
      <w:pPr>
        <w:spacing w:after="0" w:line="360" w:lineRule="auto"/>
        <w:jc w:val="both"/>
        <w:rPr>
          <w:rFonts w:ascii="Calibri" w:hAnsi="Calibri"/>
          <w:i/>
        </w:rPr>
      </w:pPr>
      <w:r w:rsidRPr="00AC0C4A">
        <w:rPr>
          <w:rFonts w:ascii="Calibri" w:hAnsi="Calibri"/>
          <w:i/>
        </w:rPr>
        <w:lastRenderedPageBreak/>
        <w:t xml:space="preserve">Local Measures of </w:t>
      </w:r>
      <w:r>
        <w:rPr>
          <w:rFonts w:ascii="Calibri" w:hAnsi="Calibri"/>
          <w:i/>
        </w:rPr>
        <w:t>Illicit Drug Use</w:t>
      </w:r>
    </w:p>
    <w:p w14:paraId="4624F555" w14:textId="77777777" w:rsidR="00787378" w:rsidRDefault="00787378" w:rsidP="00787378">
      <w:pPr>
        <w:spacing w:after="0" w:line="360" w:lineRule="auto"/>
        <w:jc w:val="both"/>
        <w:rPr>
          <w:rFonts w:ascii="Calibri" w:hAnsi="Calibri"/>
        </w:rPr>
      </w:pPr>
      <w:r>
        <w:rPr>
          <w:rFonts w:ascii="Calibri" w:hAnsi="Calibri"/>
        </w:rPr>
        <w:t>Local measures of incidents involving the use of illicit drugs indicate that the prevalence of their misuse is higher than metropolitan levels.</w:t>
      </w:r>
    </w:p>
    <w:p w14:paraId="12E48C42" w14:textId="77777777" w:rsidR="00787378" w:rsidRDefault="00787378" w:rsidP="00787378">
      <w:pPr>
        <w:spacing w:after="0" w:line="360" w:lineRule="auto"/>
        <w:jc w:val="both"/>
        <w:rPr>
          <w:rFonts w:ascii="Calibri" w:hAnsi="Calibri"/>
        </w:rPr>
      </w:pPr>
      <w:r w:rsidRPr="00164C13">
        <w:rPr>
          <w:rFonts w:ascii="Calibri" w:hAnsi="Calibri"/>
          <w:i/>
          <w:iCs/>
        </w:rPr>
        <w:t>Illicit</w:t>
      </w:r>
      <w:r>
        <w:rPr>
          <w:rFonts w:ascii="Calibri" w:hAnsi="Calibri"/>
          <w:i/>
          <w:iCs/>
        </w:rPr>
        <w:t>s</w:t>
      </w:r>
      <w:r>
        <w:rPr>
          <w:rFonts w:ascii="Calibri" w:hAnsi="Calibri"/>
        </w:rPr>
        <w:t>: In 2019, the rate of hospital admission for conditions related to ingestion of any illicit drug in Greater Dandenong was 51% higher than the metropolitan level.</w:t>
      </w:r>
    </w:p>
    <w:p w14:paraId="64E5734D" w14:textId="3BBCBD68" w:rsidR="00787378" w:rsidRDefault="00787378" w:rsidP="00787378">
      <w:pPr>
        <w:spacing w:after="0" w:line="360" w:lineRule="auto"/>
        <w:jc w:val="both"/>
        <w:rPr>
          <w:rFonts w:ascii="Calibri" w:hAnsi="Calibri"/>
        </w:rPr>
      </w:pPr>
      <w:r w:rsidRPr="00164C13">
        <w:rPr>
          <w:rFonts w:ascii="Calibri" w:hAnsi="Calibri"/>
          <w:i/>
          <w:iCs/>
        </w:rPr>
        <w:t>Amphetamines</w:t>
      </w:r>
      <w:r>
        <w:rPr>
          <w:rFonts w:ascii="Calibri" w:hAnsi="Calibri"/>
        </w:rPr>
        <w:t xml:space="preserve">: The rate of ambulance attendances in 2021/22 in Greater Dandenong, for incidents involving use of crystal meth or any methamphetamine, were 88% and 75% higher than the metropolitan average, respectively. For each of these drug categories, the rate of attendances in Greater </w:t>
      </w:r>
      <w:r w:rsidR="009C4713">
        <w:rPr>
          <w:rFonts w:ascii="Calibri" w:hAnsi="Calibri"/>
        </w:rPr>
        <w:t>Dandenong</w:t>
      </w:r>
      <w:r>
        <w:rPr>
          <w:rFonts w:ascii="Calibri" w:hAnsi="Calibri"/>
        </w:rPr>
        <w:t xml:space="preserve"> was the highest in Victoria outside the central metropolitan municipalities of Melbourne, Yarra and Port Phillip.</w:t>
      </w:r>
    </w:p>
    <w:p w14:paraId="51853B12" w14:textId="77777777" w:rsidR="00787378" w:rsidRDefault="00787378" w:rsidP="00787378">
      <w:pPr>
        <w:spacing w:after="0" w:line="360" w:lineRule="auto"/>
        <w:jc w:val="both"/>
        <w:rPr>
          <w:rFonts w:ascii="Calibri" w:hAnsi="Calibri"/>
        </w:rPr>
      </w:pPr>
      <w:r w:rsidRPr="00164C13">
        <w:rPr>
          <w:rFonts w:ascii="Calibri" w:hAnsi="Calibri"/>
          <w:i/>
          <w:iCs/>
        </w:rPr>
        <w:t>Cannabis</w:t>
      </w:r>
      <w:r>
        <w:rPr>
          <w:rFonts w:ascii="Calibri" w:hAnsi="Calibri"/>
        </w:rPr>
        <w:t>: In the same year, the local rate of hospital admission for cannabis ingestion exceeded the metropolitan average by 84%.</w:t>
      </w:r>
    </w:p>
    <w:p w14:paraId="7F38032B" w14:textId="77777777" w:rsidR="00787378" w:rsidRDefault="00787378" w:rsidP="00787378">
      <w:pPr>
        <w:spacing w:after="0" w:line="360" w:lineRule="auto"/>
        <w:jc w:val="both"/>
        <w:rPr>
          <w:rFonts w:ascii="Calibri" w:hAnsi="Calibri"/>
        </w:rPr>
      </w:pPr>
      <w:r w:rsidRPr="00164C13">
        <w:rPr>
          <w:rFonts w:ascii="Calibri" w:hAnsi="Calibri"/>
          <w:i/>
          <w:iCs/>
        </w:rPr>
        <w:t>Heroin</w:t>
      </w:r>
      <w:r>
        <w:rPr>
          <w:rFonts w:ascii="Calibri" w:hAnsi="Calibri"/>
        </w:rPr>
        <w:t>: Rates of ambulance attendances for consequences of heroin use and for heroin overdose in 2021/22 were 57% or 51% higher than for metropolitan Melbourne, respectively. In 2019, hospital admission rates for heroin use were approximately twice metropolitan levels.</w:t>
      </w:r>
    </w:p>
    <w:p w14:paraId="22DE7C76" w14:textId="77777777" w:rsidR="00787378" w:rsidRDefault="00787378" w:rsidP="00787378">
      <w:pPr>
        <w:spacing w:after="0" w:line="360" w:lineRule="auto"/>
        <w:jc w:val="both"/>
        <w:rPr>
          <w:rFonts w:ascii="Calibri" w:hAnsi="Calibri"/>
        </w:rPr>
      </w:pPr>
      <w:r w:rsidRPr="00164C13">
        <w:rPr>
          <w:rFonts w:ascii="Calibri" w:hAnsi="Calibri"/>
          <w:i/>
          <w:iCs/>
        </w:rPr>
        <w:t>Pharmaceuticals</w:t>
      </w:r>
      <w:r>
        <w:rPr>
          <w:rFonts w:ascii="Calibri" w:hAnsi="Calibri"/>
        </w:rPr>
        <w:t>: The rate of ambulance attendance for medical consequences of pharmaceutical drug use in Greater Dandenong in 2021/22 was similar to Melbourne metropolitan levels.</w:t>
      </w:r>
    </w:p>
    <w:p w14:paraId="4C598DD0" w14:textId="77777777" w:rsidR="00787378" w:rsidRDefault="00787378" w:rsidP="00787378">
      <w:pPr>
        <w:spacing w:after="0" w:line="360" w:lineRule="auto"/>
        <w:jc w:val="both"/>
        <w:rPr>
          <w:rFonts w:ascii="Calibri" w:hAnsi="Calibri"/>
        </w:rPr>
      </w:pPr>
      <w:r>
        <w:rPr>
          <w:rFonts w:ascii="Calibri" w:hAnsi="Calibri"/>
        </w:rPr>
        <w:t>These trends are presented in the accompanying table.</w:t>
      </w:r>
    </w:p>
    <w:p w14:paraId="22A24153" w14:textId="77777777" w:rsidR="00787378" w:rsidRDefault="00787378" w:rsidP="00787378">
      <w:pPr>
        <w:spacing w:after="0" w:line="360" w:lineRule="auto"/>
        <w:jc w:val="both"/>
        <w:rPr>
          <w:rFonts w:ascii="Calibri" w:hAnsi="Calibri"/>
        </w:rPr>
      </w:pPr>
      <w:r w:rsidRPr="00164C13">
        <w:rPr>
          <w:noProof/>
        </w:rPr>
        <w:drawing>
          <wp:inline distT="0" distB="0" distL="0" distR="0" wp14:anchorId="01141681" wp14:editId="7AB0048A">
            <wp:extent cx="6120765" cy="4428490"/>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6120765" cy="4428490"/>
                    </a:xfrm>
                    <a:prstGeom prst="rect">
                      <a:avLst/>
                    </a:prstGeom>
                    <a:noFill/>
                    <a:ln>
                      <a:noFill/>
                    </a:ln>
                  </pic:spPr>
                </pic:pic>
              </a:graphicData>
            </a:graphic>
          </wp:inline>
        </w:drawing>
      </w:r>
    </w:p>
    <w:p w14:paraId="4E015B80" w14:textId="252020A2" w:rsidR="00BD622A" w:rsidRDefault="00BD622A" w:rsidP="00787378">
      <w:pPr>
        <w:spacing w:after="0" w:line="360" w:lineRule="auto"/>
      </w:pPr>
    </w:p>
    <w:p w14:paraId="3C013D6B" w14:textId="7D1D8F7B" w:rsidR="003B1EC0" w:rsidRPr="00A3419A" w:rsidRDefault="003B1EC0" w:rsidP="00A3419A">
      <w:pPr>
        <w:pBdr>
          <w:top w:val="single" w:sz="4" w:space="1" w:color="auto"/>
          <w:bottom w:val="single" w:sz="4" w:space="1" w:color="auto"/>
        </w:pBdr>
        <w:tabs>
          <w:tab w:val="center" w:pos="4678"/>
        </w:tabs>
        <w:jc w:val="center"/>
        <w:rPr>
          <w:rFonts w:ascii="Calibri" w:eastAsia="Times New Roman" w:hAnsi="Calibri"/>
          <w:noProof/>
          <w:sz w:val="32"/>
          <w:szCs w:val="32"/>
          <w:lang w:val="en-US"/>
        </w:rPr>
      </w:pPr>
      <w:r w:rsidRPr="00A3419A">
        <w:rPr>
          <w:rFonts w:ascii="Calibri" w:eastAsia="Times New Roman" w:hAnsi="Calibri"/>
          <w:noProof/>
          <w:sz w:val="32"/>
          <w:szCs w:val="32"/>
          <w:lang w:val="en-US"/>
        </w:rPr>
        <w:lastRenderedPageBreak/>
        <w:t>Smoking</w:t>
      </w:r>
    </w:p>
    <w:p w14:paraId="169DFA08" w14:textId="77777777" w:rsidR="003B1EC0" w:rsidRPr="00DA146A" w:rsidRDefault="003B1EC0" w:rsidP="003B1EC0">
      <w:pPr>
        <w:spacing w:after="0" w:line="360" w:lineRule="auto"/>
        <w:jc w:val="both"/>
        <w:rPr>
          <w:rFonts w:ascii="Calibri" w:hAnsi="Calibri"/>
          <w:sz w:val="8"/>
          <w:szCs w:val="8"/>
        </w:rPr>
      </w:pPr>
      <w:r>
        <w:rPr>
          <w:rFonts w:ascii="Calibri" w:hAnsi="Calibri"/>
          <w:noProof/>
        </w:rPr>
        <w:drawing>
          <wp:anchor distT="0" distB="0" distL="114300" distR="114300" simplePos="0" relativeHeight="252053504" behindDoc="1" locked="0" layoutInCell="1" allowOverlap="1" wp14:anchorId="224B2188" wp14:editId="37521BB3">
            <wp:simplePos x="0" y="0"/>
            <wp:positionH relativeFrom="column">
              <wp:posOffset>4984115</wp:posOffset>
            </wp:positionH>
            <wp:positionV relativeFrom="paragraph">
              <wp:posOffset>56515</wp:posOffset>
            </wp:positionV>
            <wp:extent cx="1174750" cy="900430"/>
            <wp:effectExtent l="0" t="0" r="6350" b="0"/>
            <wp:wrapTight wrapText="bothSides">
              <wp:wrapPolygon edited="0">
                <wp:start x="1401" y="0"/>
                <wp:lineTo x="0" y="914"/>
                <wp:lineTo x="0" y="20564"/>
                <wp:lineTo x="1401" y="21021"/>
                <wp:lineTo x="19965" y="21021"/>
                <wp:lineTo x="21366" y="20564"/>
                <wp:lineTo x="21366" y="914"/>
                <wp:lineTo x="19965" y="0"/>
                <wp:lineTo x="1401" y="0"/>
              </wp:wrapPolygon>
            </wp:wrapTight>
            <wp:docPr id="373" name="Picture 61" descr="Cigaret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descr="Cigarette"/>
                    <pic:cNvPicPr>
                      <a:picLocks noChangeAspect="1" noChangeArrowheads="1"/>
                    </pic:cNvPicPr>
                  </pic:nvPicPr>
                  <pic:blipFill>
                    <a:blip r:embed="rId337" cstate="print"/>
                    <a:srcRect/>
                    <a:stretch>
                      <a:fillRect/>
                    </a:stretch>
                  </pic:blipFill>
                  <pic:spPr bwMode="auto">
                    <a:xfrm>
                      <a:off x="0" y="0"/>
                      <a:ext cx="1174750" cy="90043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58DB54F" w14:textId="77777777" w:rsidR="003B1EC0" w:rsidRDefault="003B1EC0" w:rsidP="003B1EC0">
      <w:pPr>
        <w:spacing w:after="0" w:line="360" w:lineRule="auto"/>
        <w:jc w:val="both"/>
        <w:rPr>
          <w:rFonts w:ascii="Calibri" w:hAnsi="Calibri"/>
        </w:rPr>
      </w:pPr>
    </w:p>
    <w:p w14:paraId="68717E93" w14:textId="77777777" w:rsidR="003B1EC0" w:rsidRPr="00D0334F" w:rsidRDefault="003B1EC0" w:rsidP="003B1EC0">
      <w:pPr>
        <w:spacing w:after="0" w:line="360" w:lineRule="auto"/>
        <w:jc w:val="both"/>
        <w:rPr>
          <w:rFonts w:ascii="Calibri" w:hAnsi="Calibri"/>
        </w:rPr>
      </w:pPr>
      <w:r w:rsidRPr="00D0334F">
        <w:rPr>
          <w:rFonts w:ascii="Calibri" w:hAnsi="Calibri"/>
        </w:rPr>
        <w:t xml:space="preserve">Smoking is responsible for various respiratory and cardiovascular effects, including emphysema and chronic bronchitis, heart attacks, aneurisms and stroke; and is linked to a higher incidence of pancreatic, lung, bladder and cervical cancer. The 2018 Australian National Health Survey found that </w:t>
      </w:r>
      <w:r w:rsidRPr="00D0334F">
        <w:t xml:space="preserve">smokers are 3.6 times more likely to </w:t>
      </w:r>
      <w:r>
        <w:t>experience</w:t>
      </w:r>
      <w:r w:rsidRPr="00D0334F">
        <w:t xml:space="preserve"> chronic lung conditions than those who had never smoked.</w:t>
      </w:r>
      <w:r w:rsidRPr="00D0334F">
        <w:rPr>
          <w:rFonts w:ascii="Calibri" w:hAnsi="Calibri"/>
        </w:rPr>
        <w:t xml:space="preserve"> In the United States,</w:t>
      </w:r>
      <w:r>
        <w:rPr>
          <w:rFonts w:ascii="Calibri" w:hAnsi="Calibri"/>
        </w:rPr>
        <w:t xml:space="preserve"> the American Cancer Society estimated that</w:t>
      </w:r>
      <w:r w:rsidRPr="00D0334F">
        <w:rPr>
          <w:rFonts w:ascii="Calibri" w:hAnsi="Calibri"/>
        </w:rPr>
        <w:t xml:space="preserve"> smoking </w:t>
      </w:r>
      <w:r>
        <w:rPr>
          <w:rFonts w:ascii="Calibri" w:hAnsi="Calibri"/>
        </w:rPr>
        <w:t>contributes to</w:t>
      </w:r>
      <w:r w:rsidRPr="00D0334F">
        <w:rPr>
          <w:rFonts w:ascii="Calibri" w:hAnsi="Calibri"/>
        </w:rPr>
        <w:t xml:space="preserve"> nearly one in five deaths, reducing the average life span by 13 years in males, and 15 years among females. It may be expected that smoking has similar implications for health and the human life span in Australia. </w:t>
      </w:r>
      <w:r>
        <w:rPr>
          <w:rFonts w:ascii="Calibri" w:hAnsi="Calibri"/>
        </w:rPr>
        <w:t>Indeed, it is estimated that u</w:t>
      </w:r>
      <w:r w:rsidRPr="00D0334F">
        <w:rPr>
          <w:rFonts w:ascii="Calibri" w:hAnsi="Calibri"/>
        </w:rPr>
        <w:t xml:space="preserve">p to two-thirds of deaths of smokers </w:t>
      </w:r>
      <w:r>
        <w:rPr>
          <w:rFonts w:ascii="Calibri" w:hAnsi="Calibri"/>
        </w:rPr>
        <w:t>may</w:t>
      </w:r>
      <w:r w:rsidRPr="00D0334F">
        <w:rPr>
          <w:rFonts w:ascii="Calibri" w:hAnsi="Calibri"/>
        </w:rPr>
        <w:t xml:space="preserve"> be attributed to smoking, with smoking reducing life span by about ten years in smokers, in Australia</w:t>
      </w:r>
      <w:r>
        <w:rPr>
          <w:rStyle w:val="FootnoteReference"/>
          <w:rFonts w:ascii="Calibri" w:hAnsi="Calibri"/>
        </w:rPr>
        <w:footnoteReference w:id="55"/>
      </w:r>
      <w:r w:rsidRPr="00A44150">
        <w:rPr>
          <w:rFonts w:ascii="Calibri" w:hAnsi="Calibri"/>
        </w:rPr>
        <w:t>.</w:t>
      </w:r>
      <w:r>
        <w:rPr>
          <w:rFonts w:ascii="Calibri" w:hAnsi="Calibri"/>
        </w:rPr>
        <w:t xml:space="preserve"> </w:t>
      </w:r>
      <w:r w:rsidRPr="00D0334F">
        <w:rPr>
          <w:rFonts w:ascii="Calibri" w:hAnsi="Calibri"/>
        </w:rPr>
        <w:t>Smoking may be responsible for approximately 22,000 deaths each year in Australia</w:t>
      </w:r>
      <w:r>
        <w:rPr>
          <w:rStyle w:val="FootnoteReference"/>
          <w:rFonts w:ascii="Calibri" w:hAnsi="Calibri"/>
        </w:rPr>
        <w:footnoteReference w:id="56"/>
      </w:r>
      <w:r>
        <w:rPr>
          <w:rFonts w:ascii="Calibri" w:hAnsi="Calibri"/>
        </w:rPr>
        <w:t xml:space="preserve"> </w:t>
      </w:r>
      <w:r w:rsidRPr="00D0334F">
        <w:rPr>
          <w:rFonts w:ascii="Calibri" w:hAnsi="Calibri"/>
        </w:rPr>
        <w:t xml:space="preserve">– equivalent to four-fifths of all drug-related mortality, and a possible 140 deaths within Greater Dandenong. </w:t>
      </w:r>
    </w:p>
    <w:p w14:paraId="6511B64D" w14:textId="77777777" w:rsidR="003B1EC0" w:rsidRDefault="003B1EC0" w:rsidP="003B1EC0">
      <w:pPr>
        <w:spacing w:after="0" w:line="360" w:lineRule="auto"/>
        <w:jc w:val="both"/>
        <w:rPr>
          <w:rFonts w:ascii="Calibri" w:hAnsi="Calibri"/>
        </w:rPr>
      </w:pPr>
      <w:r w:rsidRPr="00D0334F">
        <w:rPr>
          <w:rFonts w:ascii="Calibri" w:hAnsi="Calibri"/>
        </w:rPr>
        <w:t xml:space="preserve">Summing the contribution of drugs to human illness, the Institute for Health Metrics and Evaluation concluded that tobacco accounts for 8.3% of the burden of disease in Australia, </w:t>
      </w:r>
      <w:r>
        <w:rPr>
          <w:rFonts w:ascii="Calibri" w:hAnsi="Calibri"/>
        </w:rPr>
        <w:t xml:space="preserve">compared with 2.7% for </w:t>
      </w:r>
      <w:r w:rsidRPr="00D0334F">
        <w:rPr>
          <w:rFonts w:ascii="Calibri" w:hAnsi="Calibri"/>
        </w:rPr>
        <w:t>alcohol and</w:t>
      </w:r>
      <w:r>
        <w:rPr>
          <w:rFonts w:ascii="Calibri" w:hAnsi="Calibri"/>
        </w:rPr>
        <w:t xml:space="preserve"> 2.6% for</w:t>
      </w:r>
      <w:r w:rsidRPr="00D0334F">
        <w:rPr>
          <w:rFonts w:ascii="Calibri" w:hAnsi="Calibri"/>
        </w:rPr>
        <w:t xml:space="preserve"> illicit drugs</w:t>
      </w:r>
      <w:r>
        <w:rPr>
          <w:rStyle w:val="FootnoteReference"/>
          <w:rFonts w:ascii="Calibri" w:hAnsi="Calibri"/>
        </w:rPr>
        <w:footnoteReference w:id="57"/>
      </w:r>
      <w:r w:rsidRPr="00D266DE">
        <w:rPr>
          <w:rFonts w:ascii="Calibri" w:hAnsi="Calibri"/>
        </w:rPr>
        <w:t>.</w:t>
      </w:r>
    </w:p>
    <w:p w14:paraId="738B8D33" w14:textId="77777777" w:rsidR="003B1EC0" w:rsidRPr="00AC7133" w:rsidRDefault="003B1EC0" w:rsidP="003B1EC0">
      <w:pPr>
        <w:spacing w:after="0" w:line="360" w:lineRule="auto"/>
        <w:jc w:val="both"/>
        <w:rPr>
          <w:rFonts w:ascii="Calibri" w:hAnsi="Calibri"/>
        </w:rPr>
      </w:pPr>
      <w:r>
        <w:rPr>
          <w:rFonts w:ascii="Calibri" w:hAnsi="Calibri"/>
        </w:rPr>
        <w:t>M</w:t>
      </w:r>
      <w:r w:rsidRPr="00D0334F">
        <w:rPr>
          <w:rFonts w:ascii="Calibri" w:hAnsi="Calibri"/>
        </w:rPr>
        <w:t>easures of the financial and health costs of drug use, also place tobacco at the top of the list. The cost of drug use (adjusted to 202</w:t>
      </w:r>
      <w:r>
        <w:rPr>
          <w:rFonts w:ascii="Calibri" w:hAnsi="Calibri"/>
        </w:rPr>
        <w:t>2</w:t>
      </w:r>
      <w:r w:rsidRPr="00D0334F">
        <w:rPr>
          <w:rFonts w:ascii="Calibri" w:hAnsi="Calibri"/>
        </w:rPr>
        <w:t xml:space="preserve"> dollars) </w:t>
      </w:r>
      <w:r>
        <w:rPr>
          <w:rFonts w:ascii="Calibri" w:hAnsi="Calibri"/>
        </w:rPr>
        <w:t>has been</w:t>
      </w:r>
      <w:r w:rsidRPr="00D0334F">
        <w:rPr>
          <w:rFonts w:ascii="Calibri" w:hAnsi="Calibri"/>
        </w:rPr>
        <w:t xml:space="preserve"> estimated at $8</w:t>
      </w:r>
      <w:r>
        <w:rPr>
          <w:rFonts w:ascii="Calibri" w:hAnsi="Calibri"/>
        </w:rPr>
        <w:t>5</w:t>
      </w:r>
      <w:r w:rsidRPr="00D0334F">
        <w:rPr>
          <w:rFonts w:ascii="Calibri" w:hAnsi="Calibri"/>
        </w:rPr>
        <w:t xml:space="preserve"> billion per year (the equivalent of $1</w:t>
      </w:r>
      <w:r>
        <w:rPr>
          <w:rFonts w:ascii="Calibri" w:hAnsi="Calibri"/>
        </w:rPr>
        <w:t>2</w:t>
      </w:r>
      <w:r w:rsidRPr="00D0334F">
        <w:rPr>
          <w:rFonts w:ascii="Calibri" w:hAnsi="Calibri"/>
        </w:rPr>
        <w:t xml:space="preserve">6 million within Greater Dandenong, </w:t>
      </w:r>
      <w:r>
        <w:rPr>
          <w:rFonts w:ascii="Calibri" w:hAnsi="Calibri"/>
        </w:rPr>
        <w:t>annually</w:t>
      </w:r>
      <w:r w:rsidRPr="00D0334F">
        <w:rPr>
          <w:rFonts w:ascii="Calibri" w:hAnsi="Calibri"/>
        </w:rPr>
        <w:t>), with tobacco accounting for $4</w:t>
      </w:r>
      <w:r>
        <w:rPr>
          <w:rFonts w:ascii="Calibri" w:hAnsi="Calibri"/>
        </w:rPr>
        <w:t>4</w:t>
      </w:r>
      <w:r w:rsidRPr="00D0334F">
        <w:rPr>
          <w:rFonts w:ascii="Calibri" w:hAnsi="Calibri"/>
        </w:rPr>
        <w:t xml:space="preserve"> billion</w:t>
      </w:r>
      <w:r>
        <w:rPr>
          <w:rFonts w:ascii="Calibri" w:hAnsi="Calibri"/>
        </w:rPr>
        <w:t xml:space="preserve"> nationally</w:t>
      </w:r>
      <w:r w:rsidRPr="00D0334F">
        <w:rPr>
          <w:rFonts w:ascii="Calibri" w:hAnsi="Calibri"/>
        </w:rPr>
        <w:t>, alcohol for $2</w:t>
      </w:r>
      <w:r>
        <w:rPr>
          <w:rFonts w:ascii="Calibri" w:hAnsi="Calibri"/>
        </w:rPr>
        <w:t>1</w:t>
      </w:r>
      <w:r w:rsidRPr="00D0334F">
        <w:rPr>
          <w:rFonts w:ascii="Calibri" w:hAnsi="Calibri"/>
        </w:rPr>
        <w:t xml:space="preserve"> billion and illicit drug use for $1</w:t>
      </w:r>
      <w:r>
        <w:rPr>
          <w:rFonts w:ascii="Calibri" w:hAnsi="Calibri"/>
        </w:rPr>
        <w:t>2</w:t>
      </w:r>
      <w:r w:rsidRPr="00D0334F">
        <w:rPr>
          <w:rFonts w:ascii="Calibri" w:hAnsi="Calibri"/>
        </w:rPr>
        <w:t xml:space="preserve"> billion</w:t>
      </w:r>
      <w:r>
        <w:rPr>
          <w:rStyle w:val="FootnoteReference"/>
          <w:rFonts w:ascii="Calibri" w:hAnsi="Calibri"/>
        </w:rPr>
        <w:footnoteReference w:id="58"/>
      </w:r>
      <w:r>
        <w:rPr>
          <w:rFonts w:ascii="Calibri" w:hAnsi="Calibri"/>
        </w:rPr>
        <w:t>.</w:t>
      </w:r>
    </w:p>
    <w:p w14:paraId="4BB4C694" w14:textId="77777777" w:rsidR="003B1EC0" w:rsidRPr="00B3278C" w:rsidRDefault="003B1EC0" w:rsidP="003B1EC0">
      <w:pPr>
        <w:spacing w:after="0"/>
        <w:rPr>
          <w:rFonts w:ascii="Calibri" w:hAnsi="Calibri"/>
          <w:b/>
          <w:sz w:val="8"/>
          <w:szCs w:val="8"/>
        </w:rPr>
      </w:pPr>
      <w:r>
        <w:rPr>
          <w:rFonts w:cstheme="minorHAnsi"/>
          <w:noProof/>
        </w:rPr>
        <w:drawing>
          <wp:anchor distT="0" distB="0" distL="114300" distR="114300" simplePos="0" relativeHeight="252054528" behindDoc="0" locked="0" layoutInCell="1" allowOverlap="1" wp14:anchorId="63FD6BD4" wp14:editId="0C1EA100">
            <wp:simplePos x="0" y="0"/>
            <wp:positionH relativeFrom="column">
              <wp:posOffset>2851785</wp:posOffset>
            </wp:positionH>
            <wp:positionV relativeFrom="paragraph">
              <wp:posOffset>113665</wp:posOffset>
            </wp:positionV>
            <wp:extent cx="3275965" cy="2466340"/>
            <wp:effectExtent l="0" t="0" r="635" b="0"/>
            <wp:wrapSquare wrapText="bothSides"/>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3275965" cy="2466340"/>
                    </a:xfrm>
                    <a:prstGeom prst="rect">
                      <a:avLst/>
                    </a:prstGeom>
                    <a:noFill/>
                  </pic:spPr>
                </pic:pic>
              </a:graphicData>
            </a:graphic>
            <wp14:sizeRelH relativeFrom="page">
              <wp14:pctWidth>0</wp14:pctWidth>
            </wp14:sizeRelH>
            <wp14:sizeRelV relativeFrom="page">
              <wp14:pctHeight>0</wp14:pctHeight>
            </wp14:sizeRelV>
          </wp:anchor>
        </w:drawing>
      </w:r>
    </w:p>
    <w:p w14:paraId="7132E8B7" w14:textId="77777777" w:rsidR="003B1EC0" w:rsidRPr="009C2789" w:rsidRDefault="003B1EC0" w:rsidP="003B1EC0">
      <w:pPr>
        <w:spacing w:after="0"/>
        <w:rPr>
          <w:rFonts w:ascii="Calibri" w:hAnsi="Calibri"/>
          <w:color w:val="7F7F7F"/>
          <w:sz w:val="20"/>
          <w:szCs w:val="20"/>
        </w:rPr>
      </w:pPr>
      <w:r w:rsidRPr="00D266DE">
        <w:rPr>
          <w:rFonts w:ascii="Calibri" w:hAnsi="Calibri"/>
          <w:b/>
        </w:rPr>
        <w:t>Prevalence of Smoking</w:t>
      </w:r>
      <w:r>
        <w:rPr>
          <w:rFonts w:ascii="Calibri" w:hAnsi="Calibri"/>
          <w:b/>
        </w:rPr>
        <w:t xml:space="preserve">                                                     </w:t>
      </w:r>
    </w:p>
    <w:p w14:paraId="4916A339" w14:textId="77777777" w:rsidR="003B1EC0" w:rsidRPr="00D0334F" w:rsidRDefault="003B1EC0" w:rsidP="003B1EC0">
      <w:pPr>
        <w:spacing w:after="0" w:line="360" w:lineRule="auto"/>
        <w:jc w:val="both"/>
        <w:rPr>
          <w:rFonts w:cstheme="minorHAnsi"/>
        </w:rPr>
      </w:pPr>
      <w:bookmarkStart w:id="21" w:name="_Hlk23248667"/>
      <w:r w:rsidRPr="00D0334F">
        <w:rPr>
          <w:rFonts w:ascii="Calibri" w:hAnsi="Calibri"/>
        </w:rPr>
        <w:t xml:space="preserve">The 2019 </w:t>
      </w:r>
      <w:r w:rsidRPr="00D0334F">
        <w:rPr>
          <w:rFonts w:cstheme="minorHAnsi"/>
        </w:rPr>
        <w:t xml:space="preserve">National Drug Strategy Household Survey </w:t>
      </w:r>
      <w:r>
        <w:rPr>
          <w:rFonts w:cstheme="minorHAnsi"/>
        </w:rPr>
        <w:t>(the latest available at the time of writing) reported</w:t>
      </w:r>
      <w:r w:rsidRPr="00D0334F">
        <w:rPr>
          <w:rFonts w:cstheme="minorHAnsi"/>
        </w:rPr>
        <w:t xml:space="preserve"> that</w:t>
      </w:r>
      <w:r w:rsidRPr="00D0334F">
        <w:rPr>
          <w:rFonts w:ascii="Calibri" w:hAnsi="Calibri"/>
        </w:rPr>
        <w:t xml:space="preserve"> </w:t>
      </w:r>
      <w:bookmarkEnd w:id="21"/>
      <w:r>
        <w:rPr>
          <w:rFonts w:cstheme="minorHAnsi"/>
        </w:rPr>
        <w:t>t</w:t>
      </w:r>
      <w:r w:rsidRPr="00D0334F">
        <w:rPr>
          <w:rFonts w:cstheme="minorHAnsi"/>
        </w:rPr>
        <w:t xml:space="preserve">he proportion of Australians </w:t>
      </w:r>
      <w:r>
        <w:rPr>
          <w:rFonts w:cstheme="minorHAnsi"/>
        </w:rPr>
        <w:t xml:space="preserve">aged 14 years or more </w:t>
      </w:r>
      <w:r w:rsidRPr="00D0334F">
        <w:rPr>
          <w:rFonts w:cstheme="minorHAnsi"/>
        </w:rPr>
        <w:t>who smoke ha</w:t>
      </w:r>
      <w:r>
        <w:rPr>
          <w:rFonts w:cstheme="minorHAnsi"/>
        </w:rPr>
        <w:t>d</w:t>
      </w:r>
      <w:r w:rsidRPr="00D0334F">
        <w:rPr>
          <w:rFonts w:cstheme="minorHAnsi"/>
        </w:rPr>
        <w:t xml:space="preserve"> halved in the </w:t>
      </w:r>
      <w:r>
        <w:rPr>
          <w:rFonts w:cstheme="minorHAnsi"/>
        </w:rPr>
        <w:t xml:space="preserve">previous </w:t>
      </w:r>
      <w:r w:rsidRPr="00D0334F">
        <w:rPr>
          <w:rFonts w:cstheme="minorHAnsi"/>
        </w:rPr>
        <w:t>2</w:t>
      </w:r>
      <w:r>
        <w:rPr>
          <w:rFonts w:cstheme="minorHAnsi"/>
        </w:rPr>
        <w:t>8</w:t>
      </w:r>
      <w:r w:rsidRPr="00D0334F">
        <w:rPr>
          <w:rFonts w:cstheme="minorHAnsi"/>
        </w:rPr>
        <w:t xml:space="preserve"> years, from 30% of those aged 14 years or more in 1991, to 14% </w:t>
      </w:r>
      <w:r>
        <w:rPr>
          <w:rFonts w:cstheme="minorHAnsi"/>
        </w:rPr>
        <w:t>by</w:t>
      </w:r>
      <w:r w:rsidRPr="00D0334F">
        <w:rPr>
          <w:rFonts w:cstheme="minorHAnsi"/>
        </w:rPr>
        <w:t xml:space="preserve"> 2019</w:t>
      </w:r>
      <w:r>
        <w:rPr>
          <w:rFonts w:cstheme="minorHAnsi"/>
        </w:rPr>
        <w:t>.</w:t>
      </w:r>
    </w:p>
    <w:p w14:paraId="0480AD88" w14:textId="77777777" w:rsidR="003B1EC0" w:rsidRPr="009C2789" w:rsidRDefault="003B1EC0" w:rsidP="003B1EC0">
      <w:pPr>
        <w:spacing w:after="0"/>
        <w:rPr>
          <w:rFonts w:ascii="Calibri" w:hAnsi="Calibri"/>
          <w:color w:val="7F7F7F"/>
          <w:sz w:val="20"/>
          <w:szCs w:val="20"/>
        </w:rPr>
      </w:pPr>
      <w:r w:rsidRPr="009C2789">
        <w:rPr>
          <w:rFonts w:ascii="Calibri" w:hAnsi="Calibri"/>
          <w:color w:val="7F7F7F"/>
          <w:sz w:val="20"/>
          <w:szCs w:val="20"/>
        </w:rPr>
        <w:t xml:space="preserve">Prevalence of Smoking: Australia, </w:t>
      </w:r>
      <w:r>
        <w:rPr>
          <w:rFonts w:ascii="Calibri" w:hAnsi="Calibri"/>
          <w:color w:val="7F7F7F"/>
          <w:sz w:val="20"/>
          <w:szCs w:val="20"/>
        </w:rPr>
        <w:t>1991-2019</w:t>
      </w:r>
    </w:p>
    <w:p w14:paraId="578DFC7E" w14:textId="77777777" w:rsidR="003B1EC0" w:rsidRPr="00FC43FD" w:rsidRDefault="003B1EC0" w:rsidP="003B1EC0">
      <w:pPr>
        <w:spacing w:after="0" w:line="360" w:lineRule="auto"/>
        <w:jc w:val="both"/>
        <w:rPr>
          <w:rFonts w:cstheme="minorHAnsi"/>
        </w:rPr>
      </w:pPr>
      <w:r>
        <w:rPr>
          <w:rFonts w:cstheme="minorHAnsi"/>
          <w:noProof/>
        </w:rPr>
        <w:lastRenderedPageBreak/>
        <w:drawing>
          <wp:anchor distT="0" distB="0" distL="114300" distR="114300" simplePos="0" relativeHeight="252055552" behindDoc="0" locked="0" layoutInCell="1" allowOverlap="1" wp14:anchorId="0E132F94" wp14:editId="11150B8C">
            <wp:simplePos x="0" y="0"/>
            <wp:positionH relativeFrom="column">
              <wp:posOffset>23495</wp:posOffset>
            </wp:positionH>
            <wp:positionV relativeFrom="paragraph">
              <wp:posOffset>468948</wp:posOffset>
            </wp:positionV>
            <wp:extent cx="3572813" cy="2228850"/>
            <wp:effectExtent l="0" t="0" r="8890" b="0"/>
            <wp:wrapSquare wrapText="bothSides"/>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3572813" cy="2228850"/>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rPr>
        <w:t>Similarly, the survey found that the</w:t>
      </w:r>
      <w:r w:rsidRPr="00FC43FD">
        <w:rPr>
          <w:rFonts w:cstheme="minorHAnsi"/>
        </w:rPr>
        <w:t xml:space="preserve"> proportion of children exposed to smoke within their homes daily, ha</w:t>
      </w:r>
      <w:r>
        <w:rPr>
          <w:rFonts w:cstheme="minorHAnsi"/>
        </w:rPr>
        <w:t>d</w:t>
      </w:r>
      <w:r w:rsidRPr="00FC43FD">
        <w:rPr>
          <w:rFonts w:cstheme="minorHAnsi"/>
        </w:rPr>
        <w:t xml:space="preserve"> fallen from 19.7% in 2001</w:t>
      </w:r>
      <w:r>
        <w:rPr>
          <w:rFonts w:cstheme="minorHAnsi"/>
        </w:rPr>
        <w:t>,</w:t>
      </w:r>
      <w:r w:rsidRPr="00FC43FD">
        <w:rPr>
          <w:rFonts w:cstheme="minorHAnsi"/>
        </w:rPr>
        <w:t xml:space="preserve"> to 2.1% by 2019.</w:t>
      </w:r>
    </w:p>
    <w:p w14:paraId="7D1C4F8D" w14:textId="77777777" w:rsidR="003B1EC0" w:rsidRPr="00D0334F" w:rsidRDefault="003B1EC0" w:rsidP="003B1EC0">
      <w:pPr>
        <w:spacing w:after="0" w:line="360" w:lineRule="auto"/>
        <w:jc w:val="both"/>
        <w:rPr>
          <w:rFonts w:cstheme="minorHAnsi"/>
        </w:rPr>
      </w:pPr>
      <w:r>
        <w:rPr>
          <w:rFonts w:cstheme="minorHAnsi"/>
        </w:rPr>
        <w:t xml:space="preserve">The </w:t>
      </w:r>
      <w:r w:rsidRPr="00D0334F">
        <w:rPr>
          <w:rFonts w:cstheme="minorHAnsi"/>
        </w:rPr>
        <w:t xml:space="preserve">Survey </w:t>
      </w:r>
      <w:r>
        <w:rPr>
          <w:rFonts w:cstheme="minorHAnsi"/>
        </w:rPr>
        <w:t>also determined that smoking was more prevalent among males, with 15.9% of those aged 14 years or more smoking, compared with 12.2% of females.</w:t>
      </w:r>
    </w:p>
    <w:p w14:paraId="4224D600" w14:textId="77777777" w:rsidR="003B1EC0" w:rsidRPr="00D0334F" w:rsidRDefault="003B1EC0" w:rsidP="003B1EC0">
      <w:pPr>
        <w:spacing w:after="0" w:line="360" w:lineRule="auto"/>
        <w:jc w:val="both"/>
        <w:rPr>
          <w:rFonts w:ascii="Calibri" w:hAnsi="Calibri"/>
        </w:rPr>
      </w:pPr>
    </w:p>
    <w:p w14:paraId="1A32888E" w14:textId="77777777" w:rsidR="003B1EC0" w:rsidRPr="009C2789" w:rsidRDefault="003B1EC0" w:rsidP="003B1EC0">
      <w:pPr>
        <w:spacing w:after="0"/>
        <w:rPr>
          <w:rFonts w:ascii="Calibri" w:hAnsi="Calibri"/>
          <w:color w:val="7F7F7F"/>
          <w:sz w:val="20"/>
          <w:szCs w:val="20"/>
        </w:rPr>
      </w:pPr>
      <w:r w:rsidRPr="009C2789">
        <w:rPr>
          <w:rFonts w:ascii="Calibri" w:hAnsi="Calibri"/>
          <w:color w:val="7F7F7F"/>
          <w:sz w:val="20"/>
          <w:szCs w:val="20"/>
        </w:rPr>
        <w:t>Prevalence of Smoking</w:t>
      </w:r>
      <w:r>
        <w:rPr>
          <w:rFonts w:ascii="Calibri" w:hAnsi="Calibri"/>
          <w:color w:val="7F7F7F"/>
          <w:sz w:val="20"/>
          <w:szCs w:val="20"/>
        </w:rPr>
        <w:t xml:space="preserve"> by Sex</w:t>
      </w:r>
      <w:r w:rsidRPr="009C2789">
        <w:rPr>
          <w:rFonts w:ascii="Calibri" w:hAnsi="Calibri"/>
          <w:color w:val="7F7F7F"/>
          <w:sz w:val="20"/>
          <w:szCs w:val="20"/>
        </w:rPr>
        <w:t xml:space="preserve">: Australia, </w:t>
      </w:r>
      <w:r>
        <w:rPr>
          <w:rFonts w:ascii="Calibri" w:hAnsi="Calibri"/>
          <w:color w:val="7F7F7F"/>
          <w:sz w:val="20"/>
          <w:szCs w:val="20"/>
        </w:rPr>
        <w:t>2019</w:t>
      </w:r>
    </w:p>
    <w:p w14:paraId="1FAD7F29" w14:textId="77777777" w:rsidR="003B1EC0" w:rsidRPr="00D0334F" w:rsidRDefault="003B1EC0" w:rsidP="003B1EC0">
      <w:pPr>
        <w:spacing w:after="0" w:line="360" w:lineRule="auto"/>
        <w:jc w:val="both"/>
        <w:rPr>
          <w:rFonts w:ascii="Calibri" w:hAnsi="Calibri"/>
        </w:rPr>
      </w:pPr>
    </w:p>
    <w:p w14:paraId="5DF41DFC" w14:textId="77777777" w:rsidR="003B1EC0" w:rsidRDefault="003B1EC0" w:rsidP="003B1EC0">
      <w:pPr>
        <w:spacing w:after="0" w:line="360" w:lineRule="auto"/>
        <w:jc w:val="both"/>
      </w:pPr>
      <w:r>
        <w:rPr>
          <w:rFonts w:ascii="Calibri" w:hAnsi="Calibri"/>
          <w:noProof/>
        </w:rPr>
        <w:drawing>
          <wp:anchor distT="0" distB="0" distL="114300" distR="114300" simplePos="0" relativeHeight="252056576" behindDoc="0" locked="0" layoutInCell="1" allowOverlap="1" wp14:anchorId="6F68B7F9" wp14:editId="1F66BB8D">
            <wp:simplePos x="0" y="0"/>
            <wp:positionH relativeFrom="column">
              <wp:posOffset>2204085</wp:posOffset>
            </wp:positionH>
            <wp:positionV relativeFrom="paragraph">
              <wp:posOffset>93980</wp:posOffset>
            </wp:positionV>
            <wp:extent cx="4006850" cy="2533650"/>
            <wp:effectExtent l="0" t="0" r="0" b="0"/>
            <wp:wrapSquare wrapText="bothSides"/>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4006850" cy="2533650"/>
                    </a:xfrm>
                    <a:prstGeom prst="rect">
                      <a:avLst/>
                    </a:prstGeom>
                    <a:noFill/>
                  </pic:spPr>
                </pic:pic>
              </a:graphicData>
            </a:graphic>
            <wp14:sizeRelH relativeFrom="page">
              <wp14:pctWidth>0</wp14:pctWidth>
            </wp14:sizeRelH>
            <wp14:sizeRelV relativeFrom="page">
              <wp14:pctHeight>0</wp14:pctHeight>
            </wp14:sizeRelV>
          </wp:anchor>
        </w:drawing>
      </w:r>
    </w:p>
    <w:p w14:paraId="792F416F" w14:textId="77777777" w:rsidR="003B1EC0" w:rsidRDefault="003B1EC0" w:rsidP="003B1EC0">
      <w:pPr>
        <w:spacing w:after="0" w:line="360" w:lineRule="auto"/>
        <w:jc w:val="both"/>
      </w:pPr>
    </w:p>
    <w:p w14:paraId="24EE26F4" w14:textId="77777777" w:rsidR="003B1EC0" w:rsidRPr="006322D3" w:rsidRDefault="003B1EC0" w:rsidP="003B1EC0">
      <w:pPr>
        <w:spacing w:after="0" w:line="360" w:lineRule="auto"/>
        <w:jc w:val="both"/>
        <w:rPr>
          <w:rFonts w:ascii="Calibri" w:hAnsi="Calibri"/>
        </w:rPr>
      </w:pPr>
      <w:r>
        <w:t xml:space="preserve">The </w:t>
      </w:r>
      <w:r w:rsidRPr="00986827">
        <w:t xml:space="preserve">prevalence of smoking surges among people aged 18 to 24 years, </w:t>
      </w:r>
      <w:r>
        <w:t>rising gradually in adulthood</w:t>
      </w:r>
      <w:r w:rsidRPr="00986827">
        <w:t xml:space="preserve"> </w:t>
      </w:r>
      <w:r>
        <w:t xml:space="preserve">before subsiding </w:t>
      </w:r>
      <w:r w:rsidRPr="00986827">
        <w:t xml:space="preserve">in </w:t>
      </w:r>
      <w:r>
        <w:t>older age.</w:t>
      </w:r>
    </w:p>
    <w:p w14:paraId="5F591A35" w14:textId="77777777" w:rsidR="003B1EC0" w:rsidRPr="009C2789" w:rsidRDefault="003B1EC0" w:rsidP="003B1EC0">
      <w:pPr>
        <w:spacing w:after="0"/>
        <w:rPr>
          <w:rFonts w:ascii="Calibri" w:hAnsi="Calibri"/>
          <w:color w:val="7F7F7F"/>
          <w:sz w:val="20"/>
          <w:szCs w:val="20"/>
        </w:rPr>
      </w:pPr>
      <w:r w:rsidRPr="009C2789">
        <w:rPr>
          <w:rFonts w:ascii="Calibri" w:hAnsi="Calibri"/>
          <w:color w:val="7F7F7F"/>
          <w:sz w:val="20"/>
          <w:szCs w:val="20"/>
        </w:rPr>
        <w:t>Prevalence of Smoking</w:t>
      </w:r>
      <w:r>
        <w:rPr>
          <w:rFonts w:ascii="Calibri" w:hAnsi="Calibri"/>
          <w:color w:val="7F7F7F"/>
          <w:sz w:val="20"/>
          <w:szCs w:val="20"/>
        </w:rPr>
        <w:t xml:space="preserve"> by Sex and Age</w:t>
      </w:r>
      <w:r w:rsidRPr="009C2789">
        <w:rPr>
          <w:rFonts w:ascii="Calibri" w:hAnsi="Calibri"/>
          <w:color w:val="7F7F7F"/>
          <w:sz w:val="20"/>
          <w:szCs w:val="20"/>
        </w:rPr>
        <w:t xml:space="preserve">: Australia, </w:t>
      </w:r>
      <w:r>
        <w:rPr>
          <w:rFonts w:ascii="Calibri" w:hAnsi="Calibri"/>
          <w:color w:val="7F7F7F"/>
          <w:sz w:val="20"/>
          <w:szCs w:val="20"/>
        </w:rPr>
        <w:t>2019</w:t>
      </w:r>
    </w:p>
    <w:p w14:paraId="784F4C9A" w14:textId="77777777" w:rsidR="003B1EC0" w:rsidRDefault="003B1EC0" w:rsidP="003B1EC0">
      <w:pPr>
        <w:spacing w:after="0" w:line="360" w:lineRule="auto"/>
        <w:jc w:val="both"/>
        <w:rPr>
          <w:rFonts w:ascii="Calibri" w:hAnsi="Calibri"/>
          <w:b/>
          <w:sz w:val="10"/>
          <w:szCs w:val="10"/>
        </w:rPr>
      </w:pPr>
    </w:p>
    <w:p w14:paraId="153A98A0" w14:textId="77777777" w:rsidR="003B1EC0" w:rsidRPr="006322D3" w:rsidRDefault="003B1EC0" w:rsidP="003B1EC0">
      <w:pPr>
        <w:spacing w:after="0" w:line="360" w:lineRule="auto"/>
        <w:jc w:val="both"/>
        <w:rPr>
          <w:rFonts w:ascii="Calibri" w:hAnsi="Calibri"/>
          <w:b/>
          <w:sz w:val="10"/>
          <w:szCs w:val="10"/>
        </w:rPr>
      </w:pPr>
    </w:p>
    <w:p w14:paraId="03FDDC2A" w14:textId="77777777" w:rsidR="003B1EC0" w:rsidRPr="005A75AE" w:rsidRDefault="003B1EC0" w:rsidP="003B1EC0">
      <w:pPr>
        <w:spacing w:after="0" w:line="360" w:lineRule="auto"/>
        <w:jc w:val="both"/>
        <w:rPr>
          <w:rFonts w:ascii="Calibri" w:hAnsi="Calibri"/>
          <w:b/>
          <w:bCs/>
        </w:rPr>
      </w:pPr>
      <w:r w:rsidRPr="005A75AE">
        <w:rPr>
          <w:rFonts w:ascii="Calibri" w:hAnsi="Calibri"/>
          <w:b/>
          <w:bCs/>
        </w:rPr>
        <w:t xml:space="preserve">Local Prevalence of Smoking </w:t>
      </w:r>
    </w:p>
    <w:p w14:paraId="3CF3E6EA" w14:textId="77777777" w:rsidR="003B1EC0" w:rsidRDefault="003B1EC0" w:rsidP="003B1EC0">
      <w:pPr>
        <w:spacing w:after="0" w:line="360" w:lineRule="auto"/>
        <w:jc w:val="both"/>
        <w:rPr>
          <w:rFonts w:ascii="Calibri" w:hAnsi="Calibri"/>
        </w:rPr>
      </w:pPr>
      <w:r>
        <w:rPr>
          <w:rFonts w:ascii="Calibri" w:hAnsi="Calibri"/>
        </w:rPr>
        <w:t xml:space="preserve">Local area surveys indicate that the prevalence of smoking is slightly higher in Greater Dandenong than the state average, </w:t>
      </w:r>
      <w:r w:rsidRPr="005A75AE">
        <w:rPr>
          <w:rFonts w:ascii="Calibri" w:hAnsi="Calibri"/>
        </w:rPr>
        <w:t>the 2020 Population Health Survey revealing that 13% of residents were daily smokers, similar to the Victorian prevalence of 1</w:t>
      </w:r>
      <w:r>
        <w:rPr>
          <w:rFonts w:ascii="Calibri" w:hAnsi="Calibri"/>
        </w:rPr>
        <w:t>2</w:t>
      </w:r>
      <w:r w:rsidRPr="005A75AE">
        <w:rPr>
          <w:rFonts w:ascii="Calibri" w:hAnsi="Calibri"/>
        </w:rPr>
        <w:t>%</w:t>
      </w:r>
      <w:r>
        <w:rPr>
          <w:rFonts w:ascii="Calibri" w:hAnsi="Calibri"/>
        </w:rPr>
        <w:t xml:space="preserve">. </w:t>
      </w:r>
    </w:p>
    <w:p w14:paraId="73EE6690" w14:textId="77777777" w:rsidR="003B1EC0" w:rsidRPr="005A75AE" w:rsidRDefault="003B1EC0" w:rsidP="003B1EC0">
      <w:pPr>
        <w:spacing w:after="0" w:line="360" w:lineRule="auto"/>
        <w:jc w:val="both"/>
        <w:rPr>
          <w:rFonts w:ascii="Calibri" w:hAnsi="Calibri"/>
        </w:rPr>
      </w:pPr>
      <w:r>
        <w:rPr>
          <w:rFonts w:ascii="Calibri" w:hAnsi="Calibri"/>
        </w:rPr>
        <w:t xml:space="preserve">Across Victoria, this survey found that the prevalence of daily smoking </w:t>
      </w:r>
      <w:r w:rsidRPr="005A75AE">
        <w:rPr>
          <w:rFonts w:ascii="Calibri" w:hAnsi="Calibri"/>
        </w:rPr>
        <w:t xml:space="preserve">ranged from 22% in the Central Goldfields, to </w:t>
      </w:r>
      <w:r>
        <w:rPr>
          <w:rFonts w:ascii="Calibri" w:hAnsi="Calibri"/>
        </w:rPr>
        <w:t>3.6</w:t>
      </w:r>
      <w:r w:rsidRPr="005A75AE">
        <w:rPr>
          <w:rFonts w:ascii="Calibri" w:hAnsi="Calibri"/>
        </w:rPr>
        <w:t>% in Surf Coast.</w:t>
      </w:r>
    </w:p>
    <w:p w14:paraId="1BE18E10" w14:textId="77777777" w:rsidR="003B1EC0" w:rsidRDefault="003B1EC0" w:rsidP="003B1EC0">
      <w:pPr>
        <w:spacing w:after="0" w:line="360" w:lineRule="auto"/>
        <w:jc w:val="both"/>
        <w:rPr>
          <w:rFonts w:ascii="Calibri" w:hAnsi="Calibri"/>
        </w:rPr>
      </w:pPr>
    </w:p>
    <w:p w14:paraId="3713B715" w14:textId="77777777" w:rsidR="003B1EC0" w:rsidRPr="00DA146A" w:rsidRDefault="003B1EC0" w:rsidP="003B1EC0">
      <w:pPr>
        <w:spacing w:after="0" w:line="360" w:lineRule="auto"/>
        <w:jc w:val="both"/>
        <w:rPr>
          <w:rFonts w:ascii="Calibri" w:hAnsi="Calibri"/>
          <w:b/>
        </w:rPr>
      </w:pPr>
      <w:r w:rsidRPr="00DA146A">
        <w:rPr>
          <w:rFonts w:ascii="Calibri" w:hAnsi="Calibri"/>
          <w:b/>
        </w:rPr>
        <w:t>Smoking and Community Characteristics</w:t>
      </w:r>
    </w:p>
    <w:p w14:paraId="0A636E1C" w14:textId="77777777" w:rsidR="003B1EC0" w:rsidRDefault="003B1EC0" w:rsidP="003B1EC0">
      <w:pPr>
        <w:spacing w:after="0" w:line="360" w:lineRule="auto"/>
        <w:jc w:val="both"/>
        <w:rPr>
          <w:rFonts w:ascii="Calibri" w:hAnsi="Calibri"/>
        </w:rPr>
      </w:pPr>
      <w:r w:rsidRPr="00DB7CB6">
        <w:rPr>
          <w:rFonts w:ascii="Calibri" w:hAnsi="Calibri"/>
        </w:rPr>
        <w:t>The prevalence of daily smoking among Au</w:t>
      </w:r>
      <w:r>
        <w:rPr>
          <w:rFonts w:ascii="Calibri" w:hAnsi="Calibri"/>
        </w:rPr>
        <w:t>stralians aged 14 years or more</w:t>
      </w:r>
      <w:r w:rsidRPr="00DB7CB6">
        <w:rPr>
          <w:rFonts w:ascii="Calibri" w:hAnsi="Calibri"/>
        </w:rPr>
        <w:t xml:space="preserve"> also varie</w:t>
      </w:r>
      <w:r>
        <w:rPr>
          <w:rFonts w:ascii="Calibri" w:hAnsi="Calibri"/>
        </w:rPr>
        <w:t xml:space="preserve">s with employment, </w:t>
      </w:r>
      <w:r w:rsidRPr="00DB7CB6">
        <w:rPr>
          <w:rFonts w:ascii="Calibri" w:hAnsi="Calibri"/>
        </w:rPr>
        <w:t>socio-economic circumstances</w:t>
      </w:r>
      <w:r>
        <w:rPr>
          <w:rFonts w:ascii="Calibri" w:hAnsi="Calibri"/>
        </w:rPr>
        <w:t>, nationality, mental health and other circumstances.</w:t>
      </w:r>
      <w:r w:rsidRPr="00DB7CB6">
        <w:rPr>
          <w:rFonts w:ascii="Calibri" w:hAnsi="Calibri"/>
        </w:rPr>
        <w:t xml:space="preserve"> </w:t>
      </w:r>
    </w:p>
    <w:p w14:paraId="2383D49B" w14:textId="77777777" w:rsidR="003B1EC0" w:rsidRDefault="003B1EC0" w:rsidP="003B1EC0">
      <w:pPr>
        <w:spacing w:after="0" w:line="360" w:lineRule="auto"/>
        <w:jc w:val="both"/>
        <w:rPr>
          <w:rFonts w:ascii="Calibri" w:hAnsi="Calibri"/>
        </w:rPr>
      </w:pPr>
      <w:r>
        <w:rPr>
          <w:rFonts w:ascii="Calibri" w:hAnsi="Calibri"/>
        </w:rPr>
        <w:t>The 2018 Victorian Smoking and Health Survey found that the prevalence of smoking varied with educational attainment, from 16% of people with incomplete secondary education, to 9% among those who completed secondary school. Similarly, while 16% of the most socioeconomically disadvantaged people smoked, this number declined to 10% among more advantaged residents.</w:t>
      </w:r>
    </w:p>
    <w:p w14:paraId="13800D23" w14:textId="77777777" w:rsidR="003B1EC0" w:rsidRDefault="003B1EC0" w:rsidP="003B1EC0">
      <w:pPr>
        <w:spacing w:after="0" w:line="360" w:lineRule="auto"/>
        <w:jc w:val="both"/>
        <w:rPr>
          <w:rFonts w:ascii="Calibri" w:hAnsi="Calibri"/>
        </w:rPr>
      </w:pPr>
      <w:r w:rsidRPr="00347402">
        <w:rPr>
          <w:rFonts w:ascii="Calibri" w:hAnsi="Calibri"/>
        </w:rPr>
        <w:lastRenderedPageBreak/>
        <w:t xml:space="preserve">Smoking is also more prevalent among people with </w:t>
      </w:r>
      <w:r>
        <w:rPr>
          <w:rFonts w:ascii="Calibri" w:hAnsi="Calibri"/>
        </w:rPr>
        <w:t xml:space="preserve">poorer </w:t>
      </w:r>
      <w:r w:rsidRPr="00347402">
        <w:rPr>
          <w:rFonts w:ascii="Calibri" w:hAnsi="Calibri"/>
        </w:rPr>
        <w:t>physical or mental health,</w:t>
      </w:r>
      <w:r>
        <w:rPr>
          <w:rFonts w:ascii="Calibri" w:hAnsi="Calibri"/>
        </w:rPr>
        <w:t xml:space="preserve"> the</w:t>
      </w:r>
      <w:r w:rsidRPr="00347402">
        <w:rPr>
          <w:rFonts w:ascii="Calibri" w:hAnsi="Calibri"/>
        </w:rPr>
        <w:t xml:space="preserve"> </w:t>
      </w:r>
      <w:r>
        <w:rPr>
          <w:rFonts w:ascii="Calibri" w:hAnsi="Calibri"/>
        </w:rPr>
        <w:t>Australian Institute of Health and Welfare</w:t>
      </w:r>
      <w:r w:rsidRPr="00347402">
        <w:rPr>
          <w:rFonts w:ascii="Calibri" w:hAnsi="Calibri"/>
        </w:rPr>
        <w:t xml:space="preserve"> </w:t>
      </w:r>
      <w:r>
        <w:rPr>
          <w:rFonts w:ascii="Calibri" w:hAnsi="Calibri"/>
        </w:rPr>
        <w:t>reporting</w:t>
      </w:r>
      <w:r w:rsidRPr="00347402">
        <w:rPr>
          <w:rFonts w:ascii="Calibri" w:hAnsi="Calibri"/>
        </w:rPr>
        <w:t xml:space="preserve"> that smokers are more likely than others to rate their health as poor, have asthma, have been diagnosed with mental illness and to report higher levels of psychological distres</w:t>
      </w:r>
      <w:r>
        <w:rPr>
          <w:rFonts w:ascii="Calibri" w:hAnsi="Calibri"/>
        </w:rPr>
        <w:t>s</w:t>
      </w:r>
      <w:r>
        <w:rPr>
          <w:rStyle w:val="FootnoteReference"/>
          <w:rFonts w:ascii="Calibri" w:hAnsi="Calibri"/>
        </w:rPr>
        <w:footnoteReference w:id="59"/>
      </w:r>
      <w:r w:rsidRPr="00347402">
        <w:rPr>
          <w:rFonts w:ascii="Calibri" w:hAnsi="Calibri"/>
        </w:rPr>
        <w:t>.</w:t>
      </w:r>
    </w:p>
    <w:p w14:paraId="3284AE7D" w14:textId="77777777" w:rsidR="003B1EC0" w:rsidRPr="007633DB" w:rsidRDefault="003B1EC0" w:rsidP="003B1EC0">
      <w:pPr>
        <w:spacing w:after="0" w:line="360" w:lineRule="auto"/>
        <w:jc w:val="both"/>
        <w:rPr>
          <w:rFonts w:ascii="Calibri" w:hAnsi="Calibri"/>
        </w:rPr>
      </w:pPr>
      <w:r>
        <w:rPr>
          <w:rFonts w:ascii="Calibri" w:hAnsi="Calibri"/>
        </w:rPr>
        <w:t xml:space="preserve">The 2020-21 </w:t>
      </w:r>
      <w:r w:rsidRPr="00C97586">
        <w:rPr>
          <w:rFonts w:ascii="Calibri" w:hAnsi="Calibri"/>
        </w:rPr>
        <w:t>National Study of Mental Health and Wellbeing</w:t>
      </w:r>
      <w:r>
        <w:rPr>
          <w:rFonts w:ascii="Calibri" w:hAnsi="Calibri"/>
        </w:rPr>
        <w:t>, for example, found that 16% of people with a mental health disorder during the previous year, were current smokers, as compared with 11% of those without such conditions.</w:t>
      </w:r>
    </w:p>
    <w:p w14:paraId="2726C2C9" w14:textId="77777777" w:rsidR="003B1EC0" w:rsidRPr="00AF66A0" w:rsidRDefault="003B1EC0" w:rsidP="003B1EC0">
      <w:pPr>
        <w:spacing w:before="120" w:after="0" w:line="360" w:lineRule="auto"/>
        <w:jc w:val="both"/>
        <w:rPr>
          <w:rFonts w:ascii="Calibri" w:hAnsi="Calibri"/>
          <w:b/>
        </w:rPr>
      </w:pPr>
      <w:r w:rsidRPr="00AF66A0">
        <w:rPr>
          <w:rFonts w:ascii="Calibri" w:hAnsi="Calibri"/>
          <w:b/>
        </w:rPr>
        <w:t>Smoking and Pregnancy</w:t>
      </w:r>
    </w:p>
    <w:p w14:paraId="150B568A" w14:textId="77777777" w:rsidR="003B1EC0" w:rsidRDefault="003B1EC0" w:rsidP="003B1EC0">
      <w:pPr>
        <w:spacing w:after="0" w:line="360" w:lineRule="auto"/>
        <w:jc w:val="both"/>
        <w:rPr>
          <w:rFonts w:ascii="Calibri" w:hAnsi="Calibri"/>
        </w:rPr>
      </w:pPr>
      <w:r w:rsidRPr="00AF66A0">
        <w:rPr>
          <w:rFonts w:ascii="Calibri" w:hAnsi="Calibri"/>
        </w:rPr>
        <w:t>Smoking during pregnancy is associated with an increased likelihood of miscarriage, premature and stillbirth, low birth weight and infant mortality. The Australian Instit</w:t>
      </w:r>
      <w:r>
        <w:rPr>
          <w:rFonts w:ascii="Calibri" w:hAnsi="Calibri"/>
        </w:rPr>
        <w:t>ute of Health and Welfare (2012</w:t>
      </w:r>
      <w:r w:rsidRPr="00AF66A0">
        <w:rPr>
          <w:rFonts w:ascii="Calibri" w:hAnsi="Calibri"/>
        </w:rPr>
        <w:t>) report</w:t>
      </w:r>
      <w:r>
        <w:rPr>
          <w:rFonts w:ascii="Calibri" w:hAnsi="Calibri"/>
        </w:rPr>
        <w:t>ed</w:t>
      </w:r>
      <w:r w:rsidRPr="00AF66A0">
        <w:rPr>
          <w:rFonts w:ascii="Calibri" w:hAnsi="Calibri"/>
        </w:rPr>
        <w:t xml:space="preserve"> that 12% of Australian</w:t>
      </w:r>
      <w:r>
        <w:rPr>
          <w:rFonts w:ascii="Calibri" w:hAnsi="Calibri"/>
        </w:rPr>
        <w:t xml:space="preserve"> women were</w:t>
      </w:r>
      <w:r w:rsidRPr="00AF66A0">
        <w:rPr>
          <w:rFonts w:ascii="Calibri" w:hAnsi="Calibri"/>
        </w:rPr>
        <w:t xml:space="preserve"> </w:t>
      </w:r>
      <w:r>
        <w:rPr>
          <w:rFonts w:ascii="Calibri" w:hAnsi="Calibri"/>
        </w:rPr>
        <w:t>smoking</w:t>
      </w:r>
      <w:r w:rsidRPr="00AF66A0">
        <w:rPr>
          <w:rFonts w:ascii="Calibri" w:hAnsi="Calibri"/>
        </w:rPr>
        <w:t xml:space="preserve"> before learning they were pregnant, and 8% persisted afterward. Pregnant women aged less than 35 years were more likely to </w:t>
      </w:r>
      <w:r>
        <w:rPr>
          <w:rFonts w:ascii="Calibri" w:hAnsi="Calibri"/>
        </w:rPr>
        <w:t>smoke</w:t>
      </w:r>
      <w:r w:rsidRPr="00AF66A0">
        <w:rPr>
          <w:rFonts w:ascii="Calibri" w:hAnsi="Calibri"/>
        </w:rPr>
        <w:t xml:space="preserve"> at some time during their pregnancy (13%) than older women (8%).</w:t>
      </w:r>
    </w:p>
    <w:p w14:paraId="6F03A47A" w14:textId="77777777" w:rsidR="003B1EC0" w:rsidRPr="00E267BD" w:rsidRDefault="003B1EC0" w:rsidP="003B1EC0">
      <w:pPr>
        <w:spacing w:before="120" w:after="0" w:line="360" w:lineRule="auto"/>
        <w:jc w:val="both"/>
        <w:rPr>
          <w:rFonts w:ascii="Calibri" w:hAnsi="Calibri"/>
          <w:b/>
        </w:rPr>
      </w:pPr>
      <w:r>
        <w:rPr>
          <w:rFonts w:ascii="Calibri" w:hAnsi="Calibri"/>
          <w:b/>
        </w:rPr>
        <w:t>Use of E-cigarettes</w:t>
      </w:r>
    </w:p>
    <w:p w14:paraId="79C9CCEF" w14:textId="77777777" w:rsidR="003B1EC0" w:rsidRDefault="003B1EC0" w:rsidP="003B1EC0">
      <w:pPr>
        <w:spacing w:after="0" w:line="360" w:lineRule="auto"/>
        <w:jc w:val="both"/>
        <w:rPr>
          <w:rFonts w:ascii="Calibri" w:hAnsi="Calibri"/>
        </w:rPr>
      </w:pPr>
      <w:r>
        <w:rPr>
          <w:rFonts w:ascii="Calibri" w:hAnsi="Calibri"/>
        </w:rPr>
        <w:t>The 2020-21 National Health Survey and National Drug Strategy Household Survey found that the use of e-cigarettes had risen steeply in recent years, and was most common among young people and males. The 2022 Victorian Smoking and Health Survey determined that 6.1% of residents aged 18 years or more were current users of e-cigarettes – a doubling of the 3% recorded in the 2018-19 survey. Use of e-cigarettes was more prevalent among males, at 7.5%, than among females (4.6%).</w:t>
      </w:r>
    </w:p>
    <w:p w14:paraId="4DC7ED53" w14:textId="77777777" w:rsidR="003B1EC0" w:rsidRPr="00B95C45" w:rsidRDefault="003B1EC0" w:rsidP="003B1EC0">
      <w:pPr>
        <w:spacing w:after="0"/>
        <w:jc w:val="both"/>
        <w:rPr>
          <w:rFonts w:ascii="Calibri" w:hAnsi="Calibri"/>
          <w:color w:val="7F7F7F" w:themeColor="text1" w:themeTint="80"/>
          <w:sz w:val="20"/>
          <w:szCs w:val="20"/>
        </w:rPr>
      </w:pPr>
      <w:r>
        <w:rPr>
          <w:rFonts w:ascii="Calibri" w:hAnsi="Calibri"/>
          <w:noProof/>
        </w:rPr>
        <w:drawing>
          <wp:anchor distT="0" distB="0" distL="114300" distR="114300" simplePos="0" relativeHeight="252057600" behindDoc="0" locked="0" layoutInCell="1" allowOverlap="1" wp14:anchorId="4335DFDF" wp14:editId="04DA4B14">
            <wp:simplePos x="0" y="0"/>
            <wp:positionH relativeFrom="column">
              <wp:posOffset>22860</wp:posOffset>
            </wp:positionH>
            <wp:positionV relativeFrom="paragraph">
              <wp:posOffset>73342</wp:posOffset>
            </wp:positionV>
            <wp:extent cx="3890645" cy="2557145"/>
            <wp:effectExtent l="0" t="0" r="0" b="0"/>
            <wp:wrapSquare wrapText="bothSides"/>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3890645" cy="2557145"/>
                    </a:xfrm>
                    <a:prstGeom prst="rect">
                      <a:avLst/>
                    </a:prstGeom>
                    <a:noFill/>
                  </pic:spPr>
                </pic:pic>
              </a:graphicData>
            </a:graphic>
            <wp14:sizeRelH relativeFrom="page">
              <wp14:pctWidth>0</wp14:pctWidth>
            </wp14:sizeRelH>
            <wp14:sizeRelV relativeFrom="page">
              <wp14:pctHeight>0</wp14:pctHeight>
            </wp14:sizeRelV>
          </wp:anchor>
        </w:drawing>
      </w:r>
      <w:r w:rsidRPr="00B95C45">
        <w:rPr>
          <w:rFonts w:ascii="Calibri" w:hAnsi="Calibri"/>
          <w:color w:val="7F7F7F" w:themeColor="text1" w:themeTint="80"/>
          <w:sz w:val="20"/>
          <w:szCs w:val="20"/>
        </w:rPr>
        <w:t>Use of e-cigarettes by age and sex: Victoria, 2022</w:t>
      </w:r>
    </w:p>
    <w:p w14:paraId="09E876C7" w14:textId="77777777" w:rsidR="003B1EC0" w:rsidRDefault="003B1EC0" w:rsidP="003B1EC0">
      <w:pPr>
        <w:spacing w:after="0" w:line="360" w:lineRule="auto"/>
        <w:jc w:val="both"/>
        <w:rPr>
          <w:rFonts w:ascii="Calibri" w:hAnsi="Calibri"/>
          <w:sz w:val="10"/>
          <w:szCs w:val="10"/>
        </w:rPr>
      </w:pPr>
    </w:p>
    <w:p w14:paraId="362159CE" w14:textId="77777777" w:rsidR="003B1EC0" w:rsidRPr="00B95C45" w:rsidRDefault="003B1EC0" w:rsidP="003B1EC0">
      <w:pPr>
        <w:spacing w:after="0" w:line="360" w:lineRule="auto"/>
        <w:jc w:val="both"/>
        <w:rPr>
          <w:rFonts w:ascii="Calibri" w:hAnsi="Calibri"/>
          <w:sz w:val="10"/>
          <w:szCs w:val="10"/>
        </w:rPr>
      </w:pPr>
    </w:p>
    <w:p w14:paraId="387EFF70" w14:textId="77777777" w:rsidR="003B1EC0" w:rsidRDefault="003B1EC0" w:rsidP="003B1EC0">
      <w:pPr>
        <w:spacing w:after="0" w:line="360" w:lineRule="auto"/>
        <w:jc w:val="both"/>
        <w:rPr>
          <w:rFonts w:ascii="Calibri" w:hAnsi="Calibri"/>
        </w:rPr>
      </w:pPr>
      <w:r>
        <w:rPr>
          <w:rFonts w:ascii="Calibri" w:hAnsi="Calibri"/>
        </w:rPr>
        <w:t xml:space="preserve">The proportion of people who were current users of e-cigarettes had risen substantially during the few years between these surveys, with current use among 18-24 year-old females, for instance, surging from </w:t>
      </w:r>
      <w:r w:rsidRPr="007F378F">
        <w:rPr>
          <w:rFonts w:ascii="Calibri" w:hAnsi="Calibri"/>
        </w:rPr>
        <w:t>2.8% to 15.2%.</w:t>
      </w:r>
      <w:r>
        <w:rPr>
          <w:rFonts w:ascii="Calibri" w:hAnsi="Calibri"/>
        </w:rPr>
        <w:t xml:space="preserve"> Nearly half (46%) of current users of e-cigarettes were also current smokers.</w:t>
      </w:r>
    </w:p>
    <w:p w14:paraId="7B1A5017" w14:textId="77777777" w:rsidR="003B1EC0" w:rsidRDefault="003B1EC0" w:rsidP="003B1EC0">
      <w:pPr>
        <w:spacing w:after="0" w:line="360" w:lineRule="auto"/>
        <w:jc w:val="both"/>
        <w:rPr>
          <w:rFonts w:ascii="Calibri" w:hAnsi="Calibri"/>
        </w:rPr>
      </w:pPr>
      <w:r>
        <w:rPr>
          <w:rFonts w:ascii="Calibri" w:hAnsi="Calibri"/>
        </w:rPr>
        <w:t>Over half (58%) of current e-cigarette users vaped nicotine.</w:t>
      </w:r>
    </w:p>
    <w:p w14:paraId="3B7F6B7B" w14:textId="77777777" w:rsidR="003B1EC0" w:rsidRPr="00FC43FD" w:rsidRDefault="003B1EC0" w:rsidP="003B1EC0">
      <w:pPr>
        <w:spacing w:after="0" w:line="360" w:lineRule="auto"/>
        <w:jc w:val="both"/>
        <w:rPr>
          <w:rFonts w:ascii="Calibri" w:hAnsi="Calibri"/>
        </w:rPr>
      </w:pPr>
      <w:r>
        <w:rPr>
          <w:rFonts w:ascii="Calibri" w:hAnsi="Calibri"/>
        </w:rPr>
        <w:t>Other studies show that r</w:t>
      </w:r>
      <w:r w:rsidRPr="00FC43FD">
        <w:rPr>
          <w:rFonts w:ascii="Calibri" w:hAnsi="Calibri"/>
        </w:rPr>
        <w:t>easons given for favouring e-cigarettes include their perceived safety</w:t>
      </w:r>
      <w:r>
        <w:rPr>
          <w:rFonts w:ascii="Calibri" w:hAnsi="Calibri"/>
        </w:rPr>
        <w:t xml:space="preserve"> and</w:t>
      </w:r>
      <w:r w:rsidRPr="00FC43FD">
        <w:rPr>
          <w:rFonts w:ascii="Calibri" w:hAnsi="Calibri"/>
        </w:rPr>
        <w:t xml:space="preserve"> lower cost</w:t>
      </w:r>
      <w:r>
        <w:rPr>
          <w:rFonts w:ascii="Calibri" w:hAnsi="Calibri"/>
        </w:rPr>
        <w:t>,</w:t>
      </w:r>
      <w:r w:rsidRPr="00FC43FD">
        <w:rPr>
          <w:rFonts w:ascii="Calibri" w:hAnsi="Calibri"/>
        </w:rPr>
        <w:t xml:space="preserve"> </w:t>
      </w:r>
      <w:r>
        <w:rPr>
          <w:rFonts w:ascii="Calibri" w:hAnsi="Calibri"/>
        </w:rPr>
        <w:t>and as a means to</w:t>
      </w:r>
      <w:r w:rsidRPr="00FC43FD">
        <w:rPr>
          <w:rFonts w:ascii="Calibri" w:hAnsi="Calibri"/>
        </w:rPr>
        <w:t xml:space="preserve"> reduce smoking.</w:t>
      </w:r>
    </w:p>
    <w:p w14:paraId="5C90A63D" w14:textId="1040E9D8" w:rsidR="00BD622A" w:rsidRDefault="00BD622A" w:rsidP="00DE7374">
      <w:pPr>
        <w:spacing w:after="0" w:line="360" w:lineRule="auto"/>
      </w:pPr>
    </w:p>
    <w:p w14:paraId="012328A5" w14:textId="77777777" w:rsidR="006D7A99" w:rsidRPr="00A3419A" w:rsidRDefault="006D7A99" w:rsidP="00A3419A">
      <w:pPr>
        <w:pBdr>
          <w:top w:val="single" w:sz="4" w:space="1" w:color="auto"/>
          <w:bottom w:val="single" w:sz="4" w:space="1" w:color="auto"/>
        </w:pBdr>
        <w:tabs>
          <w:tab w:val="center" w:pos="4678"/>
        </w:tabs>
        <w:jc w:val="center"/>
        <w:rPr>
          <w:rFonts w:ascii="Calibri" w:eastAsia="Times New Roman" w:hAnsi="Calibri"/>
          <w:noProof/>
          <w:sz w:val="32"/>
          <w:szCs w:val="32"/>
          <w:lang w:val="en-US"/>
        </w:rPr>
      </w:pPr>
      <w:r w:rsidRPr="00A3419A">
        <w:rPr>
          <w:rFonts w:ascii="Calibri" w:eastAsia="Times New Roman" w:hAnsi="Calibri"/>
          <w:noProof/>
          <w:sz w:val="32"/>
          <w:szCs w:val="32"/>
          <w:lang w:val="en-US"/>
        </w:rPr>
        <w:lastRenderedPageBreak/>
        <w:t>Climate Change and Community Health and Wellbeing</w:t>
      </w:r>
    </w:p>
    <w:p w14:paraId="3CDAF425" w14:textId="77777777" w:rsidR="006D7A99" w:rsidRPr="00C627BC" w:rsidRDefault="006D7A99" w:rsidP="006D7A99">
      <w:pPr>
        <w:spacing w:after="0" w:line="336" w:lineRule="auto"/>
        <w:jc w:val="both"/>
        <w:rPr>
          <w:sz w:val="12"/>
          <w:szCs w:val="12"/>
        </w:rPr>
      </w:pPr>
    </w:p>
    <w:p w14:paraId="36D4FDBE" w14:textId="77777777" w:rsidR="006D7A99" w:rsidRDefault="006D7A99" w:rsidP="006D7A99">
      <w:pPr>
        <w:spacing w:after="0" w:line="336" w:lineRule="auto"/>
        <w:jc w:val="both"/>
      </w:pPr>
      <w:r>
        <w:rPr>
          <w:b/>
          <w:bCs/>
          <w:noProof/>
          <w:color w:val="1F3864" w:themeColor="accent1" w:themeShade="80"/>
        </w:rPr>
        <w:drawing>
          <wp:anchor distT="0" distB="0" distL="114300" distR="114300" simplePos="0" relativeHeight="252075008" behindDoc="0" locked="0" layoutInCell="1" allowOverlap="1" wp14:anchorId="0AD2B9E2" wp14:editId="5131D7D0">
            <wp:simplePos x="0" y="0"/>
            <wp:positionH relativeFrom="margin">
              <wp:align>left</wp:align>
            </wp:positionH>
            <wp:positionV relativeFrom="paragraph">
              <wp:posOffset>28575</wp:posOffset>
            </wp:positionV>
            <wp:extent cx="827405" cy="539750"/>
            <wp:effectExtent l="0" t="0" r="0" b="0"/>
            <wp:wrapSquare wrapText="bothSides"/>
            <wp:docPr id="378" name="Picture 378" descr="A blue and white planet&#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1" descr="A blue and white planet&#10;&#10;Description automatically generated with low confidence"/>
                    <pic:cNvPicPr/>
                  </pic:nvPicPr>
                  <pic:blipFill>
                    <a:blip r:embed="rId342" cstate="print">
                      <a:extLst>
                        <a:ext uri="{28A0092B-C50C-407E-A947-70E740481C1C}">
                          <a14:useLocalDpi xmlns:a14="http://schemas.microsoft.com/office/drawing/2010/main" val="0"/>
                        </a:ext>
                      </a:extLst>
                    </a:blip>
                    <a:stretch>
                      <a:fillRect/>
                    </a:stretch>
                  </pic:blipFill>
                  <pic:spPr>
                    <a:xfrm>
                      <a:off x="0" y="0"/>
                      <a:ext cx="827405" cy="53975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t xml:space="preserve">Climate change has occurred on many occasions during the 4.5-billion-year history of the Earth, due to natural conditions such as fluctuations in the intensity of the sun, alterations in the orbit of the Earth, meteorite impacts, the evolution of life, volcanoes, continental movements and others </w:t>
      </w:r>
      <w:r w:rsidRPr="00710EF3">
        <w:rPr>
          <w:sz w:val="14"/>
          <w:szCs w:val="14"/>
        </w:rPr>
        <w:t>(4, 92)</w:t>
      </w:r>
      <w:r>
        <w:t>.</w:t>
      </w:r>
    </w:p>
    <w:p w14:paraId="24174036" w14:textId="77777777" w:rsidR="006D7A99" w:rsidRDefault="006D7A99" w:rsidP="006D7A99">
      <w:pPr>
        <w:spacing w:after="0" w:line="336" w:lineRule="auto"/>
        <w:jc w:val="both"/>
      </w:pPr>
      <w:r>
        <w:t xml:space="preserve">Among conditions which normally regulate climate is the level of naturally occurring gases such as carbon dioxide, methane, nitrous oxide and water vapor, which absorb and trap some of the heat from the sun which would otherwise pass into space. This natural ‘greenhouse effect’ raises earth’s temperature by about 33 degrees, which prevents the planet from freezing and sustains conditions congenial to human life </w:t>
      </w:r>
      <w:r w:rsidRPr="00710EF3">
        <w:rPr>
          <w:sz w:val="14"/>
          <w:szCs w:val="14"/>
        </w:rPr>
        <w:t>(34, 4)</w:t>
      </w:r>
      <w:r>
        <w:t>.</w:t>
      </w:r>
    </w:p>
    <w:p w14:paraId="2B071775" w14:textId="77777777" w:rsidR="006D7A99" w:rsidRPr="00CC4059" w:rsidRDefault="006D7A99" w:rsidP="006D7A99">
      <w:pPr>
        <w:spacing w:after="0" w:line="240" w:lineRule="auto"/>
        <w:jc w:val="both"/>
        <w:rPr>
          <w:sz w:val="8"/>
          <w:szCs w:val="8"/>
        </w:rPr>
      </w:pPr>
      <w:r>
        <w:rPr>
          <w:b/>
          <w:bCs/>
          <w:noProof/>
          <w:color w:val="1F3864" w:themeColor="accent1" w:themeShade="80"/>
        </w:rPr>
        <w:drawing>
          <wp:anchor distT="0" distB="0" distL="114300" distR="114300" simplePos="0" relativeHeight="252061696" behindDoc="0" locked="0" layoutInCell="1" allowOverlap="1" wp14:anchorId="003126B1" wp14:editId="78A5FA36">
            <wp:simplePos x="0" y="0"/>
            <wp:positionH relativeFrom="margin">
              <wp:align>left</wp:align>
            </wp:positionH>
            <wp:positionV relativeFrom="paragraph">
              <wp:posOffset>66040</wp:posOffset>
            </wp:positionV>
            <wp:extent cx="827405" cy="539750"/>
            <wp:effectExtent l="0" t="0" r="0" b="0"/>
            <wp:wrapSquare wrapText="bothSides"/>
            <wp:docPr id="379" name="Pictur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Environment - Coal burningg.jfif"/>
                    <pic:cNvPicPr/>
                  </pic:nvPicPr>
                  <pic:blipFill>
                    <a:blip r:embed="rId343" cstate="print">
                      <a:extLst>
                        <a:ext uri="{28A0092B-C50C-407E-A947-70E740481C1C}">
                          <a14:useLocalDpi xmlns:a14="http://schemas.microsoft.com/office/drawing/2010/main" val="0"/>
                        </a:ext>
                      </a:extLst>
                    </a:blip>
                    <a:stretch>
                      <a:fillRect/>
                    </a:stretch>
                  </pic:blipFill>
                  <pic:spPr>
                    <a:xfrm>
                      <a:off x="0" y="0"/>
                      <a:ext cx="827405" cy="53975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p>
    <w:p w14:paraId="4A1BB40D" w14:textId="77777777" w:rsidR="006D7A99" w:rsidRPr="003F2AAE" w:rsidRDefault="006D7A99" w:rsidP="006D7A99">
      <w:pPr>
        <w:spacing w:after="0" w:line="336" w:lineRule="auto"/>
        <w:jc w:val="both"/>
        <w:rPr>
          <w:b/>
          <w:bCs/>
          <w:color w:val="1F3864" w:themeColor="accent1" w:themeShade="80"/>
        </w:rPr>
      </w:pPr>
      <w:r w:rsidRPr="003F2AAE">
        <w:rPr>
          <w:b/>
          <w:bCs/>
          <w:color w:val="1F3864" w:themeColor="accent1" w:themeShade="80"/>
        </w:rPr>
        <w:t>Climate Change due to Human Activity</w:t>
      </w:r>
    </w:p>
    <w:p w14:paraId="23D73AAE" w14:textId="77777777" w:rsidR="006D7A99" w:rsidRDefault="006D7A99" w:rsidP="006D7A99">
      <w:pPr>
        <w:spacing w:after="0" w:line="336" w:lineRule="auto"/>
        <w:jc w:val="both"/>
      </w:pPr>
      <w:r>
        <w:t xml:space="preserve">However, the tempo of human activities, including the burning of coal, oil and gas to power vehicles, generate electricity and support industry, has accelerated during the past 150 years, raising the amount of carbon dioxide and other greenhouse gases emitted into the air. This has trapped further heat in the atmosphere, triggering rises in average, global temperatures, which have reduced the extent and depth of ice sheets, raised ocean temperatures and acidity, changed weather patterns, and disrupted natural environments and animal habitats </w:t>
      </w:r>
      <w:r w:rsidRPr="00710EF3">
        <w:rPr>
          <w:sz w:val="14"/>
          <w:szCs w:val="14"/>
        </w:rPr>
        <w:t>(4, 11, 10)</w:t>
      </w:r>
      <w:r>
        <w:t xml:space="preserve">. </w:t>
      </w:r>
    </w:p>
    <w:p w14:paraId="12F2E487" w14:textId="77777777" w:rsidR="006D7A99" w:rsidRPr="00CC4059" w:rsidRDefault="006D7A99" w:rsidP="006D7A99">
      <w:pPr>
        <w:spacing w:after="0" w:line="240" w:lineRule="auto"/>
        <w:jc w:val="both"/>
        <w:rPr>
          <w:sz w:val="8"/>
          <w:szCs w:val="8"/>
        </w:rPr>
      </w:pPr>
    </w:p>
    <w:p w14:paraId="0B35D52E"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72960" behindDoc="0" locked="0" layoutInCell="1" allowOverlap="1" wp14:anchorId="127CE661" wp14:editId="5C9EC35F">
            <wp:simplePos x="0" y="0"/>
            <wp:positionH relativeFrom="column">
              <wp:posOffset>70485</wp:posOffset>
            </wp:positionH>
            <wp:positionV relativeFrom="page">
              <wp:posOffset>4880928</wp:posOffset>
            </wp:positionV>
            <wp:extent cx="828000" cy="540000"/>
            <wp:effectExtent l="0" t="0" r="0" b="0"/>
            <wp:wrapSquare wrapText="bothSides"/>
            <wp:docPr id="380" name="Picture 380" descr="A tropical area with palm trees&#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3" descr="A tropical area with palm trees&#10;&#10;Description automatically generated with low confidence"/>
                    <pic:cNvPicPr/>
                  </pic:nvPicPr>
                  <pic:blipFill>
                    <a:blip r:embed="rId344" cstate="print">
                      <a:extLst>
                        <a:ext uri="{28A0092B-C50C-407E-A947-70E740481C1C}">
                          <a14:useLocalDpi xmlns:a14="http://schemas.microsoft.com/office/drawing/2010/main" val="0"/>
                        </a:ext>
                      </a:extLst>
                    </a:blip>
                    <a:stretch>
                      <a:fillRect/>
                    </a:stretch>
                  </pic:blipFill>
                  <pic:spPr>
                    <a:xfrm>
                      <a:off x="0" y="0"/>
                      <a:ext cx="828000" cy="54000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sidRPr="003F2AAE">
        <w:rPr>
          <w:b/>
          <w:bCs/>
          <w:color w:val="1F3864" w:themeColor="accent1" w:themeShade="80"/>
        </w:rPr>
        <w:t>The Role of Fossil Fuels in Human-caused Climate Change</w:t>
      </w:r>
    </w:p>
    <w:p w14:paraId="2B3FF9CA" w14:textId="77777777" w:rsidR="006D7A99" w:rsidRDefault="006D7A99" w:rsidP="006D7A99">
      <w:pPr>
        <w:spacing w:after="0" w:line="336" w:lineRule="auto"/>
        <w:jc w:val="both"/>
      </w:pPr>
      <w:r>
        <w:t xml:space="preserve">Coal, oil, gas, oil have their origin in algae, bacteria and plants, which thrived in swampy, tropical forests and swamps 350 to 500 million years ago </w:t>
      </w:r>
      <w:r w:rsidRPr="00710EF3">
        <w:rPr>
          <w:sz w:val="14"/>
          <w:szCs w:val="14"/>
        </w:rPr>
        <w:t>(15, 16, 17)</w:t>
      </w:r>
      <w:r>
        <w:t xml:space="preserve">. After they died, these organisms formed deposits in the soil or sea floor, sank beneath the ground, and under rising pressure and temperature were gradually converted to coal, oil, gas and other hydrocarbons </w:t>
      </w:r>
      <w:r w:rsidRPr="00710EF3">
        <w:rPr>
          <w:sz w:val="14"/>
          <w:szCs w:val="14"/>
        </w:rPr>
        <w:t>(85)</w:t>
      </w:r>
      <w:r>
        <w:t xml:space="preserve">. Millions of years later, they formed sources of energy, enabling human civilization to “...harness the power of ancient suns.” </w:t>
      </w:r>
      <w:r w:rsidRPr="00710EF3">
        <w:rPr>
          <w:sz w:val="14"/>
          <w:szCs w:val="14"/>
        </w:rPr>
        <w:t>(89)</w:t>
      </w:r>
      <w:r w:rsidRPr="00ED3E8B">
        <w:rPr>
          <w:rStyle w:val="FootnoteReference"/>
        </w:rPr>
        <w:t xml:space="preserve"> </w:t>
      </w:r>
      <w:r>
        <w:rPr>
          <w:rStyle w:val="FootnoteReference"/>
        </w:rPr>
        <w:footnoteReference w:id="60"/>
      </w:r>
    </w:p>
    <w:p w14:paraId="505E7713" w14:textId="77777777" w:rsidR="006D7A99" w:rsidRDefault="006D7A99" w:rsidP="006D7A99">
      <w:pPr>
        <w:spacing w:after="0" w:line="336" w:lineRule="auto"/>
        <w:jc w:val="both"/>
      </w:pPr>
      <w:r>
        <w:t xml:space="preserve">The industrial revolution found wide applications for fossil fuels, with the combustion of coal powering steam engines, generating electricity and suppling heat for buildings; oil refined to produce paraffin and kerosene for lamps; and gas used to light streets and homes </w:t>
      </w:r>
      <w:r w:rsidRPr="00710EF3">
        <w:rPr>
          <w:sz w:val="14"/>
          <w:szCs w:val="14"/>
        </w:rPr>
        <w:t>(87)</w:t>
      </w:r>
      <w:r>
        <w:t xml:space="preserve">. </w:t>
      </w:r>
    </w:p>
    <w:p w14:paraId="530AF2B0" w14:textId="77777777" w:rsidR="006D7A99" w:rsidRDefault="006D7A99" w:rsidP="006D7A99">
      <w:pPr>
        <w:spacing w:after="0" w:line="336" w:lineRule="auto"/>
        <w:jc w:val="both"/>
      </w:pPr>
      <w:r>
        <w:t xml:space="preserve">Today, fossil fuels form the primary energy source for human civilization, accounting for over nine-tenths of the energy used in Australia </w:t>
      </w:r>
      <w:r w:rsidRPr="00710EF3">
        <w:rPr>
          <w:sz w:val="14"/>
          <w:szCs w:val="14"/>
        </w:rPr>
        <w:t>(88)</w:t>
      </w:r>
      <w:r>
        <w:t xml:space="preserve">. </w:t>
      </w:r>
    </w:p>
    <w:p w14:paraId="660D1B28" w14:textId="77777777" w:rsidR="006D7A99" w:rsidRDefault="006D7A99" w:rsidP="006D7A99">
      <w:pPr>
        <w:spacing w:after="0" w:line="336" w:lineRule="auto"/>
        <w:jc w:val="both"/>
        <w:rPr>
          <w:color w:val="000000" w:themeColor="text1"/>
        </w:rPr>
      </w:pPr>
      <w:r w:rsidRPr="00CA148F">
        <w:rPr>
          <w:color w:val="000000" w:themeColor="text1"/>
        </w:rPr>
        <w:t>A further</w:t>
      </w:r>
      <w:r>
        <w:rPr>
          <w:color w:val="000000" w:themeColor="text1"/>
        </w:rPr>
        <w:t xml:space="preserve"> human activity which increases levels of greenhouse gases in the atmosphere and raises global average temperatures, is the clearing of forests. Deforestation</w:t>
      </w:r>
      <w:r w:rsidRPr="00CA148F">
        <w:rPr>
          <w:color w:val="000000" w:themeColor="text1"/>
        </w:rPr>
        <w:t xml:space="preserve"> reduces the absorption of carbon dioxide by plants, </w:t>
      </w:r>
      <w:r>
        <w:rPr>
          <w:color w:val="000000" w:themeColor="text1"/>
        </w:rPr>
        <w:t>boosting</w:t>
      </w:r>
      <w:r w:rsidRPr="00CA148F">
        <w:rPr>
          <w:color w:val="000000" w:themeColor="text1"/>
        </w:rPr>
        <w:t xml:space="preserve"> its level in the atmosphere </w:t>
      </w:r>
      <w:r w:rsidRPr="00710EF3">
        <w:rPr>
          <w:sz w:val="14"/>
          <w:szCs w:val="14"/>
        </w:rPr>
        <w:t>(35, 36, 38).</w:t>
      </w:r>
    </w:p>
    <w:p w14:paraId="1FD7C9D7" w14:textId="77777777" w:rsidR="006D7A99" w:rsidRPr="00CC4059" w:rsidRDefault="006D7A99" w:rsidP="006D7A99">
      <w:pPr>
        <w:spacing w:after="0" w:line="240" w:lineRule="auto"/>
        <w:jc w:val="both"/>
        <w:rPr>
          <w:sz w:val="8"/>
          <w:szCs w:val="8"/>
        </w:rPr>
      </w:pPr>
    </w:p>
    <w:p w14:paraId="3466FDB2"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62720" behindDoc="0" locked="0" layoutInCell="1" allowOverlap="1" wp14:anchorId="51B9ECD3" wp14:editId="64BF4845">
            <wp:simplePos x="0" y="0"/>
            <wp:positionH relativeFrom="margin">
              <wp:posOffset>36830</wp:posOffset>
            </wp:positionH>
            <wp:positionV relativeFrom="paragraph">
              <wp:posOffset>16510</wp:posOffset>
            </wp:positionV>
            <wp:extent cx="828000" cy="540000"/>
            <wp:effectExtent l="0" t="0" r="0" b="0"/>
            <wp:wrapSquare wrapText="bothSides"/>
            <wp:docPr id="381" name="Picture 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Environment - population growth.jfif"/>
                    <pic:cNvPicPr/>
                  </pic:nvPicPr>
                  <pic:blipFill rotWithShape="1">
                    <a:blip r:embed="rId345" cstate="print">
                      <a:extLst>
                        <a:ext uri="{28A0092B-C50C-407E-A947-70E740481C1C}">
                          <a14:useLocalDpi xmlns:a14="http://schemas.microsoft.com/office/drawing/2010/main" val="0"/>
                        </a:ext>
                      </a:extLst>
                    </a:blip>
                    <a:srcRect l="9094" t="5329" r="9545" b="7656"/>
                    <a:stretch/>
                  </pic:blipFill>
                  <pic:spPr bwMode="auto">
                    <a:xfrm>
                      <a:off x="0" y="0"/>
                      <a:ext cx="828000" cy="540000"/>
                    </a:xfrm>
                    <a:prstGeom prst="rect">
                      <a:avLst/>
                    </a:prstGeom>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2AAE">
        <w:rPr>
          <w:b/>
          <w:bCs/>
          <w:color w:val="1F3864" w:themeColor="accent1" w:themeShade="80"/>
        </w:rPr>
        <w:t>Global Warming and Population Growth</w:t>
      </w:r>
    </w:p>
    <w:p w14:paraId="6E1F5F2B" w14:textId="77777777" w:rsidR="006D7A99" w:rsidRDefault="006D7A99" w:rsidP="006D7A99">
      <w:pPr>
        <w:spacing w:after="0" w:line="336" w:lineRule="auto"/>
        <w:jc w:val="both"/>
      </w:pPr>
      <w:r w:rsidRPr="00CA148F">
        <w:rPr>
          <w:color w:val="000000" w:themeColor="text1"/>
        </w:rPr>
        <w:t>Sustained and increasing combustion of fossil fuels, as well as clearing of natural habitat</w:t>
      </w:r>
      <w:r>
        <w:rPr>
          <w:color w:val="000000" w:themeColor="text1"/>
        </w:rPr>
        <w:t>, especially forests,</w:t>
      </w:r>
      <w:r w:rsidRPr="00CA148F">
        <w:rPr>
          <w:color w:val="000000" w:themeColor="text1"/>
        </w:rPr>
        <w:t xml:space="preserve"> for farming and </w:t>
      </w:r>
      <w:r>
        <w:t>other human activity, is largely driven by population growth. The world’s population has risen 15-fold since the late 17</w:t>
      </w:r>
      <w:r w:rsidRPr="004522C3">
        <w:rPr>
          <w:vertAlign w:val="superscript"/>
        </w:rPr>
        <w:t>th</w:t>
      </w:r>
      <w:r>
        <w:t xml:space="preserve"> century (90) and is expected to surge by </w:t>
      </w:r>
      <w:r>
        <w:lastRenderedPageBreak/>
        <w:t xml:space="preserve">a further two billion, to 9.7 billion persons, by 2050. As one investigator explains: "...every week an extra 1.5 million people need food and somewhere to live. This amounts to a huge new city each week, somewhere, which destroys wildlife habitats and augments world fossil fuel consumption" </w:t>
      </w:r>
      <w:r w:rsidRPr="00710EF3">
        <w:rPr>
          <w:sz w:val="14"/>
          <w:szCs w:val="14"/>
        </w:rPr>
        <w:t>(55)</w:t>
      </w:r>
      <w:r>
        <w:t>.</w:t>
      </w:r>
    </w:p>
    <w:p w14:paraId="4492D5BA" w14:textId="77777777" w:rsidR="006D7A99" w:rsidRPr="00CC4059" w:rsidRDefault="006D7A99" w:rsidP="006D7A99">
      <w:pPr>
        <w:spacing w:after="0" w:line="240" w:lineRule="auto"/>
        <w:jc w:val="both"/>
        <w:rPr>
          <w:sz w:val="8"/>
          <w:szCs w:val="8"/>
        </w:rPr>
      </w:pPr>
      <w:r>
        <w:rPr>
          <w:b/>
          <w:bCs/>
          <w:noProof/>
          <w:color w:val="1F3864" w:themeColor="accent1" w:themeShade="80"/>
        </w:rPr>
        <w:drawing>
          <wp:anchor distT="0" distB="0" distL="114300" distR="114300" simplePos="0" relativeHeight="252063744" behindDoc="0" locked="0" layoutInCell="1" allowOverlap="1" wp14:anchorId="1944754E" wp14:editId="7254FCF0">
            <wp:simplePos x="0" y="0"/>
            <wp:positionH relativeFrom="margin">
              <wp:align>left</wp:align>
            </wp:positionH>
            <wp:positionV relativeFrom="paragraph">
              <wp:posOffset>62230</wp:posOffset>
            </wp:positionV>
            <wp:extent cx="827405" cy="539750"/>
            <wp:effectExtent l="0" t="0" r="0" b="0"/>
            <wp:wrapSquare wrapText="bothSides"/>
            <wp:docPr id="382" name="Pictur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Environment - Temp and CO2 levels.jpg"/>
                    <pic:cNvPicPr/>
                  </pic:nvPicPr>
                  <pic:blipFill rotWithShape="1">
                    <a:blip r:embed="rId346" cstate="print">
                      <a:extLst>
                        <a:ext uri="{28A0092B-C50C-407E-A947-70E740481C1C}">
                          <a14:useLocalDpi xmlns:a14="http://schemas.microsoft.com/office/drawing/2010/main" val="0"/>
                        </a:ext>
                      </a:extLst>
                    </a:blip>
                    <a:srcRect l="19368" t="13287" r="18238" b="17806"/>
                    <a:stretch/>
                  </pic:blipFill>
                  <pic:spPr bwMode="auto">
                    <a:xfrm>
                      <a:off x="0" y="0"/>
                      <a:ext cx="827405" cy="539750"/>
                    </a:xfrm>
                    <a:prstGeom prst="rect">
                      <a:avLst/>
                    </a:prstGeom>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1E29FE" w14:textId="77777777" w:rsidR="006D7A99" w:rsidRPr="003F2AAE" w:rsidRDefault="006D7A99" w:rsidP="006D7A99">
      <w:pPr>
        <w:spacing w:after="0" w:line="336" w:lineRule="auto"/>
        <w:jc w:val="both"/>
        <w:rPr>
          <w:b/>
          <w:bCs/>
          <w:color w:val="1F3864" w:themeColor="accent1" w:themeShade="80"/>
        </w:rPr>
      </w:pPr>
      <w:r w:rsidRPr="003F2AAE">
        <w:rPr>
          <w:b/>
          <w:bCs/>
          <w:color w:val="1F3864" w:themeColor="accent1" w:themeShade="80"/>
        </w:rPr>
        <w:t>Observed Changes to Climate</w:t>
      </w:r>
    </w:p>
    <w:p w14:paraId="303DE4EB" w14:textId="77777777" w:rsidR="006D7A99" w:rsidRDefault="006D7A99" w:rsidP="006D7A99">
      <w:pPr>
        <w:spacing w:after="0" w:line="336" w:lineRule="auto"/>
        <w:jc w:val="both"/>
      </w:pPr>
      <w:r>
        <w:t xml:space="preserve">During the past two hundred years, accelerating industrial activity has been matched by rising fossil fuel consumption </w:t>
      </w:r>
      <w:r w:rsidRPr="00710EF3">
        <w:rPr>
          <w:sz w:val="14"/>
          <w:szCs w:val="14"/>
        </w:rPr>
        <w:t>(4)</w:t>
      </w:r>
      <w:r>
        <w:t xml:space="preserve">, raising atmospheric carbon dioxide from 280 parts per million to more than 400 ppm at present </w:t>
      </w:r>
      <w:r w:rsidRPr="00710EF3">
        <w:rPr>
          <w:sz w:val="14"/>
          <w:szCs w:val="14"/>
        </w:rPr>
        <w:t>(13)</w:t>
      </w:r>
      <w:r>
        <w:t xml:space="preserve"> – a level unsurpassed in the preceding two million years </w:t>
      </w:r>
      <w:r w:rsidRPr="00710EF3">
        <w:rPr>
          <w:sz w:val="14"/>
          <w:szCs w:val="14"/>
        </w:rPr>
        <w:t>(14)</w:t>
      </w:r>
      <w:r>
        <w:t xml:space="preserve">. </w:t>
      </w:r>
    </w:p>
    <w:p w14:paraId="5183D793" w14:textId="77777777" w:rsidR="006D7A99" w:rsidRDefault="006D7A99" w:rsidP="006D7A99">
      <w:pPr>
        <w:spacing w:after="0" w:line="336" w:lineRule="auto"/>
        <w:jc w:val="both"/>
      </w:pPr>
      <w:r>
        <w:rPr>
          <w:noProof/>
        </w:rPr>
        <w:drawing>
          <wp:anchor distT="0" distB="0" distL="114300" distR="114300" simplePos="0" relativeHeight="252076032" behindDoc="0" locked="0" layoutInCell="1" allowOverlap="1" wp14:anchorId="41786797" wp14:editId="432AF4FB">
            <wp:simplePos x="0" y="0"/>
            <wp:positionH relativeFrom="margin">
              <wp:posOffset>52387</wp:posOffset>
            </wp:positionH>
            <wp:positionV relativeFrom="paragraph">
              <wp:posOffset>230823</wp:posOffset>
            </wp:positionV>
            <wp:extent cx="2976245" cy="2327275"/>
            <wp:effectExtent l="0" t="0" r="0" b="0"/>
            <wp:wrapSquare wrapText="bothSides"/>
            <wp:docPr id="383" name="Picture 383">
              <a:extLst xmlns:a="http://schemas.openxmlformats.org/drawingml/2006/main">
                <a:ext uri="{FF2B5EF4-FFF2-40B4-BE49-F238E27FC236}">
                  <a16:creationId xmlns:a16="http://schemas.microsoft.com/office/drawing/2014/main" id="{C1C8ABF0-64AF-4EF1-9E8D-AAE6F96FCA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1C8ABF0-64AF-4EF1-9E8D-AAE6F96FCA93}"/>
                        </a:ext>
                      </a:extLst>
                    </pic:cNvPr>
                    <pic:cNvPicPr>
                      <a:picLocks noChangeAspect="1"/>
                    </pic:cNvPicPr>
                  </pic:nvPicPr>
                  <pic:blipFill rotWithShape="1">
                    <a:blip r:embed="rId347" cstate="print">
                      <a:extLst>
                        <a:ext uri="{28A0092B-C50C-407E-A947-70E740481C1C}">
                          <a14:useLocalDpi xmlns:a14="http://schemas.microsoft.com/office/drawing/2010/main" val="0"/>
                        </a:ext>
                      </a:extLst>
                    </a:blip>
                    <a:srcRect t="18033" b="6095"/>
                    <a:stretch/>
                  </pic:blipFill>
                  <pic:spPr bwMode="auto">
                    <a:xfrm>
                      <a:off x="0" y="0"/>
                      <a:ext cx="2976245" cy="2327275"/>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This has caused a rise in average global temperatures of about one degree during the past 150 years </w:t>
      </w:r>
      <w:r w:rsidRPr="00710EF3">
        <w:rPr>
          <w:sz w:val="14"/>
          <w:szCs w:val="14"/>
        </w:rPr>
        <w:t>(10, 9, 51)</w:t>
      </w:r>
      <w:r>
        <w:t xml:space="preserve">. Much of this change has occurred in recent years, with each of the past few decades warmer than any since 1850 </w:t>
      </w:r>
      <w:r w:rsidRPr="00710EF3">
        <w:rPr>
          <w:sz w:val="14"/>
          <w:szCs w:val="14"/>
        </w:rPr>
        <w:t>(4)</w:t>
      </w:r>
      <w:r>
        <w:t xml:space="preserve">, and NASA reporting that the past five years had been the warmest five years in centuries </w:t>
      </w:r>
      <w:r w:rsidRPr="00710EF3">
        <w:rPr>
          <w:sz w:val="14"/>
          <w:szCs w:val="14"/>
        </w:rPr>
        <w:t>(10)</w:t>
      </w:r>
      <w:r>
        <w:t xml:space="preserve">. </w:t>
      </w:r>
    </w:p>
    <w:p w14:paraId="49F1F1D3" w14:textId="77777777" w:rsidR="006D7A99" w:rsidRPr="00024136" w:rsidRDefault="006D7A99" w:rsidP="006D7A99">
      <w:pPr>
        <w:spacing w:after="0" w:line="240" w:lineRule="auto"/>
        <w:jc w:val="both"/>
        <w:rPr>
          <w:sz w:val="10"/>
          <w:szCs w:val="10"/>
        </w:rPr>
      </w:pPr>
    </w:p>
    <w:p w14:paraId="61D71A2B" w14:textId="77777777" w:rsidR="006D7A99" w:rsidRPr="00C6767C" w:rsidRDefault="006D7A99" w:rsidP="006D7A99">
      <w:pPr>
        <w:spacing w:after="0" w:line="240" w:lineRule="auto"/>
        <w:jc w:val="both"/>
        <w:rPr>
          <w:color w:val="7F7F7F" w:themeColor="text1" w:themeTint="80"/>
          <w:sz w:val="20"/>
          <w:szCs w:val="20"/>
        </w:rPr>
      </w:pPr>
      <w:r w:rsidRPr="00C6767C">
        <w:rPr>
          <w:color w:val="7F7F7F" w:themeColor="text1" w:themeTint="80"/>
          <w:sz w:val="20"/>
          <w:szCs w:val="20"/>
        </w:rPr>
        <w:t>Temperature average difference from 1961-1990 average temperature</w:t>
      </w:r>
      <w:r>
        <w:rPr>
          <w:color w:val="7F7F7F" w:themeColor="text1" w:themeTint="80"/>
          <w:sz w:val="20"/>
          <w:szCs w:val="20"/>
        </w:rPr>
        <w:t>: 1750-2019</w:t>
      </w:r>
      <w:r w:rsidRPr="00C6767C">
        <w:rPr>
          <w:color w:val="7F7F7F" w:themeColor="text1" w:themeTint="80"/>
          <w:sz w:val="20"/>
          <w:szCs w:val="20"/>
        </w:rPr>
        <w:t xml:space="preserve"> </w:t>
      </w:r>
      <w:r w:rsidRPr="006A62C2">
        <w:rPr>
          <w:color w:val="7F7F7F" w:themeColor="text1" w:themeTint="80"/>
          <w:sz w:val="16"/>
          <w:szCs w:val="16"/>
        </w:rPr>
        <w:t>(31)</w:t>
      </w:r>
    </w:p>
    <w:p w14:paraId="1413E0C1" w14:textId="77777777" w:rsidR="006D7A99" w:rsidRDefault="006D7A99" w:rsidP="006D7A99">
      <w:pPr>
        <w:spacing w:after="0" w:line="240" w:lineRule="auto"/>
        <w:jc w:val="both"/>
        <w:rPr>
          <w:sz w:val="10"/>
          <w:szCs w:val="10"/>
        </w:rPr>
      </w:pPr>
    </w:p>
    <w:p w14:paraId="59A20CA0" w14:textId="77777777" w:rsidR="006D7A99" w:rsidRDefault="006D7A99" w:rsidP="006D7A99">
      <w:pPr>
        <w:spacing w:after="0" w:line="336" w:lineRule="auto"/>
        <w:jc w:val="both"/>
      </w:pPr>
      <w:r>
        <w:t xml:space="preserve">If greenhouse emissions decline, global temperatures are forecast to rise by a further three degrees </w:t>
      </w:r>
      <w:r w:rsidRPr="00710EF3">
        <w:rPr>
          <w:sz w:val="14"/>
          <w:szCs w:val="14"/>
        </w:rPr>
        <w:t>(41, 48)</w:t>
      </w:r>
      <w:r>
        <w:t xml:space="preserve"> while if no action is taken to arrest global warming, the CSIRO warns of a 5.1 degree rise by the close of the century </w:t>
      </w:r>
      <w:r w:rsidRPr="00710EF3">
        <w:rPr>
          <w:sz w:val="14"/>
          <w:szCs w:val="14"/>
        </w:rPr>
        <w:t>(1)</w:t>
      </w:r>
      <w:r>
        <w:t xml:space="preserve">. </w:t>
      </w:r>
    </w:p>
    <w:p w14:paraId="38CB3F06" w14:textId="77777777" w:rsidR="006D7A99" w:rsidRDefault="006D7A99" w:rsidP="006D7A99">
      <w:pPr>
        <w:spacing w:after="0" w:line="336" w:lineRule="auto"/>
        <w:jc w:val="both"/>
      </w:pPr>
      <w:r>
        <w:t xml:space="preserve">Temperature changes of this scale may trigger major climatic changes: the Australian Academy of Science informs us that the last ice age, 20,000 years ago, was just five degrees colder than today, yet the earth was largely engulfed in ice and the oceans were 100 meters lower than current levels </w:t>
      </w:r>
      <w:r w:rsidRPr="00710EF3">
        <w:rPr>
          <w:sz w:val="14"/>
          <w:szCs w:val="14"/>
        </w:rPr>
        <w:t>(41).</w:t>
      </w:r>
    </w:p>
    <w:p w14:paraId="683DAE68" w14:textId="77777777" w:rsidR="006D7A99" w:rsidRDefault="006D7A99" w:rsidP="006D7A99">
      <w:pPr>
        <w:spacing w:after="0" w:line="240" w:lineRule="auto"/>
        <w:jc w:val="both"/>
        <w:rPr>
          <w:sz w:val="10"/>
          <w:szCs w:val="10"/>
        </w:rPr>
      </w:pPr>
    </w:p>
    <w:p w14:paraId="2158B4D5" w14:textId="77777777" w:rsidR="006D7A99" w:rsidRPr="003F2AAE" w:rsidRDefault="006D7A99" w:rsidP="006D7A99">
      <w:pPr>
        <w:spacing w:after="0" w:line="336" w:lineRule="auto"/>
        <w:jc w:val="both"/>
        <w:rPr>
          <w:i/>
          <w:iCs/>
          <w:color w:val="1F3864" w:themeColor="accent1" w:themeShade="80"/>
        </w:rPr>
      </w:pPr>
      <w:r>
        <w:rPr>
          <w:i/>
          <w:iCs/>
          <w:noProof/>
          <w:color w:val="1F3864" w:themeColor="accent1" w:themeShade="80"/>
        </w:rPr>
        <w:drawing>
          <wp:anchor distT="0" distB="0" distL="114300" distR="114300" simplePos="0" relativeHeight="252073984" behindDoc="0" locked="0" layoutInCell="1" allowOverlap="1" wp14:anchorId="620514F4" wp14:editId="7801B153">
            <wp:simplePos x="0" y="0"/>
            <wp:positionH relativeFrom="column">
              <wp:posOffset>-635</wp:posOffset>
            </wp:positionH>
            <wp:positionV relativeFrom="paragraph">
              <wp:posOffset>31115</wp:posOffset>
            </wp:positionV>
            <wp:extent cx="827405" cy="539750"/>
            <wp:effectExtent l="0" t="0" r="0" b="0"/>
            <wp:wrapSquare wrapText="bothSides"/>
            <wp:docPr id="384" name="Picture 384" descr="Lightning striking the ground&#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17" descr="Lightning striking the ground&#10;&#10;Description automatically generated with medium confidence"/>
                    <pic:cNvPicPr/>
                  </pic:nvPicPr>
                  <pic:blipFill>
                    <a:blip r:embed="rId348" cstate="print">
                      <a:extLst>
                        <a:ext uri="{28A0092B-C50C-407E-A947-70E740481C1C}">
                          <a14:useLocalDpi xmlns:a14="http://schemas.microsoft.com/office/drawing/2010/main" val="0"/>
                        </a:ext>
                      </a:extLst>
                    </a:blip>
                    <a:stretch>
                      <a:fillRect/>
                    </a:stretch>
                  </pic:blipFill>
                  <pic:spPr>
                    <a:xfrm>
                      <a:off x="0" y="0"/>
                      <a:ext cx="827405" cy="53975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sidRPr="003F2AAE">
        <w:rPr>
          <w:i/>
          <w:iCs/>
          <w:color w:val="1F3864" w:themeColor="accent1" w:themeShade="80"/>
        </w:rPr>
        <w:t>Extreme Weather Events</w:t>
      </w:r>
    </w:p>
    <w:p w14:paraId="631E1C2E" w14:textId="77777777" w:rsidR="006D7A99" w:rsidRDefault="006D7A99" w:rsidP="006D7A99">
      <w:pPr>
        <w:spacing w:after="0" w:line="336" w:lineRule="auto"/>
        <w:jc w:val="both"/>
      </w:pPr>
      <w:r>
        <w:t xml:space="preserve">Climate change is expected to raise the intensity and frequency of extreme weather events, such as flooding, droughts, fires, heat waves, hurricanes and cyclones </w:t>
      </w:r>
      <w:r w:rsidRPr="00710EF3">
        <w:rPr>
          <w:sz w:val="14"/>
          <w:szCs w:val="14"/>
        </w:rPr>
        <w:t>(2, 5, 41),</w:t>
      </w:r>
      <w:r>
        <w:t xml:space="preserve"> with Australia among the regions of the world most vulnerable to such circumstances </w:t>
      </w:r>
      <w:r w:rsidRPr="00710EF3">
        <w:rPr>
          <w:sz w:val="14"/>
          <w:szCs w:val="14"/>
        </w:rPr>
        <w:t>(3)</w:t>
      </w:r>
      <w:r>
        <w:t>.</w:t>
      </w:r>
    </w:p>
    <w:p w14:paraId="152BF185" w14:textId="77777777" w:rsidR="006D7A99" w:rsidRPr="00CA148F" w:rsidRDefault="006D7A99" w:rsidP="006D7A99">
      <w:pPr>
        <w:spacing w:after="0" w:line="336" w:lineRule="auto"/>
        <w:jc w:val="both"/>
        <w:rPr>
          <w:color w:val="000000" w:themeColor="text1"/>
        </w:rPr>
      </w:pPr>
      <w:r>
        <w:t xml:space="preserve">A rising frequency of fire-risk days due to rising temperatures and drying conditions is forecast in the southeast </w:t>
      </w:r>
      <w:r w:rsidRPr="00710EF3">
        <w:rPr>
          <w:sz w:val="14"/>
          <w:szCs w:val="14"/>
        </w:rPr>
        <w:t>(4)</w:t>
      </w:r>
      <w:r>
        <w:t xml:space="preserve">, coupled with declining rainfall and snow </w:t>
      </w:r>
      <w:r w:rsidRPr="00710EF3">
        <w:rPr>
          <w:sz w:val="14"/>
          <w:szCs w:val="14"/>
        </w:rPr>
        <w:t>(2, 4)</w:t>
      </w:r>
      <w:r>
        <w:t xml:space="preserve">, and an increase in droughts </w:t>
      </w:r>
      <w:r w:rsidRPr="00710EF3">
        <w:rPr>
          <w:sz w:val="14"/>
          <w:szCs w:val="14"/>
        </w:rPr>
        <w:t>(3, 11)</w:t>
      </w:r>
      <w:r>
        <w:t xml:space="preserve">. </w:t>
      </w:r>
    </w:p>
    <w:p w14:paraId="51DD48DE" w14:textId="77777777" w:rsidR="006D7A99" w:rsidRDefault="006D7A99" w:rsidP="006D7A99">
      <w:pPr>
        <w:spacing w:after="0" w:line="336" w:lineRule="auto"/>
        <w:jc w:val="both"/>
      </w:pPr>
      <w:r>
        <w:t xml:space="preserve">Despite these developments, a rise in the number of heavy rainfall events is also expected in Australia and around the world. </w:t>
      </w:r>
      <w:r w:rsidRPr="00CA148F">
        <w:rPr>
          <w:color w:val="000000" w:themeColor="text1"/>
        </w:rPr>
        <w:t xml:space="preserve">Climate change is also expected to </w:t>
      </w:r>
      <w:r>
        <w:rPr>
          <w:color w:val="000000" w:themeColor="text1"/>
        </w:rPr>
        <w:t>worsen</w:t>
      </w:r>
      <w:r w:rsidRPr="00CA148F">
        <w:rPr>
          <w:color w:val="000000" w:themeColor="text1"/>
        </w:rPr>
        <w:t xml:space="preserve"> storms and floods </w:t>
      </w:r>
      <w:r>
        <w:rPr>
          <w:color w:val="000000" w:themeColor="text1"/>
        </w:rPr>
        <w:t xml:space="preserve">around the world </w:t>
      </w:r>
      <w:r w:rsidRPr="00CA148F">
        <w:rPr>
          <w:color w:val="000000" w:themeColor="text1"/>
        </w:rPr>
        <w:t>(</w:t>
      </w:r>
      <w:r w:rsidRPr="00710EF3">
        <w:rPr>
          <w:sz w:val="14"/>
          <w:szCs w:val="14"/>
        </w:rPr>
        <w:t>2, 10)</w:t>
      </w:r>
      <w:r w:rsidRPr="00CA148F">
        <w:rPr>
          <w:color w:val="000000" w:themeColor="text1"/>
        </w:rPr>
        <w:t xml:space="preserve">, </w:t>
      </w:r>
      <w:r>
        <w:rPr>
          <w:color w:val="000000" w:themeColor="text1"/>
        </w:rPr>
        <w:t>including</w:t>
      </w:r>
      <w:r w:rsidRPr="00CA148F">
        <w:rPr>
          <w:color w:val="000000" w:themeColor="text1"/>
        </w:rPr>
        <w:t xml:space="preserve"> Victoria </w:t>
      </w:r>
      <w:r w:rsidRPr="00710EF3">
        <w:rPr>
          <w:sz w:val="14"/>
          <w:szCs w:val="14"/>
        </w:rPr>
        <w:t>(4, 11)</w:t>
      </w:r>
      <w:r w:rsidRPr="00CA148F">
        <w:rPr>
          <w:color w:val="000000" w:themeColor="text1"/>
        </w:rPr>
        <w:t>.</w:t>
      </w:r>
      <w:r>
        <w:t xml:space="preserve"> </w:t>
      </w:r>
    </w:p>
    <w:p w14:paraId="3141466A" w14:textId="77777777" w:rsidR="006D7A99" w:rsidRDefault="006D7A99" w:rsidP="006D7A99">
      <w:pPr>
        <w:spacing w:after="0" w:line="336" w:lineRule="auto"/>
        <w:jc w:val="both"/>
      </w:pPr>
      <w:r>
        <w:t xml:space="preserve">Further trends include rapid melting of ice, currently raising sea levels by an average of 3 mm. per year </w:t>
      </w:r>
      <w:r w:rsidRPr="00710EF3">
        <w:rPr>
          <w:sz w:val="14"/>
          <w:szCs w:val="14"/>
        </w:rPr>
        <w:t>(51)</w:t>
      </w:r>
      <w:r>
        <w:t xml:space="preserve"> and exposing coastal and island communities to the risk of flooding </w:t>
      </w:r>
      <w:r w:rsidRPr="00710EF3">
        <w:rPr>
          <w:sz w:val="14"/>
          <w:szCs w:val="14"/>
        </w:rPr>
        <w:t>(10, 4, 5, 11)</w:t>
      </w:r>
      <w:r>
        <w:t xml:space="preserve">. Rising sea levels are likely to persist for centuries, regardless of any steps taken to arrest climate change in the meantime </w:t>
      </w:r>
      <w:r w:rsidRPr="00710EF3">
        <w:rPr>
          <w:sz w:val="14"/>
          <w:szCs w:val="14"/>
        </w:rPr>
        <w:t>(4)</w:t>
      </w:r>
      <w:r>
        <w:t>.</w:t>
      </w:r>
    </w:p>
    <w:p w14:paraId="30371B36" w14:textId="77777777" w:rsidR="006D7A99" w:rsidRPr="00022051" w:rsidRDefault="006D7A99" w:rsidP="006D7A99">
      <w:pPr>
        <w:spacing w:after="0" w:line="336" w:lineRule="auto"/>
        <w:jc w:val="both"/>
        <w:rPr>
          <w:sz w:val="8"/>
          <w:szCs w:val="8"/>
        </w:rPr>
      </w:pPr>
    </w:p>
    <w:p w14:paraId="4D1BC421" w14:textId="77777777" w:rsidR="006D7A99" w:rsidRPr="00925183" w:rsidRDefault="006D7A99" w:rsidP="006D7A99">
      <w:pPr>
        <w:spacing w:after="0" w:line="336" w:lineRule="auto"/>
        <w:jc w:val="both"/>
        <w:rPr>
          <w:rFonts w:ascii="Garamond" w:hAnsi="Garamond"/>
          <w:color w:val="1F3864" w:themeColor="accent1" w:themeShade="80"/>
          <w:sz w:val="24"/>
          <w:szCs w:val="24"/>
        </w:rPr>
      </w:pPr>
      <w:r w:rsidRPr="00925183">
        <w:rPr>
          <w:rFonts w:ascii="Garamond" w:hAnsi="Garamond"/>
          <w:color w:val="1F3864" w:themeColor="accent1" w:themeShade="80"/>
          <w:sz w:val="24"/>
          <w:szCs w:val="24"/>
        </w:rPr>
        <w:t>IMPACTS OF CLIMATE CHANGE</w:t>
      </w:r>
    </w:p>
    <w:p w14:paraId="3D3FF3D7"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59648" behindDoc="0" locked="0" layoutInCell="1" allowOverlap="1" wp14:anchorId="73FCB170" wp14:editId="4030124B">
            <wp:simplePos x="0" y="0"/>
            <wp:positionH relativeFrom="margin">
              <wp:align>left</wp:align>
            </wp:positionH>
            <wp:positionV relativeFrom="paragraph">
              <wp:posOffset>6985</wp:posOffset>
            </wp:positionV>
            <wp:extent cx="827405" cy="539750"/>
            <wp:effectExtent l="0" t="0" r="0" b="0"/>
            <wp:wrapSquare wrapText="bothSides"/>
            <wp:docPr id="385" name="Picture 385" descr="A picture containing sky, ground, outdoor, st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Environment - Drought.jfif"/>
                    <pic:cNvPicPr/>
                  </pic:nvPicPr>
                  <pic:blipFill>
                    <a:blip r:embed="rId349" cstate="print">
                      <a:extLst>
                        <a:ext uri="{28A0092B-C50C-407E-A947-70E740481C1C}">
                          <a14:useLocalDpi xmlns:a14="http://schemas.microsoft.com/office/drawing/2010/main" val="0"/>
                        </a:ext>
                      </a:extLst>
                    </a:blip>
                    <a:stretch>
                      <a:fillRect/>
                    </a:stretch>
                  </pic:blipFill>
                  <pic:spPr>
                    <a:xfrm>
                      <a:off x="0" y="0"/>
                      <a:ext cx="827405" cy="53975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sidRPr="003F2AAE">
        <w:rPr>
          <w:b/>
          <w:bCs/>
          <w:color w:val="1F3864" w:themeColor="accent1" w:themeShade="80"/>
        </w:rPr>
        <w:t>Agricultural Disruption</w:t>
      </w:r>
    </w:p>
    <w:p w14:paraId="597A4E61" w14:textId="77777777" w:rsidR="006D7A99" w:rsidRDefault="006D7A99" w:rsidP="006D7A99">
      <w:pPr>
        <w:spacing w:after="0" w:line="336" w:lineRule="auto"/>
        <w:jc w:val="both"/>
      </w:pPr>
      <w:r>
        <w:t xml:space="preserve">Rising temperatures and declining rainfall throughout the world are expected to increase the frequency and duration of droughts </w:t>
      </w:r>
      <w:r w:rsidRPr="00710EF3">
        <w:rPr>
          <w:sz w:val="14"/>
          <w:szCs w:val="14"/>
        </w:rPr>
        <w:t>(7, 10)</w:t>
      </w:r>
      <w:r>
        <w:t xml:space="preserve">, thereby reducing water available for irrigation </w:t>
      </w:r>
      <w:r>
        <w:lastRenderedPageBreak/>
        <w:t xml:space="preserve">of crops and the reducing productivity of livestock </w:t>
      </w:r>
      <w:r w:rsidRPr="00710EF3">
        <w:rPr>
          <w:sz w:val="14"/>
          <w:szCs w:val="14"/>
        </w:rPr>
        <w:t>(2)</w:t>
      </w:r>
      <w:r>
        <w:t xml:space="preserve">. Australian forecasts point to a temperature rise of four degrees in Victoria and Melbourne during the next fifty years, a doubling in the days over 35 degrees, and dwindling rainfall </w:t>
      </w:r>
      <w:r w:rsidRPr="00710EF3">
        <w:rPr>
          <w:sz w:val="14"/>
          <w:szCs w:val="14"/>
        </w:rPr>
        <w:t>(8)</w:t>
      </w:r>
      <w:r>
        <w:t xml:space="preserve">, reducing water available for agriculture and diminishing crops </w:t>
      </w:r>
      <w:r w:rsidRPr="00710EF3">
        <w:rPr>
          <w:sz w:val="14"/>
          <w:szCs w:val="14"/>
        </w:rPr>
        <w:t>(2)</w:t>
      </w:r>
      <w:r>
        <w:t xml:space="preserve">. </w:t>
      </w:r>
    </w:p>
    <w:p w14:paraId="441DBFD2" w14:textId="77777777" w:rsidR="006D7A99" w:rsidRDefault="006D7A99" w:rsidP="006D7A99">
      <w:pPr>
        <w:spacing w:after="0" w:line="336" w:lineRule="auto"/>
        <w:jc w:val="both"/>
      </w:pPr>
      <w:r>
        <w:t xml:space="preserve">Further risks to agriculture associated with global warming include the disruption of pollination of plants by insects and other animals </w:t>
      </w:r>
      <w:r w:rsidRPr="00710EF3">
        <w:rPr>
          <w:sz w:val="14"/>
          <w:szCs w:val="14"/>
        </w:rPr>
        <w:t>(78, 51)</w:t>
      </w:r>
      <w:r>
        <w:t>, and</w:t>
      </w:r>
      <w:r w:rsidRPr="009B37D1">
        <w:rPr>
          <w:color w:val="000000" w:themeColor="text1"/>
        </w:rPr>
        <w:t xml:space="preserve"> </w:t>
      </w:r>
      <w:r>
        <w:rPr>
          <w:color w:val="000000" w:themeColor="text1"/>
        </w:rPr>
        <w:t xml:space="preserve">the introduction of </w:t>
      </w:r>
      <w:r w:rsidRPr="009B37D1">
        <w:rPr>
          <w:color w:val="000000" w:themeColor="text1"/>
        </w:rPr>
        <w:t xml:space="preserve">new pests to the environment </w:t>
      </w:r>
      <w:r w:rsidRPr="00710EF3">
        <w:rPr>
          <w:sz w:val="14"/>
          <w:szCs w:val="14"/>
        </w:rPr>
        <w:t>(80, 81)</w:t>
      </w:r>
      <w:r>
        <w:t>.</w:t>
      </w:r>
    </w:p>
    <w:p w14:paraId="4454BA4C" w14:textId="77777777" w:rsidR="006D7A99" w:rsidRDefault="006D7A99" w:rsidP="006D7A99">
      <w:pPr>
        <w:spacing w:after="0" w:line="336" w:lineRule="auto"/>
        <w:jc w:val="both"/>
      </w:pPr>
      <w:r>
        <w:t xml:space="preserve">The impacts of climate change upon agriculture may be accentuated by the loss of farming land. Nearly one third of the world’s arable land was lost in the past 40 years due to poor conservation practices, and soil is now being depleted between 10 and 100 times faster than it is forming </w:t>
      </w:r>
      <w:r w:rsidRPr="00710EF3">
        <w:rPr>
          <w:sz w:val="14"/>
          <w:szCs w:val="14"/>
        </w:rPr>
        <w:t>(20)</w:t>
      </w:r>
      <w:r>
        <w:t>.</w:t>
      </w:r>
    </w:p>
    <w:p w14:paraId="017BDBBE" w14:textId="77777777" w:rsidR="006D7A99" w:rsidRPr="002165CF" w:rsidRDefault="006D7A99" w:rsidP="006D7A99">
      <w:pPr>
        <w:spacing w:after="0" w:line="240" w:lineRule="auto"/>
        <w:jc w:val="both"/>
        <w:rPr>
          <w:sz w:val="10"/>
          <w:szCs w:val="10"/>
        </w:rPr>
      </w:pPr>
    </w:p>
    <w:p w14:paraId="07A9AB3E" w14:textId="77777777" w:rsidR="006D7A99" w:rsidRPr="003F2AAE" w:rsidRDefault="006D7A99" w:rsidP="006D7A99">
      <w:pPr>
        <w:spacing w:before="60" w:after="0" w:line="336" w:lineRule="auto"/>
        <w:jc w:val="both"/>
        <w:rPr>
          <w:i/>
          <w:iCs/>
          <w:color w:val="1F3864" w:themeColor="accent1" w:themeShade="80"/>
        </w:rPr>
      </w:pPr>
      <w:r>
        <w:rPr>
          <w:i/>
          <w:iCs/>
          <w:noProof/>
          <w:color w:val="1F3864" w:themeColor="accent1" w:themeShade="80"/>
        </w:rPr>
        <w:drawing>
          <wp:anchor distT="0" distB="0" distL="114300" distR="114300" simplePos="0" relativeHeight="252068864" behindDoc="0" locked="0" layoutInCell="1" allowOverlap="1" wp14:anchorId="0F3AA3C9" wp14:editId="57AA1602">
            <wp:simplePos x="0" y="0"/>
            <wp:positionH relativeFrom="column">
              <wp:posOffset>0</wp:posOffset>
            </wp:positionH>
            <wp:positionV relativeFrom="paragraph">
              <wp:posOffset>87842</wp:posOffset>
            </wp:positionV>
            <wp:extent cx="828000" cy="540000"/>
            <wp:effectExtent l="0" t="0" r="0" b="0"/>
            <wp:wrapSquare wrapText="bothSides"/>
            <wp:docPr id="386" name="Picture 386" descr="A picture containing person, indoor, bow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Environment - food insecurity.jpg"/>
                    <pic:cNvPicPr/>
                  </pic:nvPicPr>
                  <pic:blipFill>
                    <a:blip r:embed="rId350" cstate="print">
                      <a:extLst>
                        <a:ext uri="{28A0092B-C50C-407E-A947-70E740481C1C}">
                          <a14:useLocalDpi xmlns:a14="http://schemas.microsoft.com/office/drawing/2010/main" val="0"/>
                        </a:ext>
                      </a:extLst>
                    </a:blip>
                    <a:stretch>
                      <a:fillRect/>
                    </a:stretch>
                  </pic:blipFill>
                  <pic:spPr>
                    <a:xfrm>
                      <a:off x="0" y="0"/>
                      <a:ext cx="828000" cy="54000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sidRPr="003F2AAE">
        <w:rPr>
          <w:i/>
          <w:iCs/>
          <w:color w:val="1F3864" w:themeColor="accent1" w:themeShade="80"/>
        </w:rPr>
        <w:t>Impact on Food Production</w:t>
      </w:r>
    </w:p>
    <w:p w14:paraId="131B2B3D" w14:textId="77777777" w:rsidR="006D7A99" w:rsidRDefault="006D7A99" w:rsidP="006D7A99">
      <w:pPr>
        <w:spacing w:after="0" w:line="336" w:lineRule="auto"/>
        <w:jc w:val="both"/>
      </w:pPr>
      <w:r>
        <w:t xml:space="preserve">In Australia, rising temperatures are expected to deplete crops </w:t>
      </w:r>
      <w:r w:rsidRPr="00710EF3">
        <w:rPr>
          <w:sz w:val="14"/>
          <w:szCs w:val="14"/>
        </w:rPr>
        <w:t>(8)</w:t>
      </w:r>
      <w:r>
        <w:t xml:space="preserve">, with predictions that a temperature rise of three degrees may diminish crop yields of wheat by 18%, and fruit and vegetables by 14% </w:t>
      </w:r>
      <w:r w:rsidRPr="00710EF3">
        <w:rPr>
          <w:sz w:val="14"/>
          <w:szCs w:val="14"/>
        </w:rPr>
        <w:t>(41)</w:t>
      </w:r>
      <w:r>
        <w:t xml:space="preserve">, thereby raising the price of food and worsening hardship for more disadvantaged segments of the community </w:t>
      </w:r>
      <w:r w:rsidRPr="00710EF3">
        <w:rPr>
          <w:sz w:val="14"/>
          <w:szCs w:val="14"/>
        </w:rPr>
        <w:t>(66, 67)</w:t>
      </w:r>
      <w:r>
        <w:t xml:space="preserve">. These include people on low incomes and or without paid employment, who are represented in significant numbers among the Greater Dandenong community, and among whom a high prevalence of food insecurity is well-documented </w:t>
      </w:r>
      <w:r w:rsidRPr="00710EF3">
        <w:rPr>
          <w:sz w:val="14"/>
          <w:szCs w:val="14"/>
        </w:rPr>
        <w:t>(60, 61, 62, 63, 64, 65)</w:t>
      </w:r>
      <w:r>
        <w:t>.</w:t>
      </w:r>
    </w:p>
    <w:p w14:paraId="14568D9B" w14:textId="77777777" w:rsidR="006D7A99" w:rsidRDefault="006D7A99" w:rsidP="006D7A99">
      <w:pPr>
        <w:spacing w:after="0" w:line="336" w:lineRule="auto"/>
        <w:jc w:val="both"/>
      </w:pPr>
      <w:r>
        <w:t xml:space="preserve">Food rural communities, such declines in agricultural production may jeopardize their prosperity and wellbeing, displacing many of their residents from the land </w:t>
      </w:r>
      <w:r w:rsidRPr="00710EF3">
        <w:rPr>
          <w:sz w:val="14"/>
          <w:szCs w:val="14"/>
        </w:rPr>
        <w:t>(3)</w:t>
      </w:r>
      <w:r>
        <w:t>.</w:t>
      </w:r>
    </w:p>
    <w:p w14:paraId="5783253F" w14:textId="77777777" w:rsidR="006D7A99" w:rsidRPr="002165CF" w:rsidRDefault="006D7A99" w:rsidP="006D7A99">
      <w:pPr>
        <w:spacing w:after="0" w:line="240" w:lineRule="auto"/>
        <w:jc w:val="both"/>
        <w:rPr>
          <w:sz w:val="10"/>
          <w:szCs w:val="10"/>
        </w:rPr>
      </w:pPr>
    </w:p>
    <w:p w14:paraId="5D38D157" w14:textId="77777777" w:rsidR="006D7A99" w:rsidRPr="003F2AAE" w:rsidRDefault="006D7A99" w:rsidP="006D7A99">
      <w:pPr>
        <w:spacing w:before="60" w:after="0" w:line="336" w:lineRule="auto"/>
        <w:jc w:val="both"/>
        <w:rPr>
          <w:i/>
          <w:iCs/>
          <w:color w:val="1F3864" w:themeColor="accent1" w:themeShade="80"/>
        </w:rPr>
      </w:pPr>
      <w:r>
        <w:rPr>
          <w:i/>
          <w:iCs/>
          <w:noProof/>
          <w:color w:val="1F3864" w:themeColor="accent1" w:themeShade="80"/>
        </w:rPr>
        <w:drawing>
          <wp:anchor distT="0" distB="0" distL="114300" distR="114300" simplePos="0" relativeHeight="252070912" behindDoc="0" locked="0" layoutInCell="1" allowOverlap="1" wp14:anchorId="331B2936" wp14:editId="3408D855">
            <wp:simplePos x="0" y="0"/>
            <wp:positionH relativeFrom="column">
              <wp:posOffset>0</wp:posOffset>
            </wp:positionH>
            <wp:positionV relativeFrom="paragraph">
              <wp:posOffset>85937</wp:posOffset>
            </wp:positionV>
            <wp:extent cx="828000" cy="540000"/>
            <wp:effectExtent l="0" t="0" r="0" b="0"/>
            <wp:wrapSquare wrapText="bothSides"/>
            <wp:docPr id="387" name="Picture 387" descr="A picture containing person, colorful, ar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Environment - Starvation.jpg"/>
                    <pic:cNvPicPr/>
                  </pic:nvPicPr>
                  <pic:blipFill>
                    <a:blip r:embed="rId351" cstate="print">
                      <a:extLst>
                        <a:ext uri="{28A0092B-C50C-407E-A947-70E740481C1C}">
                          <a14:useLocalDpi xmlns:a14="http://schemas.microsoft.com/office/drawing/2010/main" val="0"/>
                        </a:ext>
                      </a:extLst>
                    </a:blip>
                    <a:stretch>
                      <a:fillRect/>
                    </a:stretch>
                  </pic:blipFill>
                  <pic:spPr>
                    <a:xfrm>
                      <a:off x="0" y="0"/>
                      <a:ext cx="828000" cy="54000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sidRPr="003F2AAE">
        <w:rPr>
          <w:i/>
          <w:iCs/>
          <w:color w:val="1F3864" w:themeColor="accent1" w:themeShade="80"/>
        </w:rPr>
        <w:t>Malnutrition</w:t>
      </w:r>
      <w:r>
        <w:rPr>
          <w:i/>
          <w:iCs/>
          <w:color w:val="1F3864" w:themeColor="accent1" w:themeShade="80"/>
        </w:rPr>
        <w:t xml:space="preserve"> and</w:t>
      </w:r>
      <w:r w:rsidRPr="003F2AAE">
        <w:rPr>
          <w:i/>
          <w:iCs/>
          <w:color w:val="1F3864" w:themeColor="accent1" w:themeShade="80"/>
        </w:rPr>
        <w:t xml:space="preserve"> Conflict </w:t>
      </w:r>
    </w:p>
    <w:p w14:paraId="67C3EAE4" w14:textId="77777777" w:rsidR="006D7A99" w:rsidRDefault="006D7A99" w:rsidP="006D7A99">
      <w:pPr>
        <w:spacing w:after="0" w:line="336" w:lineRule="auto"/>
        <w:jc w:val="both"/>
      </w:pPr>
      <w:r>
        <w:t xml:space="preserve">The United Nations reports that drying and degradation of the land, dwindling access to water and rising sea levels, due to climate change, are exacerbating world hunger </w:t>
      </w:r>
      <w:r w:rsidRPr="00710EF3">
        <w:rPr>
          <w:sz w:val="14"/>
          <w:szCs w:val="14"/>
        </w:rPr>
        <w:t>(95)</w:t>
      </w:r>
      <w:r>
        <w:t xml:space="preserve">, a trend which has prompted forecasts that by 2030, 100 million people may be plunged into poverty by climate change </w:t>
      </w:r>
      <w:r w:rsidRPr="00710EF3">
        <w:rPr>
          <w:sz w:val="14"/>
          <w:szCs w:val="14"/>
        </w:rPr>
        <w:t>(40)</w:t>
      </w:r>
      <w:r>
        <w:t xml:space="preserve">. Many expert observers caution that the resulting hunger, and competition for diminishing land and water resources, may ignite regional conflicts, displacing large numbers of people from their homelands and precipitating refugee crises throughout the world </w:t>
      </w:r>
      <w:r w:rsidRPr="00710EF3">
        <w:rPr>
          <w:sz w:val="14"/>
          <w:szCs w:val="14"/>
        </w:rPr>
        <w:t>(3, 4, 2)</w:t>
      </w:r>
      <w:r>
        <w:t>.</w:t>
      </w:r>
    </w:p>
    <w:p w14:paraId="6217296F" w14:textId="77777777" w:rsidR="006D7A99" w:rsidRPr="00CC4059" w:rsidRDefault="006D7A99" w:rsidP="006D7A99">
      <w:pPr>
        <w:spacing w:after="0" w:line="240" w:lineRule="auto"/>
        <w:jc w:val="both"/>
        <w:rPr>
          <w:sz w:val="12"/>
          <w:szCs w:val="12"/>
        </w:rPr>
      </w:pPr>
    </w:p>
    <w:p w14:paraId="2D9D63CA"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64768" behindDoc="0" locked="0" layoutInCell="1" allowOverlap="1" wp14:anchorId="525FF4F1" wp14:editId="4644A701">
            <wp:simplePos x="0" y="0"/>
            <wp:positionH relativeFrom="column">
              <wp:posOffset>-423</wp:posOffset>
            </wp:positionH>
            <wp:positionV relativeFrom="paragraph">
              <wp:posOffset>0</wp:posOffset>
            </wp:positionV>
            <wp:extent cx="828000" cy="540000"/>
            <wp:effectExtent l="0" t="0" r="0" b="0"/>
            <wp:wrapSquare wrapText="bothSides"/>
            <wp:docPr id="388" name="Picture 388" descr="A picture containing reef, nature, colors, colorfu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Environment - Marine Life.jpg"/>
                    <pic:cNvPicPr/>
                  </pic:nvPicPr>
                  <pic:blipFill>
                    <a:blip r:embed="rId352" cstate="print">
                      <a:extLst>
                        <a:ext uri="{28A0092B-C50C-407E-A947-70E740481C1C}">
                          <a14:useLocalDpi xmlns:a14="http://schemas.microsoft.com/office/drawing/2010/main" val="0"/>
                        </a:ext>
                      </a:extLst>
                    </a:blip>
                    <a:stretch>
                      <a:fillRect/>
                    </a:stretch>
                  </pic:blipFill>
                  <pic:spPr>
                    <a:xfrm>
                      <a:off x="0" y="0"/>
                      <a:ext cx="828000" cy="54000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Pr>
          <w:b/>
          <w:bCs/>
          <w:color w:val="1F3864" w:themeColor="accent1" w:themeShade="80"/>
        </w:rPr>
        <w:t>Destruction of</w:t>
      </w:r>
      <w:r w:rsidRPr="003F2AAE">
        <w:rPr>
          <w:b/>
          <w:bCs/>
          <w:color w:val="1F3864" w:themeColor="accent1" w:themeShade="80"/>
        </w:rPr>
        <w:t xml:space="preserve"> Marine Life </w:t>
      </w:r>
    </w:p>
    <w:p w14:paraId="0A09F568" w14:textId="77777777" w:rsidR="006D7A99" w:rsidRDefault="006D7A99" w:rsidP="006D7A99">
      <w:pPr>
        <w:spacing w:after="0" w:line="336" w:lineRule="auto"/>
        <w:jc w:val="both"/>
      </w:pPr>
      <w:r>
        <w:t xml:space="preserve">Global warming is raising the temperature of the sea, harming ocean life and commercial fishing areas. In addition, rising ocean temperatures are already inducing some marine species to move to cooler waters 'outside their normal range' </w:t>
      </w:r>
      <w:r w:rsidRPr="00710EF3">
        <w:rPr>
          <w:sz w:val="14"/>
          <w:szCs w:val="14"/>
        </w:rPr>
        <w:t>(3)</w:t>
      </w:r>
      <w:r>
        <w:t xml:space="preserve">, jeopardizing marine ecosystems and disrupting the fishing industry. Meantime, as carbon dioxide accumulates in the atmosphere, some dissolves into the sea water </w:t>
      </w:r>
      <w:r w:rsidRPr="00710EF3">
        <w:rPr>
          <w:sz w:val="14"/>
          <w:szCs w:val="14"/>
        </w:rPr>
        <w:t>(79)</w:t>
      </w:r>
      <w:r>
        <w:t xml:space="preserve"> raising the acidity of the oceans </w:t>
      </w:r>
      <w:r w:rsidRPr="00710EF3">
        <w:rPr>
          <w:sz w:val="14"/>
          <w:szCs w:val="14"/>
        </w:rPr>
        <w:t>(34)</w:t>
      </w:r>
      <w:r>
        <w:t xml:space="preserve">, damaging marine organisms and depleting biodiversity in many regions, including the Great Barrier Reef </w:t>
      </w:r>
      <w:r w:rsidRPr="00710EF3">
        <w:rPr>
          <w:sz w:val="14"/>
          <w:szCs w:val="14"/>
        </w:rPr>
        <w:t>(3)</w:t>
      </w:r>
      <w:r>
        <w:t xml:space="preserve">. Such acidification of oceans, once well underway, may take thousands of years to be reversed </w:t>
      </w:r>
      <w:r w:rsidRPr="00710EF3">
        <w:rPr>
          <w:sz w:val="14"/>
          <w:szCs w:val="14"/>
        </w:rPr>
        <w:t>(41)</w:t>
      </w:r>
      <w:r>
        <w:t xml:space="preserve">. </w:t>
      </w:r>
    </w:p>
    <w:p w14:paraId="3B185306" w14:textId="77777777" w:rsidR="006D7A99" w:rsidRPr="00CC4059" w:rsidRDefault="006D7A99" w:rsidP="006D7A99">
      <w:pPr>
        <w:spacing w:after="0" w:line="240" w:lineRule="auto"/>
        <w:jc w:val="both"/>
        <w:rPr>
          <w:sz w:val="12"/>
          <w:szCs w:val="12"/>
        </w:rPr>
      </w:pPr>
    </w:p>
    <w:p w14:paraId="2F35E885"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60672" behindDoc="0" locked="0" layoutInCell="1" allowOverlap="1" wp14:anchorId="52C7A8F4" wp14:editId="50A97F71">
            <wp:simplePos x="0" y="0"/>
            <wp:positionH relativeFrom="margin">
              <wp:align>left</wp:align>
            </wp:positionH>
            <wp:positionV relativeFrom="paragraph">
              <wp:posOffset>14605</wp:posOffset>
            </wp:positionV>
            <wp:extent cx="827405" cy="539750"/>
            <wp:effectExtent l="0" t="0" r="0" b="0"/>
            <wp:wrapSquare wrapText="bothSides"/>
            <wp:docPr id="389" name="Picture 389" descr="A picture containing outdoor, nature, wave, smok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Environment - Tidal surges.jfif"/>
                    <pic:cNvPicPr/>
                  </pic:nvPicPr>
                  <pic:blipFill rotWithShape="1">
                    <a:blip r:embed="rId353" cstate="print">
                      <a:extLst>
                        <a:ext uri="{28A0092B-C50C-407E-A947-70E740481C1C}">
                          <a14:useLocalDpi xmlns:a14="http://schemas.microsoft.com/office/drawing/2010/main" val="0"/>
                        </a:ext>
                      </a:extLst>
                    </a:blip>
                    <a:srcRect l="6588" t="13313" r="23253" b="21125"/>
                    <a:stretch/>
                  </pic:blipFill>
                  <pic:spPr bwMode="auto">
                    <a:xfrm>
                      <a:off x="0" y="0"/>
                      <a:ext cx="827405" cy="539750"/>
                    </a:xfrm>
                    <a:prstGeom prst="rect">
                      <a:avLst/>
                    </a:prstGeom>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2AAE">
        <w:rPr>
          <w:b/>
          <w:bCs/>
          <w:color w:val="1F3864" w:themeColor="accent1" w:themeShade="80"/>
        </w:rPr>
        <w:t>Rising Sea Levels and Coastal Flooding</w:t>
      </w:r>
    </w:p>
    <w:p w14:paraId="4225F9E7" w14:textId="79B2A99C" w:rsidR="006D7A99" w:rsidRDefault="006D7A99" w:rsidP="006D7A99">
      <w:pPr>
        <w:spacing w:after="0" w:line="336" w:lineRule="auto"/>
        <w:jc w:val="both"/>
      </w:pPr>
      <w:r>
        <w:t xml:space="preserve">As global average temperatures rise, ice resting upon Antarctica, Greenland and elsewhere will continue to melt and drain into the sea, thereby raising ocean levels. Until the nineteenth century, sea levels rose a few </w:t>
      </w:r>
      <w:r w:rsidR="00EC0707">
        <w:t>centimetres</w:t>
      </w:r>
      <w:r>
        <w:t xml:space="preserve"> each </w:t>
      </w:r>
      <w:r w:rsidRPr="003A09E2">
        <w:rPr>
          <w:i/>
          <w:iCs/>
        </w:rPr>
        <w:t>century</w:t>
      </w:r>
      <w:r>
        <w:t xml:space="preserve"> – a rate which has soared to 3 </w:t>
      </w:r>
      <w:r w:rsidR="00EC0707">
        <w:t>centimetres</w:t>
      </w:r>
      <w:r>
        <w:t xml:space="preserve"> per </w:t>
      </w:r>
      <w:r w:rsidRPr="002D6A11">
        <w:rPr>
          <w:i/>
          <w:iCs/>
        </w:rPr>
        <w:t>decade</w:t>
      </w:r>
      <w:r>
        <w:t xml:space="preserve"> in the past twenty years </w:t>
      </w:r>
      <w:r w:rsidRPr="00710EF3">
        <w:rPr>
          <w:sz w:val="14"/>
          <w:szCs w:val="14"/>
        </w:rPr>
        <w:t>(51)</w:t>
      </w:r>
      <w:r>
        <w:t xml:space="preserve">. It is forecast that sea levels may rise by up to two meters by the close </w:t>
      </w:r>
      <w:r>
        <w:lastRenderedPageBreak/>
        <w:t xml:space="preserve">of this century if the rate of carbon dioxide emissions does not slow, exposing an estimated 650 million people in coastal cities and communities to the risk of annual flooding </w:t>
      </w:r>
      <w:r w:rsidRPr="00710EF3">
        <w:rPr>
          <w:sz w:val="14"/>
          <w:szCs w:val="14"/>
        </w:rPr>
        <w:t>(73)</w:t>
      </w:r>
      <w:r>
        <w:t xml:space="preserve">. </w:t>
      </w:r>
    </w:p>
    <w:p w14:paraId="45F0E69D" w14:textId="77777777" w:rsidR="006D7A99" w:rsidRDefault="006D7A99" w:rsidP="006D7A99">
      <w:pPr>
        <w:spacing w:after="0" w:line="336" w:lineRule="auto"/>
        <w:jc w:val="both"/>
      </w:pPr>
      <w:r>
        <w:t xml:space="preserve">In addition, island nations such as Tonga, Fiji, Samoa, Tuvalu, Kiribati others face a growing menace to natural habitats, infrastructure, water supplies and farming, from rising storms, waves, tides and surges stemming from climate change </w:t>
      </w:r>
      <w:r w:rsidRPr="00710EF3">
        <w:rPr>
          <w:sz w:val="14"/>
          <w:szCs w:val="14"/>
        </w:rPr>
        <w:t>(75, 76)</w:t>
      </w:r>
      <w:r>
        <w:t>.</w:t>
      </w:r>
    </w:p>
    <w:p w14:paraId="45CBEAC1" w14:textId="77777777" w:rsidR="006D7A99" w:rsidRDefault="006D7A99" w:rsidP="006D7A99">
      <w:pPr>
        <w:spacing w:after="0" w:line="336" w:lineRule="auto"/>
        <w:jc w:val="both"/>
      </w:pPr>
      <w:r>
        <w:t xml:space="preserve">Increasing sea levels and storm surges are also a growing threat to coastal areas in Australia </w:t>
      </w:r>
      <w:r w:rsidRPr="00710EF3">
        <w:rPr>
          <w:sz w:val="14"/>
          <w:szCs w:val="14"/>
        </w:rPr>
        <w:t>(3,4)</w:t>
      </w:r>
      <w:r>
        <w:t xml:space="preserve">, with the Australian Academy of Science predicting that historical 1-in-100-year coastal flooding events are likely to occur </w:t>
      </w:r>
      <w:r w:rsidRPr="00844F9A">
        <w:rPr>
          <w:i/>
          <w:iCs/>
        </w:rPr>
        <w:t>annually</w:t>
      </w:r>
      <w:r>
        <w:t xml:space="preserve"> by 2100, jeopardizing people and infrastructure in many communities. Notably, more than 85% of Australia’s population lives along the coast, with an estimated $226 billion in commercial, industrial, road, rail and residential assets at risk of flooding in the event of a 1.1 m sea level rise by 2100 </w:t>
      </w:r>
      <w:r w:rsidRPr="00710EF3">
        <w:rPr>
          <w:sz w:val="14"/>
          <w:szCs w:val="14"/>
        </w:rPr>
        <w:t>(41)</w:t>
      </w:r>
      <w:r>
        <w:t>.</w:t>
      </w:r>
    </w:p>
    <w:p w14:paraId="3AF9C029" w14:textId="77777777" w:rsidR="006D7A99" w:rsidRPr="00CC4059" w:rsidRDefault="006D7A99" w:rsidP="006D7A99">
      <w:pPr>
        <w:spacing w:after="0" w:line="240" w:lineRule="auto"/>
        <w:jc w:val="both"/>
        <w:rPr>
          <w:sz w:val="12"/>
          <w:szCs w:val="12"/>
        </w:rPr>
      </w:pPr>
    </w:p>
    <w:p w14:paraId="1A4DBAC4"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65792" behindDoc="0" locked="0" layoutInCell="1" allowOverlap="1" wp14:anchorId="118AF3FC" wp14:editId="1ABECD89">
            <wp:simplePos x="0" y="0"/>
            <wp:positionH relativeFrom="margin">
              <wp:posOffset>23495</wp:posOffset>
            </wp:positionH>
            <wp:positionV relativeFrom="paragraph">
              <wp:posOffset>44450</wp:posOffset>
            </wp:positionV>
            <wp:extent cx="827405" cy="539750"/>
            <wp:effectExtent l="0" t="0" r="0" b="0"/>
            <wp:wrapSquare wrapText="bothSides"/>
            <wp:docPr id="390" name="Picture 390" descr="A picture containing sunset, outdoor, sky, su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Environment - Heat wave.jpg"/>
                    <pic:cNvPicPr/>
                  </pic:nvPicPr>
                  <pic:blipFill>
                    <a:blip r:embed="rId354" cstate="print">
                      <a:extLst>
                        <a:ext uri="{28A0092B-C50C-407E-A947-70E740481C1C}">
                          <a14:useLocalDpi xmlns:a14="http://schemas.microsoft.com/office/drawing/2010/main" val="0"/>
                        </a:ext>
                      </a:extLst>
                    </a:blip>
                    <a:stretch>
                      <a:fillRect/>
                    </a:stretch>
                  </pic:blipFill>
                  <pic:spPr>
                    <a:xfrm>
                      <a:off x="0" y="0"/>
                      <a:ext cx="827405" cy="53975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sidRPr="003F2AAE">
        <w:rPr>
          <w:b/>
          <w:bCs/>
          <w:color w:val="1F3864" w:themeColor="accent1" w:themeShade="80"/>
        </w:rPr>
        <w:t>Heatwaves</w:t>
      </w:r>
    </w:p>
    <w:p w14:paraId="3302AAD3" w14:textId="77777777" w:rsidR="006D7A99" w:rsidRDefault="006D7A99" w:rsidP="006D7A99">
      <w:pPr>
        <w:spacing w:after="0" w:line="336" w:lineRule="auto"/>
        <w:jc w:val="both"/>
      </w:pPr>
      <w:r>
        <w:t xml:space="preserve">Rising average global temperatures have been accompanied by an increase in the number and intensity of hot days </w:t>
      </w:r>
      <w:r w:rsidRPr="00710EF3">
        <w:rPr>
          <w:sz w:val="14"/>
          <w:szCs w:val="14"/>
        </w:rPr>
        <w:t>(10, 3, 4)</w:t>
      </w:r>
      <w:r>
        <w:t xml:space="preserve">. In Australia, the number of record hot days has doubled since 1960, with heatwaves more intense than in the past </w:t>
      </w:r>
      <w:r w:rsidRPr="00710EF3">
        <w:rPr>
          <w:sz w:val="14"/>
          <w:szCs w:val="14"/>
        </w:rPr>
        <w:t>(1)</w:t>
      </w:r>
      <w:r>
        <w:t xml:space="preserve">. And it is forecast that the likelihood of a serious heatwave occurring in a particular year will soar from 1.7% in 2010, to 79% in future, while days where the temperature exceeds 35 degrees may treble in many Australian cities and towns </w:t>
      </w:r>
      <w:r w:rsidRPr="00710EF3">
        <w:rPr>
          <w:sz w:val="14"/>
          <w:szCs w:val="14"/>
        </w:rPr>
        <w:t>(41)</w:t>
      </w:r>
      <w:r>
        <w:t xml:space="preserve">. </w:t>
      </w:r>
    </w:p>
    <w:p w14:paraId="08602E48" w14:textId="77777777" w:rsidR="006D7A99" w:rsidRDefault="006D7A99" w:rsidP="006D7A99">
      <w:pPr>
        <w:spacing w:after="0" w:line="336" w:lineRule="auto"/>
        <w:jc w:val="both"/>
      </w:pPr>
      <w:r>
        <w:t xml:space="preserve">Notably, heatwaves are often amplified in urban areas such as Greater Dandenong, where dark surfaces and buildings retain heat and hot air, raising the temperature by 1-3 degrees and elevating evening temperatures by up to 12 degrees </w:t>
      </w:r>
      <w:r w:rsidRPr="00710EF3">
        <w:rPr>
          <w:sz w:val="14"/>
          <w:szCs w:val="14"/>
        </w:rPr>
        <w:t>(1)</w:t>
      </w:r>
      <w:r>
        <w:t xml:space="preserve">. With increasing global urbanization, a rising proportion of the Australian population is likely to be exposed to the risk of further elevated temperatures </w:t>
      </w:r>
      <w:r w:rsidRPr="00710EF3">
        <w:rPr>
          <w:sz w:val="14"/>
          <w:szCs w:val="14"/>
        </w:rPr>
        <w:t>(1)</w:t>
      </w:r>
      <w:r>
        <w:t>.</w:t>
      </w:r>
    </w:p>
    <w:p w14:paraId="6CDC3A86" w14:textId="77777777" w:rsidR="006D7A99" w:rsidRDefault="006D7A99" w:rsidP="006D7A99">
      <w:pPr>
        <w:spacing w:after="0" w:line="336" w:lineRule="auto"/>
        <w:jc w:val="both"/>
      </w:pPr>
      <w:r w:rsidRPr="009109B4">
        <w:t>Heatwaves increase the incidence of cardiovascular illness, renal disease, heat stroke, mental confusion and other conditions</w:t>
      </w:r>
      <w:r>
        <w:t>.</w:t>
      </w:r>
      <w:r w:rsidRPr="009109B4">
        <w:t xml:space="preserve"> </w:t>
      </w:r>
      <w:r>
        <w:t>The 2019</w:t>
      </w:r>
      <w:r w:rsidRPr="009109B4">
        <w:t xml:space="preserve"> heatwave in southeast Australia in 2009</w:t>
      </w:r>
      <w:r>
        <w:t xml:space="preserve">, which raised temperatures in parts of Victoria to 49 degrees </w:t>
      </w:r>
      <w:r w:rsidRPr="00710EF3">
        <w:rPr>
          <w:sz w:val="14"/>
          <w:szCs w:val="14"/>
        </w:rPr>
        <w:t>(83)</w:t>
      </w:r>
      <w:r>
        <w:t>,</w:t>
      </w:r>
      <w:r w:rsidRPr="009109B4">
        <w:t xml:space="preserve"> was </w:t>
      </w:r>
      <w:r>
        <w:t>accompanied</w:t>
      </w:r>
      <w:r w:rsidRPr="009109B4">
        <w:t xml:space="preserve"> by </w:t>
      </w:r>
      <w:r>
        <w:t xml:space="preserve">a 2.8-fold rise in cardiac arrest callouts; a tripling in number of patients dead on arrival; and an overall increase of 62% in deaths </w:t>
      </w:r>
      <w:r w:rsidRPr="00710EF3">
        <w:rPr>
          <w:sz w:val="14"/>
          <w:szCs w:val="14"/>
        </w:rPr>
        <w:t>(6)</w:t>
      </w:r>
      <w:r>
        <w:t xml:space="preserve">. Elsewhere in the world, heatwaves have caused 70,000 deaths in Europe in 2003 and 55,000 in Russia in 2010 </w:t>
      </w:r>
      <w:r w:rsidRPr="00710EF3">
        <w:rPr>
          <w:sz w:val="14"/>
          <w:szCs w:val="14"/>
        </w:rPr>
        <w:t>(1)</w:t>
      </w:r>
      <w:r>
        <w:t>.</w:t>
      </w:r>
    </w:p>
    <w:p w14:paraId="57BE13A0" w14:textId="77777777" w:rsidR="006D7A99" w:rsidRDefault="006D7A99" w:rsidP="006D7A99">
      <w:pPr>
        <w:spacing w:after="0" w:line="336" w:lineRule="auto"/>
        <w:jc w:val="both"/>
      </w:pPr>
      <w:r>
        <w:t xml:space="preserve">Those most vulnerable to heatwaves include older or disabled people, due to their lesser physical resilience and mobility; children; people in lower socioeconomic circumstances – conditions widespread in Greater Dandenong – due in part to the cost of, and access to, air conditioning; people with pre-existing illnesses such as heart, lung or kidney disease; and indigenous people in remote communities </w:t>
      </w:r>
      <w:r w:rsidRPr="00710EF3">
        <w:rPr>
          <w:sz w:val="14"/>
          <w:szCs w:val="14"/>
        </w:rPr>
        <w:t>(1, 3, 6, 41)</w:t>
      </w:r>
      <w:r>
        <w:t xml:space="preserve">. Outdoor workers too, may be vulnerable, especially if they are required to keep pace with machines or are paid by output </w:t>
      </w:r>
      <w:r w:rsidRPr="00710EF3">
        <w:rPr>
          <w:sz w:val="14"/>
          <w:szCs w:val="14"/>
        </w:rPr>
        <w:t>(1)</w:t>
      </w:r>
      <w:r>
        <w:t>.</w:t>
      </w:r>
    </w:p>
    <w:p w14:paraId="3203BF29" w14:textId="77777777" w:rsidR="006D7A99" w:rsidRPr="00BA7D30" w:rsidRDefault="006D7A99" w:rsidP="006D7A99">
      <w:pPr>
        <w:spacing w:after="0" w:line="336" w:lineRule="auto"/>
        <w:jc w:val="both"/>
        <w:rPr>
          <w:sz w:val="8"/>
          <w:szCs w:val="8"/>
        </w:rPr>
      </w:pPr>
    </w:p>
    <w:p w14:paraId="54C96029"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66816" behindDoc="0" locked="0" layoutInCell="1" allowOverlap="1" wp14:anchorId="24DFC315" wp14:editId="374BCCF4">
            <wp:simplePos x="0" y="0"/>
            <wp:positionH relativeFrom="column">
              <wp:posOffset>-423</wp:posOffset>
            </wp:positionH>
            <wp:positionV relativeFrom="paragraph">
              <wp:posOffset>-635</wp:posOffset>
            </wp:positionV>
            <wp:extent cx="828000" cy="540000"/>
            <wp:effectExtent l="0" t="0" r="0" b="0"/>
            <wp:wrapSquare wrapText="bothSides"/>
            <wp:docPr id="391" name="Picture 391" descr="A picture containing sunset, outdoor, sun, sett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Environment - bushfires.png"/>
                    <pic:cNvPicPr/>
                  </pic:nvPicPr>
                  <pic:blipFill rotWithShape="1">
                    <a:blip r:embed="rId355" cstate="print">
                      <a:extLst>
                        <a:ext uri="{28A0092B-C50C-407E-A947-70E740481C1C}">
                          <a14:useLocalDpi xmlns:a14="http://schemas.microsoft.com/office/drawing/2010/main" val="0"/>
                        </a:ext>
                      </a:extLst>
                    </a:blip>
                    <a:srcRect b="5493"/>
                    <a:stretch/>
                  </pic:blipFill>
                  <pic:spPr bwMode="auto">
                    <a:xfrm>
                      <a:off x="0" y="0"/>
                      <a:ext cx="828000" cy="540000"/>
                    </a:xfrm>
                    <a:prstGeom prst="rect">
                      <a:avLst/>
                    </a:prstGeom>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2AAE">
        <w:rPr>
          <w:b/>
          <w:bCs/>
          <w:color w:val="1F3864" w:themeColor="accent1" w:themeShade="80"/>
        </w:rPr>
        <w:t>Bushfires</w:t>
      </w:r>
    </w:p>
    <w:p w14:paraId="4C7ADDAF" w14:textId="77777777" w:rsidR="006D7A99" w:rsidRDefault="006D7A99" w:rsidP="006D7A99">
      <w:pPr>
        <w:spacing w:after="0" w:line="336" w:lineRule="auto"/>
        <w:jc w:val="both"/>
      </w:pPr>
      <w:r>
        <w:t xml:space="preserve">Dwindling rainfall in southern Australia, coupled with rising temperatures, intense heatwaves and more frequent droughts, is expected to raise the likelihood of bushfires </w:t>
      </w:r>
      <w:r w:rsidRPr="00710EF3">
        <w:rPr>
          <w:sz w:val="14"/>
          <w:szCs w:val="14"/>
        </w:rPr>
        <w:t>(3, 1, 7, 41)</w:t>
      </w:r>
      <w:r>
        <w:t xml:space="preserve">. </w:t>
      </w:r>
    </w:p>
    <w:p w14:paraId="209765C8" w14:textId="77777777" w:rsidR="006D7A99" w:rsidRDefault="006D7A99" w:rsidP="006D7A99">
      <w:pPr>
        <w:spacing w:after="0" w:line="336" w:lineRule="auto"/>
        <w:jc w:val="both"/>
      </w:pPr>
      <w:r>
        <w:t xml:space="preserve">Though Victoria accounts for just three percent of the land area of Australia, historically it has endured half of the losses from the nation’s bushfires and two-thirds of the accompanying fatalities </w:t>
      </w:r>
      <w:r w:rsidRPr="00710EF3">
        <w:rPr>
          <w:sz w:val="14"/>
          <w:szCs w:val="14"/>
        </w:rPr>
        <w:t>(7)</w:t>
      </w:r>
      <w:r>
        <w:t xml:space="preserve">. The impact of bushfires is illustrated by the destruction inflicted by the 2019/20 Australian bushfires, which caused $10 billion in damage, burned over ten million hectares including 80% of the Blue Mountains World Heritage Area, and whose smoke affected 11 million Australians </w:t>
      </w:r>
      <w:r w:rsidRPr="00710EF3">
        <w:rPr>
          <w:sz w:val="14"/>
          <w:szCs w:val="14"/>
        </w:rPr>
        <w:t>(41, 96)</w:t>
      </w:r>
      <w:r>
        <w:t>.</w:t>
      </w:r>
    </w:p>
    <w:p w14:paraId="6B287003" w14:textId="77777777" w:rsidR="006D7A99" w:rsidRDefault="006D7A99" w:rsidP="006D7A99">
      <w:pPr>
        <w:spacing w:after="0" w:line="336" w:lineRule="auto"/>
        <w:jc w:val="both"/>
      </w:pPr>
      <w:r>
        <w:t xml:space="preserve">In Victoria, longer fire seasons and 60% more fire risk days are forecast for the near future </w:t>
      </w:r>
      <w:r w:rsidRPr="00710EF3">
        <w:rPr>
          <w:sz w:val="14"/>
          <w:szCs w:val="14"/>
        </w:rPr>
        <w:t>(11)</w:t>
      </w:r>
      <w:r>
        <w:t xml:space="preserve"> with the annual average $180 million cost of bushfires in Victoria expected double to nearly $400 million by mid-century </w:t>
      </w:r>
      <w:r w:rsidRPr="00710EF3">
        <w:rPr>
          <w:sz w:val="14"/>
          <w:szCs w:val="14"/>
        </w:rPr>
        <w:t>(7)</w:t>
      </w:r>
      <w:r>
        <w:t>.</w:t>
      </w:r>
    </w:p>
    <w:p w14:paraId="095E1270" w14:textId="77777777" w:rsidR="006D7A99" w:rsidRPr="0091625D" w:rsidRDefault="006D7A99" w:rsidP="006D7A99">
      <w:pPr>
        <w:spacing w:after="0" w:line="240" w:lineRule="auto"/>
        <w:jc w:val="both"/>
        <w:rPr>
          <w:sz w:val="6"/>
          <w:szCs w:val="6"/>
        </w:rPr>
      </w:pPr>
    </w:p>
    <w:p w14:paraId="78F6032A"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69888" behindDoc="0" locked="0" layoutInCell="1" allowOverlap="1" wp14:anchorId="72027BB0" wp14:editId="645000FA">
            <wp:simplePos x="0" y="0"/>
            <wp:positionH relativeFrom="column">
              <wp:posOffset>-423</wp:posOffset>
            </wp:positionH>
            <wp:positionV relativeFrom="paragraph">
              <wp:posOffset>4022</wp:posOffset>
            </wp:positionV>
            <wp:extent cx="828000" cy="540000"/>
            <wp:effectExtent l="0" t="0" r="0" b="0"/>
            <wp:wrapSquare wrapText="bothSides"/>
            <wp:docPr id="392" name="Picture 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Environment - tropical disease.jpg"/>
                    <pic:cNvPicPr/>
                  </pic:nvPicPr>
                  <pic:blipFill>
                    <a:blip r:embed="rId356" cstate="print">
                      <a:extLst>
                        <a:ext uri="{28A0092B-C50C-407E-A947-70E740481C1C}">
                          <a14:useLocalDpi xmlns:a14="http://schemas.microsoft.com/office/drawing/2010/main" val="0"/>
                        </a:ext>
                      </a:extLst>
                    </a:blip>
                    <a:stretch>
                      <a:fillRect/>
                    </a:stretch>
                  </pic:blipFill>
                  <pic:spPr>
                    <a:xfrm>
                      <a:off x="0" y="0"/>
                      <a:ext cx="828000" cy="54000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sidRPr="003F2AAE">
        <w:rPr>
          <w:b/>
          <w:bCs/>
          <w:color w:val="1F3864" w:themeColor="accent1" w:themeShade="80"/>
        </w:rPr>
        <w:t>Spread of Tropical Diseases</w:t>
      </w:r>
    </w:p>
    <w:p w14:paraId="10E4501B" w14:textId="77777777" w:rsidR="006D7A99" w:rsidRDefault="006D7A99" w:rsidP="006D7A99">
      <w:pPr>
        <w:spacing w:after="0" w:line="336" w:lineRule="auto"/>
        <w:jc w:val="both"/>
      </w:pPr>
      <w:r>
        <w:t xml:space="preserve">Climate change is altering the geographic distribution of tropical diseases, as they shift south under warming climatic conditions </w:t>
      </w:r>
      <w:r w:rsidRPr="00710EF3">
        <w:rPr>
          <w:sz w:val="14"/>
          <w:szCs w:val="14"/>
        </w:rPr>
        <w:t>(3)</w:t>
      </w:r>
      <w:r>
        <w:t xml:space="preserve">. It is forecast that rising global average temperatures may be accompanied by an increase in the incidence of Ross River virus, dengue fever, Zika, Lyme disease and others, in more southerly regions of Australia </w:t>
      </w:r>
      <w:r w:rsidRPr="00710EF3">
        <w:rPr>
          <w:sz w:val="14"/>
          <w:szCs w:val="14"/>
        </w:rPr>
        <w:t>(41, 72)</w:t>
      </w:r>
      <w:r>
        <w:t>.</w:t>
      </w:r>
    </w:p>
    <w:p w14:paraId="21E1DA60" w14:textId="77777777" w:rsidR="006D7A99" w:rsidRPr="00CC4059" w:rsidRDefault="006D7A99" w:rsidP="006D7A99">
      <w:pPr>
        <w:spacing w:after="0" w:line="240" w:lineRule="auto"/>
        <w:jc w:val="both"/>
        <w:rPr>
          <w:sz w:val="12"/>
          <w:szCs w:val="12"/>
        </w:rPr>
      </w:pPr>
    </w:p>
    <w:p w14:paraId="7083620C"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67840" behindDoc="0" locked="0" layoutInCell="1" allowOverlap="1" wp14:anchorId="6C426257" wp14:editId="49C3968C">
            <wp:simplePos x="0" y="0"/>
            <wp:positionH relativeFrom="column">
              <wp:posOffset>-423</wp:posOffset>
            </wp:positionH>
            <wp:positionV relativeFrom="paragraph">
              <wp:posOffset>4445</wp:posOffset>
            </wp:positionV>
            <wp:extent cx="828000" cy="540000"/>
            <wp:effectExtent l="0" t="0" r="0" b="0"/>
            <wp:wrapSquare wrapText="bothSides"/>
            <wp:docPr id="393" name="Picture 3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Environment - Habitat destruction.jpg"/>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828000" cy="54000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sidRPr="003F2AAE">
        <w:rPr>
          <w:b/>
          <w:bCs/>
          <w:color w:val="1F3864" w:themeColor="accent1" w:themeShade="80"/>
        </w:rPr>
        <w:t>Destruction of Natural Habitats and Wildlife</w:t>
      </w:r>
    </w:p>
    <w:p w14:paraId="7B556A01" w14:textId="77777777" w:rsidR="006D7A99" w:rsidRDefault="006D7A99" w:rsidP="006D7A99">
      <w:pPr>
        <w:spacing w:after="0" w:line="336" w:lineRule="auto"/>
        <w:jc w:val="both"/>
      </w:pPr>
      <w:r>
        <w:t xml:space="preserve">Dwindling natural habitats – stemming from rising increased temperatures, reduced rainfall, droughts, fires and other climate change impacts – coupled with deforestation and other land clearing </w:t>
      </w:r>
      <w:r w:rsidRPr="00710EF3">
        <w:rPr>
          <w:sz w:val="14"/>
          <w:szCs w:val="14"/>
        </w:rPr>
        <w:t>(29)</w:t>
      </w:r>
      <w:r>
        <w:t xml:space="preserve">, threaten many species with extinction </w:t>
      </w:r>
      <w:r w:rsidRPr="00710EF3">
        <w:rPr>
          <w:sz w:val="14"/>
          <w:szCs w:val="14"/>
        </w:rPr>
        <w:t>(10, 9)</w:t>
      </w:r>
      <w:r>
        <w:t xml:space="preserve">. Such risks are most acute in South America, New Zealand and Australia </w:t>
      </w:r>
      <w:r w:rsidRPr="00710EF3">
        <w:rPr>
          <w:sz w:val="14"/>
          <w:szCs w:val="14"/>
        </w:rPr>
        <w:t>(26, 54)</w:t>
      </w:r>
      <w:r>
        <w:t xml:space="preserve"> – a country which accounts for half of all the world’s mammalian extinctions in the past 200 years </w:t>
      </w:r>
      <w:r w:rsidRPr="00710EF3">
        <w:rPr>
          <w:sz w:val="14"/>
          <w:szCs w:val="14"/>
        </w:rPr>
        <w:t>(41)</w:t>
      </w:r>
      <w:r>
        <w:t>.</w:t>
      </w:r>
    </w:p>
    <w:p w14:paraId="16D0AE1D" w14:textId="5DB53DD9" w:rsidR="006D7A99" w:rsidRDefault="006D7A99" w:rsidP="006D7A99">
      <w:pPr>
        <w:spacing w:after="0" w:line="336" w:lineRule="auto"/>
        <w:jc w:val="both"/>
      </w:pPr>
      <w:r>
        <w:t xml:space="preserve">In addition, rising temperatures are pushing many species southward in Australia as they shift from regions of rising temperature in </w:t>
      </w:r>
      <w:r w:rsidR="00EC0707">
        <w:t>favour</w:t>
      </w:r>
      <w:r>
        <w:t xml:space="preserve"> of cooler environments </w:t>
      </w:r>
      <w:r w:rsidRPr="00710EF3">
        <w:rPr>
          <w:sz w:val="14"/>
          <w:szCs w:val="14"/>
        </w:rPr>
        <w:t>(4, 79, 77)</w:t>
      </w:r>
      <w:r>
        <w:t xml:space="preserve">. However, southward movement in the relatively dry Australian continent may be difficult for many species </w:t>
      </w:r>
      <w:r w:rsidRPr="00710EF3">
        <w:rPr>
          <w:sz w:val="14"/>
          <w:szCs w:val="14"/>
        </w:rPr>
        <w:t>(41)</w:t>
      </w:r>
      <w:r>
        <w:t>.</w:t>
      </w:r>
    </w:p>
    <w:p w14:paraId="5EB44ADA" w14:textId="77777777" w:rsidR="006D7A99" w:rsidRDefault="006D7A99" w:rsidP="006D7A99">
      <w:pPr>
        <w:spacing w:after="0" w:line="336" w:lineRule="auto"/>
        <w:jc w:val="both"/>
      </w:pPr>
      <w:r>
        <w:t xml:space="preserve">The destruction of natural environments also injures their human inhabitants and visitors, for as one commentator explains, nature bestows “…inspiration, and learning, physical and psychological experiences…that are central to quality of life and cultural integrity” </w:t>
      </w:r>
      <w:r w:rsidRPr="00710EF3">
        <w:rPr>
          <w:sz w:val="14"/>
          <w:szCs w:val="14"/>
        </w:rPr>
        <w:t>(51)</w:t>
      </w:r>
      <w:r>
        <w:t>.</w:t>
      </w:r>
    </w:p>
    <w:p w14:paraId="45A86F80" w14:textId="77777777" w:rsidR="006D7A99" w:rsidRPr="00CC4059" w:rsidRDefault="006D7A99" w:rsidP="006D7A99">
      <w:pPr>
        <w:spacing w:after="0" w:line="240" w:lineRule="auto"/>
        <w:jc w:val="both"/>
        <w:rPr>
          <w:sz w:val="12"/>
          <w:szCs w:val="12"/>
        </w:rPr>
      </w:pPr>
    </w:p>
    <w:p w14:paraId="69CA6753"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71936" behindDoc="0" locked="0" layoutInCell="1" allowOverlap="1" wp14:anchorId="6F7344E9" wp14:editId="3427867F">
            <wp:simplePos x="0" y="0"/>
            <wp:positionH relativeFrom="margin">
              <wp:align>left</wp:align>
            </wp:positionH>
            <wp:positionV relativeFrom="paragraph">
              <wp:posOffset>6350</wp:posOffset>
            </wp:positionV>
            <wp:extent cx="827405" cy="539750"/>
            <wp:effectExtent l="0" t="0" r="0" b="0"/>
            <wp:wrapSquare wrapText="bothSides"/>
            <wp:docPr id="394" name="Picture 394"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Environment - economic decline.jfif"/>
                    <pic:cNvPicPr/>
                  </pic:nvPicPr>
                  <pic:blipFill rotWithShape="1">
                    <a:blip r:embed="rId358" cstate="print">
                      <a:extLst>
                        <a:ext uri="{28A0092B-C50C-407E-A947-70E740481C1C}">
                          <a14:useLocalDpi xmlns:a14="http://schemas.microsoft.com/office/drawing/2010/main" val="0"/>
                        </a:ext>
                      </a:extLst>
                    </a:blip>
                    <a:srcRect l="6223" b="8571"/>
                    <a:stretch/>
                  </pic:blipFill>
                  <pic:spPr bwMode="auto">
                    <a:xfrm>
                      <a:off x="0" y="0"/>
                      <a:ext cx="827405" cy="539750"/>
                    </a:xfrm>
                    <a:prstGeom prst="rect">
                      <a:avLst/>
                    </a:prstGeom>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2AAE">
        <w:rPr>
          <w:b/>
          <w:bCs/>
          <w:color w:val="1F3864" w:themeColor="accent1" w:themeShade="80"/>
        </w:rPr>
        <w:t>Economic Decline</w:t>
      </w:r>
    </w:p>
    <w:p w14:paraId="14EAD597" w14:textId="77777777" w:rsidR="006D7A99" w:rsidRDefault="006D7A99" w:rsidP="006D7A99">
      <w:pPr>
        <w:spacing w:after="0" w:line="336" w:lineRule="auto"/>
        <w:jc w:val="both"/>
      </w:pPr>
      <w:r>
        <w:t xml:space="preserve">Climate changes may exact a substantial economic toll upon civilization, through dwindling water supplies; rising costs of food; increasing utility, water, and petrol costs; damage to coastal infrastructure due to rising sea levels and storm surges; and the expense entailed in mobilizing health and community services to address the impact of fires, storms and heatwaves. </w:t>
      </w:r>
    </w:p>
    <w:p w14:paraId="1010ADB1" w14:textId="11703FB8" w:rsidR="006D7A99" w:rsidRDefault="006D7A99" w:rsidP="006D7A99">
      <w:pPr>
        <w:spacing w:after="0" w:line="336" w:lineRule="auto"/>
        <w:jc w:val="both"/>
      </w:pPr>
      <w:r>
        <w:t>In Australia, a downturn in tourism is a further economic risk, with coral reef bleaching and death jeopardizing the $6.4 billion p.a.</w:t>
      </w:r>
      <w:r w:rsidRPr="00E74242">
        <w:t xml:space="preserve"> </w:t>
      </w:r>
      <w:r w:rsidRPr="00710EF3">
        <w:rPr>
          <w:sz w:val="14"/>
          <w:szCs w:val="14"/>
        </w:rPr>
        <w:t>(56)</w:t>
      </w:r>
      <w:r>
        <w:t xml:space="preserve"> tourism industry at the Great Barrier Reef </w:t>
      </w:r>
      <w:r w:rsidRPr="00710EF3">
        <w:rPr>
          <w:sz w:val="14"/>
          <w:szCs w:val="14"/>
        </w:rPr>
        <w:t>(53)</w:t>
      </w:r>
      <w:r>
        <w:t xml:space="preserve">, while tourism at national parks in northern Australia is </w:t>
      </w:r>
      <w:r w:rsidR="00EC0707">
        <w:t>imperilled</w:t>
      </w:r>
      <w:r>
        <w:t xml:space="preserve"> by extreme heat and water scarcity; Australian beaches by rising sea levels and coastal flooding; and ski tourism by dwindling snowfall </w:t>
      </w:r>
      <w:r w:rsidRPr="00710EF3">
        <w:rPr>
          <w:sz w:val="14"/>
          <w:szCs w:val="14"/>
        </w:rPr>
        <w:t>(54)</w:t>
      </w:r>
      <w:r>
        <w:t>.</w:t>
      </w:r>
    </w:p>
    <w:p w14:paraId="6AE41CBD" w14:textId="77777777" w:rsidR="006D7A99" w:rsidRPr="00D43B7A" w:rsidRDefault="006D7A99" w:rsidP="006D7A99">
      <w:pPr>
        <w:spacing w:after="0" w:line="240" w:lineRule="auto"/>
        <w:jc w:val="center"/>
        <w:rPr>
          <w:sz w:val="16"/>
          <w:szCs w:val="16"/>
        </w:rPr>
      </w:pPr>
      <w:r w:rsidRPr="00D43B7A">
        <w:rPr>
          <w:sz w:val="16"/>
          <w:szCs w:val="16"/>
        </w:rPr>
        <w:t>*   *   *   *</w:t>
      </w:r>
    </w:p>
    <w:p w14:paraId="4C2F7CC4" w14:textId="77777777" w:rsidR="006D7A99" w:rsidRDefault="006D7A99" w:rsidP="006D7A99">
      <w:pPr>
        <w:spacing w:after="0" w:line="336" w:lineRule="auto"/>
        <w:jc w:val="both"/>
      </w:pPr>
      <w:r>
        <w:t xml:space="preserve">As carbon dioxide and other greenhouse gases accumulate in the atmosphere, they fuel a continued rise in average global temperature, resulting in worsening storms, floods and droughts, changes in rainfall patterns, heatwaves and wildfires, rising sea levels and coastal flooding. </w:t>
      </w:r>
    </w:p>
    <w:p w14:paraId="54D239A7" w14:textId="77777777" w:rsidR="006D7A99" w:rsidRDefault="006D7A99" w:rsidP="006D7A99">
      <w:pPr>
        <w:spacing w:after="0" w:line="336" w:lineRule="auto"/>
        <w:jc w:val="both"/>
      </w:pPr>
      <w:r>
        <w:t>Coupled with the impact of land clearing to feed a burgeoning world population, these events pose a growing risk to housing and infrastructure, coastal communities, food supply, the natural environment, and to the health, wellbeing and peace of vulnerable communities throughout the world.</w:t>
      </w:r>
    </w:p>
    <w:p w14:paraId="1FFA9C54" w14:textId="77777777" w:rsidR="006D7A99" w:rsidRDefault="006D7A99" w:rsidP="006D7A99">
      <w:r>
        <w:br w:type="page"/>
      </w:r>
    </w:p>
    <w:p w14:paraId="6C4C0221" w14:textId="32FF3F70" w:rsidR="006D7A99" w:rsidRPr="00A909C3" w:rsidRDefault="006D7A99" w:rsidP="006D7A99">
      <w:pPr>
        <w:spacing w:after="0" w:line="240" w:lineRule="auto"/>
        <w:jc w:val="center"/>
        <w:rPr>
          <w:rFonts w:ascii="Garamond" w:hAnsi="Garamond"/>
          <w:color w:val="1F3864" w:themeColor="accent1" w:themeShade="80"/>
          <w:sz w:val="28"/>
          <w:szCs w:val="28"/>
        </w:rPr>
      </w:pPr>
      <w:r w:rsidRPr="00A909C3">
        <w:rPr>
          <w:rFonts w:ascii="Garamond" w:hAnsi="Garamond"/>
          <w:color w:val="1F3864" w:themeColor="accent1" w:themeShade="80"/>
          <w:sz w:val="28"/>
          <w:szCs w:val="28"/>
        </w:rPr>
        <w:t>BIBLIOGRAPHY</w:t>
      </w:r>
      <w:r w:rsidR="00857B84">
        <w:rPr>
          <w:rFonts w:ascii="Garamond" w:hAnsi="Garamond"/>
          <w:color w:val="1F3864" w:themeColor="accent1" w:themeShade="80"/>
          <w:sz w:val="28"/>
          <w:szCs w:val="28"/>
        </w:rPr>
        <w:t>: CLIMATE CHANGE</w:t>
      </w:r>
    </w:p>
    <w:p w14:paraId="3AFA8DFF"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 Hughes, L., Hanna, E. and Fenwick, J. (2016). </w:t>
      </w:r>
      <w:r w:rsidRPr="00CC4239">
        <w:rPr>
          <w:rFonts w:cstheme="minorHAnsi"/>
          <w:sz w:val="15"/>
          <w:szCs w:val="15"/>
          <w:u w:val="single"/>
        </w:rPr>
        <w:t>The Silent Killer: climate change and the health impacts of extreme heat</w:t>
      </w:r>
      <w:r w:rsidRPr="00CC4239">
        <w:rPr>
          <w:rFonts w:cstheme="minorHAnsi"/>
          <w:sz w:val="15"/>
          <w:szCs w:val="15"/>
        </w:rPr>
        <w:t>. Climate Council of Australia.</w:t>
      </w:r>
    </w:p>
    <w:p w14:paraId="39263997"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2. Mercy Corps (2019). </w:t>
      </w:r>
      <w:r w:rsidRPr="00CC4239">
        <w:rPr>
          <w:rFonts w:cstheme="minorHAnsi"/>
          <w:sz w:val="15"/>
          <w:szCs w:val="15"/>
          <w:u w:val="single"/>
        </w:rPr>
        <w:t>How Climate Change Affects People Living in Poverty</w:t>
      </w:r>
      <w:r w:rsidRPr="00CC4239">
        <w:rPr>
          <w:rFonts w:cstheme="minorHAnsi"/>
          <w:sz w:val="15"/>
          <w:szCs w:val="15"/>
        </w:rPr>
        <w:t>. Mercy Corps.</w:t>
      </w:r>
    </w:p>
    <w:p w14:paraId="0A7C3A6A"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3. US Environment Protection Authority (2017). </w:t>
      </w:r>
      <w:r w:rsidRPr="00CC4239">
        <w:rPr>
          <w:rFonts w:cstheme="minorHAnsi"/>
          <w:sz w:val="15"/>
          <w:szCs w:val="15"/>
          <w:u w:val="single"/>
        </w:rPr>
        <w:t>International Climate Impacts</w:t>
      </w:r>
      <w:r w:rsidRPr="00CC4239">
        <w:rPr>
          <w:rFonts w:cstheme="minorHAnsi"/>
          <w:sz w:val="15"/>
          <w:szCs w:val="15"/>
        </w:rPr>
        <w:t>.</w:t>
      </w:r>
    </w:p>
    <w:p w14:paraId="5AD99ED7"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4. Australian Academy of Science (2015). </w:t>
      </w:r>
      <w:r w:rsidRPr="00CC4239">
        <w:rPr>
          <w:rFonts w:cstheme="minorHAnsi"/>
          <w:sz w:val="15"/>
          <w:szCs w:val="15"/>
          <w:u w:val="single"/>
        </w:rPr>
        <w:t>The Science of Climate Change: questions and answers</w:t>
      </w:r>
      <w:r w:rsidRPr="00CC4239">
        <w:rPr>
          <w:rFonts w:cstheme="minorHAnsi"/>
          <w:sz w:val="15"/>
          <w:szCs w:val="15"/>
        </w:rPr>
        <w:t xml:space="preserve">. </w:t>
      </w:r>
    </w:p>
    <w:p w14:paraId="69AF8FFF"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5. Dept. Agriculture, Water and the Environment (undated). </w:t>
      </w:r>
      <w:r w:rsidRPr="00CC4239">
        <w:rPr>
          <w:rFonts w:cstheme="minorHAnsi"/>
          <w:sz w:val="15"/>
          <w:szCs w:val="15"/>
          <w:u w:val="single"/>
        </w:rPr>
        <w:t>Understanding Climate Change</w:t>
      </w:r>
      <w:r w:rsidRPr="00CC4239">
        <w:rPr>
          <w:rFonts w:cstheme="minorHAnsi"/>
          <w:sz w:val="15"/>
          <w:szCs w:val="15"/>
        </w:rPr>
        <w:t>. Australian Government</w:t>
      </w:r>
    </w:p>
    <w:p w14:paraId="0F340713"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6. Dept. Human Services (2009). January 2009 </w:t>
      </w:r>
      <w:r w:rsidRPr="00CC4239">
        <w:rPr>
          <w:rFonts w:cstheme="minorHAnsi"/>
          <w:sz w:val="15"/>
          <w:szCs w:val="15"/>
          <w:u w:val="single"/>
        </w:rPr>
        <w:t>Heatwaves in Victoria: An Assessment of Health Impacts</w:t>
      </w:r>
      <w:r w:rsidRPr="00CC4239">
        <w:rPr>
          <w:rFonts w:cstheme="minorHAnsi"/>
          <w:sz w:val="15"/>
          <w:szCs w:val="15"/>
        </w:rPr>
        <w:t>. Victorian Government.</w:t>
      </w:r>
    </w:p>
    <w:p w14:paraId="5A002AC9"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7. Hughes, L. and Alexander, D. (2017). </w:t>
      </w:r>
      <w:r w:rsidRPr="00CC4239">
        <w:rPr>
          <w:rFonts w:cstheme="minorHAnsi"/>
          <w:sz w:val="15"/>
          <w:szCs w:val="15"/>
          <w:u w:val="single"/>
        </w:rPr>
        <w:t>Climate Change and the Victoria Bushfire Threat. Climate Council of Australia</w:t>
      </w:r>
      <w:r w:rsidRPr="00CC4239">
        <w:rPr>
          <w:rFonts w:cstheme="minorHAnsi"/>
          <w:sz w:val="15"/>
          <w:szCs w:val="15"/>
        </w:rPr>
        <w:t>.</w:t>
      </w:r>
    </w:p>
    <w:p w14:paraId="5376346A"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8. Melbourne Sustainable Society Institute (2015). </w:t>
      </w:r>
      <w:r w:rsidRPr="00CC4239">
        <w:rPr>
          <w:rFonts w:cstheme="minorHAnsi"/>
          <w:sz w:val="15"/>
          <w:szCs w:val="15"/>
          <w:u w:val="single"/>
        </w:rPr>
        <w:t>Appetite for Change: Global Warming Impacts on Food and Framing Regions in Australia</w:t>
      </w:r>
      <w:r w:rsidRPr="00CC4239">
        <w:rPr>
          <w:rFonts w:cstheme="minorHAnsi"/>
          <w:sz w:val="15"/>
          <w:szCs w:val="15"/>
        </w:rPr>
        <w:t>. University of Melbourne.</w:t>
      </w:r>
    </w:p>
    <w:p w14:paraId="78C5A6B6"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9. Watson, J. (2016). Bring Climate Change Back from the Future. </w:t>
      </w:r>
      <w:r w:rsidRPr="00CC4239">
        <w:rPr>
          <w:rFonts w:cstheme="minorHAnsi"/>
          <w:sz w:val="15"/>
          <w:szCs w:val="15"/>
          <w:u w:val="single"/>
        </w:rPr>
        <w:t>Nature</w:t>
      </w:r>
      <w:r w:rsidRPr="00CC4239">
        <w:rPr>
          <w:rFonts w:cstheme="minorHAnsi"/>
          <w:sz w:val="15"/>
          <w:szCs w:val="15"/>
        </w:rPr>
        <w:t>. Vol. 534, No. 7608. 21 June 2016</w:t>
      </w:r>
    </w:p>
    <w:p w14:paraId="51999D03"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10. NASA (undated). </w:t>
      </w:r>
      <w:r w:rsidRPr="00CC4239">
        <w:rPr>
          <w:rFonts w:cstheme="minorHAnsi"/>
          <w:sz w:val="15"/>
          <w:szCs w:val="15"/>
          <w:u w:val="single"/>
        </w:rPr>
        <w:t>What is Climate Change</w:t>
      </w:r>
      <w:r w:rsidRPr="00CC4239">
        <w:rPr>
          <w:rFonts w:cstheme="minorHAnsi"/>
          <w:sz w:val="15"/>
          <w:szCs w:val="15"/>
        </w:rPr>
        <w:t>? National Aeronautics and Space Administration.</w:t>
      </w:r>
    </w:p>
    <w:p w14:paraId="0D29508A"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11. Department of Environment, Land, Water and Planning (2020). </w:t>
      </w:r>
      <w:r w:rsidRPr="00CC4239">
        <w:rPr>
          <w:rFonts w:cstheme="minorHAnsi"/>
          <w:sz w:val="15"/>
          <w:szCs w:val="15"/>
          <w:u w:val="single"/>
        </w:rPr>
        <w:t>Victoria’s Climate Science Report 2019</w:t>
      </w:r>
      <w:r w:rsidRPr="00CC4239">
        <w:rPr>
          <w:rFonts w:cstheme="minorHAnsi"/>
          <w:sz w:val="15"/>
          <w:szCs w:val="15"/>
        </w:rPr>
        <w:t>, The State of Victoria Department of Environment, Land, Water and Planning.</w:t>
      </w:r>
    </w:p>
    <w:p w14:paraId="05036673"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13. Global Carbon Project (2018). </w:t>
      </w:r>
      <w:r w:rsidRPr="00CC4239">
        <w:rPr>
          <w:rFonts w:cstheme="minorHAnsi"/>
          <w:sz w:val="15"/>
          <w:szCs w:val="15"/>
          <w:u w:val="single"/>
        </w:rPr>
        <w:t>Carbon budget and trends 2018</w:t>
      </w:r>
      <w:r w:rsidRPr="00CC4239">
        <w:rPr>
          <w:rFonts w:cstheme="minorHAnsi"/>
          <w:sz w:val="15"/>
          <w:szCs w:val="15"/>
        </w:rPr>
        <w:t xml:space="preserve">.  </w:t>
      </w:r>
    </w:p>
    <w:p w14:paraId="6E7DF29C"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14. Bureau of Meteorology and CSIRO (2018). </w:t>
      </w:r>
      <w:r w:rsidRPr="00CC4239">
        <w:rPr>
          <w:rFonts w:cstheme="minorHAnsi"/>
          <w:sz w:val="15"/>
          <w:szCs w:val="15"/>
          <w:u w:val="single"/>
        </w:rPr>
        <w:t>State of the Climate 2018</w:t>
      </w:r>
      <w:r w:rsidRPr="00CC4239">
        <w:rPr>
          <w:rFonts w:cstheme="minorHAnsi"/>
          <w:sz w:val="15"/>
          <w:szCs w:val="15"/>
        </w:rPr>
        <w:t xml:space="preserve">. </w:t>
      </w:r>
    </w:p>
    <w:p w14:paraId="70D14AA6"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15.  Outreach research (undated). </w:t>
      </w:r>
      <w:r w:rsidRPr="00CC4239">
        <w:rPr>
          <w:rFonts w:cstheme="minorHAnsi"/>
          <w:sz w:val="15"/>
          <w:szCs w:val="15"/>
          <w:u w:val="single"/>
        </w:rPr>
        <w:t>The origin of life: The conditions that sparked life on Earth</w:t>
      </w:r>
      <w:r w:rsidRPr="00CC4239">
        <w:rPr>
          <w:rFonts w:cstheme="minorHAnsi"/>
          <w:sz w:val="15"/>
          <w:szCs w:val="15"/>
        </w:rPr>
        <w:t xml:space="preserve">. </w:t>
      </w:r>
    </w:p>
    <w:p w14:paraId="2829A570"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16. Maruyama, S, Ebisuzaki, T and Kurokawa, K. (2018). Origin and evolution of Earth and Life: Towards the establishment of astrobiology from Universe to genome. </w:t>
      </w:r>
      <w:r w:rsidRPr="00CC4239">
        <w:rPr>
          <w:rFonts w:cstheme="minorHAnsi"/>
          <w:sz w:val="15"/>
          <w:szCs w:val="15"/>
          <w:u w:val="single"/>
        </w:rPr>
        <w:t>Proceedings of Science</w:t>
      </w:r>
      <w:r w:rsidRPr="00CC4239">
        <w:rPr>
          <w:rFonts w:cstheme="minorHAnsi"/>
          <w:sz w:val="15"/>
          <w:szCs w:val="15"/>
        </w:rPr>
        <w:t>. https://pos.sissa.it/331/071/</w:t>
      </w:r>
    </w:p>
    <w:p w14:paraId="60BC7926"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17. National Geographic (2020). </w:t>
      </w:r>
      <w:r w:rsidRPr="00CC4239">
        <w:rPr>
          <w:rFonts w:cstheme="minorHAnsi"/>
          <w:sz w:val="15"/>
          <w:szCs w:val="15"/>
          <w:u w:val="single"/>
        </w:rPr>
        <w:t>Fossil Fuels</w:t>
      </w:r>
      <w:r w:rsidRPr="00CC4239">
        <w:rPr>
          <w:rFonts w:cstheme="minorHAnsi"/>
          <w:sz w:val="15"/>
          <w:szCs w:val="15"/>
        </w:rPr>
        <w:t xml:space="preserve">. </w:t>
      </w:r>
    </w:p>
    <w:p w14:paraId="3980A13D"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18. National Geographic (undated). </w:t>
      </w:r>
      <w:r w:rsidRPr="00CC4239">
        <w:rPr>
          <w:rFonts w:cstheme="minorHAnsi"/>
          <w:sz w:val="15"/>
          <w:szCs w:val="15"/>
          <w:u w:val="single"/>
        </w:rPr>
        <w:t>Non-renewable Resources</w:t>
      </w:r>
      <w:r w:rsidRPr="00CC4239">
        <w:rPr>
          <w:rFonts w:cstheme="minorHAnsi"/>
          <w:sz w:val="15"/>
          <w:szCs w:val="15"/>
        </w:rPr>
        <w:t xml:space="preserve">. </w:t>
      </w:r>
    </w:p>
    <w:p w14:paraId="16B6735C"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19. Shafiee, S. and Topal, E. (2009). When will Fossil Fuels be Depleted? </w:t>
      </w:r>
      <w:r w:rsidRPr="00CC4239">
        <w:rPr>
          <w:rFonts w:cstheme="minorHAnsi"/>
          <w:sz w:val="15"/>
          <w:szCs w:val="15"/>
          <w:u w:val="single"/>
        </w:rPr>
        <w:t>Energy Policy</w:t>
      </w:r>
      <w:r w:rsidRPr="00CC4239">
        <w:rPr>
          <w:rFonts w:cstheme="minorHAnsi"/>
          <w:sz w:val="15"/>
          <w:szCs w:val="15"/>
        </w:rPr>
        <w:t xml:space="preserve">, Vol. 37, No. 1. pp. 181-189. </w:t>
      </w:r>
    </w:p>
    <w:p w14:paraId="70744DDC"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20. Tilman, D. (1999). Global environmental impacts of agricultural expansion: The need for sustainable and efficient practices. </w:t>
      </w:r>
      <w:r w:rsidRPr="00CC4239">
        <w:rPr>
          <w:rFonts w:cstheme="minorHAnsi"/>
          <w:sz w:val="15"/>
          <w:szCs w:val="15"/>
          <w:u w:val="single"/>
        </w:rPr>
        <w:t>Proceedings of the National Academy of Sciences of the United States of America</w:t>
      </w:r>
      <w:r w:rsidRPr="00CC4239">
        <w:rPr>
          <w:rFonts w:cstheme="minorHAnsi"/>
          <w:sz w:val="15"/>
          <w:szCs w:val="15"/>
        </w:rPr>
        <w:t>. May 25, 1999 96 (11) Accessed at:  https://www.pnas.org/content/96/11/5995.short</w:t>
      </w:r>
    </w:p>
    <w:p w14:paraId="38DBEF07"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26. Urban, M. (2015). </w:t>
      </w:r>
      <w:r w:rsidRPr="00CC4239">
        <w:rPr>
          <w:rFonts w:cstheme="minorHAnsi"/>
          <w:sz w:val="15"/>
          <w:szCs w:val="15"/>
          <w:u w:val="single"/>
        </w:rPr>
        <w:t>Accelerating Extinction from Climate Change</w:t>
      </w:r>
      <w:r w:rsidRPr="00CC4239">
        <w:rPr>
          <w:rFonts w:cstheme="minorHAnsi"/>
          <w:sz w:val="15"/>
          <w:szCs w:val="15"/>
        </w:rPr>
        <w:t xml:space="preserve">. Science. American Association for the Advancement of Science. </w:t>
      </w:r>
    </w:p>
    <w:p w14:paraId="686DADFE"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34.  Lindsay, R. (2020). </w:t>
      </w:r>
      <w:r w:rsidRPr="00CC4239">
        <w:rPr>
          <w:rFonts w:cstheme="minorHAnsi"/>
          <w:sz w:val="15"/>
          <w:szCs w:val="15"/>
          <w:u w:val="single"/>
        </w:rPr>
        <w:t>Climate Change: Atmospheric Carbon Dioxide</w:t>
      </w:r>
      <w:r w:rsidRPr="00CC4239">
        <w:rPr>
          <w:rFonts w:cstheme="minorHAnsi"/>
          <w:sz w:val="15"/>
          <w:szCs w:val="15"/>
        </w:rPr>
        <w:t xml:space="preserve">. Climate.Gov  </w:t>
      </w:r>
    </w:p>
    <w:p w14:paraId="52B8C9EE"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35. Harris, N., Brown, S., Hagen, S., Saatchi, S., Petrova, S., Salas, W., Hansen, M.C., Potapov, P.V. and Lotsch, A. (2012). Baseline Map of Carbon Emissions from Deforestation in Regions. </w:t>
      </w:r>
      <w:r w:rsidRPr="00CC4239">
        <w:rPr>
          <w:rFonts w:cstheme="minorHAnsi"/>
          <w:sz w:val="15"/>
          <w:szCs w:val="15"/>
          <w:u w:val="single"/>
        </w:rPr>
        <w:t>Science</w:t>
      </w:r>
      <w:r w:rsidRPr="00CC4239">
        <w:rPr>
          <w:rFonts w:cstheme="minorHAnsi"/>
          <w:sz w:val="15"/>
          <w:szCs w:val="15"/>
        </w:rPr>
        <w:t>, Vol. 336, Issue 6088, pp. 1573-1576</w:t>
      </w:r>
    </w:p>
    <w:p w14:paraId="16279571"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36. Baccini, A., Goetz, S. J., Walker, W. S., Laporte, N. T., Sun, M., Sulla-Menashe, D., Hackler, J., Beck, P. S. A., Dubayah, R., Friedl, M. A., Samanta, S. and Houghton, R. A. (2012). Estimated Carbon Dioxide Emissions from Tropical Deforestation Improved by Carbon-density Maps. </w:t>
      </w:r>
      <w:r w:rsidRPr="00CC4239">
        <w:rPr>
          <w:rFonts w:cstheme="minorHAnsi"/>
          <w:sz w:val="15"/>
          <w:szCs w:val="15"/>
          <w:u w:val="single"/>
        </w:rPr>
        <w:t>Nature Clim Change</w:t>
      </w:r>
      <w:r w:rsidRPr="00CC4239">
        <w:rPr>
          <w:rFonts w:cstheme="minorHAnsi"/>
          <w:sz w:val="15"/>
          <w:szCs w:val="15"/>
        </w:rPr>
        <w:t xml:space="preserve">. Vol. 2, pp. 182–185 </w:t>
      </w:r>
    </w:p>
    <w:p w14:paraId="079CCBB3"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38. Dean, A. (2019). </w:t>
      </w:r>
      <w:r w:rsidRPr="00CC4239">
        <w:rPr>
          <w:rFonts w:cstheme="minorHAnsi"/>
          <w:sz w:val="15"/>
          <w:szCs w:val="15"/>
          <w:u w:val="single"/>
        </w:rPr>
        <w:t>Deforestation and Climate Chang</w:t>
      </w:r>
      <w:r w:rsidRPr="00CC4239">
        <w:rPr>
          <w:rFonts w:cstheme="minorHAnsi"/>
          <w:sz w:val="15"/>
          <w:szCs w:val="15"/>
        </w:rPr>
        <w:t xml:space="preserve">e. Climate Council. </w:t>
      </w:r>
    </w:p>
    <w:p w14:paraId="253F359F"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40. Khoday, K. and Ali, W. (2018). </w:t>
      </w:r>
      <w:r w:rsidRPr="00CC4239">
        <w:rPr>
          <w:rFonts w:cstheme="minorHAnsi"/>
          <w:sz w:val="15"/>
          <w:szCs w:val="15"/>
          <w:u w:val="single"/>
        </w:rPr>
        <w:t>Climate Change and the Rise of Poverty</w:t>
      </w:r>
      <w:r w:rsidRPr="00CC4239">
        <w:rPr>
          <w:rFonts w:cstheme="minorHAnsi"/>
          <w:sz w:val="15"/>
          <w:szCs w:val="15"/>
        </w:rPr>
        <w:t>. UNDP.</w:t>
      </w:r>
    </w:p>
    <w:p w14:paraId="04F8D2F5"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41. Australian Academy of Science (2021). </w:t>
      </w:r>
      <w:r w:rsidRPr="00CC4239">
        <w:rPr>
          <w:rFonts w:cstheme="minorHAnsi"/>
          <w:sz w:val="15"/>
          <w:szCs w:val="15"/>
          <w:u w:val="single"/>
        </w:rPr>
        <w:t>The Risks to Australia of a 3-degree warmer world</w:t>
      </w:r>
      <w:r w:rsidRPr="00CC4239">
        <w:rPr>
          <w:rFonts w:cstheme="minorHAnsi"/>
          <w:sz w:val="15"/>
          <w:szCs w:val="15"/>
        </w:rPr>
        <w:t>.</w:t>
      </w:r>
    </w:p>
    <w:p w14:paraId="58C1AB56"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48.  Lenton, T.M., Rockström, J., Gaffney, O., Rahmstorf, S., Richardson, K., Steffen, W. and Schellnhuber, H.J. (2019). Climate tipping points — too risky to bet against. </w:t>
      </w:r>
      <w:r w:rsidRPr="00CC4239">
        <w:rPr>
          <w:rFonts w:cstheme="minorHAnsi"/>
          <w:sz w:val="15"/>
          <w:szCs w:val="15"/>
          <w:u w:val="single"/>
        </w:rPr>
        <w:t>Nature</w:t>
      </w:r>
      <w:r w:rsidRPr="00CC4239">
        <w:rPr>
          <w:rFonts w:cstheme="minorHAnsi"/>
          <w:sz w:val="15"/>
          <w:szCs w:val="15"/>
        </w:rPr>
        <w:t>. 27 November 2019.</w:t>
      </w:r>
    </w:p>
    <w:p w14:paraId="18D6F423"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51. IPBES (2019): </w:t>
      </w:r>
      <w:r w:rsidRPr="00CC4239">
        <w:rPr>
          <w:rFonts w:cstheme="minorHAnsi"/>
          <w:sz w:val="15"/>
          <w:szCs w:val="15"/>
          <w:u w:val="single"/>
        </w:rPr>
        <w:t>Global assessment report on biodiversity and ecosystem services of the Intergovernmental Science-Policy Platform on Biodiversity and Ecosystem Services</w:t>
      </w:r>
      <w:r w:rsidRPr="00CC4239">
        <w:rPr>
          <w:rFonts w:cstheme="minorHAnsi"/>
          <w:sz w:val="15"/>
          <w:szCs w:val="15"/>
        </w:rPr>
        <w:t xml:space="preserve">. E. S. Brondizio, J. Settele, S. Díaz, and H. T. Ngo (editors). IPBES secretariat, Bonn, Germany. </w:t>
      </w:r>
    </w:p>
    <w:p w14:paraId="096099CA"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53. Deloitte Access Economics (2020). </w:t>
      </w:r>
      <w:r w:rsidRPr="00CC4239">
        <w:rPr>
          <w:rFonts w:cstheme="minorHAnsi"/>
          <w:sz w:val="15"/>
          <w:szCs w:val="15"/>
          <w:u w:val="single"/>
        </w:rPr>
        <w:t>At what price? The economic, social and icon value of the Great Barrier Reef</w:t>
      </w:r>
      <w:r w:rsidRPr="00CC4239">
        <w:rPr>
          <w:rFonts w:cstheme="minorHAnsi"/>
          <w:sz w:val="15"/>
          <w:szCs w:val="15"/>
        </w:rPr>
        <w:t>. Great Barrier Reef Foundation.</w:t>
      </w:r>
    </w:p>
    <w:p w14:paraId="59F8A144"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54. Hughes, L., Stock, P., Brailsford, L. and Alexander, D. (2018). </w:t>
      </w:r>
      <w:r w:rsidRPr="00CC4239">
        <w:rPr>
          <w:rFonts w:cstheme="minorHAnsi"/>
          <w:sz w:val="15"/>
          <w:szCs w:val="15"/>
          <w:u w:val="single"/>
        </w:rPr>
        <w:t>Icons at Risk: Climate Change Threatening Australian Tourism. Climate Council</w:t>
      </w:r>
      <w:r w:rsidRPr="00CC4239">
        <w:rPr>
          <w:rFonts w:cstheme="minorHAnsi"/>
          <w:sz w:val="15"/>
          <w:szCs w:val="15"/>
        </w:rPr>
        <w:t xml:space="preserve">. </w:t>
      </w:r>
    </w:p>
    <w:p w14:paraId="324F8119"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55. Guillebaud, J. and Hayes P. (2008). Population growth and climate change </w:t>
      </w:r>
      <w:r w:rsidRPr="00CC4239">
        <w:rPr>
          <w:rFonts w:cstheme="minorHAnsi"/>
          <w:sz w:val="15"/>
          <w:szCs w:val="15"/>
          <w:u w:val="single"/>
        </w:rPr>
        <w:t>British Medical Journal</w:t>
      </w:r>
      <w:r w:rsidRPr="00CC4239">
        <w:rPr>
          <w:rFonts w:cstheme="minorHAnsi"/>
          <w:sz w:val="15"/>
          <w:szCs w:val="15"/>
        </w:rPr>
        <w:t>. 2008;337:a576</w:t>
      </w:r>
    </w:p>
    <w:p w14:paraId="2F187C4B"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66. Beaudry, E. and McKay, F. (2020). How are Victorian Local Governments' responding to climate change and food insecurity? </w:t>
      </w:r>
      <w:r w:rsidRPr="00CC4239">
        <w:rPr>
          <w:rFonts w:cstheme="minorHAnsi"/>
          <w:sz w:val="15"/>
          <w:szCs w:val="15"/>
          <w:u w:val="single"/>
        </w:rPr>
        <w:t>Health Promotion Journal of Australia</w:t>
      </w:r>
      <w:r w:rsidRPr="00CC4239">
        <w:rPr>
          <w:rFonts w:cstheme="minorHAnsi"/>
          <w:sz w:val="15"/>
          <w:szCs w:val="15"/>
        </w:rPr>
        <w:t>. Vol. 32, No. 1.</w:t>
      </w:r>
    </w:p>
    <w:p w14:paraId="5965056A"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67. Dixon, J., Donati, K.J., Pike, L.L. and Hattersley, L. (2009). Functional foods and urban agriculture: two responses to climate change-related food insecurity. </w:t>
      </w:r>
      <w:r w:rsidRPr="00CC4239">
        <w:rPr>
          <w:rFonts w:cstheme="minorHAnsi"/>
          <w:sz w:val="15"/>
          <w:szCs w:val="15"/>
          <w:u w:val="single"/>
        </w:rPr>
        <w:t>NSW Public Health Bulletin.</w:t>
      </w:r>
      <w:r w:rsidRPr="00CC4239">
        <w:rPr>
          <w:rFonts w:cstheme="minorHAnsi"/>
          <w:sz w:val="15"/>
          <w:szCs w:val="15"/>
        </w:rPr>
        <w:t xml:space="preserve"> Vol. 20(2), pp. 14-18.</w:t>
      </w:r>
    </w:p>
    <w:p w14:paraId="138D87E1"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72. Paz, S. (2015). Climate change impacts on West Nile virus transmission in a global context. </w:t>
      </w:r>
      <w:r w:rsidRPr="00CC4239">
        <w:rPr>
          <w:rFonts w:cstheme="minorHAnsi"/>
          <w:sz w:val="15"/>
          <w:szCs w:val="15"/>
          <w:u w:val="single"/>
        </w:rPr>
        <w:t>Philos Trans R Soc Lond B Biol Sci</w:t>
      </w:r>
      <w:r w:rsidRPr="00CC4239">
        <w:rPr>
          <w:rFonts w:cstheme="minorHAnsi"/>
          <w:sz w:val="15"/>
          <w:szCs w:val="15"/>
        </w:rPr>
        <w:t>. 2015 Apr 5; 370.</w:t>
      </w:r>
    </w:p>
    <w:p w14:paraId="37A28A72"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73. Kulp, S. and Strauss, B.H. (2019). New elevation data triple estimates of global vulnerability to sea-level rise and coastal flooding. </w:t>
      </w:r>
      <w:r w:rsidRPr="00CC4239">
        <w:rPr>
          <w:rFonts w:cstheme="minorHAnsi"/>
          <w:sz w:val="15"/>
          <w:szCs w:val="15"/>
          <w:u w:val="single"/>
        </w:rPr>
        <w:t xml:space="preserve">Nature Communications. </w:t>
      </w:r>
      <w:r w:rsidRPr="00CC4239">
        <w:rPr>
          <w:rFonts w:cstheme="minorHAnsi"/>
          <w:sz w:val="15"/>
          <w:szCs w:val="15"/>
        </w:rPr>
        <w:t>Volume 10.</w:t>
      </w:r>
    </w:p>
    <w:p w14:paraId="71A60ABB"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75. Mimura, N. (1999). Vulnerability of island countries in the South Pacific to sea level rise. </w:t>
      </w:r>
      <w:r w:rsidRPr="00CC4239">
        <w:rPr>
          <w:rFonts w:cstheme="minorHAnsi"/>
          <w:sz w:val="15"/>
          <w:szCs w:val="15"/>
          <w:u w:val="single"/>
        </w:rPr>
        <w:t>Climate Change</w:t>
      </w:r>
      <w:r w:rsidRPr="00CC4239">
        <w:rPr>
          <w:rFonts w:cstheme="minorHAnsi"/>
          <w:sz w:val="15"/>
          <w:szCs w:val="15"/>
        </w:rPr>
        <w:t>. Vol. 12, pp. 137–143.</w:t>
      </w:r>
    </w:p>
    <w:p w14:paraId="09F6A78A"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76. Pacific Coastal and Marine Science Center (2020. </w:t>
      </w:r>
      <w:r w:rsidRPr="00CC4239">
        <w:rPr>
          <w:rFonts w:cstheme="minorHAnsi"/>
          <w:sz w:val="15"/>
          <w:szCs w:val="15"/>
          <w:u w:val="single"/>
        </w:rPr>
        <w:t>The Impact of Sea-Level Rise and Climate Change on Pacific Ocean Atolls.</w:t>
      </w:r>
      <w:r w:rsidRPr="00CC4239">
        <w:rPr>
          <w:rFonts w:cstheme="minorHAnsi"/>
          <w:sz w:val="15"/>
          <w:szCs w:val="15"/>
        </w:rPr>
        <w:t xml:space="preserve"> US Geological Survey.</w:t>
      </w:r>
    </w:p>
    <w:p w14:paraId="5686197F"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77. Chaudary, C., Richardson., A.J., Scoeman., D.S. and Costello, M.J (2021). Global warming is causing a more pronounced dip in species richness around the equator</w:t>
      </w:r>
      <w:r w:rsidRPr="00CC4239">
        <w:rPr>
          <w:rFonts w:cstheme="minorHAnsi"/>
          <w:sz w:val="15"/>
          <w:szCs w:val="15"/>
          <w:u w:val="single"/>
        </w:rPr>
        <w:t>. Proceedings of the National Academy of Sciences of the United States of America.</w:t>
      </w:r>
      <w:r w:rsidRPr="00CC4239">
        <w:rPr>
          <w:rFonts w:cstheme="minorHAnsi"/>
          <w:sz w:val="15"/>
          <w:szCs w:val="15"/>
        </w:rPr>
        <w:t xml:space="preserve"> Vol. 118, No. 15.</w:t>
      </w:r>
    </w:p>
    <w:p w14:paraId="718CF819"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78. Gerard, M., Vanderplanck, M, Wood, T. and Michez, D. (2020). Global warming and plant–pollinator mismatches. </w:t>
      </w:r>
      <w:hyperlink r:id="rId359" w:history="1">
        <w:r w:rsidRPr="00CC4239">
          <w:rPr>
            <w:rFonts w:cstheme="minorHAnsi"/>
            <w:sz w:val="15"/>
            <w:szCs w:val="15"/>
            <w:u w:val="single"/>
          </w:rPr>
          <w:t>Emerg Top Life Sci</w:t>
        </w:r>
        <w:r w:rsidRPr="00CC4239">
          <w:rPr>
            <w:rFonts w:cstheme="minorHAnsi"/>
            <w:sz w:val="15"/>
            <w:szCs w:val="15"/>
          </w:rPr>
          <w:t>.</w:t>
        </w:r>
      </w:hyperlink>
      <w:r w:rsidRPr="00CC4239">
        <w:rPr>
          <w:rFonts w:cstheme="minorHAnsi"/>
          <w:sz w:val="15"/>
          <w:szCs w:val="15"/>
        </w:rPr>
        <w:t xml:space="preserve"> 2020 Jul 2; Vol. 4, No. 1, pp. 77–86.</w:t>
      </w:r>
    </w:p>
    <w:p w14:paraId="4816C48D"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79. IPCC (2014): Climate Change 2014: </w:t>
      </w:r>
      <w:r w:rsidRPr="00CC4239">
        <w:rPr>
          <w:rFonts w:cstheme="minorHAnsi"/>
          <w:sz w:val="15"/>
          <w:szCs w:val="15"/>
          <w:u w:val="single"/>
        </w:rPr>
        <w:t>Synthesis Report. Contribution of Working Groups I, II and III to the Fifth Assessment Report of the Intergovernmental Panel on Climate Change</w:t>
      </w:r>
      <w:r w:rsidRPr="00CC4239">
        <w:rPr>
          <w:rFonts w:cstheme="minorHAnsi"/>
          <w:sz w:val="15"/>
          <w:szCs w:val="15"/>
        </w:rPr>
        <w:t>. IPCC, Geneva, Switzerland.</w:t>
      </w:r>
    </w:p>
    <w:p w14:paraId="2C7F3D99"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80. Bebber, D.P., Ramotowski, M. and Gurr, S.J. (2013). Crop pests and pathogens move polewards in a warming world. </w:t>
      </w:r>
      <w:r w:rsidRPr="00CC4239">
        <w:rPr>
          <w:rFonts w:cstheme="minorHAnsi"/>
          <w:sz w:val="15"/>
          <w:szCs w:val="15"/>
          <w:u w:val="single"/>
        </w:rPr>
        <w:t>Nature Climate Change</w:t>
      </w:r>
      <w:r w:rsidRPr="00CC4239">
        <w:rPr>
          <w:rFonts w:cstheme="minorHAnsi"/>
          <w:sz w:val="15"/>
          <w:szCs w:val="15"/>
        </w:rPr>
        <w:t>. Vol. 1 Sept., 2013.</w:t>
      </w:r>
    </w:p>
    <w:p w14:paraId="286AF166"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81. Holmes, T. and Gurr, S.J. (2014). The Global Spread of Crop Pests and Pathogens. </w:t>
      </w:r>
      <w:r w:rsidRPr="00CC4239">
        <w:rPr>
          <w:rFonts w:cstheme="minorHAnsi"/>
          <w:sz w:val="15"/>
          <w:szCs w:val="15"/>
          <w:u w:val="single"/>
        </w:rPr>
        <w:t>Global Ecology and Biogeography</w:t>
      </w:r>
      <w:r w:rsidRPr="00CC4239">
        <w:rPr>
          <w:rFonts w:cstheme="minorHAnsi"/>
          <w:sz w:val="15"/>
          <w:szCs w:val="15"/>
        </w:rPr>
        <w:t>. Vol. 23, pp. 1398–1407.</w:t>
      </w:r>
    </w:p>
    <w:p w14:paraId="29BB8F3A"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83. Australian Government Bureau of Meteorology (2009). </w:t>
      </w:r>
      <w:r w:rsidRPr="00CC4239">
        <w:rPr>
          <w:rFonts w:cstheme="minorHAnsi"/>
          <w:sz w:val="15"/>
          <w:szCs w:val="15"/>
          <w:u w:val="single"/>
        </w:rPr>
        <w:t>The exceptional January-February 2009 heatwave in south-eastern Australia</w:t>
      </w:r>
      <w:r w:rsidRPr="00CC4239">
        <w:rPr>
          <w:rFonts w:cstheme="minorHAnsi"/>
          <w:sz w:val="15"/>
          <w:szCs w:val="15"/>
        </w:rPr>
        <w:t xml:space="preserve">. </w:t>
      </w:r>
    </w:p>
    <w:p w14:paraId="1B726E40"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85. Rafferty, J.P. (undated). </w:t>
      </w:r>
      <w:r w:rsidRPr="00CC4239">
        <w:rPr>
          <w:rFonts w:cstheme="minorHAnsi"/>
          <w:sz w:val="15"/>
          <w:szCs w:val="15"/>
          <w:u w:val="single"/>
        </w:rPr>
        <w:t>Do Fossil Fuels Really Come from Fossils?</w:t>
      </w:r>
      <w:r w:rsidRPr="00CC4239">
        <w:rPr>
          <w:rFonts w:cstheme="minorHAnsi"/>
          <w:sz w:val="15"/>
          <w:szCs w:val="15"/>
        </w:rPr>
        <w:t xml:space="preserve"> Britannica.</w:t>
      </w:r>
    </w:p>
    <w:p w14:paraId="0FFC6059"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87. Wrigley, E.A. (2013). </w:t>
      </w:r>
      <w:r w:rsidRPr="00CC4239">
        <w:rPr>
          <w:rFonts w:cstheme="minorHAnsi"/>
          <w:sz w:val="15"/>
          <w:szCs w:val="15"/>
          <w:u w:val="single"/>
        </w:rPr>
        <w:t>Energy and the English Industrial Revolution</w:t>
      </w:r>
      <w:r w:rsidRPr="00CC4239">
        <w:rPr>
          <w:rFonts w:cstheme="minorHAnsi"/>
          <w:sz w:val="15"/>
          <w:szCs w:val="15"/>
        </w:rPr>
        <w:t>. Philosophical Transactions of the Royal Society.</w:t>
      </w:r>
    </w:p>
    <w:p w14:paraId="6008FAAA"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88. Geoscience Australia (undated). </w:t>
      </w:r>
      <w:r w:rsidRPr="00CC4239">
        <w:rPr>
          <w:rFonts w:cstheme="minorHAnsi"/>
          <w:sz w:val="15"/>
          <w:szCs w:val="15"/>
          <w:u w:val="single"/>
        </w:rPr>
        <w:t>Australia’s Energy Production, Consumption and Exports</w:t>
      </w:r>
      <w:r w:rsidRPr="00CC4239">
        <w:rPr>
          <w:rFonts w:cstheme="minorHAnsi"/>
          <w:sz w:val="15"/>
          <w:szCs w:val="15"/>
        </w:rPr>
        <w:t xml:space="preserve">. </w:t>
      </w:r>
    </w:p>
    <w:p w14:paraId="53853EC6"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89. Andrews, T.G. (undated). </w:t>
      </w:r>
      <w:r w:rsidRPr="00CC4239">
        <w:rPr>
          <w:rFonts w:cstheme="minorHAnsi"/>
          <w:sz w:val="15"/>
          <w:szCs w:val="15"/>
          <w:u w:val="single"/>
        </w:rPr>
        <w:t>Coal and the Industrial Revolution</w:t>
      </w:r>
      <w:r w:rsidRPr="00CC4239">
        <w:rPr>
          <w:rFonts w:cstheme="minorHAnsi"/>
          <w:sz w:val="15"/>
          <w:szCs w:val="15"/>
        </w:rPr>
        <w:t>. National History Education Clearinghouse.</w:t>
      </w:r>
    </w:p>
    <w:p w14:paraId="39C604CD"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90. Kumar, K. (undated). </w:t>
      </w:r>
      <w:r w:rsidRPr="00CC4239">
        <w:rPr>
          <w:rFonts w:cstheme="minorHAnsi"/>
          <w:sz w:val="15"/>
          <w:szCs w:val="15"/>
          <w:u w:val="single"/>
        </w:rPr>
        <w:t>Modernization</w:t>
      </w:r>
      <w:r w:rsidRPr="00CC4239">
        <w:rPr>
          <w:rFonts w:cstheme="minorHAnsi"/>
          <w:sz w:val="15"/>
          <w:szCs w:val="15"/>
        </w:rPr>
        <w:t>. Brittanica.</w:t>
      </w:r>
    </w:p>
    <w:p w14:paraId="7CB30243"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92. NASA (2020). </w:t>
      </w:r>
      <w:r w:rsidRPr="00CC4239">
        <w:rPr>
          <w:rFonts w:cstheme="minorHAnsi"/>
          <w:sz w:val="15"/>
          <w:szCs w:val="15"/>
          <w:u w:val="single"/>
        </w:rPr>
        <w:t>Global Climate Change – Vital Signs for the Planet: Graphic: Temperature versus Solar Activity</w:t>
      </w:r>
      <w:r w:rsidRPr="00CC4239">
        <w:rPr>
          <w:rFonts w:cstheme="minorHAnsi"/>
          <w:sz w:val="15"/>
          <w:szCs w:val="15"/>
        </w:rPr>
        <w:t>.</w:t>
      </w:r>
    </w:p>
    <w:p w14:paraId="7A6AC3B7"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u w:val="single"/>
        </w:rPr>
        <w:t>Soc Lond B Biol Sci.</w:t>
      </w:r>
      <w:r w:rsidRPr="00CC4239">
        <w:rPr>
          <w:rFonts w:cstheme="minorHAnsi"/>
          <w:sz w:val="15"/>
          <w:szCs w:val="15"/>
        </w:rPr>
        <w:t xml:space="preserve"> Vol. 354(1379), pp. 33–50.</w:t>
      </w:r>
    </w:p>
    <w:p w14:paraId="6CE33B97"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95. United Nations Climate Change (2018). </w:t>
      </w:r>
      <w:r w:rsidRPr="00CC4239">
        <w:rPr>
          <w:rFonts w:cstheme="minorHAnsi"/>
          <w:sz w:val="15"/>
          <w:szCs w:val="15"/>
          <w:u w:val="single"/>
        </w:rPr>
        <w:t>UN Warns of Climate Change is Driving world Hunger</w:t>
      </w:r>
      <w:r w:rsidRPr="00CC4239">
        <w:rPr>
          <w:rFonts w:cstheme="minorHAnsi"/>
          <w:sz w:val="15"/>
          <w:szCs w:val="15"/>
        </w:rPr>
        <w:t>. United Nations.</w:t>
      </w:r>
    </w:p>
    <w:p w14:paraId="6471F049" w14:textId="77777777" w:rsidR="006D7A99" w:rsidRDefault="006D7A99" w:rsidP="006D7A99">
      <w:pPr>
        <w:spacing w:before="30" w:after="0" w:line="240" w:lineRule="auto"/>
        <w:jc w:val="both"/>
        <w:rPr>
          <w:rFonts w:cstheme="minorHAnsi"/>
          <w:sz w:val="15"/>
          <w:szCs w:val="15"/>
        </w:rPr>
      </w:pPr>
      <w:r w:rsidRPr="00CC4239">
        <w:rPr>
          <w:rFonts w:cstheme="minorHAnsi"/>
          <w:sz w:val="15"/>
          <w:szCs w:val="15"/>
        </w:rPr>
        <w:t xml:space="preserve">96. CSIRO (2021). </w:t>
      </w:r>
      <w:r w:rsidRPr="005430C0">
        <w:rPr>
          <w:rFonts w:cstheme="minorHAnsi"/>
          <w:sz w:val="15"/>
          <w:szCs w:val="15"/>
          <w:u w:val="single"/>
        </w:rPr>
        <w:t>The 2019-20 bushfires: a CSIRO explainer.</w:t>
      </w:r>
      <w:r w:rsidRPr="00CC4239">
        <w:rPr>
          <w:rFonts w:cstheme="minorHAnsi"/>
          <w:sz w:val="15"/>
          <w:szCs w:val="15"/>
        </w:rPr>
        <w:t xml:space="preserve"> Commonwealth Government.</w:t>
      </w:r>
    </w:p>
    <w:p w14:paraId="021C1809" w14:textId="77777777" w:rsidR="006D7A99" w:rsidRPr="00CC4239" w:rsidRDefault="006D7A99" w:rsidP="006D7A99">
      <w:pPr>
        <w:spacing w:before="30" w:after="0" w:line="240" w:lineRule="auto"/>
        <w:jc w:val="both"/>
        <w:rPr>
          <w:rFonts w:cstheme="minorHAnsi"/>
          <w:sz w:val="15"/>
          <w:szCs w:val="15"/>
        </w:rPr>
      </w:pPr>
      <w:r>
        <w:rPr>
          <w:rFonts w:cstheme="minorHAnsi"/>
          <w:sz w:val="15"/>
          <w:szCs w:val="15"/>
        </w:rPr>
        <w:t xml:space="preserve">97. </w:t>
      </w:r>
      <w:r w:rsidRPr="005430C0">
        <w:rPr>
          <w:rFonts w:cstheme="minorHAnsi"/>
          <w:sz w:val="15"/>
          <w:szCs w:val="15"/>
        </w:rPr>
        <w:t xml:space="preserve">Our World in Data (2020). </w:t>
      </w:r>
      <w:r w:rsidRPr="005430C0">
        <w:rPr>
          <w:rFonts w:cstheme="minorHAnsi"/>
          <w:sz w:val="15"/>
          <w:szCs w:val="15"/>
          <w:u w:val="single"/>
        </w:rPr>
        <w:t>Energy Use by Source: Selected World Nations, 2019</w:t>
      </w:r>
      <w:r w:rsidRPr="005430C0">
        <w:rPr>
          <w:rFonts w:cstheme="minorHAnsi"/>
          <w:sz w:val="15"/>
          <w:szCs w:val="15"/>
        </w:rPr>
        <w:t>. From BP Statistical Review of World Energy</w:t>
      </w:r>
    </w:p>
    <w:sectPr w:rsidR="006D7A99" w:rsidRPr="00CC4239" w:rsidSect="00076CCF">
      <w:pgSz w:w="11906" w:h="16838"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C0985" w14:textId="77777777" w:rsidR="00DE023E" w:rsidRDefault="00DE023E" w:rsidP="00DE023E">
      <w:pPr>
        <w:spacing w:after="0" w:line="240" w:lineRule="auto"/>
      </w:pPr>
      <w:r>
        <w:separator/>
      </w:r>
    </w:p>
  </w:endnote>
  <w:endnote w:type="continuationSeparator" w:id="0">
    <w:p w14:paraId="09390EF8" w14:textId="77777777" w:rsidR="00DE023E" w:rsidRDefault="00DE023E" w:rsidP="00DE0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654958359"/>
      <w:docPartObj>
        <w:docPartGallery w:val="Page Numbers (Bottom of Page)"/>
        <w:docPartUnique/>
      </w:docPartObj>
    </w:sdtPr>
    <w:sdtEndPr>
      <w:rPr>
        <w:color w:val="7F7F7F" w:themeColor="background1" w:themeShade="7F"/>
        <w:spacing w:val="60"/>
      </w:rPr>
    </w:sdtEndPr>
    <w:sdtContent>
      <w:p w14:paraId="76022CEE" w14:textId="77777777" w:rsidR="0033027C" w:rsidRPr="009369CB" w:rsidRDefault="0033027C" w:rsidP="009369CB">
        <w:pPr>
          <w:pStyle w:val="Footer"/>
          <w:pBdr>
            <w:top w:val="single" w:sz="4" w:space="1" w:color="D9D9D9" w:themeColor="background1" w:themeShade="D9"/>
          </w:pBdr>
          <w:rPr>
            <w:b/>
            <w:bCs/>
            <w:sz w:val="16"/>
            <w:szCs w:val="16"/>
          </w:rPr>
        </w:pPr>
        <w:r w:rsidRPr="009369CB">
          <w:rPr>
            <w:sz w:val="16"/>
            <w:szCs w:val="16"/>
          </w:rPr>
          <w:fldChar w:fldCharType="begin"/>
        </w:r>
        <w:r w:rsidRPr="009369CB">
          <w:rPr>
            <w:sz w:val="16"/>
            <w:szCs w:val="16"/>
          </w:rPr>
          <w:instrText xml:space="preserve"> PAGE   \* MERGEFORMAT </w:instrText>
        </w:r>
        <w:r w:rsidRPr="009369CB">
          <w:rPr>
            <w:sz w:val="16"/>
            <w:szCs w:val="16"/>
          </w:rPr>
          <w:fldChar w:fldCharType="separate"/>
        </w:r>
        <w:r w:rsidRPr="009369CB">
          <w:rPr>
            <w:b/>
            <w:bCs/>
            <w:noProof/>
            <w:sz w:val="16"/>
            <w:szCs w:val="16"/>
          </w:rPr>
          <w:t>2</w:t>
        </w:r>
        <w:r w:rsidRPr="009369CB">
          <w:rPr>
            <w:b/>
            <w:bCs/>
            <w:noProof/>
            <w:sz w:val="16"/>
            <w:szCs w:val="16"/>
          </w:rPr>
          <w:fldChar w:fldCharType="end"/>
        </w:r>
        <w:r w:rsidRPr="009369CB">
          <w:rPr>
            <w:b/>
            <w:bCs/>
            <w:sz w:val="16"/>
            <w:szCs w:val="16"/>
          </w:rPr>
          <w:t xml:space="preserve"> | </w:t>
        </w:r>
        <w:r w:rsidRPr="009369CB">
          <w:rPr>
            <w:color w:val="7F7F7F" w:themeColor="background1" w:themeShade="7F"/>
            <w:spacing w:val="60"/>
            <w:sz w:val="16"/>
            <w:szCs w:val="16"/>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64868" w14:textId="77777777" w:rsidR="00DE023E" w:rsidRDefault="00DE023E" w:rsidP="00DE023E">
      <w:pPr>
        <w:spacing w:after="0" w:line="240" w:lineRule="auto"/>
      </w:pPr>
      <w:r>
        <w:separator/>
      </w:r>
    </w:p>
  </w:footnote>
  <w:footnote w:type="continuationSeparator" w:id="0">
    <w:p w14:paraId="47B76CE0" w14:textId="77777777" w:rsidR="00DE023E" w:rsidRDefault="00DE023E" w:rsidP="00DE023E">
      <w:pPr>
        <w:spacing w:after="0" w:line="240" w:lineRule="auto"/>
      </w:pPr>
      <w:r>
        <w:continuationSeparator/>
      </w:r>
    </w:p>
  </w:footnote>
  <w:footnote w:id="1">
    <w:p w14:paraId="4327872A" w14:textId="77777777" w:rsidR="006F675F" w:rsidRPr="003601F3" w:rsidRDefault="006F675F" w:rsidP="006F675F">
      <w:pPr>
        <w:pStyle w:val="FootnoteText"/>
        <w:jc w:val="both"/>
      </w:pPr>
      <w:r>
        <w:rPr>
          <w:rStyle w:val="FootnoteReference"/>
        </w:rPr>
        <w:footnoteRef/>
      </w:r>
      <w:r>
        <w:t xml:space="preserve"> </w:t>
      </w:r>
      <w:r w:rsidRPr="003601F3">
        <w:rPr>
          <w:sz w:val="14"/>
          <w:szCs w:val="14"/>
        </w:rPr>
        <w:t>Diversity of birthplaces among the residents of each municipality is measured as the probability that two people from a community, chosen at random, would come from different birthplaces. This measure provides an index of birthplace diversity which gives a balanced measure of the range of birthplaces and number of persons from each, and permits localities of widely varying population to be compared.</w:t>
      </w:r>
    </w:p>
  </w:footnote>
  <w:footnote w:id="2">
    <w:p w14:paraId="1AC4A3B7" w14:textId="03065E65" w:rsidR="002D3B84" w:rsidRPr="00F65743" w:rsidRDefault="002D3B84" w:rsidP="002D3B84">
      <w:pPr>
        <w:pStyle w:val="FootnoteText"/>
        <w:jc w:val="both"/>
        <w:rPr>
          <w:sz w:val="16"/>
          <w:szCs w:val="16"/>
        </w:rPr>
      </w:pPr>
      <w:r w:rsidRPr="00F65743">
        <w:rPr>
          <w:rStyle w:val="FootnoteReference"/>
          <w:sz w:val="16"/>
          <w:szCs w:val="16"/>
        </w:rPr>
        <w:footnoteRef/>
      </w:r>
      <w:r w:rsidRPr="00F65743">
        <w:rPr>
          <w:sz w:val="16"/>
          <w:szCs w:val="16"/>
        </w:rPr>
        <w:t xml:space="preserve"> For </w:t>
      </w:r>
      <w:r>
        <w:rPr>
          <w:sz w:val="16"/>
          <w:szCs w:val="16"/>
        </w:rPr>
        <w:t>506</w:t>
      </w:r>
      <w:r w:rsidRPr="00F65743">
        <w:rPr>
          <w:sz w:val="16"/>
          <w:szCs w:val="16"/>
        </w:rPr>
        <w:t xml:space="preserve"> </w:t>
      </w:r>
      <w:r>
        <w:rPr>
          <w:sz w:val="16"/>
          <w:szCs w:val="16"/>
        </w:rPr>
        <w:t>people seeking asylum</w:t>
      </w:r>
      <w:r w:rsidRPr="00F65743">
        <w:rPr>
          <w:sz w:val="16"/>
          <w:szCs w:val="16"/>
        </w:rPr>
        <w:t xml:space="preserve">, their municipality of residence could not be determined, due to the manner in which information concerning their suburb of residence is tabulated by the Department of </w:t>
      </w:r>
      <w:r>
        <w:rPr>
          <w:sz w:val="16"/>
          <w:szCs w:val="16"/>
        </w:rPr>
        <w:t xml:space="preserve">Immigration and </w:t>
      </w:r>
      <w:r w:rsidRPr="00F65743">
        <w:rPr>
          <w:sz w:val="16"/>
          <w:szCs w:val="16"/>
        </w:rPr>
        <w:t xml:space="preserve">Border Protection. As a result, the total number of </w:t>
      </w:r>
      <w:r w:rsidR="002F6534">
        <w:rPr>
          <w:sz w:val="16"/>
          <w:szCs w:val="16"/>
        </w:rPr>
        <w:t>p</w:t>
      </w:r>
      <w:r>
        <w:rPr>
          <w:sz w:val="16"/>
          <w:szCs w:val="16"/>
        </w:rPr>
        <w:t>eople seeking asylum</w:t>
      </w:r>
      <w:r w:rsidR="002F6534">
        <w:rPr>
          <w:sz w:val="16"/>
          <w:szCs w:val="16"/>
        </w:rPr>
        <w:t xml:space="preserve"> </w:t>
      </w:r>
      <w:r w:rsidRPr="00F65743">
        <w:rPr>
          <w:sz w:val="16"/>
          <w:szCs w:val="16"/>
        </w:rPr>
        <w:t xml:space="preserve">used to calculate the percentages presented </w:t>
      </w:r>
      <w:r>
        <w:rPr>
          <w:sz w:val="16"/>
          <w:szCs w:val="16"/>
        </w:rPr>
        <w:t>in the diagram above</w:t>
      </w:r>
      <w:r w:rsidRPr="00F65743">
        <w:rPr>
          <w:sz w:val="16"/>
          <w:szCs w:val="16"/>
        </w:rPr>
        <w:t xml:space="preserve"> </w:t>
      </w:r>
      <w:r>
        <w:rPr>
          <w:sz w:val="16"/>
          <w:szCs w:val="16"/>
        </w:rPr>
        <w:t>is</w:t>
      </w:r>
      <w:r w:rsidRPr="00F65743">
        <w:rPr>
          <w:sz w:val="16"/>
          <w:szCs w:val="16"/>
        </w:rPr>
        <w:t xml:space="preserve"> </w:t>
      </w:r>
      <w:r>
        <w:rPr>
          <w:sz w:val="16"/>
          <w:szCs w:val="16"/>
        </w:rPr>
        <w:t>less</w:t>
      </w:r>
      <w:r w:rsidRPr="00F65743">
        <w:rPr>
          <w:sz w:val="16"/>
          <w:szCs w:val="16"/>
        </w:rPr>
        <w:t xml:space="preserve"> than the actual total.</w:t>
      </w:r>
    </w:p>
  </w:footnote>
  <w:footnote w:id="3">
    <w:p w14:paraId="04C96E6A" w14:textId="77777777" w:rsidR="002D3B84" w:rsidRDefault="002D3B84" w:rsidP="002D3B84">
      <w:pPr>
        <w:pStyle w:val="FootnoteText"/>
      </w:pPr>
      <w:r>
        <w:rPr>
          <w:rStyle w:val="FootnoteReference"/>
        </w:rPr>
        <w:footnoteRef/>
      </w:r>
      <w:r>
        <w:t xml:space="preserve"> </w:t>
      </w:r>
      <w:r w:rsidRPr="007600B1">
        <w:rPr>
          <w:sz w:val="16"/>
          <w:szCs w:val="16"/>
        </w:rPr>
        <w:t xml:space="preserve">Some of those people among the totals for September 2014 and </w:t>
      </w:r>
      <w:r>
        <w:rPr>
          <w:sz w:val="16"/>
          <w:szCs w:val="16"/>
        </w:rPr>
        <w:t>June 2021</w:t>
      </w:r>
      <w:r w:rsidRPr="007600B1">
        <w:rPr>
          <w:sz w:val="16"/>
          <w:szCs w:val="16"/>
        </w:rPr>
        <w:t xml:space="preserve"> could not be reliably assigned to municipalities of residence to assemble the chart above.</w:t>
      </w:r>
    </w:p>
  </w:footnote>
  <w:footnote w:id="4">
    <w:p w14:paraId="5198899F" w14:textId="77777777" w:rsidR="00FB7C6B" w:rsidRPr="00274C23" w:rsidRDefault="00FB7C6B" w:rsidP="00FB7C6B">
      <w:pPr>
        <w:pStyle w:val="FootnoteText"/>
      </w:pPr>
      <w:r>
        <w:rPr>
          <w:rStyle w:val="FootnoteReference"/>
        </w:rPr>
        <w:footnoteRef/>
      </w:r>
      <w:r>
        <w:t xml:space="preserve"> </w:t>
      </w:r>
      <w:r>
        <w:rPr>
          <w:sz w:val="14"/>
          <w:szCs w:val="14"/>
        </w:rPr>
        <w:t>The municipality</w:t>
      </w:r>
      <w:r w:rsidRPr="00274C23">
        <w:rPr>
          <w:sz w:val="14"/>
          <w:szCs w:val="14"/>
        </w:rPr>
        <w:t xml:space="preserve"> of Greater Dandenong and the adjoining municipalities of Casey, Frankston, Kingston, Knox and Monash.</w:t>
      </w:r>
    </w:p>
  </w:footnote>
  <w:footnote w:id="5">
    <w:p w14:paraId="63E46F74" w14:textId="77777777" w:rsidR="00FB7C6B" w:rsidRPr="0052137F" w:rsidRDefault="00FB7C6B" w:rsidP="00FB7C6B">
      <w:pPr>
        <w:pStyle w:val="FootnoteText"/>
        <w:rPr>
          <w:sz w:val="16"/>
          <w:szCs w:val="16"/>
        </w:rPr>
      </w:pPr>
      <w:r>
        <w:rPr>
          <w:rStyle w:val="FootnoteReference"/>
        </w:rPr>
        <w:footnoteRef/>
      </w:r>
      <w:r>
        <w:t xml:space="preserve"> </w:t>
      </w:r>
      <w:r w:rsidRPr="0052137F">
        <w:rPr>
          <w:sz w:val="16"/>
          <w:szCs w:val="16"/>
        </w:rPr>
        <w:t>These were physical, emotional, social, language and communication.</w:t>
      </w:r>
    </w:p>
  </w:footnote>
  <w:footnote w:id="6">
    <w:p w14:paraId="3237D682" w14:textId="77777777" w:rsidR="00250204" w:rsidRPr="00A2790C" w:rsidRDefault="00250204" w:rsidP="00BE29A1">
      <w:pPr>
        <w:spacing w:after="0" w:line="240" w:lineRule="auto"/>
        <w:jc w:val="both"/>
      </w:pPr>
      <w:r>
        <w:rPr>
          <w:rStyle w:val="FootnoteReference"/>
        </w:rPr>
        <w:footnoteRef/>
      </w:r>
      <w:r>
        <w:t xml:space="preserve"> </w:t>
      </w:r>
      <w:r w:rsidRPr="00A2790C">
        <w:rPr>
          <w:sz w:val="14"/>
          <w:szCs w:val="14"/>
        </w:rPr>
        <w:t xml:space="preserve">Roy Morgan Research (2015). </w:t>
      </w:r>
      <w:r w:rsidRPr="00A2790C">
        <w:rPr>
          <w:sz w:val="14"/>
          <w:szCs w:val="14"/>
          <w:u w:val="single"/>
        </w:rPr>
        <w:t>Is Australia Getting Gayer – and How Gay will we Get?</w:t>
      </w:r>
      <w:r w:rsidRPr="00A2790C">
        <w:rPr>
          <w:sz w:val="14"/>
          <w:szCs w:val="14"/>
        </w:rPr>
        <w:t xml:space="preserve"> Roy Morgan Research Accessed at: </w:t>
      </w:r>
      <w:hyperlink r:id="rId1" w:history="1">
        <w:r w:rsidRPr="00A2790C">
          <w:rPr>
            <w:sz w:val="14"/>
            <w:szCs w:val="14"/>
          </w:rPr>
          <w:t>http://www.roymorgan.com/findings/6263-exactly-how-many-australians-are-gay-december-2014-201506020136</w:t>
        </w:r>
      </w:hyperlink>
    </w:p>
  </w:footnote>
  <w:footnote w:id="7">
    <w:p w14:paraId="232CF878" w14:textId="77777777" w:rsidR="00250204" w:rsidRDefault="00250204" w:rsidP="00BE29A1">
      <w:pPr>
        <w:pStyle w:val="FootnoteText"/>
      </w:pPr>
      <w:r>
        <w:rPr>
          <w:rStyle w:val="FootnoteReference"/>
        </w:rPr>
        <w:footnoteRef/>
      </w:r>
      <w:r>
        <w:t xml:space="preserve"> </w:t>
      </w:r>
      <w:r w:rsidRPr="00A2790C">
        <w:rPr>
          <w:rFonts w:asciiTheme="minorHAnsi" w:hAnsiTheme="minorHAnsi"/>
          <w:sz w:val="14"/>
          <w:szCs w:val="14"/>
        </w:rPr>
        <w:t xml:space="preserve">Australian Research Centre in Sex, Health and Society (2005). </w:t>
      </w:r>
      <w:r w:rsidRPr="00A2790C">
        <w:rPr>
          <w:rFonts w:asciiTheme="minorHAnsi" w:hAnsiTheme="minorHAnsi"/>
          <w:sz w:val="14"/>
          <w:szCs w:val="14"/>
          <w:u w:val="single"/>
        </w:rPr>
        <w:t>Australian Longitudinal Study of Health and Relationships Wave 1</w:t>
      </w:r>
      <w:r w:rsidRPr="00A2790C">
        <w:rPr>
          <w:rFonts w:asciiTheme="minorHAnsi" w:hAnsiTheme="minorHAnsi"/>
          <w:sz w:val="14"/>
          <w:szCs w:val="14"/>
        </w:rPr>
        <w:t>. La Trobe University, Melbourne</w:t>
      </w:r>
    </w:p>
  </w:footnote>
  <w:footnote w:id="8">
    <w:p w14:paraId="0F44DE43" w14:textId="77777777" w:rsidR="00250204" w:rsidRDefault="00250204" w:rsidP="00BE29A1">
      <w:pPr>
        <w:pStyle w:val="FootnoteText"/>
      </w:pPr>
      <w:r>
        <w:rPr>
          <w:rStyle w:val="FootnoteReference"/>
        </w:rPr>
        <w:footnoteRef/>
      </w:r>
      <w:r>
        <w:t xml:space="preserve"> </w:t>
      </w:r>
      <w:r w:rsidRPr="00A2790C">
        <w:rPr>
          <w:rFonts w:asciiTheme="minorHAnsi" w:hAnsiTheme="minorHAnsi"/>
          <w:sz w:val="14"/>
          <w:szCs w:val="14"/>
        </w:rPr>
        <w:t xml:space="preserve">Conway (2015). </w:t>
      </w:r>
      <w:r w:rsidRPr="00A2790C">
        <w:rPr>
          <w:rFonts w:asciiTheme="minorHAnsi" w:hAnsiTheme="minorHAnsi"/>
          <w:sz w:val="14"/>
          <w:szCs w:val="14"/>
          <w:u w:val="single"/>
        </w:rPr>
        <w:t>How Many of Us are There?</w:t>
      </w:r>
      <w:r w:rsidRPr="00A2790C">
        <w:rPr>
          <w:rFonts w:asciiTheme="minorHAnsi" w:hAnsiTheme="minorHAnsi"/>
          <w:sz w:val="14"/>
          <w:szCs w:val="14"/>
        </w:rPr>
        <w:t xml:space="preserve"> Accessed at: </w:t>
      </w:r>
      <w:hyperlink r:id="rId2" w:history="1">
        <w:r w:rsidRPr="00A2790C">
          <w:rPr>
            <w:rFonts w:asciiTheme="minorHAnsi" w:hAnsiTheme="minorHAnsi"/>
            <w:sz w:val="14"/>
            <w:szCs w:val="14"/>
          </w:rPr>
          <w:t>http://www.gendercentre.org.au/resources/polare-archive/archived-articles/how-many-of-us-are-there.htm</w:t>
        </w:r>
      </w:hyperlink>
    </w:p>
  </w:footnote>
  <w:footnote w:id="9">
    <w:p w14:paraId="600F772F" w14:textId="77777777" w:rsidR="00250204" w:rsidRDefault="00250204" w:rsidP="00BE29A1">
      <w:pPr>
        <w:pStyle w:val="FootnoteText"/>
      </w:pPr>
      <w:r>
        <w:rPr>
          <w:rStyle w:val="FootnoteReference"/>
        </w:rPr>
        <w:footnoteRef/>
      </w:r>
      <w:r>
        <w:t xml:space="preserve"> </w:t>
      </w:r>
      <w:r w:rsidRPr="00A2790C">
        <w:rPr>
          <w:rFonts w:asciiTheme="minorHAnsi" w:hAnsiTheme="minorHAnsi"/>
          <w:sz w:val="14"/>
          <w:szCs w:val="14"/>
        </w:rPr>
        <w:t xml:space="preserve">Sax (2002). </w:t>
      </w:r>
      <w:r w:rsidRPr="00A2790C">
        <w:rPr>
          <w:rFonts w:asciiTheme="minorHAnsi" w:hAnsiTheme="minorHAnsi"/>
          <w:sz w:val="14"/>
          <w:szCs w:val="14"/>
          <w:u w:val="single"/>
        </w:rPr>
        <w:t>How Common is Intersex?</w:t>
      </w:r>
      <w:r w:rsidRPr="00A2790C">
        <w:rPr>
          <w:rFonts w:asciiTheme="minorHAnsi" w:hAnsiTheme="minorHAnsi"/>
          <w:sz w:val="14"/>
          <w:szCs w:val="14"/>
        </w:rPr>
        <w:t xml:space="preserve"> A Response to Anne Fausto-Sterling. Journal of Sex research, 2002 August Vol. 4(4), pp. 293-298</w:t>
      </w:r>
    </w:p>
  </w:footnote>
  <w:footnote w:id="10">
    <w:p w14:paraId="4C5C292B" w14:textId="77777777" w:rsidR="00250204" w:rsidRDefault="00250204" w:rsidP="00BE29A1">
      <w:pPr>
        <w:pStyle w:val="FootnoteText"/>
        <w:jc w:val="both"/>
      </w:pPr>
      <w:r>
        <w:rPr>
          <w:rStyle w:val="FootnoteReference"/>
        </w:rPr>
        <w:footnoteRef/>
      </w:r>
      <w:r>
        <w:t xml:space="preserve"> </w:t>
      </w:r>
      <w:r w:rsidRPr="00A2790C">
        <w:rPr>
          <w:rFonts w:asciiTheme="minorHAnsi" w:hAnsiTheme="minorHAnsi" w:cstheme="minorHAnsi"/>
          <w:sz w:val="14"/>
          <w:szCs w:val="14"/>
        </w:rPr>
        <w:t>Victorian Agency for Health Information (2020). The health and wellbeing of the lesbian, gay, bisexual, transgender, intersex and queer population in Victoria: Findings from the Victorian Population Health Survey 2017. Melbourne</w:t>
      </w:r>
    </w:p>
  </w:footnote>
  <w:footnote w:id="11">
    <w:p w14:paraId="06A425C0" w14:textId="77777777" w:rsidR="00250204" w:rsidRPr="00C70A97" w:rsidRDefault="00250204" w:rsidP="00BE29A1">
      <w:pPr>
        <w:spacing w:after="0" w:line="240" w:lineRule="auto"/>
        <w:jc w:val="both"/>
        <w:rPr>
          <w:rFonts w:cstheme="minorHAnsi"/>
          <w:color w:val="000000" w:themeColor="text1"/>
          <w:sz w:val="14"/>
          <w:szCs w:val="14"/>
          <w:lang w:val="en-GB"/>
        </w:rPr>
      </w:pPr>
      <w:r>
        <w:rPr>
          <w:rStyle w:val="FootnoteReference"/>
        </w:rPr>
        <w:footnoteRef/>
      </w:r>
      <w:r>
        <w:t xml:space="preserve"> </w:t>
      </w:r>
      <w:r w:rsidRPr="00C70A97">
        <w:rPr>
          <w:rFonts w:cstheme="minorHAnsi"/>
          <w:color w:val="000000" w:themeColor="text1"/>
          <w:sz w:val="14"/>
          <w:szCs w:val="14"/>
          <w:lang w:val="en-GB"/>
        </w:rPr>
        <w:t xml:space="preserve">Fairchild, J. (2020). PiP Webinar: </w:t>
      </w:r>
      <w:r w:rsidRPr="00C70A97">
        <w:rPr>
          <w:rFonts w:cstheme="minorHAnsi"/>
          <w:color w:val="000000" w:themeColor="text1"/>
          <w:sz w:val="14"/>
          <w:szCs w:val="14"/>
          <w:u w:val="single"/>
          <w:lang w:val="en-GB"/>
        </w:rPr>
        <w:t>LGBTIQ Inclusive Prevention in Conversation with Rainbow Health Victoria</w:t>
      </w:r>
      <w:r w:rsidRPr="00C70A97">
        <w:rPr>
          <w:rFonts w:cstheme="minorHAnsi"/>
          <w:color w:val="000000" w:themeColor="text1"/>
          <w:sz w:val="14"/>
          <w:szCs w:val="14"/>
          <w:lang w:val="en-GB"/>
        </w:rPr>
        <w:t>. May 27, 2020</w:t>
      </w:r>
    </w:p>
    <w:p w14:paraId="6248E308" w14:textId="77777777" w:rsidR="00250204" w:rsidRPr="00C70A97" w:rsidRDefault="00250204" w:rsidP="00BE29A1">
      <w:pPr>
        <w:spacing w:after="0" w:line="240" w:lineRule="auto"/>
        <w:jc w:val="both"/>
        <w:rPr>
          <w:color w:val="000000" w:themeColor="text1"/>
          <w:sz w:val="20"/>
          <w:szCs w:val="20"/>
        </w:rPr>
      </w:pPr>
      <w:r w:rsidRPr="00C70A97">
        <w:rPr>
          <w:rFonts w:cstheme="minorHAnsi"/>
          <w:color w:val="000000" w:themeColor="text1"/>
          <w:sz w:val="14"/>
          <w:szCs w:val="14"/>
        </w:rPr>
        <w:t xml:space="preserve">Family and Community Services (undated). </w:t>
      </w:r>
      <w:r w:rsidRPr="00C70A97">
        <w:rPr>
          <w:rFonts w:cstheme="minorHAnsi"/>
          <w:color w:val="000000" w:themeColor="text1"/>
          <w:sz w:val="14"/>
          <w:szCs w:val="14"/>
          <w:u w:val="single"/>
        </w:rPr>
        <w:t>I’m LGBTIQ and Experiencing Domestic Violence</w:t>
      </w:r>
      <w:r w:rsidRPr="00C70A97">
        <w:rPr>
          <w:rFonts w:cstheme="minorHAnsi"/>
          <w:color w:val="000000" w:themeColor="text1"/>
          <w:sz w:val="14"/>
          <w:szCs w:val="14"/>
        </w:rPr>
        <w:t>.</w:t>
      </w:r>
    </w:p>
  </w:footnote>
  <w:footnote w:id="12">
    <w:p w14:paraId="213A9129" w14:textId="77777777" w:rsidR="00250204" w:rsidRDefault="00250204" w:rsidP="00250204">
      <w:pPr>
        <w:pStyle w:val="FootnoteText"/>
      </w:pPr>
      <w:r>
        <w:rPr>
          <w:rStyle w:val="FootnoteReference"/>
        </w:rPr>
        <w:footnoteRef/>
      </w:r>
      <w:r>
        <w:t xml:space="preserve"> </w:t>
      </w:r>
      <w:r w:rsidRPr="00C70A97">
        <w:rPr>
          <w:rFonts w:asciiTheme="minorHAnsi" w:hAnsiTheme="minorHAnsi" w:cstheme="minorHAnsi"/>
          <w:color w:val="000000" w:themeColor="text1"/>
          <w:sz w:val="14"/>
          <w:szCs w:val="14"/>
        </w:rPr>
        <w:t xml:space="preserve">National LGBT Health Alliance (2009). </w:t>
      </w:r>
      <w:r w:rsidRPr="00C70A97">
        <w:rPr>
          <w:rFonts w:asciiTheme="minorHAnsi" w:hAnsiTheme="minorHAnsi" w:cstheme="minorHAnsi"/>
          <w:color w:val="000000" w:themeColor="text1"/>
          <w:sz w:val="14"/>
          <w:szCs w:val="14"/>
          <w:u w:val="single"/>
        </w:rPr>
        <w:t>Submission to the Inquiry into the Impact of Violence on Young Australians</w:t>
      </w:r>
    </w:p>
  </w:footnote>
  <w:footnote w:id="13">
    <w:p w14:paraId="5EDF90E8" w14:textId="77777777" w:rsidR="00250204" w:rsidRDefault="00250204" w:rsidP="00250204">
      <w:pPr>
        <w:pStyle w:val="FootnoteText"/>
      </w:pPr>
      <w:r>
        <w:rPr>
          <w:rStyle w:val="FootnoteReference"/>
        </w:rPr>
        <w:footnoteRef/>
      </w:r>
      <w:r>
        <w:t xml:space="preserve"> </w:t>
      </w:r>
      <w:r w:rsidRPr="00E75BBB">
        <w:rPr>
          <w:rFonts w:asciiTheme="minorHAnsi" w:hAnsiTheme="minorHAnsi" w:cstheme="minorHAnsi"/>
          <w:color w:val="000000" w:themeColor="text1"/>
          <w:sz w:val="14"/>
          <w:szCs w:val="14"/>
        </w:rPr>
        <w:t xml:space="preserve">National LGBT Health Alliance (2009). </w:t>
      </w:r>
      <w:r w:rsidRPr="00E75BBB">
        <w:rPr>
          <w:rFonts w:asciiTheme="minorHAnsi" w:hAnsiTheme="minorHAnsi" w:cstheme="minorHAnsi"/>
          <w:color w:val="000000" w:themeColor="text1"/>
          <w:sz w:val="14"/>
          <w:szCs w:val="14"/>
          <w:u w:val="single"/>
        </w:rPr>
        <w:t>Submission to the Inquiry into the Impact of Violence on Young Australians</w:t>
      </w:r>
    </w:p>
  </w:footnote>
  <w:footnote w:id="14">
    <w:p w14:paraId="41C70B45" w14:textId="77777777" w:rsidR="00250204" w:rsidRPr="0065232A" w:rsidRDefault="00250204" w:rsidP="00250204">
      <w:pPr>
        <w:pStyle w:val="FootnoteText"/>
        <w:rPr>
          <w:rFonts w:asciiTheme="minorHAnsi" w:hAnsiTheme="minorHAnsi" w:cstheme="minorHAnsi"/>
          <w:sz w:val="14"/>
          <w:szCs w:val="14"/>
        </w:rPr>
      </w:pPr>
      <w:r>
        <w:rPr>
          <w:rStyle w:val="FootnoteReference"/>
        </w:rPr>
        <w:footnoteRef/>
      </w:r>
      <w:r>
        <w:t xml:space="preserve"> </w:t>
      </w:r>
      <w:r w:rsidRPr="0065232A">
        <w:rPr>
          <w:rFonts w:asciiTheme="minorHAnsi" w:hAnsiTheme="minorHAnsi" w:cstheme="minorHAnsi"/>
          <w:color w:val="000000" w:themeColor="text1"/>
          <w:sz w:val="14"/>
          <w:szCs w:val="14"/>
        </w:rPr>
        <w:t xml:space="preserve">National LGBT Health Alliance (2009). </w:t>
      </w:r>
      <w:r w:rsidRPr="0065232A">
        <w:rPr>
          <w:rFonts w:asciiTheme="minorHAnsi" w:hAnsiTheme="minorHAnsi" w:cstheme="minorHAnsi"/>
          <w:color w:val="000000" w:themeColor="text1"/>
          <w:sz w:val="14"/>
          <w:szCs w:val="14"/>
          <w:u w:val="single"/>
        </w:rPr>
        <w:t>Submission to the Inquiry into the Impact of Violence on Young Australians</w:t>
      </w:r>
    </w:p>
  </w:footnote>
  <w:footnote w:id="15">
    <w:p w14:paraId="0C081AA1" w14:textId="77777777" w:rsidR="00250204" w:rsidRPr="0065232A" w:rsidRDefault="00250204" w:rsidP="00B70A36">
      <w:pPr>
        <w:spacing w:after="0" w:line="240" w:lineRule="auto"/>
        <w:jc w:val="both"/>
        <w:rPr>
          <w:color w:val="000000" w:themeColor="text1"/>
          <w:sz w:val="20"/>
          <w:szCs w:val="20"/>
        </w:rPr>
      </w:pPr>
      <w:r>
        <w:rPr>
          <w:rStyle w:val="FootnoteReference"/>
        </w:rPr>
        <w:footnoteRef/>
      </w:r>
      <w:r>
        <w:t xml:space="preserve"> </w:t>
      </w:r>
      <w:r w:rsidRPr="0065232A">
        <w:rPr>
          <w:rFonts w:cstheme="minorHAnsi"/>
          <w:color w:val="000000" w:themeColor="text1"/>
          <w:sz w:val="14"/>
          <w:szCs w:val="14"/>
        </w:rPr>
        <w:t xml:space="preserve">McNair, R., Kavanagh, A., Agues, P and Tong, B. (2004). The Mental Health Status of Young Adult and Mid-life Non-heterosexual Australian Women. </w:t>
      </w:r>
      <w:r w:rsidRPr="0065232A">
        <w:rPr>
          <w:rFonts w:cstheme="minorHAnsi"/>
          <w:color w:val="000000" w:themeColor="text1"/>
          <w:sz w:val="14"/>
          <w:szCs w:val="14"/>
          <w:u w:val="single"/>
        </w:rPr>
        <w:t>Australian and New Zealand Journal of Public Health</w:t>
      </w:r>
      <w:r w:rsidRPr="0065232A">
        <w:rPr>
          <w:rFonts w:cstheme="minorHAnsi"/>
          <w:color w:val="000000" w:themeColor="text1"/>
          <w:sz w:val="14"/>
          <w:szCs w:val="14"/>
        </w:rPr>
        <w:t>, Vol. 29 No. 3 pp. 265-271</w:t>
      </w:r>
    </w:p>
  </w:footnote>
  <w:footnote w:id="16">
    <w:p w14:paraId="2DF24DAF" w14:textId="77777777" w:rsidR="00250204" w:rsidRDefault="00250204" w:rsidP="00B70A36">
      <w:pPr>
        <w:pStyle w:val="FootnoteText"/>
        <w:jc w:val="both"/>
      </w:pPr>
      <w:r>
        <w:rPr>
          <w:rStyle w:val="FootnoteReference"/>
        </w:rPr>
        <w:footnoteRef/>
      </w:r>
      <w:r>
        <w:t xml:space="preserve"> </w:t>
      </w:r>
      <w:r w:rsidRPr="0065232A">
        <w:rPr>
          <w:rFonts w:asciiTheme="minorHAnsi" w:hAnsiTheme="minorHAnsi" w:cstheme="minorHAnsi"/>
          <w:color w:val="000000" w:themeColor="text1"/>
          <w:sz w:val="14"/>
          <w:szCs w:val="14"/>
          <w:lang w:val="en-GB"/>
        </w:rPr>
        <w:t xml:space="preserve">Strauss, P., Cook, A., Winter, S., Watson, V., Wright Toussaint, D., Lin, A. (2017). </w:t>
      </w:r>
      <w:r w:rsidRPr="0065232A">
        <w:rPr>
          <w:rFonts w:asciiTheme="minorHAnsi" w:hAnsiTheme="minorHAnsi" w:cstheme="minorHAnsi"/>
          <w:color w:val="000000" w:themeColor="text1"/>
          <w:sz w:val="14"/>
          <w:szCs w:val="14"/>
          <w:u w:val="single"/>
          <w:lang w:val="en-GB"/>
        </w:rPr>
        <w:t>Trans Pathways: the mental health experiences and care pathways of trans young people: summary of results</w:t>
      </w:r>
      <w:r w:rsidRPr="0065232A">
        <w:rPr>
          <w:rFonts w:asciiTheme="minorHAnsi" w:hAnsiTheme="minorHAnsi" w:cstheme="minorHAnsi"/>
          <w:color w:val="000000" w:themeColor="text1"/>
          <w:sz w:val="14"/>
          <w:szCs w:val="14"/>
          <w:lang w:val="en-GB"/>
        </w:rPr>
        <w:t>. Telethon Kids Institute, Perth.</w:t>
      </w:r>
    </w:p>
  </w:footnote>
  <w:footnote w:id="17">
    <w:p w14:paraId="439AF915" w14:textId="77777777" w:rsidR="00250204" w:rsidRPr="0065232A" w:rsidRDefault="00250204" w:rsidP="00B70A36">
      <w:pPr>
        <w:spacing w:after="0" w:line="240" w:lineRule="auto"/>
        <w:jc w:val="both"/>
        <w:rPr>
          <w:color w:val="000000" w:themeColor="text1"/>
          <w:sz w:val="20"/>
          <w:szCs w:val="20"/>
        </w:rPr>
      </w:pPr>
      <w:r>
        <w:rPr>
          <w:rStyle w:val="FootnoteReference"/>
        </w:rPr>
        <w:footnoteRef/>
      </w:r>
      <w:r>
        <w:t xml:space="preserve"> </w:t>
      </w:r>
      <w:r w:rsidRPr="0065232A">
        <w:rPr>
          <w:rFonts w:cstheme="minorHAnsi"/>
          <w:sz w:val="14"/>
          <w:szCs w:val="14"/>
        </w:rPr>
        <w:t xml:space="preserve">Hill, A. O., Bourne, A., McNair, R., Carman, M. &amp; Lyons, A. (2020). </w:t>
      </w:r>
      <w:r w:rsidRPr="0065232A">
        <w:rPr>
          <w:rFonts w:cstheme="minorHAnsi"/>
          <w:sz w:val="14"/>
          <w:szCs w:val="14"/>
          <w:u w:val="single"/>
        </w:rPr>
        <w:t>Private Lives 3: The health and wellbeing of LGBTIQ people in Australia</w:t>
      </w:r>
      <w:r w:rsidRPr="0065232A">
        <w:rPr>
          <w:rFonts w:cstheme="minorHAnsi"/>
          <w:sz w:val="14"/>
          <w:szCs w:val="14"/>
        </w:rPr>
        <w:t>. Australian Research Centre in Sex, Health and Society</w:t>
      </w:r>
      <w:r w:rsidRPr="00933878">
        <w:rPr>
          <w:color w:val="000000" w:themeColor="text1"/>
          <w:sz w:val="20"/>
          <w:szCs w:val="20"/>
        </w:rPr>
        <w:t xml:space="preserve"> </w:t>
      </w:r>
    </w:p>
  </w:footnote>
  <w:footnote w:id="18">
    <w:p w14:paraId="2B52718C" w14:textId="77777777" w:rsidR="00250204" w:rsidRDefault="00250204" w:rsidP="00B70A36">
      <w:pPr>
        <w:pStyle w:val="FootnoteText"/>
      </w:pPr>
      <w:r>
        <w:rPr>
          <w:rStyle w:val="FootnoteReference"/>
        </w:rPr>
        <w:footnoteRef/>
      </w:r>
      <w:r>
        <w:t xml:space="preserve"> </w:t>
      </w:r>
      <w:r w:rsidRPr="00E75BBB">
        <w:rPr>
          <w:rFonts w:asciiTheme="minorHAnsi" w:hAnsiTheme="minorHAnsi" w:cstheme="minorHAnsi"/>
          <w:sz w:val="14"/>
          <w:szCs w:val="14"/>
        </w:rPr>
        <w:t>Based on findings of the 2007 National Survey of Mental Health and Wellbeing</w:t>
      </w:r>
    </w:p>
  </w:footnote>
  <w:footnote w:id="19">
    <w:p w14:paraId="718D22BD" w14:textId="77777777" w:rsidR="009A4B37" w:rsidRPr="00C418CA" w:rsidRDefault="009A4B37" w:rsidP="009A4B37">
      <w:pPr>
        <w:jc w:val="both"/>
        <w:rPr>
          <w:rFonts w:cstheme="minorHAnsi"/>
          <w:sz w:val="16"/>
          <w:szCs w:val="16"/>
        </w:rPr>
      </w:pPr>
      <w:r w:rsidRPr="00C418CA">
        <w:rPr>
          <w:rStyle w:val="FootnoteReference"/>
          <w:rFonts w:cstheme="minorHAnsi"/>
        </w:rPr>
        <w:footnoteRef/>
      </w:r>
      <w:r w:rsidRPr="00C418CA">
        <w:rPr>
          <w:rFonts w:cstheme="minorHAnsi"/>
        </w:rPr>
        <w:t xml:space="preserve"> </w:t>
      </w:r>
      <w:r w:rsidRPr="00C418CA">
        <w:rPr>
          <w:rFonts w:cstheme="minorHAnsi"/>
          <w:sz w:val="16"/>
          <w:szCs w:val="16"/>
        </w:rPr>
        <w:t>Based upon median household incomes minus rental costs, recorded in the 2021 Census, which were adjusted using equivalence scales to accommodate differing costs for households of varying size and structure. The resulting ‘equivalized’ incomes were used to determine the proportion of households of each composition which were living in poverty, using a criterion set at the equivalent of a single person in receipt of $439 gross weekly income - the upper limit of the income range of the lower 30% of individual incomes in Victoria - after paying rent. These calculations do not include multi-family households or the very small number of unclassified family types.</w:t>
      </w:r>
    </w:p>
  </w:footnote>
  <w:footnote w:id="20">
    <w:p w14:paraId="6033DC1D" w14:textId="77777777" w:rsidR="00580F4D" w:rsidRDefault="00580F4D" w:rsidP="00580F4D">
      <w:pPr>
        <w:pStyle w:val="FootnoteText"/>
      </w:pPr>
      <w:r>
        <w:rPr>
          <w:rStyle w:val="FootnoteReference"/>
        </w:rPr>
        <w:footnoteRef/>
      </w:r>
      <w:r>
        <w:t xml:space="preserve"> </w:t>
      </w:r>
      <w:r w:rsidRPr="00803469">
        <w:rPr>
          <w:rFonts w:ascii="Calibri" w:hAnsi="Calibri"/>
          <w:sz w:val="16"/>
          <w:szCs w:val="16"/>
        </w:rPr>
        <w:t>Many workers use more than one mode of transport, with the consequence that the sum of the percentages featured in the diagram exceeds 100</w:t>
      </w:r>
    </w:p>
  </w:footnote>
  <w:footnote w:id="21">
    <w:p w14:paraId="28CA8B13" w14:textId="77777777" w:rsidR="00DE7374" w:rsidRPr="00AF76B4" w:rsidRDefault="00DE7374" w:rsidP="00DE7374">
      <w:pPr>
        <w:pStyle w:val="FootnoteText"/>
        <w:rPr>
          <w:lang w:val="en-GB"/>
        </w:rPr>
      </w:pPr>
      <w:r>
        <w:rPr>
          <w:rStyle w:val="FootnoteReference"/>
        </w:rPr>
        <w:footnoteRef/>
      </w:r>
      <w:r>
        <w:t xml:space="preserve"> </w:t>
      </w:r>
      <w:r w:rsidRPr="00AF76B4">
        <w:rPr>
          <w:rFonts w:asciiTheme="minorHAnsi" w:hAnsiTheme="minorHAnsi" w:cstheme="minorHAnsi"/>
          <w:sz w:val="16"/>
          <w:szCs w:val="16"/>
        </w:rPr>
        <w:t>Eime, R., Charity, M., Pankowiak, A. and Westerbeek, H. (2021). Sport Participation in Victoria  according to Local Government Areas: 2015-2019. Federation University, Victoria University and Sport and Recreation Spatial.</w:t>
      </w:r>
    </w:p>
  </w:footnote>
  <w:footnote w:id="22">
    <w:p w14:paraId="62DC644C" w14:textId="77777777" w:rsidR="00DD0DF2" w:rsidRPr="00B519DC" w:rsidRDefault="00DD0DF2" w:rsidP="00DD0DF2">
      <w:pPr>
        <w:pStyle w:val="FootnoteText"/>
        <w:rPr>
          <w:lang w:val="en-GB"/>
        </w:rPr>
      </w:pPr>
      <w:r>
        <w:rPr>
          <w:rStyle w:val="FootnoteReference"/>
        </w:rPr>
        <w:footnoteRef/>
      </w:r>
      <w:r>
        <w:t xml:space="preserve"> </w:t>
      </w:r>
      <w:r>
        <w:rPr>
          <w:sz w:val="14"/>
          <w:szCs w:val="14"/>
          <w:lang w:val="en-GB"/>
        </w:rPr>
        <w:t>Australian Bureau of Statistics</w:t>
      </w:r>
      <w:r w:rsidRPr="00B519DC">
        <w:rPr>
          <w:sz w:val="14"/>
          <w:szCs w:val="14"/>
          <w:lang w:val="en-GB"/>
        </w:rPr>
        <w:t xml:space="preserve"> (202</w:t>
      </w:r>
      <w:r>
        <w:rPr>
          <w:sz w:val="14"/>
          <w:szCs w:val="14"/>
          <w:lang w:val="en-GB"/>
        </w:rPr>
        <w:t>2</w:t>
      </w:r>
      <w:r w:rsidRPr="00B519DC">
        <w:rPr>
          <w:sz w:val="14"/>
          <w:szCs w:val="14"/>
          <w:lang w:val="en-GB"/>
        </w:rPr>
        <w:t>). Deaths in Australia</w:t>
      </w:r>
      <w:r>
        <w:rPr>
          <w:sz w:val="14"/>
          <w:szCs w:val="14"/>
          <w:lang w:val="en-GB"/>
        </w:rPr>
        <w:t xml:space="preserve"> 2020</w:t>
      </w:r>
      <w:r>
        <w:rPr>
          <w:lang w:val="en-GB"/>
        </w:rPr>
        <w:t xml:space="preserve"> </w:t>
      </w:r>
    </w:p>
  </w:footnote>
  <w:footnote w:id="23">
    <w:p w14:paraId="3C00A2FB" w14:textId="77777777" w:rsidR="00DD0DF2" w:rsidRPr="00B519DC" w:rsidRDefault="00DD0DF2" w:rsidP="00DD0DF2">
      <w:pPr>
        <w:pStyle w:val="FootnoteText"/>
        <w:rPr>
          <w:lang w:val="en-GB"/>
        </w:rPr>
      </w:pPr>
      <w:r>
        <w:rPr>
          <w:rStyle w:val="FootnoteReference"/>
        </w:rPr>
        <w:footnoteRef/>
      </w:r>
      <w:r>
        <w:t xml:space="preserve"> </w:t>
      </w:r>
      <w:r w:rsidRPr="00B519DC">
        <w:rPr>
          <w:rFonts w:ascii="Calibri" w:hAnsi="Calibri"/>
          <w:sz w:val="14"/>
          <w:szCs w:val="14"/>
        </w:rPr>
        <w:t>Australian Bureau of Statistics, Life Tables, States, Territories and Australia, 2016-20</w:t>
      </w:r>
    </w:p>
  </w:footnote>
  <w:footnote w:id="24">
    <w:p w14:paraId="7F795C2F" w14:textId="77777777" w:rsidR="00DD0DF2" w:rsidRPr="00F07C2B" w:rsidRDefault="00DD0DF2" w:rsidP="00DD0DF2">
      <w:pPr>
        <w:pStyle w:val="FootnoteText"/>
        <w:rPr>
          <w:lang w:val="en-GB"/>
        </w:rPr>
      </w:pPr>
      <w:r>
        <w:rPr>
          <w:rStyle w:val="FootnoteReference"/>
        </w:rPr>
        <w:footnoteRef/>
      </w:r>
      <w:r>
        <w:t xml:space="preserve"> </w:t>
      </w:r>
      <w:r w:rsidRPr="00F07C2B">
        <w:rPr>
          <w:sz w:val="14"/>
          <w:szCs w:val="14"/>
          <w:lang w:val="en-GB"/>
        </w:rPr>
        <w:t>Deaths Australia, 20</w:t>
      </w:r>
      <w:r>
        <w:rPr>
          <w:sz w:val="14"/>
          <w:szCs w:val="14"/>
          <w:lang w:val="en-GB"/>
        </w:rPr>
        <w:t>20</w:t>
      </w:r>
      <w:r w:rsidRPr="00F07C2B">
        <w:rPr>
          <w:sz w:val="14"/>
          <w:szCs w:val="14"/>
          <w:lang w:val="en-GB"/>
        </w:rPr>
        <w:t>, Australian Bureau of Statistics</w:t>
      </w:r>
    </w:p>
  </w:footnote>
  <w:footnote w:id="25">
    <w:p w14:paraId="6DD27194" w14:textId="77777777" w:rsidR="00DD0DF2" w:rsidRPr="00B519DC" w:rsidRDefault="00DD0DF2" w:rsidP="00DD0DF2">
      <w:pPr>
        <w:pStyle w:val="FootnoteText"/>
        <w:rPr>
          <w:lang w:val="en-GB"/>
        </w:rPr>
      </w:pPr>
      <w:r>
        <w:rPr>
          <w:rStyle w:val="FootnoteReference"/>
        </w:rPr>
        <w:footnoteRef/>
      </w:r>
      <w:r>
        <w:t xml:space="preserve"> </w:t>
      </w:r>
      <w:r w:rsidRPr="00B519DC">
        <w:rPr>
          <w:sz w:val="14"/>
          <w:szCs w:val="14"/>
          <w:lang w:val="en-GB"/>
        </w:rPr>
        <w:t>Deaths Australia, 20</w:t>
      </w:r>
      <w:r>
        <w:rPr>
          <w:sz w:val="14"/>
          <w:szCs w:val="14"/>
          <w:lang w:val="en-GB"/>
        </w:rPr>
        <w:t>20</w:t>
      </w:r>
      <w:r w:rsidRPr="00B519DC">
        <w:rPr>
          <w:sz w:val="14"/>
          <w:szCs w:val="14"/>
          <w:lang w:val="en-GB"/>
        </w:rPr>
        <w:t>. Australian Bureau of Statistics</w:t>
      </w:r>
    </w:p>
  </w:footnote>
  <w:footnote w:id="26">
    <w:p w14:paraId="3D5C3A5E" w14:textId="77777777" w:rsidR="00DD0DF2" w:rsidRPr="00F07C2B" w:rsidRDefault="00DD0DF2" w:rsidP="00BE29A1">
      <w:pPr>
        <w:spacing w:after="0" w:line="240" w:lineRule="auto"/>
        <w:jc w:val="both"/>
        <w:rPr>
          <w:rFonts w:ascii="Calibri" w:hAnsi="Calibri"/>
          <w:color w:val="000000"/>
          <w:sz w:val="14"/>
          <w:szCs w:val="14"/>
        </w:rPr>
      </w:pPr>
      <w:r>
        <w:rPr>
          <w:rStyle w:val="FootnoteReference"/>
        </w:rPr>
        <w:footnoteRef/>
      </w:r>
      <w:r>
        <w:t xml:space="preserve"> </w:t>
      </w:r>
      <w:r w:rsidRPr="00F07C2B">
        <w:rPr>
          <w:rFonts w:ascii="Calibri" w:hAnsi="Calibri"/>
          <w:color w:val="000000"/>
          <w:sz w:val="14"/>
          <w:szCs w:val="14"/>
        </w:rPr>
        <w:t>Australia's Health Tracker: http://www.atlasesaustralia.com.au/ahpc/data.html</w:t>
      </w:r>
    </w:p>
  </w:footnote>
  <w:footnote w:id="27">
    <w:p w14:paraId="16380EE1" w14:textId="77777777" w:rsidR="00DD0DF2" w:rsidRPr="00F07C2B" w:rsidRDefault="00DD0DF2" w:rsidP="00BE29A1">
      <w:pPr>
        <w:spacing w:after="0" w:line="240" w:lineRule="auto"/>
        <w:jc w:val="both"/>
        <w:rPr>
          <w:color w:val="000000" w:themeColor="text1"/>
          <w:sz w:val="20"/>
          <w:szCs w:val="20"/>
        </w:rPr>
      </w:pPr>
      <w:r>
        <w:rPr>
          <w:rStyle w:val="FootnoteReference"/>
        </w:rPr>
        <w:footnoteRef/>
      </w:r>
      <w:r>
        <w:t xml:space="preserve"> </w:t>
      </w:r>
      <w:r w:rsidRPr="00F07C2B">
        <w:rPr>
          <w:rFonts w:cstheme="minorHAnsi"/>
          <w:color w:val="000000" w:themeColor="text1"/>
          <w:sz w:val="14"/>
          <w:szCs w:val="14"/>
        </w:rPr>
        <w:t xml:space="preserve">Australian Bureau of Statistics </w:t>
      </w:r>
      <w:r>
        <w:rPr>
          <w:rFonts w:cstheme="minorHAnsi"/>
          <w:color w:val="000000" w:themeColor="text1"/>
          <w:sz w:val="14"/>
          <w:szCs w:val="14"/>
        </w:rPr>
        <w:t>2022</w:t>
      </w:r>
      <w:r w:rsidRPr="00F07C2B">
        <w:rPr>
          <w:rFonts w:cstheme="minorHAnsi"/>
          <w:color w:val="000000" w:themeColor="text1"/>
          <w:sz w:val="14"/>
          <w:szCs w:val="14"/>
        </w:rPr>
        <w:t>. Deaths Australia, 20</w:t>
      </w:r>
      <w:r>
        <w:rPr>
          <w:rFonts w:cstheme="minorHAnsi"/>
          <w:color w:val="000000" w:themeColor="text1"/>
          <w:sz w:val="14"/>
          <w:szCs w:val="14"/>
        </w:rPr>
        <w:t>21</w:t>
      </w:r>
      <w:r w:rsidRPr="00F07C2B">
        <w:rPr>
          <w:rFonts w:cstheme="minorHAnsi"/>
          <w:color w:val="000000" w:themeColor="text1"/>
          <w:sz w:val="14"/>
          <w:szCs w:val="14"/>
        </w:rPr>
        <w:t xml:space="preserve">. </w:t>
      </w:r>
    </w:p>
  </w:footnote>
  <w:footnote w:id="28">
    <w:p w14:paraId="0D8B83B7" w14:textId="77777777" w:rsidR="00882790" w:rsidRPr="00B0571E" w:rsidRDefault="00882790" w:rsidP="002A0FAE">
      <w:pPr>
        <w:spacing w:after="0"/>
        <w:jc w:val="both"/>
        <w:rPr>
          <w:color w:val="000000" w:themeColor="text1"/>
          <w:sz w:val="20"/>
          <w:szCs w:val="20"/>
        </w:rPr>
      </w:pPr>
      <w:r>
        <w:rPr>
          <w:rStyle w:val="FootnoteReference"/>
        </w:rPr>
        <w:footnoteRef/>
      </w:r>
      <w:r>
        <w:t xml:space="preserve"> </w:t>
      </w:r>
      <w:r w:rsidRPr="00B0571E">
        <w:rPr>
          <w:color w:val="000000" w:themeColor="text1"/>
          <w:sz w:val="14"/>
          <w:szCs w:val="14"/>
        </w:rPr>
        <w:t xml:space="preserve">Australian Institute of Health and Welfare (2012a). </w:t>
      </w:r>
      <w:r w:rsidRPr="00B0571E">
        <w:rPr>
          <w:color w:val="000000" w:themeColor="text1"/>
          <w:sz w:val="14"/>
          <w:szCs w:val="14"/>
          <w:u w:val="single"/>
        </w:rPr>
        <w:t>Information About Overweight and Obesity</w:t>
      </w:r>
      <w:r w:rsidRPr="00B0571E">
        <w:rPr>
          <w:color w:val="000000" w:themeColor="text1"/>
          <w:sz w:val="14"/>
          <w:szCs w:val="14"/>
        </w:rPr>
        <w:t>. Australian Institute of Health and Welfare, Canberra</w:t>
      </w:r>
    </w:p>
  </w:footnote>
  <w:footnote w:id="29">
    <w:p w14:paraId="3C48B815" w14:textId="77777777" w:rsidR="00882790" w:rsidRPr="0028167C" w:rsidRDefault="00882790" w:rsidP="00882790">
      <w:pPr>
        <w:jc w:val="both"/>
        <w:rPr>
          <w:rFonts w:cstheme="minorHAnsi"/>
          <w:color w:val="000000" w:themeColor="text1"/>
          <w:sz w:val="14"/>
          <w:szCs w:val="14"/>
        </w:rPr>
      </w:pPr>
      <w:r w:rsidRPr="0028167C">
        <w:rPr>
          <w:rStyle w:val="FootnoteReference"/>
          <w:rFonts w:cstheme="minorHAnsi"/>
          <w:sz w:val="14"/>
          <w:szCs w:val="14"/>
        </w:rPr>
        <w:footnoteRef/>
      </w:r>
      <w:r w:rsidRPr="0028167C">
        <w:rPr>
          <w:rFonts w:cstheme="minorHAnsi"/>
          <w:sz w:val="14"/>
          <w:szCs w:val="14"/>
        </w:rPr>
        <w:t xml:space="preserve"> </w:t>
      </w:r>
      <w:r w:rsidRPr="0028167C">
        <w:rPr>
          <w:rFonts w:cstheme="minorHAnsi"/>
          <w:color w:val="000000" w:themeColor="text1"/>
          <w:sz w:val="14"/>
          <w:szCs w:val="14"/>
        </w:rPr>
        <w:t xml:space="preserve">Torrens University. Social Health Atlases. Accessed at: </w:t>
      </w:r>
      <w:hyperlink r:id="rId3" w:anchor="social-health-atlases-of-australia-local-government-areas" w:history="1">
        <w:r w:rsidRPr="0028167C">
          <w:rPr>
            <w:rStyle w:val="Hyperlink"/>
            <w:rFonts w:cstheme="minorHAnsi"/>
            <w:color w:val="000000" w:themeColor="text1"/>
            <w:sz w:val="14"/>
            <w:szCs w:val="14"/>
          </w:rPr>
          <w:t>http://phidu.torrens.edu.au/social-health-atlases/data#social-health-atlases-of-australia-local-government-areas</w:t>
        </w:r>
      </w:hyperlink>
      <w:r w:rsidRPr="0028167C">
        <w:rPr>
          <w:rFonts w:cstheme="minorHAnsi"/>
          <w:color w:val="000000" w:themeColor="text1"/>
          <w:sz w:val="14"/>
          <w:szCs w:val="14"/>
        </w:rPr>
        <w:t xml:space="preserve"> on 3 Dec. 2018</w:t>
      </w:r>
    </w:p>
  </w:footnote>
  <w:footnote w:id="30">
    <w:p w14:paraId="65FCA48B" w14:textId="77777777" w:rsidR="00E23EBF" w:rsidRPr="00B62F7B" w:rsidRDefault="00E23EBF" w:rsidP="00E23EBF">
      <w:pPr>
        <w:pStyle w:val="FootnoteText"/>
        <w:jc w:val="both"/>
        <w:rPr>
          <w:rFonts w:asciiTheme="minorHAnsi" w:hAnsiTheme="minorHAnsi" w:cstheme="minorHAnsi"/>
          <w:sz w:val="16"/>
          <w:szCs w:val="16"/>
        </w:rPr>
      </w:pPr>
      <w:r w:rsidRPr="00B62F7B">
        <w:rPr>
          <w:rStyle w:val="FootnoteReference"/>
          <w:rFonts w:asciiTheme="minorHAnsi" w:hAnsiTheme="minorHAnsi" w:cstheme="minorHAnsi"/>
          <w:sz w:val="16"/>
          <w:szCs w:val="16"/>
        </w:rPr>
        <w:footnoteRef/>
      </w:r>
      <w:r w:rsidRPr="00B62F7B">
        <w:rPr>
          <w:rFonts w:asciiTheme="minorHAnsi" w:hAnsiTheme="minorHAnsi" w:cstheme="minorHAnsi"/>
          <w:sz w:val="16"/>
          <w:szCs w:val="16"/>
        </w:rPr>
        <w:t xml:space="preserve"> The findings of population surveys featuring this inquiry include 5.2% in 1995 (Australian Institute of Family Studies, 2018), 6.1% in the 2001 Child Health Survey, 5.2% in the Victorian VicLanes survey (Burns, 2009), and 4% in the 2011/12 National Health Survey.</w:t>
      </w:r>
    </w:p>
  </w:footnote>
  <w:footnote w:id="31">
    <w:p w14:paraId="28416601" w14:textId="77777777" w:rsidR="00E23EBF" w:rsidRPr="00B62F7B" w:rsidRDefault="00E23EBF" w:rsidP="00E23EBF">
      <w:pPr>
        <w:spacing w:after="0" w:line="240" w:lineRule="auto"/>
        <w:jc w:val="both"/>
        <w:rPr>
          <w:rFonts w:cstheme="minorHAnsi"/>
          <w:color w:val="000000" w:themeColor="text1"/>
          <w:sz w:val="16"/>
          <w:szCs w:val="16"/>
        </w:rPr>
      </w:pPr>
      <w:r w:rsidRPr="00B62F7B">
        <w:rPr>
          <w:rStyle w:val="FootnoteReference"/>
          <w:rFonts w:cstheme="minorHAnsi"/>
          <w:sz w:val="16"/>
          <w:szCs w:val="16"/>
        </w:rPr>
        <w:footnoteRef/>
      </w:r>
      <w:r w:rsidRPr="00B62F7B">
        <w:rPr>
          <w:rFonts w:cstheme="minorHAnsi"/>
          <w:sz w:val="16"/>
          <w:szCs w:val="16"/>
        </w:rPr>
        <w:t xml:space="preserve"> </w:t>
      </w:r>
      <w:r w:rsidRPr="00B62F7B">
        <w:rPr>
          <w:rFonts w:cstheme="minorHAnsi"/>
          <w:color w:val="000000" w:themeColor="text1"/>
          <w:sz w:val="16"/>
          <w:szCs w:val="16"/>
        </w:rPr>
        <w:t>Australian Institute of Family Studies (2018). Fairfield Refugee Nutrition project. Australian Institute of Family Studies, Canberra</w:t>
      </w:r>
    </w:p>
  </w:footnote>
  <w:footnote w:id="32">
    <w:p w14:paraId="6FF2F15A" w14:textId="77777777" w:rsidR="00E23EBF" w:rsidRPr="00B62F7B" w:rsidRDefault="00E23EBF" w:rsidP="00E23EBF">
      <w:pPr>
        <w:pStyle w:val="FootnoteText"/>
        <w:jc w:val="both"/>
        <w:rPr>
          <w:rFonts w:asciiTheme="minorHAnsi" w:hAnsiTheme="minorHAnsi" w:cstheme="minorHAnsi"/>
          <w:sz w:val="16"/>
          <w:szCs w:val="16"/>
        </w:rPr>
      </w:pPr>
      <w:r w:rsidRPr="00B62F7B">
        <w:rPr>
          <w:rStyle w:val="FootnoteReference"/>
          <w:rFonts w:asciiTheme="minorHAnsi" w:hAnsiTheme="minorHAnsi" w:cstheme="minorHAnsi"/>
          <w:sz w:val="16"/>
          <w:szCs w:val="16"/>
        </w:rPr>
        <w:footnoteRef/>
      </w:r>
      <w:r w:rsidRPr="00B62F7B">
        <w:rPr>
          <w:rFonts w:asciiTheme="minorHAnsi" w:hAnsiTheme="minorHAnsi" w:cstheme="minorHAnsi"/>
          <w:sz w:val="16"/>
          <w:szCs w:val="16"/>
        </w:rPr>
        <w:t xml:space="preserve"> </w:t>
      </w:r>
      <w:r w:rsidRPr="00B62F7B">
        <w:rPr>
          <w:rFonts w:asciiTheme="minorHAnsi" w:hAnsiTheme="minorHAnsi" w:cstheme="minorHAnsi"/>
          <w:color w:val="000000" w:themeColor="text1"/>
          <w:sz w:val="16"/>
          <w:szCs w:val="16"/>
        </w:rPr>
        <w:t>Burns, C. (2009). Food Insecurity: what do we know? Deakin University and WHO Collaborating Centre for Obesity Prevention, Melbourne</w:t>
      </w:r>
    </w:p>
  </w:footnote>
  <w:footnote w:id="33">
    <w:p w14:paraId="5622045A" w14:textId="77777777" w:rsidR="00E23EBF" w:rsidRPr="00DE0DA8" w:rsidRDefault="00E23EBF" w:rsidP="00FA33DE">
      <w:pPr>
        <w:spacing w:after="0" w:line="240" w:lineRule="auto"/>
        <w:jc w:val="both"/>
        <w:rPr>
          <w:rFonts w:cstheme="minorHAnsi"/>
          <w:color w:val="000000" w:themeColor="text1"/>
          <w:sz w:val="16"/>
          <w:szCs w:val="16"/>
        </w:rPr>
      </w:pPr>
      <w:r w:rsidRPr="00B62F7B">
        <w:rPr>
          <w:rStyle w:val="FootnoteReference"/>
          <w:rFonts w:cstheme="minorHAnsi"/>
          <w:sz w:val="16"/>
          <w:szCs w:val="16"/>
        </w:rPr>
        <w:footnoteRef/>
      </w:r>
      <w:r w:rsidRPr="00B62F7B">
        <w:rPr>
          <w:rFonts w:cstheme="minorHAnsi"/>
          <w:sz w:val="16"/>
          <w:szCs w:val="16"/>
        </w:rPr>
        <w:t xml:space="preserve"> </w:t>
      </w:r>
      <w:r w:rsidRPr="00DE0DA8">
        <w:rPr>
          <w:rFonts w:cstheme="minorHAnsi"/>
          <w:color w:val="000000" w:themeColor="text1"/>
          <w:sz w:val="16"/>
          <w:szCs w:val="16"/>
        </w:rPr>
        <w:t>Australian Institute of Family Studies (2018). Fairfield Refugee Nutrition project. Australian Institute of Family Studies, Canberra</w:t>
      </w:r>
    </w:p>
    <w:p w14:paraId="720DD7DE" w14:textId="77777777" w:rsidR="00E23EBF" w:rsidRPr="00DE0DA8" w:rsidRDefault="00E23EBF" w:rsidP="00FA33DE">
      <w:pPr>
        <w:spacing w:after="0" w:line="240" w:lineRule="auto"/>
        <w:jc w:val="both"/>
        <w:rPr>
          <w:rFonts w:cstheme="minorHAnsi"/>
          <w:color w:val="000000" w:themeColor="text1"/>
          <w:sz w:val="16"/>
          <w:szCs w:val="16"/>
        </w:rPr>
      </w:pPr>
      <w:r w:rsidRPr="00DE0DA8">
        <w:rPr>
          <w:rFonts w:cstheme="minorHAnsi"/>
          <w:color w:val="000000" w:themeColor="text1"/>
          <w:sz w:val="16"/>
          <w:szCs w:val="16"/>
        </w:rPr>
        <w:t>Burns, C. (2004). A Review of the Literature Describing the Link between Poverty, Food Insecurity and Obesity with Specific Reference to Australia. VicHealth, Melbourne</w:t>
      </w:r>
    </w:p>
    <w:p w14:paraId="181F646D" w14:textId="77777777" w:rsidR="00E23EBF" w:rsidRPr="00720061" w:rsidRDefault="00E23EBF" w:rsidP="00B70A36">
      <w:pPr>
        <w:spacing w:after="0" w:line="240" w:lineRule="auto"/>
        <w:jc w:val="both"/>
        <w:rPr>
          <w:color w:val="000000" w:themeColor="text1"/>
          <w:sz w:val="16"/>
          <w:szCs w:val="16"/>
        </w:rPr>
      </w:pPr>
      <w:r w:rsidRPr="00720061">
        <w:rPr>
          <w:color w:val="000000" w:themeColor="text1"/>
          <w:sz w:val="16"/>
          <w:szCs w:val="16"/>
        </w:rPr>
        <w:t xml:space="preserve">Ramsey, R., Giskes, K., Turrell, G. and Gallegos, D. (2012). Food insecurity among Adults Residing in Disadvantaged Urban Areas: potential health and dietary consequences. </w:t>
      </w:r>
      <w:r w:rsidRPr="00720061">
        <w:rPr>
          <w:color w:val="000000" w:themeColor="text1"/>
          <w:sz w:val="16"/>
          <w:szCs w:val="16"/>
          <w:u w:val="single"/>
        </w:rPr>
        <w:t>Public Health Nutr</w:t>
      </w:r>
      <w:r w:rsidRPr="00720061">
        <w:rPr>
          <w:color w:val="000000" w:themeColor="text1"/>
          <w:sz w:val="16"/>
          <w:szCs w:val="16"/>
        </w:rPr>
        <w:t xml:space="preserve"> 2012; Vol 15, pp. 227-237</w:t>
      </w:r>
    </w:p>
    <w:p w14:paraId="075C57FB" w14:textId="77777777" w:rsidR="00E23EBF" w:rsidRPr="00720061" w:rsidRDefault="00E23EBF" w:rsidP="00B70A36">
      <w:pPr>
        <w:spacing w:after="0" w:line="240" w:lineRule="auto"/>
        <w:jc w:val="both"/>
        <w:rPr>
          <w:color w:val="000000" w:themeColor="text1"/>
          <w:sz w:val="16"/>
          <w:szCs w:val="16"/>
        </w:rPr>
      </w:pPr>
      <w:r w:rsidRPr="00720061">
        <w:rPr>
          <w:color w:val="000000" w:themeColor="text1"/>
          <w:sz w:val="16"/>
          <w:szCs w:val="16"/>
        </w:rPr>
        <w:t xml:space="preserve">VicHealth (2015). </w:t>
      </w:r>
      <w:r w:rsidRPr="00720061">
        <w:rPr>
          <w:color w:val="000000" w:themeColor="text1"/>
          <w:sz w:val="16"/>
          <w:szCs w:val="16"/>
          <w:u w:val="single"/>
        </w:rPr>
        <w:t>VicHealth Indicators Survey 2015</w:t>
      </w:r>
      <w:r w:rsidRPr="00720061">
        <w:rPr>
          <w:color w:val="000000" w:themeColor="text1"/>
          <w:sz w:val="16"/>
          <w:szCs w:val="16"/>
        </w:rPr>
        <w:t>. VicHealth, Melbourne</w:t>
      </w:r>
    </w:p>
    <w:p w14:paraId="7CA7FC5D" w14:textId="77777777" w:rsidR="00E23EBF" w:rsidRPr="00B62F7B" w:rsidRDefault="00E23EBF" w:rsidP="00B70A36">
      <w:pPr>
        <w:spacing w:after="0" w:line="240" w:lineRule="auto"/>
        <w:jc w:val="both"/>
        <w:rPr>
          <w:color w:val="000000" w:themeColor="text1"/>
          <w:sz w:val="16"/>
          <w:szCs w:val="16"/>
        </w:rPr>
      </w:pPr>
      <w:r w:rsidRPr="00720061">
        <w:rPr>
          <w:color w:val="000000" w:themeColor="text1"/>
          <w:sz w:val="16"/>
          <w:szCs w:val="16"/>
        </w:rPr>
        <w:t xml:space="preserve">McCrindle Consulting (2018A). </w:t>
      </w:r>
      <w:r w:rsidRPr="00720061">
        <w:rPr>
          <w:color w:val="000000" w:themeColor="text1"/>
          <w:sz w:val="16"/>
          <w:szCs w:val="16"/>
          <w:u w:val="single"/>
        </w:rPr>
        <w:t>Food Bank Hunger Report 2018</w:t>
      </w:r>
      <w:r w:rsidRPr="00720061">
        <w:rPr>
          <w:color w:val="000000" w:themeColor="text1"/>
          <w:sz w:val="16"/>
          <w:szCs w:val="16"/>
        </w:rPr>
        <w:t>. Food Bank.</w:t>
      </w:r>
    </w:p>
  </w:footnote>
  <w:footnote w:id="34">
    <w:p w14:paraId="35332003" w14:textId="77777777" w:rsidR="00765198" w:rsidRDefault="00765198" w:rsidP="00765198">
      <w:pPr>
        <w:pStyle w:val="FootnoteText"/>
        <w:jc w:val="both"/>
      </w:pPr>
      <w:r>
        <w:rPr>
          <w:rStyle w:val="FootnoteReference"/>
        </w:rPr>
        <w:footnoteRef/>
      </w:r>
      <w:r>
        <w:t xml:space="preserve"> </w:t>
      </w:r>
      <w:r w:rsidRPr="00A06335">
        <w:rPr>
          <w:rFonts w:ascii="Calibri" w:hAnsi="Calibri"/>
          <w:sz w:val="14"/>
          <w:szCs w:val="14"/>
        </w:rPr>
        <w:t xml:space="preserve">Estimated from </w:t>
      </w:r>
      <w:r>
        <w:rPr>
          <w:rFonts w:ascii="Calibri" w:hAnsi="Calibri"/>
          <w:sz w:val="14"/>
          <w:szCs w:val="14"/>
        </w:rPr>
        <w:t xml:space="preserve">Australian </w:t>
      </w:r>
      <w:r w:rsidRPr="00A06335">
        <w:rPr>
          <w:rFonts w:ascii="Calibri" w:hAnsi="Calibri"/>
          <w:sz w:val="14"/>
          <w:szCs w:val="14"/>
        </w:rPr>
        <w:t xml:space="preserve">mortality trends </w:t>
      </w:r>
      <w:r>
        <w:rPr>
          <w:rFonts w:ascii="Calibri" w:hAnsi="Calibri"/>
          <w:sz w:val="14"/>
          <w:szCs w:val="14"/>
        </w:rPr>
        <w:t>reported</w:t>
      </w:r>
      <w:r w:rsidRPr="00A06335">
        <w:rPr>
          <w:rFonts w:ascii="Calibri" w:hAnsi="Calibri"/>
          <w:sz w:val="14"/>
          <w:szCs w:val="14"/>
        </w:rPr>
        <w:t xml:space="preserve"> in Causes of Deaths Australia, 20</w:t>
      </w:r>
      <w:r>
        <w:rPr>
          <w:rFonts w:ascii="Calibri" w:hAnsi="Calibri"/>
          <w:sz w:val="14"/>
          <w:szCs w:val="14"/>
        </w:rPr>
        <w:t>22</w:t>
      </w:r>
      <w:r w:rsidRPr="00A06335">
        <w:rPr>
          <w:rFonts w:ascii="Calibri" w:hAnsi="Calibri"/>
          <w:sz w:val="14"/>
          <w:szCs w:val="14"/>
        </w:rPr>
        <w:t xml:space="preserve"> (Australian Bureau of Statistics, 20</w:t>
      </w:r>
      <w:r>
        <w:rPr>
          <w:rFonts w:ascii="Calibri" w:hAnsi="Calibri"/>
          <w:sz w:val="14"/>
          <w:szCs w:val="14"/>
        </w:rPr>
        <w:t>22</w:t>
      </w:r>
      <w:r w:rsidRPr="00A06335">
        <w:rPr>
          <w:rFonts w:ascii="Calibri" w:hAnsi="Calibri"/>
          <w:sz w:val="14"/>
          <w:szCs w:val="14"/>
        </w:rPr>
        <w:t xml:space="preserve">) and population estimates from Regional Population Growth, Australia, </w:t>
      </w:r>
      <w:r>
        <w:rPr>
          <w:rFonts w:ascii="Calibri" w:hAnsi="Calibri"/>
          <w:sz w:val="14"/>
          <w:szCs w:val="14"/>
        </w:rPr>
        <w:t>2021</w:t>
      </w:r>
      <w:r w:rsidRPr="00A06335">
        <w:rPr>
          <w:rFonts w:ascii="Calibri" w:hAnsi="Calibri"/>
          <w:sz w:val="14"/>
          <w:szCs w:val="14"/>
        </w:rPr>
        <w:t>, Australian Bureau of Statistics: 3218.0 , 20</w:t>
      </w:r>
      <w:r>
        <w:rPr>
          <w:rFonts w:ascii="Calibri" w:hAnsi="Calibri"/>
          <w:sz w:val="14"/>
          <w:szCs w:val="14"/>
        </w:rPr>
        <w:t>22)</w:t>
      </w:r>
    </w:p>
  </w:footnote>
  <w:footnote w:id="35">
    <w:p w14:paraId="055FDACD" w14:textId="77777777" w:rsidR="00765198" w:rsidRPr="0024436A" w:rsidRDefault="00765198" w:rsidP="00765198">
      <w:pPr>
        <w:pStyle w:val="FootnoteText"/>
        <w:rPr>
          <w:lang w:val="en-GB"/>
        </w:rPr>
      </w:pPr>
      <w:r>
        <w:rPr>
          <w:rStyle w:val="FootnoteReference"/>
        </w:rPr>
        <w:footnoteRef/>
      </w:r>
      <w:r>
        <w:t xml:space="preserve"> </w:t>
      </w:r>
      <w:r w:rsidRPr="0024436A">
        <w:rPr>
          <w:rFonts w:ascii="Calibri" w:hAnsi="Calibri"/>
          <w:sz w:val="14"/>
          <w:szCs w:val="14"/>
        </w:rPr>
        <w:t>Cancer Council of Australia, 2015</w:t>
      </w:r>
    </w:p>
  </w:footnote>
  <w:footnote w:id="36">
    <w:p w14:paraId="4959976E" w14:textId="77777777" w:rsidR="00765198" w:rsidRPr="00FD467A" w:rsidRDefault="00765198" w:rsidP="00765198">
      <w:pPr>
        <w:pStyle w:val="FootnoteText"/>
        <w:rPr>
          <w:lang w:val="en-GB"/>
        </w:rPr>
      </w:pPr>
      <w:r>
        <w:rPr>
          <w:rStyle w:val="FootnoteReference"/>
        </w:rPr>
        <w:footnoteRef/>
      </w:r>
      <w:r>
        <w:t xml:space="preserve"> </w:t>
      </w:r>
      <w:r w:rsidRPr="00FD467A">
        <w:rPr>
          <w:rFonts w:ascii="Calibri" w:hAnsi="Calibri"/>
          <w:sz w:val="16"/>
          <w:szCs w:val="16"/>
        </w:rPr>
        <w:t>Cancer Australia, 2022</w:t>
      </w:r>
    </w:p>
  </w:footnote>
  <w:footnote w:id="37">
    <w:p w14:paraId="0D133034" w14:textId="77777777" w:rsidR="00765198" w:rsidRPr="00FD467A" w:rsidRDefault="00765198" w:rsidP="00765198">
      <w:pPr>
        <w:pStyle w:val="FootnoteText"/>
        <w:rPr>
          <w:lang w:val="en-GB"/>
        </w:rPr>
      </w:pPr>
      <w:r>
        <w:rPr>
          <w:rStyle w:val="FootnoteReference"/>
        </w:rPr>
        <w:footnoteRef/>
      </w:r>
      <w:r>
        <w:t xml:space="preserve"> </w:t>
      </w:r>
      <w:r w:rsidRPr="00FD467A">
        <w:rPr>
          <w:rFonts w:asciiTheme="minorHAnsi" w:hAnsiTheme="minorHAnsi" w:cstheme="minorHAnsi"/>
          <w:color w:val="000000" w:themeColor="text1"/>
          <w:sz w:val="16"/>
          <w:szCs w:val="16"/>
          <w:lang w:val="en-GB"/>
        </w:rPr>
        <w:t>Census Australia, 2021</w:t>
      </w:r>
    </w:p>
  </w:footnote>
  <w:footnote w:id="38">
    <w:p w14:paraId="342CFB2E" w14:textId="77777777" w:rsidR="00765198" w:rsidRPr="00FD467A" w:rsidRDefault="00765198" w:rsidP="00765198">
      <w:pPr>
        <w:pStyle w:val="FootnoteText"/>
        <w:rPr>
          <w:rFonts w:asciiTheme="minorHAnsi" w:hAnsiTheme="minorHAnsi" w:cstheme="minorHAnsi"/>
          <w:sz w:val="16"/>
          <w:szCs w:val="16"/>
          <w:lang w:val="en-GB"/>
        </w:rPr>
      </w:pPr>
      <w:r>
        <w:rPr>
          <w:rStyle w:val="FootnoteReference"/>
        </w:rPr>
        <w:footnoteRef/>
      </w:r>
      <w:r>
        <w:t xml:space="preserve"> </w:t>
      </w:r>
      <w:r w:rsidRPr="00FD467A">
        <w:rPr>
          <w:rFonts w:asciiTheme="minorHAnsi" w:hAnsiTheme="minorHAnsi" w:cstheme="minorHAnsi"/>
          <w:sz w:val="16"/>
          <w:szCs w:val="16"/>
        </w:rPr>
        <w:t xml:space="preserve">Australian Bureau of Statistics (2022). </w:t>
      </w:r>
      <w:r w:rsidRPr="005B47FC">
        <w:rPr>
          <w:rFonts w:asciiTheme="minorHAnsi" w:hAnsiTheme="minorHAnsi" w:cstheme="minorHAnsi"/>
          <w:sz w:val="16"/>
          <w:szCs w:val="16"/>
          <w:lang w:val="en-GB"/>
        </w:rPr>
        <w:t>Causes of Death Australia, 2021</w:t>
      </w:r>
    </w:p>
  </w:footnote>
  <w:footnote w:id="39">
    <w:p w14:paraId="3CACE7B5" w14:textId="77777777" w:rsidR="00765198" w:rsidRPr="00FD467A" w:rsidRDefault="00765198" w:rsidP="00765198">
      <w:pPr>
        <w:pStyle w:val="FootnoteText"/>
        <w:rPr>
          <w:lang w:val="en-GB"/>
        </w:rPr>
      </w:pPr>
      <w:r>
        <w:rPr>
          <w:rStyle w:val="FootnoteReference"/>
        </w:rPr>
        <w:footnoteRef/>
      </w:r>
      <w:r>
        <w:t xml:space="preserve"> </w:t>
      </w:r>
      <w:r w:rsidRPr="005B47FC">
        <w:rPr>
          <w:rFonts w:ascii="Calibri" w:hAnsi="Calibri"/>
          <w:sz w:val="16"/>
          <w:szCs w:val="16"/>
          <w:lang w:val="en-GB"/>
        </w:rPr>
        <w:t>Australian Institute of Health and Welfare</w:t>
      </w:r>
      <w:r w:rsidRPr="00FD467A">
        <w:rPr>
          <w:rFonts w:ascii="Calibri" w:hAnsi="Calibri"/>
          <w:sz w:val="16"/>
          <w:szCs w:val="16"/>
          <w:lang w:val="en-GB"/>
        </w:rPr>
        <w:t xml:space="preserve"> (</w:t>
      </w:r>
      <w:r w:rsidRPr="005B47FC">
        <w:rPr>
          <w:rFonts w:ascii="Calibri" w:hAnsi="Calibri"/>
          <w:sz w:val="16"/>
          <w:szCs w:val="16"/>
          <w:lang w:val="en-GB"/>
        </w:rPr>
        <w:t>2021</w:t>
      </w:r>
      <w:r w:rsidRPr="00FD467A">
        <w:rPr>
          <w:rFonts w:ascii="Calibri" w:hAnsi="Calibri"/>
          <w:sz w:val="16"/>
          <w:szCs w:val="16"/>
          <w:lang w:val="en-GB"/>
        </w:rPr>
        <w:t>)</w:t>
      </w:r>
      <w:r w:rsidRPr="005B47FC">
        <w:rPr>
          <w:rFonts w:ascii="Calibri" w:hAnsi="Calibri"/>
          <w:sz w:val="16"/>
          <w:szCs w:val="16"/>
          <w:lang w:val="en-GB"/>
        </w:rPr>
        <w:t>. Cancer Data in Australia</w:t>
      </w:r>
    </w:p>
  </w:footnote>
  <w:footnote w:id="40">
    <w:p w14:paraId="2B7A9E86" w14:textId="77777777" w:rsidR="00BD622A" w:rsidRPr="00301A46" w:rsidRDefault="00BD622A" w:rsidP="00BD622A">
      <w:pPr>
        <w:spacing w:after="0"/>
        <w:jc w:val="both"/>
        <w:rPr>
          <w:rFonts w:cstheme="minorHAnsi"/>
          <w:sz w:val="14"/>
          <w:szCs w:val="14"/>
          <w:lang w:val="en-GB"/>
        </w:rPr>
      </w:pPr>
      <w:r w:rsidRPr="00301A46">
        <w:rPr>
          <w:rStyle w:val="FootnoteReference"/>
          <w:rFonts w:cstheme="minorHAnsi"/>
          <w:sz w:val="14"/>
          <w:szCs w:val="14"/>
        </w:rPr>
        <w:footnoteRef/>
      </w:r>
      <w:r w:rsidRPr="00301A46">
        <w:rPr>
          <w:rFonts w:cstheme="minorHAnsi"/>
          <w:sz w:val="14"/>
          <w:szCs w:val="14"/>
        </w:rPr>
        <w:t xml:space="preserve"> </w:t>
      </w:r>
      <w:r w:rsidRPr="00301A46">
        <w:rPr>
          <w:rFonts w:cstheme="minorHAnsi"/>
          <w:sz w:val="14"/>
          <w:szCs w:val="14"/>
          <w:lang w:val="en-GB"/>
        </w:rPr>
        <w:t>Poynton-Smith, E. (undated). Why is the Suicide Rate Higher among Men than Women? Patterns of Action Dissertation, University of Nottingham</w:t>
      </w:r>
    </w:p>
  </w:footnote>
  <w:footnote w:id="41">
    <w:p w14:paraId="1A204097" w14:textId="77777777" w:rsidR="00BD622A" w:rsidRPr="00301A46" w:rsidRDefault="00BD622A" w:rsidP="00BD622A">
      <w:pPr>
        <w:spacing w:after="0"/>
        <w:jc w:val="both"/>
        <w:rPr>
          <w:rFonts w:cstheme="minorHAnsi"/>
          <w:sz w:val="14"/>
          <w:szCs w:val="14"/>
          <w:lang w:val="en-GB"/>
        </w:rPr>
      </w:pPr>
      <w:r w:rsidRPr="00301A46">
        <w:rPr>
          <w:rStyle w:val="FootnoteReference"/>
          <w:rFonts w:cstheme="minorHAnsi"/>
          <w:sz w:val="14"/>
          <w:szCs w:val="14"/>
        </w:rPr>
        <w:footnoteRef/>
      </w:r>
      <w:r w:rsidRPr="00301A46">
        <w:rPr>
          <w:rFonts w:cstheme="minorHAnsi"/>
          <w:sz w:val="14"/>
          <w:szCs w:val="14"/>
        </w:rPr>
        <w:t xml:space="preserve"> </w:t>
      </w:r>
      <w:r w:rsidRPr="00301A46">
        <w:rPr>
          <w:rFonts w:cstheme="minorHAnsi"/>
          <w:sz w:val="14"/>
          <w:szCs w:val="14"/>
          <w:lang w:val="en-GB"/>
        </w:rPr>
        <w:t>Goldney, R.D., Fisher, L.J., Wilson, D.H., &amp; Cheok, F. (2002). Mental health literacy of those with major depression and suicidal ideation: an impediment to help seeking. Suicide and Life-Threatening Behaviour, 32(4), 394-403.</w:t>
      </w:r>
    </w:p>
    <w:p w14:paraId="625AA663" w14:textId="77777777" w:rsidR="00BD622A" w:rsidRPr="00301A46" w:rsidRDefault="00BD622A" w:rsidP="00BD622A">
      <w:pPr>
        <w:spacing w:after="0"/>
        <w:jc w:val="both"/>
        <w:rPr>
          <w:rFonts w:cstheme="minorHAnsi"/>
          <w:sz w:val="14"/>
          <w:szCs w:val="14"/>
          <w:lang w:val="en-GB"/>
        </w:rPr>
      </w:pPr>
      <w:r w:rsidRPr="00301A46">
        <w:rPr>
          <w:rFonts w:cstheme="minorHAnsi"/>
          <w:sz w:val="14"/>
          <w:szCs w:val="14"/>
          <w:lang w:val="en-GB"/>
        </w:rPr>
        <w:t>Howerton, A., Byng, R., Campbell J., Owens, C. &amp; Aitken, P. (2007). Understanding help-seeking behaviour among male offenders: a qualitative interview study. British Medical Journal, 334, 303.</w:t>
      </w:r>
    </w:p>
    <w:p w14:paraId="4AAE1362" w14:textId="77777777" w:rsidR="00BD622A" w:rsidRPr="00301A46" w:rsidRDefault="00BD622A" w:rsidP="00BD622A">
      <w:pPr>
        <w:spacing w:after="0"/>
        <w:jc w:val="both"/>
        <w:rPr>
          <w:rFonts w:cstheme="minorHAnsi"/>
          <w:sz w:val="14"/>
          <w:szCs w:val="14"/>
          <w:lang w:val="en-GB"/>
        </w:rPr>
      </w:pPr>
      <w:r w:rsidRPr="00301A46">
        <w:rPr>
          <w:rFonts w:cstheme="minorHAnsi"/>
          <w:sz w:val="14"/>
          <w:szCs w:val="14"/>
          <w:lang w:val="en-GB"/>
        </w:rPr>
        <w:t>Witte, T.K., Gordon, K.H., Smith, P.N. &amp; Van Orden, K.A. (2012). Stoicism and sensation seeking male vulnerabilities for the acquired capability for suicide. Journal of Research in Personality, 46, 384-392</w:t>
      </w:r>
    </w:p>
  </w:footnote>
  <w:footnote w:id="42">
    <w:p w14:paraId="132A7444" w14:textId="77777777" w:rsidR="00BD622A" w:rsidRPr="00301A46" w:rsidRDefault="00BD622A" w:rsidP="00BD622A">
      <w:pPr>
        <w:spacing w:after="0"/>
        <w:jc w:val="both"/>
        <w:rPr>
          <w:rFonts w:cstheme="minorHAnsi"/>
          <w:sz w:val="14"/>
          <w:szCs w:val="14"/>
          <w:lang w:val="en-GB"/>
        </w:rPr>
      </w:pPr>
      <w:r w:rsidRPr="00301A46">
        <w:rPr>
          <w:rStyle w:val="FootnoteReference"/>
          <w:rFonts w:cstheme="minorHAnsi"/>
          <w:sz w:val="14"/>
          <w:szCs w:val="14"/>
        </w:rPr>
        <w:footnoteRef/>
      </w:r>
      <w:r w:rsidRPr="00301A46">
        <w:rPr>
          <w:rFonts w:cstheme="minorHAnsi"/>
          <w:sz w:val="14"/>
          <w:szCs w:val="14"/>
        </w:rPr>
        <w:t xml:space="preserve"> </w:t>
      </w:r>
      <w:r w:rsidRPr="00301A46">
        <w:rPr>
          <w:rFonts w:cstheme="minorHAnsi"/>
          <w:sz w:val="14"/>
          <w:szCs w:val="14"/>
          <w:lang w:val="en-GB"/>
        </w:rPr>
        <w:t>Denney, J.T., Rogers, R.G., Krueger, P.M., &amp; Wadsworth, T. (2009). Adult Suicide Mortality in the United States: Marital Status, Family Size, Socioeconomic Status, and Differences by Sex. Social Science Quarterly, 90(5), 1167-1185.</w:t>
      </w:r>
    </w:p>
  </w:footnote>
  <w:footnote w:id="43">
    <w:p w14:paraId="5EBB0A20" w14:textId="77777777" w:rsidR="00BD622A" w:rsidRPr="00301A46" w:rsidRDefault="00BD622A" w:rsidP="00BD622A">
      <w:pPr>
        <w:spacing w:after="0"/>
        <w:jc w:val="both"/>
        <w:rPr>
          <w:rFonts w:cstheme="minorHAnsi"/>
          <w:sz w:val="14"/>
          <w:szCs w:val="14"/>
          <w:lang w:val="en-GB"/>
        </w:rPr>
      </w:pPr>
      <w:r w:rsidRPr="00301A46">
        <w:rPr>
          <w:rStyle w:val="FootnoteReference"/>
          <w:rFonts w:cstheme="minorHAnsi"/>
          <w:sz w:val="14"/>
          <w:szCs w:val="14"/>
        </w:rPr>
        <w:footnoteRef/>
      </w:r>
      <w:r w:rsidRPr="00301A46">
        <w:rPr>
          <w:rFonts w:cstheme="minorHAnsi"/>
          <w:sz w:val="14"/>
          <w:szCs w:val="14"/>
        </w:rPr>
        <w:t xml:space="preserve"> </w:t>
      </w:r>
      <w:r w:rsidRPr="00301A46">
        <w:rPr>
          <w:rFonts w:cstheme="minorHAnsi"/>
          <w:sz w:val="14"/>
          <w:szCs w:val="14"/>
          <w:lang w:val="en-GB"/>
        </w:rPr>
        <w:t>Galdas, P., Cheater, F. and Marshall, P. (2005). Men and Health-seeking Behaviour: a literature review. Journal of Advanced Nursing. Vol. 49, Issue 6.</w:t>
      </w:r>
    </w:p>
    <w:p w14:paraId="48805B05" w14:textId="77777777" w:rsidR="00BD622A" w:rsidRPr="00301A46" w:rsidRDefault="00BD622A" w:rsidP="00BD622A">
      <w:pPr>
        <w:spacing w:after="0"/>
        <w:jc w:val="both"/>
        <w:rPr>
          <w:rFonts w:cstheme="minorHAnsi"/>
          <w:sz w:val="14"/>
          <w:szCs w:val="14"/>
          <w:lang w:val="en-GB"/>
        </w:rPr>
      </w:pPr>
      <w:r w:rsidRPr="00301A46">
        <w:rPr>
          <w:rFonts w:cstheme="minorHAnsi"/>
          <w:sz w:val="14"/>
          <w:szCs w:val="14"/>
          <w:lang w:val="en-GB"/>
        </w:rPr>
        <w:t xml:space="preserve">Hines, L.A., Goodwin, L., Jones, M., Hull, L., Wessely, S., Fear, N.T. and Rona, R.J. (2014). Factors Affecting Help Seeking for Mental Health Problems After Deployment to Iraq and Afghanistan. Psychiatry Online </w:t>
      </w:r>
      <w:r w:rsidRPr="00301A46">
        <w:rPr>
          <w:rFonts w:cstheme="minorHAnsi"/>
          <w:color w:val="000000"/>
          <w:sz w:val="14"/>
          <w:szCs w:val="14"/>
          <w:shd w:val="clear" w:color="auto" w:fill="FFFFFF"/>
        </w:rPr>
        <w:t>1 Jan 2014</w:t>
      </w:r>
    </w:p>
  </w:footnote>
  <w:footnote w:id="44">
    <w:p w14:paraId="7F30B025" w14:textId="77777777" w:rsidR="00BD622A" w:rsidRPr="00301A46" w:rsidRDefault="00BD622A" w:rsidP="00BD622A">
      <w:pPr>
        <w:spacing w:after="0"/>
        <w:jc w:val="both"/>
        <w:rPr>
          <w:rFonts w:cstheme="minorHAnsi"/>
          <w:sz w:val="14"/>
          <w:szCs w:val="14"/>
          <w:lang w:val="en-GB"/>
        </w:rPr>
      </w:pPr>
      <w:r w:rsidRPr="00301A46">
        <w:rPr>
          <w:rStyle w:val="FootnoteReference"/>
          <w:rFonts w:cstheme="minorHAnsi"/>
          <w:sz w:val="14"/>
          <w:szCs w:val="14"/>
        </w:rPr>
        <w:footnoteRef/>
      </w:r>
      <w:r w:rsidRPr="00301A46">
        <w:rPr>
          <w:rFonts w:cstheme="minorHAnsi"/>
          <w:sz w:val="14"/>
          <w:szCs w:val="14"/>
        </w:rPr>
        <w:t xml:space="preserve"> </w:t>
      </w:r>
      <w:r w:rsidRPr="00301A46">
        <w:rPr>
          <w:rFonts w:cstheme="minorHAnsi"/>
          <w:sz w:val="14"/>
          <w:szCs w:val="14"/>
          <w:lang w:val="en-GB"/>
        </w:rPr>
        <w:t>Bruffaerts, R., Demyttenaere, K., Hwang, I., et al. (2011). Treatment of suicidal people around the world. British Journal of Psychiatry, 199(1), 64-70.</w:t>
      </w:r>
    </w:p>
  </w:footnote>
  <w:footnote w:id="45">
    <w:p w14:paraId="09E279C6" w14:textId="77777777" w:rsidR="00BD622A" w:rsidRPr="00301A46" w:rsidRDefault="00BD622A" w:rsidP="00BD622A">
      <w:pPr>
        <w:spacing w:after="0"/>
        <w:jc w:val="both"/>
        <w:rPr>
          <w:rFonts w:cstheme="minorHAnsi"/>
          <w:sz w:val="14"/>
          <w:szCs w:val="14"/>
          <w:lang w:val="en-GB"/>
        </w:rPr>
      </w:pPr>
      <w:r w:rsidRPr="00301A46">
        <w:rPr>
          <w:rStyle w:val="FootnoteReference"/>
          <w:rFonts w:cstheme="minorHAnsi"/>
          <w:sz w:val="14"/>
          <w:szCs w:val="14"/>
        </w:rPr>
        <w:footnoteRef/>
      </w:r>
      <w:r w:rsidRPr="00301A46">
        <w:rPr>
          <w:rFonts w:cstheme="minorHAnsi"/>
          <w:sz w:val="14"/>
          <w:szCs w:val="14"/>
        </w:rPr>
        <w:t xml:space="preserve"> </w:t>
      </w:r>
      <w:r w:rsidRPr="00301A46">
        <w:rPr>
          <w:rFonts w:cstheme="minorHAnsi"/>
          <w:sz w:val="14"/>
          <w:szCs w:val="14"/>
          <w:lang w:val="en-GB"/>
        </w:rPr>
        <w:t>Joiner, T. E. (2005). Why people die by suicide. Cambridge: Harvard University Press. Joiner, T.E. (2011). Lonely at the top - The high cost of men’s success. New York: Palgrave MacMillan.</w:t>
      </w:r>
    </w:p>
    <w:p w14:paraId="50665DFF" w14:textId="77777777" w:rsidR="00BD622A" w:rsidRPr="00301A46" w:rsidRDefault="00BD622A" w:rsidP="00BD622A">
      <w:pPr>
        <w:spacing w:after="0"/>
        <w:jc w:val="both"/>
        <w:rPr>
          <w:rFonts w:cstheme="minorHAnsi"/>
          <w:sz w:val="14"/>
          <w:szCs w:val="14"/>
          <w:lang w:val="en-GB"/>
        </w:rPr>
      </w:pPr>
      <w:r w:rsidRPr="00301A46">
        <w:rPr>
          <w:rFonts w:cstheme="minorHAnsi"/>
          <w:sz w:val="14"/>
          <w:szCs w:val="14"/>
          <w:lang w:val="en-GB"/>
        </w:rPr>
        <w:t xml:space="preserve">Schumacher, H. (2019). In countries around the world, women are more likely to be diagnosed with depression and to attempt suicide. So why is the male suicide rate still several times higher than female? BBC Future, 18 March 2019. </w:t>
      </w:r>
    </w:p>
  </w:footnote>
  <w:footnote w:id="46">
    <w:p w14:paraId="0230DAE7" w14:textId="77777777" w:rsidR="00BD622A" w:rsidRPr="00301A46" w:rsidRDefault="00BD622A" w:rsidP="00BD622A">
      <w:pPr>
        <w:spacing w:after="0"/>
        <w:jc w:val="both"/>
        <w:rPr>
          <w:rFonts w:cstheme="minorHAnsi"/>
          <w:sz w:val="14"/>
          <w:szCs w:val="14"/>
          <w:lang w:val="en-GB"/>
        </w:rPr>
      </w:pPr>
      <w:r w:rsidRPr="00301A46">
        <w:rPr>
          <w:rStyle w:val="FootnoteReference"/>
          <w:rFonts w:cstheme="minorHAnsi"/>
          <w:sz w:val="14"/>
          <w:szCs w:val="14"/>
        </w:rPr>
        <w:footnoteRef/>
      </w:r>
      <w:r w:rsidRPr="00301A46">
        <w:rPr>
          <w:rFonts w:cstheme="minorHAnsi"/>
          <w:sz w:val="14"/>
          <w:szCs w:val="14"/>
        </w:rPr>
        <w:t xml:space="preserve"> </w:t>
      </w:r>
      <w:r w:rsidRPr="00301A46">
        <w:rPr>
          <w:rFonts w:cstheme="minorHAnsi"/>
          <w:sz w:val="14"/>
          <w:szCs w:val="14"/>
          <w:lang w:val="en-GB"/>
        </w:rPr>
        <w:t>Carley, M. (2018). Masculinity: healthy vs toxic</w:t>
      </w:r>
    </w:p>
    <w:p w14:paraId="274A8C89" w14:textId="77777777" w:rsidR="00BD622A" w:rsidRPr="00301A46" w:rsidRDefault="00BD622A" w:rsidP="00BD622A">
      <w:pPr>
        <w:spacing w:after="0"/>
        <w:jc w:val="both"/>
        <w:rPr>
          <w:rFonts w:cstheme="minorHAnsi"/>
          <w:sz w:val="14"/>
          <w:szCs w:val="14"/>
          <w:lang w:val="en-GB"/>
        </w:rPr>
      </w:pPr>
      <w:r w:rsidRPr="00301A46">
        <w:rPr>
          <w:rFonts w:cstheme="minorHAnsi"/>
          <w:sz w:val="14"/>
          <w:szCs w:val="14"/>
          <w:lang w:val="en-GB"/>
        </w:rPr>
        <w:t>Comstock, C. (2016). Healthy Masculinity. ManKind Project</w:t>
      </w:r>
    </w:p>
    <w:p w14:paraId="71FE3B96" w14:textId="77777777" w:rsidR="00BD622A" w:rsidRPr="00301A46" w:rsidRDefault="00BD622A" w:rsidP="00BD622A">
      <w:pPr>
        <w:spacing w:after="0"/>
        <w:jc w:val="both"/>
        <w:rPr>
          <w:rFonts w:cstheme="minorHAnsi"/>
          <w:sz w:val="14"/>
          <w:szCs w:val="14"/>
          <w:lang w:val="en-GB"/>
        </w:rPr>
      </w:pPr>
      <w:r w:rsidRPr="00301A46">
        <w:rPr>
          <w:rFonts w:cstheme="minorHAnsi"/>
          <w:sz w:val="14"/>
          <w:szCs w:val="14"/>
          <w:lang w:val="en-GB"/>
        </w:rPr>
        <w:t>Behavioural Health and Rape Crisis Centre (2019). Healthy Masculinity: changing the conversation</w:t>
      </w:r>
    </w:p>
    <w:p w14:paraId="4140D5D7" w14:textId="77777777" w:rsidR="00BD622A" w:rsidRPr="00301A46" w:rsidRDefault="00BD622A" w:rsidP="00BD622A">
      <w:pPr>
        <w:spacing w:after="0"/>
        <w:jc w:val="both"/>
        <w:rPr>
          <w:rFonts w:cstheme="minorHAnsi"/>
          <w:sz w:val="14"/>
          <w:szCs w:val="14"/>
          <w:lang w:val="en-GB"/>
        </w:rPr>
      </w:pPr>
      <w:r w:rsidRPr="00301A46">
        <w:rPr>
          <w:rFonts w:cstheme="minorHAnsi"/>
          <w:sz w:val="14"/>
          <w:szCs w:val="14"/>
          <w:lang w:val="en-GB"/>
        </w:rPr>
        <w:t>Flood, M. (2020). Healthier Masculinities for Gender Equality. Workshop Melbourne. Women’s Health in the South East. January 20, 2020</w:t>
      </w:r>
    </w:p>
  </w:footnote>
  <w:footnote w:id="47">
    <w:p w14:paraId="6F5865C1" w14:textId="77777777" w:rsidR="00BD622A" w:rsidRPr="00301A46" w:rsidRDefault="00BD622A" w:rsidP="00BD622A">
      <w:pPr>
        <w:pStyle w:val="FootnoteText"/>
        <w:jc w:val="both"/>
        <w:rPr>
          <w:rFonts w:asciiTheme="minorHAnsi" w:hAnsiTheme="minorHAnsi" w:cstheme="minorHAnsi"/>
          <w:sz w:val="14"/>
          <w:szCs w:val="14"/>
          <w:lang w:val="en-GB"/>
        </w:rPr>
      </w:pPr>
      <w:r w:rsidRPr="00301A46">
        <w:rPr>
          <w:rStyle w:val="FootnoteReference"/>
          <w:rFonts w:asciiTheme="minorHAnsi" w:hAnsiTheme="minorHAnsi" w:cstheme="minorHAnsi"/>
          <w:sz w:val="14"/>
          <w:szCs w:val="14"/>
        </w:rPr>
        <w:footnoteRef/>
      </w:r>
      <w:r w:rsidRPr="00301A46">
        <w:rPr>
          <w:rFonts w:asciiTheme="minorHAnsi" w:hAnsiTheme="minorHAnsi" w:cstheme="minorHAnsi"/>
          <w:sz w:val="14"/>
          <w:szCs w:val="14"/>
        </w:rPr>
        <w:t xml:space="preserve"> </w:t>
      </w:r>
      <w:r w:rsidRPr="00301A46">
        <w:rPr>
          <w:rFonts w:asciiTheme="minorHAnsi" w:hAnsiTheme="minorHAnsi" w:cstheme="minorHAnsi"/>
          <w:color w:val="000000" w:themeColor="text1"/>
          <w:sz w:val="14"/>
          <w:szCs w:val="14"/>
        </w:rPr>
        <w:t xml:space="preserve">Australian Bureau of Statistics (2016c). Labour Force Australia 2016. </w:t>
      </w:r>
    </w:p>
  </w:footnote>
  <w:footnote w:id="48">
    <w:p w14:paraId="2D449659" w14:textId="77777777" w:rsidR="00BD622A" w:rsidRPr="00870900" w:rsidRDefault="00BD622A" w:rsidP="00BD622A">
      <w:pPr>
        <w:pStyle w:val="FootnoteText"/>
        <w:jc w:val="both"/>
        <w:rPr>
          <w:lang w:val="en-GB"/>
        </w:rPr>
      </w:pPr>
      <w:r>
        <w:rPr>
          <w:rStyle w:val="FootnoteReference"/>
        </w:rPr>
        <w:footnoteRef/>
      </w:r>
      <w:r>
        <w:t xml:space="preserve"> </w:t>
      </w:r>
      <w:r w:rsidRPr="006E7E83">
        <w:rPr>
          <w:rFonts w:asciiTheme="minorHAnsi" w:hAnsiTheme="minorHAnsi" w:cstheme="minorHAnsi"/>
          <w:sz w:val="14"/>
          <w:szCs w:val="14"/>
          <w:lang w:val="en-GB"/>
        </w:rPr>
        <w:t>Male national suicide rates exhibit a correlation with unemployment rates four years earlier, of 0.77. In contrast, the correlation between female susicide rates and earlier unemployment levels is a comparatively low, 0.14</w:t>
      </w:r>
      <w:r w:rsidRPr="00870900">
        <w:rPr>
          <w:sz w:val="14"/>
          <w:szCs w:val="14"/>
          <w:lang w:val="en-GB"/>
        </w:rPr>
        <w:t>.</w:t>
      </w:r>
    </w:p>
  </w:footnote>
  <w:footnote w:id="49">
    <w:p w14:paraId="24A4C0CF" w14:textId="77777777" w:rsidR="00EA49C9" w:rsidRPr="003A1C50" w:rsidRDefault="00EA49C9" w:rsidP="00EA49C9">
      <w:pPr>
        <w:pStyle w:val="FootnoteText"/>
        <w:rPr>
          <w:sz w:val="16"/>
          <w:szCs w:val="16"/>
        </w:rPr>
      </w:pPr>
      <w:r w:rsidRPr="003A1C50">
        <w:rPr>
          <w:rStyle w:val="FootnoteReference"/>
          <w:sz w:val="16"/>
          <w:szCs w:val="16"/>
        </w:rPr>
        <w:footnoteRef/>
      </w:r>
      <w:r w:rsidRPr="003A1C50">
        <w:rPr>
          <w:sz w:val="16"/>
          <w:szCs w:val="16"/>
        </w:rPr>
        <w:t xml:space="preserve"> </w:t>
      </w:r>
      <w:r w:rsidRPr="003A1C50">
        <w:rPr>
          <w:rFonts w:asciiTheme="minorHAnsi" w:hAnsiTheme="minorHAnsi"/>
          <w:color w:val="000000" w:themeColor="text1"/>
          <w:sz w:val="16"/>
          <w:szCs w:val="16"/>
        </w:rPr>
        <w:t xml:space="preserve">Gao, C., Ogeil, R., and Lloyd, B. (2014). </w:t>
      </w:r>
      <w:r w:rsidRPr="003A1C50">
        <w:rPr>
          <w:rFonts w:asciiTheme="minorHAnsi" w:hAnsiTheme="minorHAnsi"/>
          <w:color w:val="000000" w:themeColor="text1"/>
          <w:sz w:val="16"/>
          <w:szCs w:val="16"/>
          <w:u w:val="single"/>
        </w:rPr>
        <w:t>Alcohol’s Burden of Disease, Australia</w:t>
      </w:r>
      <w:r w:rsidRPr="003A1C50">
        <w:rPr>
          <w:rFonts w:asciiTheme="minorHAnsi" w:hAnsiTheme="minorHAnsi"/>
          <w:color w:val="000000" w:themeColor="text1"/>
          <w:sz w:val="16"/>
          <w:szCs w:val="16"/>
        </w:rPr>
        <w:t>. VicHealth, Turning Point, Foundation for Alcohol Research and Education</w:t>
      </w:r>
    </w:p>
  </w:footnote>
  <w:footnote w:id="50">
    <w:p w14:paraId="5F857CA5" w14:textId="77777777" w:rsidR="00EA49C9" w:rsidRPr="003A1C50" w:rsidRDefault="00EA49C9" w:rsidP="00EA49C9">
      <w:pPr>
        <w:pStyle w:val="FootnoteText"/>
        <w:jc w:val="both"/>
        <w:rPr>
          <w:sz w:val="16"/>
          <w:szCs w:val="16"/>
        </w:rPr>
      </w:pPr>
      <w:r w:rsidRPr="003A1C50">
        <w:rPr>
          <w:rStyle w:val="FootnoteReference"/>
          <w:sz w:val="16"/>
          <w:szCs w:val="16"/>
        </w:rPr>
        <w:footnoteRef/>
      </w:r>
      <w:r w:rsidRPr="003A1C50">
        <w:rPr>
          <w:sz w:val="16"/>
          <w:szCs w:val="16"/>
        </w:rPr>
        <w:t xml:space="preserve"> Australian Medical Association, 2017; May and Gossage, 2017; Burns et al, 2013; National Drug Research Institute, 2013a, 2013b, 2013c, 2013d; O’Leary et al, 2012; Hulubowycz, 1994</w:t>
      </w:r>
    </w:p>
  </w:footnote>
  <w:footnote w:id="51">
    <w:p w14:paraId="1F0BAFAB" w14:textId="77777777" w:rsidR="00EA49C9" w:rsidRPr="00DC4AB5" w:rsidRDefault="00EA49C9" w:rsidP="00EA49C9">
      <w:pPr>
        <w:pStyle w:val="FootnoteText"/>
        <w:jc w:val="both"/>
        <w:rPr>
          <w:sz w:val="16"/>
          <w:szCs w:val="16"/>
        </w:rPr>
      </w:pPr>
      <w:r w:rsidRPr="003A1C50">
        <w:rPr>
          <w:rStyle w:val="FootnoteReference"/>
          <w:sz w:val="16"/>
          <w:szCs w:val="16"/>
        </w:rPr>
        <w:footnoteRef/>
      </w:r>
      <w:r w:rsidRPr="003A1C50">
        <w:rPr>
          <w:sz w:val="16"/>
          <w:szCs w:val="16"/>
        </w:rPr>
        <w:t xml:space="preserve"> </w:t>
      </w:r>
      <w:r w:rsidRPr="003A1C50">
        <w:rPr>
          <w:rFonts w:asciiTheme="minorHAnsi" w:hAnsiTheme="minorHAnsi"/>
          <w:color w:val="000000" w:themeColor="text1"/>
          <w:sz w:val="16"/>
          <w:szCs w:val="16"/>
        </w:rPr>
        <w:t xml:space="preserve">Australian Bureau of Statistics (2017c). </w:t>
      </w:r>
      <w:r w:rsidRPr="003A1C50">
        <w:rPr>
          <w:rFonts w:asciiTheme="minorHAnsi" w:hAnsiTheme="minorHAnsi"/>
          <w:color w:val="000000" w:themeColor="text1"/>
          <w:sz w:val="16"/>
          <w:szCs w:val="16"/>
          <w:u w:val="single"/>
        </w:rPr>
        <w:t>Personal Safety Survey, 2016</w:t>
      </w:r>
      <w:r w:rsidRPr="003A1C50">
        <w:rPr>
          <w:rFonts w:asciiTheme="minorHAnsi" w:hAnsiTheme="minorHAnsi"/>
          <w:color w:val="000000" w:themeColor="text1"/>
          <w:sz w:val="16"/>
          <w:szCs w:val="16"/>
        </w:rPr>
        <w:t>.</w:t>
      </w:r>
      <w:r w:rsidRPr="00DC4AB5">
        <w:rPr>
          <w:rFonts w:asciiTheme="minorHAnsi" w:hAnsiTheme="minorHAnsi"/>
          <w:color w:val="000000" w:themeColor="text1"/>
          <w:sz w:val="16"/>
          <w:szCs w:val="16"/>
        </w:rPr>
        <w:t xml:space="preserve"> </w:t>
      </w:r>
    </w:p>
  </w:footnote>
  <w:footnote w:id="52">
    <w:p w14:paraId="4DAB0C62" w14:textId="77777777" w:rsidR="00787378" w:rsidRPr="00B65B79" w:rsidRDefault="00787378" w:rsidP="00787378">
      <w:pPr>
        <w:pStyle w:val="FootnoteText"/>
      </w:pPr>
      <w:r>
        <w:rPr>
          <w:rStyle w:val="FootnoteReference"/>
        </w:rPr>
        <w:footnoteRef/>
      </w:r>
      <w:r>
        <w:t xml:space="preserve"> </w:t>
      </w:r>
      <w:r w:rsidRPr="00B65B79">
        <w:rPr>
          <w:rFonts w:asciiTheme="minorHAnsi" w:hAnsiTheme="minorHAnsi"/>
          <w:color w:val="000000" w:themeColor="text1"/>
          <w:sz w:val="16"/>
          <w:szCs w:val="16"/>
        </w:rPr>
        <w:t xml:space="preserve">Downey, M. (2016). </w:t>
      </w:r>
      <w:r w:rsidRPr="00B65B79">
        <w:rPr>
          <w:rFonts w:asciiTheme="minorHAnsi" w:hAnsiTheme="minorHAnsi"/>
          <w:color w:val="000000" w:themeColor="text1"/>
          <w:sz w:val="16"/>
          <w:szCs w:val="16"/>
          <w:u w:val="single"/>
        </w:rPr>
        <w:t>Resurgence in Ecstasy Market, with a shift to the Crystal form of the Drug</w:t>
      </w:r>
      <w:r w:rsidRPr="00B65B79">
        <w:rPr>
          <w:rFonts w:asciiTheme="minorHAnsi" w:hAnsiTheme="minorHAnsi"/>
          <w:color w:val="000000" w:themeColor="text1"/>
          <w:sz w:val="16"/>
          <w:szCs w:val="16"/>
        </w:rPr>
        <w:t>. National Drug and Alcohol Research Centre, University of New South Wales</w:t>
      </w:r>
    </w:p>
  </w:footnote>
  <w:footnote w:id="53">
    <w:p w14:paraId="3606E059" w14:textId="77777777" w:rsidR="00787378" w:rsidRPr="00B65B79" w:rsidRDefault="00787378" w:rsidP="00787378">
      <w:pPr>
        <w:pStyle w:val="FootnoteText"/>
      </w:pPr>
      <w:r>
        <w:rPr>
          <w:rStyle w:val="FootnoteReference"/>
        </w:rPr>
        <w:footnoteRef/>
      </w:r>
      <w:r>
        <w:t xml:space="preserve"> </w:t>
      </w:r>
      <w:r w:rsidRPr="00B65B79">
        <w:rPr>
          <w:rFonts w:asciiTheme="minorHAnsi" w:hAnsiTheme="minorHAnsi"/>
          <w:color w:val="000000" w:themeColor="text1"/>
          <w:sz w:val="16"/>
          <w:szCs w:val="16"/>
        </w:rPr>
        <w:t xml:space="preserve">Goldsmind, S., Johnston, I., Kapira, M., Clayden, C., Petriecevie, M., and Webber, K. (2017). </w:t>
      </w:r>
      <w:r w:rsidRPr="00B65B79">
        <w:rPr>
          <w:rFonts w:asciiTheme="minorHAnsi" w:hAnsiTheme="minorHAnsi"/>
          <w:color w:val="000000" w:themeColor="text1"/>
          <w:sz w:val="16"/>
          <w:szCs w:val="16"/>
          <w:u w:val="single"/>
        </w:rPr>
        <w:t>Australian Methamphetamine User outcomes. Statistics Bulletin 03</w:t>
      </w:r>
      <w:r w:rsidRPr="00B65B79">
        <w:rPr>
          <w:rFonts w:asciiTheme="minorHAnsi" w:hAnsiTheme="minorHAnsi"/>
          <w:color w:val="000000" w:themeColor="text1"/>
          <w:sz w:val="16"/>
          <w:szCs w:val="16"/>
        </w:rPr>
        <w:t>. Australian Institute of Criminology</w:t>
      </w:r>
      <w:r w:rsidRPr="00B53F59">
        <w:rPr>
          <w:rFonts w:asciiTheme="minorHAnsi" w:hAnsiTheme="minorHAnsi"/>
          <w:color w:val="000000" w:themeColor="text1"/>
        </w:rPr>
        <w:t>.</w:t>
      </w:r>
    </w:p>
  </w:footnote>
  <w:footnote w:id="54">
    <w:p w14:paraId="40D97A84" w14:textId="77777777" w:rsidR="00787378" w:rsidRPr="00B65B79" w:rsidRDefault="00787378" w:rsidP="00787378">
      <w:pPr>
        <w:pStyle w:val="FootnoteText"/>
      </w:pPr>
      <w:r>
        <w:rPr>
          <w:rStyle w:val="FootnoteReference"/>
        </w:rPr>
        <w:footnoteRef/>
      </w:r>
      <w:r>
        <w:t xml:space="preserve"> </w:t>
      </w:r>
      <w:r w:rsidRPr="00DE6A5C">
        <w:rPr>
          <w:rFonts w:asciiTheme="minorHAnsi" w:hAnsiTheme="minorHAnsi"/>
          <w:color w:val="000000" w:themeColor="text1"/>
          <w:sz w:val="16"/>
          <w:szCs w:val="16"/>
        </w:rPr>
        <w:t>Cook, S., Johnson, P., Martinow, K. and Elder, J. (2014). ‘Inquiry into the supply and use of methamphetamines particularly ice in Victoria’, Final Report Vol. 1. Law Reform, Drugs and Crime Prevention Committee, Victorian Government. Melbourne</w:t>
      </w:r>
    </w:p>
  </w:footnote>
  <w:footnote w:id="55">
    <w:p w14:paraId="457EE24E" w14:textId="77777777" w:rsidR="003B1EC0" w:rsidRPr="003877D4" w:rsidRDefault="003B1EC0" w:rsidP="002A0FAE">
      <w:pPr>
        <w:spacing w:after="0" w:line="240" w:lineRule="auto"/>
        <w:jc w:val="both"/>
        <w:rPr>
          <w:color w:val="000000" w:themeColor="text1"/>
          <w:sz w:val="20"/>
          <w:szCs w:val="20"/>
        </w:rPr>
      </w:pPr>
      <w:r>
        <w:rPr>
          <w:rStyle w:val="FootnoteReference"/>
        </w:rPr>
        <w:footnoteRef/>
      </w:r>
      <w:r>
        <w:t xml:space="preserve"> </w:t>
      </w:r>
      <w:r w:rsidRPr="003877D4">
        <w:rPr>
          <w:rFonts w:cstheme="minorHAnsi"/>
          <w:color w:val="000000" w:themeColor="text1"/>
          <w:sz w:val="16"/>
          <w:szCs w:val="16"/>
        </w:rPr>
        <w:t xml:space="preserve">Banks, E., Joshy, G., Weber, M., Liu, B., Egger, S., Paige, E., Lopez, A., Sitas, F. and Beral, V. (2015). Tobacco smoking and all-cause mortality in a large Australian cohort study: findings from a mature epidemic with current low smoking prevalence. </w:t>
      </w:r>
      <w:r w:rsidRPr="003877D4">
        <w:rPr>
          <w:rFonts w:cstheme="minorHAnsi"/>
          <w:color w:val="000000" w:themeColor="text1"/>
          <w:sz w:val="16"/>
          <w:szCs w:val="16"/>
          <w:u w:val="single"/>
        </w:rPr>
        <w:t>BMC Medicine</w:t>
      </w:r>
      <w:r w:rsidRPr="003877D4">
        <w:rPr>
          <w:rFonts w:cstheme="minorHAnsi"/>
          <w:color w:val="000000" w:themeColor="text1"/>
          <w:sz w:val="16"/>
          <w:szCs w:val="16"/>
        </w:rPr>
        <w:t xml:space="preserve"> Feb. 2015. Accessed at: </w:t>
      </w:r>
      <w:hyperlink r:id="rId4" w:history="1">
        <w:r w:rsidRPr="003877D4">
          <w:rPr>
            <w:rFonts w:cstheme="minorHAnsi"/>
            <w:sz w:val="16"/>
            <w:szCs w:val="16"/>
          </w:rPr>
          <w:t>https://bmcmedicine.biomedcentral.com/articles/10.1186/s12916-015-0281-z</w:t>
        </w:r>
      </w:hyperlink>
      <w:r w:rsidRPr="003877D4">
        <w:rPr>
          <w:rFonts w:cstheme="minorHAnsi"/>
          <w:color w:val="000000" w:themeColor="text1"/>
          <w:sz w:val="16"/>
          <w:szCs w:val="16"/>
        </w:rPr>
        <w:t xml:space="preserve"> on 12 Feb, 2018</w:t>
      </w:r>
    </w:p>
  </w:footnote>
  <w:footnote w:id="56">
    <w:p w14:paraId="2FBCB256" w14:textId="77777777" w:rsidR="003B1EC0" w:rsidRPr="003877D4" w:rsidRDefault="003B1EC0" w:rsidP="002A0FAE">
      <w:pPr>
        <w:pStyle w:val="FootnoteText"/>
        <w:jc w:val="both"/>
        <w:rPr>
          <w:sz w:val="16"/>
          <w:szCs w:val="16"/>
        </w:rPr>
      </w:pPr>
      <w:r>
        <w:rPr>
          <w:rStyle w:val="FootnoteReference"/>
        </w:rPr>
        <w:footnoteRef/>
      </w:r>
      <w:r>
        <w:t xml:space="preserve"> </w:t>
      </w:r>
      <w:r w:rsidRPr="003877D4">
        <w:rPr>
          <w:rFonts w:asciiTheme="minorHAnsi" w:hAnsiTheme="minorHAnsi"/>
          <w:color w:val="000000" w:themeColor="text1"/>
          <w:sz w:val="16"/>
          <w:szCs w:val="16"/>
        </w:rPr>
        <w:t xml:space="preserve">Australian Bureau of Statistics (2011b). </w:t>
      </w:r>
      <w:r w:rsidRPr="003877D4">
        <w:rPr>
          <w:rFonts w:asciiTheme="minorHAnsi" w:hAnsiTheme="minorHAnsi"/>
          <w:color w:val="000000" w:themeColor="text1"/>
          <w:sz w:val="16"/>
          <w:szCs w:val="16"/>
          <w:u w:val="single"/>
        </w:rPr>
        <w:t>Facts at Your Fingertips: Health, 2011: Tobacco smoking in Australia</w:t>
      </w:r>
      <w:r w:rsidRPr="003877D4">
        <w:rPr>
          <w:rFonts w:asciiTheme="minorHAnsi" w:hAnsiTheme="minorHAnsi"/>
          <w:color w:val="000000" w:themeColor="text1"/>
          <w:sz w:val="16"/>
          <w:szCs w:val="16"/>
        </w:rPr>
        <w:t xml:space="preserve">. Accessed at: </w:t>
      </w:r>
      <w:hyperlink r:id="rId5" w:history="1">
        <w:r w:rsidRPr="003877D4">
          <w:rPr>
            <w:rStyle w:val="Hyperlink"/>
            <w:rFonts w:asciiTheme="minorHAnsi" w:hAnsiTheme="minorHAnsi"/>
            <w:color w:val="000000" w:themeColor="text1"/>
            <w:sz w:val="16"/>
            <w:szCs w:val="16"/>
          </w:rPr>
          <w:t>http://www.abs.gov.au/ausstats/abs@.nsf/Lookup/4841.0Chapter32011</w:t>
        </w:r>
      </w:hyperlink>
      <w:r w:rsidRPr="003877D4">
        <w:rPr>
          <w:rFonts w:asciiTheme="minorHAnsi" w:hAnsiTheme="minorHAnsi"/>
          <w:color w:val="000000" w:themeColor="text1"/>
          <w:sz w:val="16"/>
          <w:szCs w:val="16"/>
        </w:rPr>
        <w:t xml:space="preserve">  on 16 September</w:t>
      </w:r>
    </w:p>
  </w:footnote>
  <w:footnote w:id="57">
    <w:p w14:paraId="75126B93" w14:textId="77777777" w:rsidR="003B1EC0" w:rsidRPr="003877D4" w:rsidRDefault="003B1EC0" w:rsidP="002A0FAE">
      <w:pPr>
        <w:pStyle w:val="FootnoteText"/>
        <w:jc w:val="both"/>
      </w:pPr>
      <w:r>
        <w:rPr>
          <w:rStyle w:val="FootnoteReference"/>
        </w:rPr>
        <w:footnoteRef/>
      </w:r>
      <w:r>
        <w:t xml:space="preserve"> </w:t>
      </w:r>
      <w:r w:rsidRPr="003877D4">
        <w:rPr>
          <w:rFonts w:asciiTheme="minorHAnsi" w:hAnsiTheme="minorHAnsi"/>
          <w:color w:val="000000" w:themeColor="text1"/>
          <w:sz w:val="16"/>
          <w:szCs w:val="16"/>
        </w:rPr>
        <w:t xml:space="preserve">Institute for Health Metrics and Evaluation (2014). </w:t>
      </w:r>
      <w:r w:rsidRPr="003877D4">
        <w:rPr>
          <w:rFonts w:asciiTheme="minorHAnsi" w:hAnsiTheme="minorHAnsi"/>
          <w:color w:val="000000" w:themeColor="text1"/>
          <w:sz w:val="16"/>
          <w:szCs w:val="16"/>
          <w:u w:val="single"/>
        </w:rPr>
        <w:t>Data Visualization</w:t>
      </w:r>
      <w:r w:rsidRPr="003877D4">
        <w:rPr>
          <w:rFonts w:asciiTheme="minorHAnsi" w:hAnsiTheme="minorHAnsi"/>
          <w:color w:val="000000" w:themeColor="text1"/>
          <w:sz w:val="16"/>
          <w:szCs w:val="16"/>
        </w:rPr>
        <w:t>. Seattle</w:t>
      </w:r>
    </w:p>
  </w:footnote>
  <w:footnote w:id="58">
    <w:p w14:paraId="5EB5DA8A" w14:textId="77777777" w:rsidR="003B1EC0" w:rsidRPr="003877D4" w:rsidRDefault="003B1EC0" w:rsidP="002A0FAE">
      <w:pPr>
        <w:pStyle w:val="FootnoteText"/>
        <w:jc w:val="both"/>
      </w:pPr>
      <w:r>
        <w:rPr>
          <w:rStyle w:val="FootnoteReference"/>
        </w:rPr>
        <w:footnoteRef/>
      </w:r>
      <w:r>
        <w:t xml:space="preserve"> </w:t>
      </w:r>
      <w:r w:rsidRPr="003877D4">
        <w:rPr>
          <w:rFonts w:asciiTheme="minorHAnsi" w:hAnsiTheme="minorHAnsi"/>
          <w:color w:val="000000" w:themeColor="text1"/>
          <w:sz w:val="16"/>
          <w:szCs w:val="16"/>
        </w:rPr>
        <w:t xml:space="preserve">Australian Institute of Health and Welfare (2013b). </w:t>
      </w:r>
      <w:r w:rsidRPr="003877D4">
        <w:rPr>
          <w:rFonts w:asciiTheme="minorHAnsi" w:hAnsiTheme="minorHAnsi"/>
          <w:color w:val="000000" w:themeColor="text1"/>
          <w:sz w:val="16"/>
          <w:szCs w:val="16"/>
          <w:u w:val="single"/>
        </w:rPr>
        <w:t>National Drug Strategy Household Survey: detailed report</w:t>
      </w:r>
      <w:r w:rsidRPr="003877D4">
        <w:rPr>
          <w:rFonts w:asciiTheme="minorHAnsi" w:hAnsiTheme="minorHAnsi"/>
          <w:color w:val="000000" w:themeColor="text1"/>
          <w:sz w:val="16"/>
          <w:szCs w:val="16"/>
        </w:rPr>
        <w:t xml:space="preserve">. Accessed at: </w:t>
      </w:r>
      <w:hyperlink r:id="rId6" w:history="1">
        <w:r w:rsidRPr="003877D4">
          <w:rPr>
            <w:rStyle w:val="Hyperlink"/>
            <w:rFonts w:asciiTheme="minorHAnsi" w:hAnsiTheme="minorHAnsi"/>
            <w:color w:val="000000" w:themeColor="text1"/>
            <w:sz w:val="16"/>
            <w:szCs w:val="16"/>
          </w:rPr>
          <w:t>http://www.aihw.gov.au/publication-detail/?id=60129549469</w:t>
        </w:r>
      </w:hyperlink>
      <w:r w:rsidRPr="003877D4">
        <w:rPr>
          <w:rFonts w:asciiTheme="minorHAnsi" w:hAnsiTheme="minorHAnsi"/>
          <w:color w:val="000000" w:themeColor="text1"/>
          <w:sz w:val="16"/>
          <w:szCs w:val="16"/>
        </w:rPr>
        <w:t xml:space="preserve"> on 14 September, 2015</w:t>
      </w:r>
    </w:p>
  </w:footnote>
  <w:footnote w:id="59">
    <w:p w14:paraId="018DCEF5" w14:textId="77777777" w:rsidR="003B1EC0" w:rsidRPr="00671933" w:rsidRDefault="003B1EC0" w:rsidP="003B1EC0">
      <w:pPr>
        <w:jc w:val="both"/>
        <w:rPr>
          <w:rFonts w:cstheme="minorHAnsi"/>
          <w:color w:val="000000" w:themeColor="text1"/>
          <w:sz w:val="16"/>
          <w:szCs w:val="16"/>
        </w:rPr>
      </w:pPr>
      <w:r w:rsidRPr="00671933">
        <w:rPr>
          <w:rStyle w:val="FootnoteReference"/>
          <w:rFonts w:cstheme="minorHAnsi"/>
          <w:sz w:val="16"/>
          <w:szCs w:val="16"/>
        </w:rPr>
        <w:footnoteRef/>
      </w:r>
      <w:r w:rsidRPr="00671933">
        <w:rPr>
          <w:rFonts w:cstheme="minorHAnsi"/>
          <w:sz w:val="16"/>
          <w:szCs w:val="16"/>
        </w:rPr>
        <w:t xml:space="preserve"> </w:t>
      </w:r>
      <w:r w:rsidRPr="00671933">
        <w:rPr>
          <w:rFonts w:cstheme="minorHAnsi"/>
          <w:color w:val="000000" w:themeColor="text1"/>
          <w:sz w:val="16"/>
          <w:szCs w:val="16"/>
        </w:rPr>
        <w:t xml:space="preserve">Australian Institute of Health and Welfare (2012b). </w:t>
      </w:r>
      <w:r w:rsidRPr="00671933">
        <w:rPr>
          <w:rFonts w:cstheme="minorHAnsi"/>
          <w:color w:val="000000" w:themeColor="text1"/>
          <w:sz w:val="16"/>
          <w:szCs w:val="16"/>
          <w:u w:val="single"/>
        </w:rPr>
        <w:t>Australia's Health 2012 - Summary of Findings</w:t>
      </w:r>
      <w:r w:rsidRPr="00671933">
        <w:rPr>
          <w:rFonts w:cstheme="minorHAnsi"/>
          <w:color w:val="000000" w:themeColor="text1"/>
          <w:sz w:val="16"/>
          <w:szCs w:val="16"/>
        </w:rPr>
        <w:t>. Australian Institute of Health and Welfare, Canberra</w:t>
      </w:r>
    </w:p>
  </w:footnote>
  <w:footnote w:id="60">
    <w:p w14:paraId="6B5F86AF" w14:textId="77777777" w:rsidR="006D7A99" w:rsidRPr="00B522F6" w:rsidRDefault="006D7A99" w:rsidP="006D7A99">
      <w:pPr>
        <w:pStyle w:val="FootnoteText"/>
      </w:pPr>
      <w:r>
        <w:rPr>
          <w:rStyle w:val="FootnoteReference"/>
        </w:rPr>
        <w:footnoteRef/>
      </w:r>
      <w:r>
        <w:t xml:space="preserve"> </w:t>
      </w:r>
      <w:r>
        <w:rPr>
          <w:sz w:val="14"/>
          <w:szCs w:val="14"/>
        </w:rPr>
        <w:t>As</w:t>
      </w:r>
      <w:r w:rsidRPr="00B522F6">
        <w:rPr>
          <w:sz w:val="14"/>
          <w:szCs w:val="14"/>
        </w:rPr>
        <w:t xml:space="preserve"> the organisms from which they originated grew by photosynthesis, which </w:t>
      </w:r>
      <w:r>
        <w:rPr>
          <w:sz w:val="14"/>
          <w:szCs w:val="14"/>
        </w:rPr>
        <w:t>uses the energy of the sun’s light</w:t>
      </w:r>
      <w:r w:rsidRPr="00B522F6">
        <w:rPr>
          <w:sz w:val="14"/>
          <w:szCs w:val="14"/>
        </w:rPr>
        <w:t xml:space="preserve"> to combine carbon dioxide and water</w:t>
      </w:r>
      <w:r>
        <w:rPr>
          <w:sz w:val="14"/>
          <w:szCs w:val="14"/>
        </w:rPr>
        <w:t xml:space="preserve"> into the molecules required for their growth and survival</w:t>
      </w:r>
      <w:r w:rsidRPr="00B522F6">
        <w:rPr>
          <w:sz w:val="14"/>
          <w:szCs w:val="1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6E35"/>
    <w:multiLevelType w:val="hybridMultilevel"/>
    <w:tmpl w:val="0F90592C"/>
    <w:lvl w:ilvl="0" w:tplc="DC22BC58">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2E815581"/>
    <w:multiLevelType w:val="hybridMultilevel"/>
    <w:tmpl w:val="D576B78C"/>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9203383"/>
    <w:multiLevelType w:val="hybridMultilevel"/>
    <w:tmpl w:val="9078DD14"/>
    <w:lvl w:ilvl="0" w:tplc="8328193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E83BEA"/>
    <w:multiLevelType w:val="hybridMultilevel"/>
    <w:tmpl w:val="98986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EEF"/>
    <w:rsid w:val="00045F7F"/>
    <w:rsid w:val="00076CCF"/>
    <w:rsid w:val="00131E0F"/>
    <w:rsid w:val="0013276B"/>
    <w:rsid w:val="00154666"/>
    <w:rsid w:val="001C0639"/>
    <w:rsid w:val="001E57CD"/>
    <w:rsid w:val="00204637"/>
    <w:rsid w:val="002177E7"/>
    <w:rsid w:val="00250204"/>
    <w:rsid w:val="002A0FAE"/>
    <w:rsid w:val="002D3B84"/>
    <w:rsid w:val="002F6534"/>
    <w:rsid w:val="0033027C"/>
    <w:rsid w:val="00331265"/>
    <w:rsid w:val="00372B83"/>
    <w:rsid w:val="003B1BC4"/>
    <w:rsid w:val="003B1EC0"/>
    <w:rsid w:val="00403F90"/>
    <w:rsid w:val="004462D7"/>
    <w:rsid w:val="004966E6"/>
    <w:rsid w:val="004D0002"/>
    <w:rsid w:val="0051666C"/>
    <w:rsid w:val="00554FF3"/>
    <w:rsid w:val="00580F4D"/>
    <w:rsid w:val="00591FEE"/>
    <w:rsid w:val="005D7A31"/>
    <w:rsid w:val="005E4B10"/>
    <w:rsid w:val="00655F45"/>
    <w:rsid w:val="00697485"/>
    <w:rsid w:val="006D7A99"/>
    <w:rsid w:val="006F675F"/>
    <w:rsid w:val="00765198"/>
    <w:rsid w:val="00787378"/>
    <w:rsid w:val="007A3221"/>
    <w:rsid w:val="007C436C"/>
    <w:rsid w:val="00801742"/>
    <w:rsid w:val="00833D88"/>
    <w:rsid w:val="00835F85"/>
    <w:rsid w:val="00853861"/>
    <w:rsid w:val="00857B84"/>
    <w:rsid w:val="00882790"/>
    <w:rsid w:val="008A7BE8"/>
    <w:rsid w:val="00924593"/>
    <w:rsid w:val="00955663"/>
    <w:rsid w:val="00967AF4"/>
    <w:rsid w:val="00972663"/>
    <w:rsid w:val="009A4B37"/>
    <w:rsid w:val="009A5598"/>
    <w:rsid w:val="009C24D6"/>
    <w:rsid w:val="009C4713"/>
    <w:rsid w:val="00A26F54"/>
    <w:rsid w:val="00A3419A"/>
    <w:rsid w:val="00A36773"/>
    <w:rsid w:val="00B038DB"/>
    <w:rsid w:val="00B11C42"/>
    <w:rsid w:val="00B53C77"/>
    <w:rsid w:val="00B645C3"/>
    <w:rsid w:val="00B70A36"/>
    <w:rsid w:val="00B83998"/>
    <w:rsid w:val="00BD622A"/>
    <w:rsid w:val="00BE29A1"/>
    <w:rsid w:val="00C86361"/>
    <w:rsid w:val="00C9123B"/>
    <w:rsid w:val="00CA3D27"/>
    <w:rsid w:val="00D70E20"/>
    <w:rsid w:val="00DD0DF2"/>
    <w:rsid w:val="00DE023E"/>
    <w:rsid w:val="00DE7374"/>
    <w:rsid w:val="00E141A8"/>
    <w:rsid w:val="00E16FFD"/>
    <w:rsid w:val="00E23EBF"/>
    <w:rsid w:val="00E244F3"/>
    <w:rsid w:val="00E52163"/>
    <w:rsid w:val="00E81EEF"/>
    <w:rsid w:val="00E82E66"/>
    <w:rsid w:val="00E87888"/>
    <w:rsid w:val="00E943DA"/>
    <w:rsid w:val="00EA49C9"/>
    <w:rsid w:val="00EC0707"/>
    <w:rsid w:val="00F12C73"/>
    <w:rsid w:val="00FA33DE"/>
    <w:rsid w:val="00FB7C6B"/>
    <w:rsid w:val="00FC729E"/>
    <w:rsid w:val="00FE4009"/>
    <w:rsid w:val="00FE71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CD18680"/>
  <w15:chartTrackingRefBased/>
  <w15:docId w15:val="{7C351456-1665-4ABA-8FA3-D69A46A38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2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23E"/>
  </w:style>
  <w:style w:type="paragraph" w:styleId="Footer">
    <w:name w:val="footer"/>
    <w:basedOn w:val="Normal"/>
    <w:link w:val="FooterChar"/>
    <w:uiPriority w:val="99"/>
    <w:unhideWhenUsed/>
    <w:rsid w:val="00DE02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23E"/>
  </w:style>
  <w:style w:type="paragraph" w:styleId="FootnoteText">
    <w:name w:val="footnote text"/>
    <w:basedOn w:val="Normal"/>
    <w:link w:val="FootnoteTextChar"/>
    <w:uiPriority w:val="99"/>
    <w:semiHidden/>
    <w:unhideWhenUsed/>
    <w:rsid w:val="00FC729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C729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C729E"/>
    <w:rPr>
      <w:vertAlign w:val="superscript"/>
    </w:rPr>
  </w:style>
  <w:style w:type="paragraph" w:styleId="ListParagraph">
    <w:name w:val="List Paragraph"/>
    <w:basedOn w:val="Normal"/>
    <w:uiPriority w:val="34"/>
    <w:qFormat/>
    <w:rsid w:val="00E244F3"/>
    <w:pPr>
      <w:spacing w:after="0" w:line="240" w:lineRule="auto"/>
      <w:ind w:left="720"/>
    </w:pPr>
    <w:rPr>
      <w:rFonts w:ascii="Calibri" w:hAnsi="Calibri" w:cs="Times New Roman"/>
    </w:rPr>
  </w:style>
  <w:style w:type="paragraph" w:customStyle="1" w:styleId="IntroParagraphtoeachChapter">
    <w:name w:val="Intro Paragraph to each Chapter"/>
    <w:link w:val="IntroParagraphtoeachChapterChar"/>
    <w:qFormat/>
    <w:rsid w:val="009A4B37"/>
    <w:pPr>
      <w:pBdr>
        <w:bottom w:val="single" w:sz="4" w:space="1" w:color="auto"/>
      </w:pBdr>
      <w:spacing w:before="60" w:after="0" w:line="240" w:lineRule="auto"/>
      <w:jc w:val="both"/>
    </w:pPr>
    <w:rPr>
      <w:rFonts w:ascii="Palatino Linotype" w:eastAsia="Times New Roman" w:hAnsi="Palatino Linotype" w:cs="Times New Roman"/>
      <w:lang w:val="en-US"/>
    </w:rPr>
  </w:style>
  <w:style w:type="character" w:customStyle="1" w:styleId="IntroParagraphtoeachChapterChar">
    <w:name w:val="Intro Paragraph to each Chapter Char"/>
    <w:link w:val="IntroParagraphtoeachChapter"/>
    <w:rsid w:val="009A4B37"/>
    <w:rPr>
      <w:rFonts w:ascii="Palatino Linotype" w:eastAsia="Times New Roman" w:hAnsi="Palatino Linotype" w:cs="Times New Roman"/>
      <w:lang w:val="en-US"/>
    </w:rPr>
  </w:style>
  <w:style w:type="character" w:styleId="Hyperlink">
    <w:name w:val="Hyperlink"/>
    <w:basedOn w:val="DefaultParagraphFont"/>
    <w:uiPriority w:val="99"/>
    <w:unhideWhenUsed/>
    <w:rsid w:val="008827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09.jpg" Id="rId117" /><Relationship Type="http://schemas.openxmlformats.org/officeDocument/2006/relationships/image" Target="media/image290.jpeg" Id="rId299" /><Relationship Type="http://schemas.openxmlformats.org/officeDocument/2006/relationships/image" Target="media/image294.jpeg" Id="rId303" /><Relationship Type="http://schemas.openxmlformats.org/officeDocument/2006/relationships/image" Target="media/image13.jpeg" Id="rId21" /><Relationship Type="http://schemas.openxmlformats.org/officeDocument/2006/relationships/image" Target="media/image34.jpeg" Id="rId42" /><Relationship Type="http://schemas.openxmlformats.org/officeDocument/2006/relationships/image" Target="media/image55.jpeg" Id="rId63" /><Relationship Type="http://schemas.openxmlformats.org/officeDocument/2006/relationships/image" Target="media/image76.jpg" Id="rId84" /><Relationship Type="http://schemas.openxmlformats.org/officeDocument/2006/relationships/image" Target="media/image130.jpeg" Id="rId138" /><Relationship Type="http://schemas.openxmlformats.org/officeDocument/2006/relationships/image" Target="media/image150.jpeg" Id="rId159" /><Relationship Type="http://schemas.openxmlformats.org/officeDocument/2006/relationships/image" Target="media/image315.jpeg" Id="rId324" /><Relationship Type="http://schemas.openxmlformats.org/officeDocument/2006/relationships/image" Target="media/image336.jpeg" Id="rId345" /><Relationship Type="http://schemas.openxmlformats.org/officeDocument/2006/relationships/image" Target="media/image161.jpeg" Id="rId170" /><Relationship Type="http://schemas.openxmlformats.org/officeDocument/2006/relationships/image" Target="media/image182.jpeg" Id="rId191" /><Relationship Type="http://schemas.openxmlformats.org/officeDocument/2006/relationships/image" Target="media/image196.jpeg" Id="rId205" /><Relationship Type="http://schemas.openxmlformats.org/officeDocument/2006/relationships/image" Target="media/image217.png" Id="rId226" /><Relationship Type="http://schemas.openxmlformats.org/officeDocument/2006/relationships/image" Target="media/image238.jpeg" Id="rId247" /><Relationship Type="http://schemas.openxmlformats.org/officeDocument/2006/relationships/image" Target="media/image99.jpeg" Id="rId107" /><Relationship Type="http://schemas.openxmlformats.org/officeDocument/2006/relationships/image" Target="media/image259.jpeg" Id="rId268" /><Relationship Type="http://schemas.openxmlformats.org/officeDocument/2006/relationships/image" Target="media/image280.jpeg" Id="rId289" /><Relationship Type="http://schemas.openxmlformats.org/officeDocument/2006/relationships/image" Target="media/image4.jpeg" Id="rId11" /><Relationship Type="http://schemas.openxmlformats.org/officeDocument/2006/relationships/image" Target="media/image24.jpeg" Id="rId32" /><Relationship Type="http://schemas.openxmlformats.org/officeDocument/2006/relationships/image" Target="media/image45.jpeg" Id="rId53" /><Relationship Type="http://schemas.openxmlformats.org/officeDocument/2006/relationships/image" Target="media/image66.jpeg" Id="rId74" /><Relationship Type="http://schemas.openxmlformats.org/officeDocument/2006/relationships/image" Target="media/image120.jpeg" Id="rId128" /><Relationship Type="http://schemas.openxmlformats.org/officeDocument/2006/relationships/image" Target="media/image140.jpeg" Id="rId149" /><Relationship Type="http://schemas.openxmlformats.org/officeDocument/2006/relationships/image" Target="media/image305.jpeg" Id="rId314" /><Relationship Type="http://schemas.openxmlformats.org/officeDocument/2006/relationships/image" Target="media/image326.jpeg" Id="rId335" /><Relationship Type="http://schemas.openxmlformats.org/officeDocument/2006/relationships/image" Target="media/image347.jpeg" Id="rId356" /><Relationship Type="http://schemas.openxmlformats.org/officeDocument/2006/relationships/footnotes" Target="footnotes.xml" Id="rId5" /><Relationship Type="http://schemas.openxmlformats.org/officeDocument/2006/relationships/image" Target="media/image87.jpeg" Id="rId95" /><Relationship Type="http://schemas.openxmlformats.org/officeDocument/2006/relationships/image" Target="media/image151.jpeg" Id="rId160" /><Relationship Type="http://schemas.openxmlformats.org/officeDocument/2006/relationships/image" Target="media/image172.jpeg" Id="rId181" /><Relationship Type="http://schemas.openxmlformats.org/officeDocument/2006/relationships/image" Target="media/image207.png" Id="rId216" /><Relationship Type="http://schemas.openxmlformats.org/officeDocument/2006/relationships/image" Target="media/image228.jpeg" Id="rId237" /><Relationship Type="http://schemas.openxmlformats.org/officeDocument/2006/relationships/image" Target="media/image249.jpeg" Id="rId258" /><Relationship Type="http://schemas.openxmlformats.org/officeDocument/2006/relationships/image" Target="media/image270.jpeg" Id="rId279" /><Relationship Type="http://schemas.openxmlformats.org/officeDocument/2006/relationships/image" Target="media/image14.png" Id="rId22" /><Relationship Type="http://schemas.openxmlformats.org/officeDocument/2006/relationships/image" Target="media/image35.jpeg" Id="rId43" /><Relationship Type="http://schemas.openxmlformats.org/officeDocument/2006/relationships/image" Target="media/image56.jpeg" Id="rId64" /><Relationship Type="http://schemas.openxmlformats.org/officeDocument/2006/relationships/image" Target="media/image110.jpeg" Id="rId118" /><Relationship Type="http://schemas.openxmlformats.org/officeDocument/2006/relationships/image" Target="media/image131.jpeg" Id="rId139" /><Relationship Type="http://schemas.openxmlformats.org/officeDocument/2006/relationships/image" Target="media/image281.jpeg" Id="rId290" /><Relationship Type="http://schemas.openxmlformats.org/officeDocument/2006/relationships/image" Target="media/image295.jpeg" Id="rId304" /><Relationship Type="http://schemas.openxmlformats.org/officeDocument/2006/relationships/image" Target="media/image316.jpeg" Id="rId325" /><Relationship Type="http://schemas.openxmlformats.org/officeDocument/2006/relationships/image" Target="media/image337.jpeg" Id="rId346" /><Relationship Type="http://schemas.openxmlformats.org/officeDocument/2006/relationships/image" Target="media/image77.jpeg" Id="rId85" /><Relationship Type="http://schemas.openxmlformats.org/officeDocument/2006/relationships/image" Target="media/image141.jpeg" Id="rId150" /><Relationship Type="http://schemas.openxmlformats.org/officeDocument/2006/relationships/image" Target="media/image162.jpeg" Id="rId171" /><Relationship Type="http://schemas.openxmlformats.org/officeDocument/2006/relationships/image" Target="media/image183.jpg" Id="rId192" /><Relationship Type="http://schemas.openxmlformats.org/officeDocument/2006/relationships/image" Target="media/image197.jpeg" Id="rId206" /><Relationship Type="http://schemas.openxmlformats.org/officeDocument/2006/relationships/image" Target="media/image218.jpeg" Id="rId227" /><Relationship Type="http://schemas.openxmlformats.org/officeDocument/2006/relationships/image" Target="media/image239.jpeg" Id="rId248" /><Relationship Type="http://schemas.openxmlformats.org/officeDocument/2006/relationships/image" Target="media/image260.jpeg" Id="rId269" /><Relationship Type="http://schemas.openxmlformats.org/officeDocument/2006/relationships/image" Target="media/image5.jpeg" Id="rId12" /><Relationship Type="http://schemas.openxmlformats.org/officeDocument/2006/relationships/image" Target="media/image25.jpeg" Id="rId33" /><Relationship Type="http://schemas.openxmlformats.org/officeDocument/2006/relationships/image" Target="media/image100.jpeg" Id="rId108" /><Relationship Type="http://schemas.openxmlformats.org/officeDocument/2006/relationships/image" Target="media/image121.jpeg" Id="rId129" /><Relationship Type="http://schemas.openxmlformats.org/officeDocument/2006/relationships/image" Target="media/image271.jpeg" Id="rId280" /><Relationship Type="http://schemas.openxmlformats.org/officeDocument/2006/relationships/image" Target="media/image306.jpeg" Id="rId315" /><Relationship Type="http://schemas.openxmlformats.org/officeDocument/2006/relationships/image" Target="media/image327.emf" Id="rId336" /><Relationship Type="http://schemas.openxmlformats.org/officeDocument/2006/relationships/image" Target="media/image348.jpeg" Id="rId357" /><Relationship Type="http://schemas.openxmlformats.org/officeDocument/2006/relationships/image" Target="media/image46.png" Id="rId54" /><Relationship Type="http://schemas.openxmlformats.org/officeDocument/2006/relationships/image" Target="media/image67.jpeg" Id="rId75" /><Relationship Type="http://schemas.openxmlformats.org/officeDocument/2006/relationships/image" Target="media/image88.jpg" Id="rId96" /><Relationship Type="http://schemas.openxmlformats.org/officeDocument/2006/relationships/image" Target="media/image132.jpeg" Id="rId140" /><Relationship Type="http://schemas.openxmlformats.org/officeDocument/2006/relationships/image" Target="media/image152.jpeg" Id="rId161" /><Relationship Type="http://schemas.openxmlformats.org/officeDocument/2006/relationships/image" Target="media/image173.jpeg" Id="rId182" /><Relationship Type="http://schemas.openxmlformats.org/officeDocument/2006/relationships/image" Target="media/image208.jpeg" Id="rId217" /><Relationship Type="http://schemas.openxmlformats.org/officeDocument/2006/relationships/endnotes" Target="endnotes.xml" Id="rId6" /><Relationship Type="http://schemas.openxmlformats.org/officeDocument/2006/relationships/image" Target="media/image229.jpeg" Id="rId238" /><Relationship Type="http://schemas.openxmlformats.org/officeDocument/2006/relationships/image" Target="media/image250.jpeg" Id="rId259" /><Relationship Type="http://schemas.openxmlformats.org/officeDocument/2006/relationships/image" Target="media/image15.jpeg" Id="rId23" /><Relationship Type="http://schemas.openxmlformats.org/officeDocument/2006/relationships/image" Target="media/image111.jpeg" Id="rId119" /><Relationship Type="http://schemas.openxmlformats.org/officeDocument/2006/relationships/image" Target="media/image261.jpeg" Id="rId270" /><Relationship Type="http://schemas.openxmlformats.org/officeDocument/2006/relationships/image" Target="media/image282.jpeg" Id="rId291" /><Relationship Type="http://schemas.openxmlformats.org/officeDocument/2006/relationships/image" Target="media/image296.jpeg" Id="rId305" /><Relationship Type="http://schemas.openxmlformats.org/officeDocument/2006/relationships/image" Target="media/image317.jpeg" Id="rId326" /><Relationship Type="http://schemas.openxmlformats.org/officeDocument/2006/relationships/image" Target="media/image338.png" Id="rId347" /><Relationship Type="http://schemas.openxmlformats.org/officeDocument/2006/relationships/image" Target="media/image36.jpeg" Id="rId44" /><Relationship Type="http://schemas.openxmlformats.org/officeDocument/2006/relationships/image" Target="media/image57.jpeg" Id="rId65" /><Relationship Type="http://schemas.openxmlformats.org/officeDocument/2006/relationships/image" Target="media/image78.jpeg" Id="rId86" /><Relationship Type="http://schemas.openxmlformats.org/officeDocument/2006/relationships/image" Target="media/image122.jpeg" Id="rId130" /><Relationship Type="http://schemas.openxmlformats.org/officeDocument/2006/relationships/image" Target="media/image142.jpeg" Id="rId151" /><Relationship Type="http://schemas.openxmlformats.org/officeDocument/2006/relationships/image" Target="media/image163.jpeg" Id="rId172" /><Relationship Type="http://schemas.openxmlformats.org/officeDocument/2006/relationships/image" Target="media/image184.jpeg" Id="rId193" /><Relationship Type="http://schemas.openxmlformats.org/officeDocument/2006/relationships/image" Target="media/image198.jpeg" Id="rId207" /><Relationship Type="http://schemas.openxmlformats.org/officeDocument/2006/relationships/image" Target="media/image219.jpeg" Id="rId228" /><Relationship Type="http://schemas.openxmlformats.org/officeDocument/2006/relationships/image" Target="media/image240.jpeg" Id="rId249" /><Relationship Type="http://schemas.openxmlformats.org/officeDocument/2006/relationships/image" Target="media/image6.jpeg" Id="rId13" /><Relationship Type="http://schemas.openxmlformats.org/officeDocument/2006/relationships/image" Target="media/image101.jpeg" Id="rId109" /><Relationship Type="http://schemas.openxmlformats.org/officeDocument/2006/relationships/image" Target="media/image251.jpeg" Id="rId260" /><Relationship Type="http://schemas.openxmlformats.org/officeDocument/2006/relationships/image" Target="media/image272.jpeg" Id="rId281" /><Relationship Type="http://schemas.openxmlformats.org/officeDocument/2006/relationships/image" Target="media/image307.jpeg" Id="rId316" /><Relationship Type="http://schemas.openxmlformats.org/officeDocument/2006/relationships/image" Target="media/image328.jpeg" Id="rId337" /><Relationship Type="http://schemas.openxmlformats.org/officeDocument/2006/relationships/image" Target="media/image26.jpeg" Id="rId34" /><Relationship Type="http://schemas.openxmlformats.org/officeDocument/2006/relationships/image" Target="media/image47.jpeg" Id="rId55" /><Relationship Type="http://schemas.openxmlformats.org/officeDocument/2006/relationships/image" Target="media/image68.jpeg" Id="rId76" /><Relationship Type="http://schemas.openxmlformats.org/officeDocument/2006/relationships/image" Target="media/image89.jpeg" Id="rId97" /><Relationship Type="http://schemas.openxmlformats.org/officeDocument/2006/relationships/image" Target="media/image112.jpeg" Id="rId120" /><Relationship Type="http://schemas.openxmlformats.org/officeDocument/2006/relationships/image" Target="media/image133.jpeg" Id="rId141" /><Relationship Type="http://schemas.openxmlformats.org/officeDocument/2006/relationships/image" Target="media/image349.jpeg" Id="rId358" /><Relationship Type="http://schemas.openxmlformats.org/officeDocument/2006/relationships/image" Target="media/image1.png" Id="rId7" /><Relationship Type="http://schemas.openxmlformats.org/officeDocument/2006/relationships/image" Target="media/image153.jpeg" Id="rId162" /><Relationship Type="http://schemas.openxmlformats.org/officeDocument/2006/relationships/image" Target="media/image174.jpeg" Id="rId183" /><Relationship Type="http://schemas.openxmlformats.org/officeDocument/2006/relationships/image" Target="media/image209.jpeg" Id="rId218" /><Relationship Type="http://schemas.openxmlformats.org/officeDocument/2006/relationships/image" Target="media/image230.jpeg" Id="rId239" /><Relationship Type="http://schemas.openxmlformats.org/officeDocument/2006/relationships/image" Target="media/image241.jpeg" Id="rId250" /><Relationship Type="http://schemas.openxmlformats.org/officeDocument/2006/relationships/image" Target="media/image262.jpeg" Id="rId271" /><Relationship Type="http://schemas.openxmlformats.org/officeDocument/2006/relationships/image" Target="media/image283.jpeg" Id="rId292" /><Relationship Type="http://schemas.openxmlformats.org/officeDocument/2006/relationships/image" Target="media/image297.jpeg" Id="rId306" /><Relationship Type="http://schemas.openxmlformats.org/officeDocument/2006/relationships/image" Target="media/image16.jpeg" Id="rId24" /><Relationship Type="http://schemas.openxmlformats.org/officeDocument/2006/relationships/image" Target="media/image37.jpeg" Id="rId45" /><Relationship Type="http://schemas.openxmlformats.org/officeDocument/2006/relationships/image" Target="media/image58.jpeg" Id="rId66" /><Relationship Type="http://schemas.openxmlformats.org/officeDocument/2006/relationships/image" Target="media/image79.jpeg" Id="rId87" /><Relationship Type="http://schemas.openxmlformats.org/officeDocument/2006/relationships/image" Target="media/image102.jpeg" Id="rId110" /><Relationship Type="http://schemas.openxmlformats.org/officeDocument/2006/relationships/image" Target="media/image123.jpeg" Id="rId131" /><Relationship Type="http://schemas.openxmlformats.org/officeDocument/2006/relationships/image" Target="media/image318.jpeg" Id="rId327" /><Relationship Type="http://schemas.openxmlformats.org/officeDocument/2006/relationships/image" Target="media/image339.jpeg" Id="rId348" /><Relationship Type="http://schemas.openxmlformats.org/officeDocument/2006/relationships/image" Target="media/image143.jpeg" Id="rId152" /><Relationship Type="http://schemas.openxmlformats.org/officeDocument/2006/relationships/image" Target="media/image164.jpeg" Id="rId173" /><Relationship Type="http://schemas.openxmlformats.org/officeDocument/2006/relationships/image" Target="media/image185.png" Id="rId194" /><Relationship Type="http://schemas.openxmlformats.org/officeDocument/2006/relationships/image" Target="media/image199.jpeg" Id="rId208" /><Relationship Type="http://schemas.openxmlformats.org/officeDocument/2006/relationships/image" Target="media/image220.jpeg" Id="rId229" /><Relationship Type="http://schemas.openxmlformats.org/officeDocument/2006/relationships/image" Target="media/image231.jpeg" Id="rId240" /><Relationship Type="http://schemas.openxmlformats.org/officeDocument/2006/relationships/image" Target="media/image252.jpeg" Id="rId261" /><Relationship Type="http://schemas.openxmlformats.org/officeDocument/2006/relationships/image" Target="media/image7.png" Id="rId14" /><Relationship Type="http://schemas.openxmlformats.org/officeDocument/2006/relationships/image" Target="media/image27.png" Id="rId35" /><Relationship Type="http://schemas.openxmlformats.org/officeDocument/2006/relationships/image" Target="media/image48.png" Id="rId56" /><Relationship Type="http://schemas.openxmlformats.org/officeDocument/2006/relationships/image" Target="media/image69.jpeg" Id="rId77" /><Relationship Type="http://schemas.openxmlformats.org/officeDocument/2006/relationships/image" Target="media/image92.jpeg" Id="rId100" /><Relationship Type="http://schemas.openxmlformats.org/officeDocument/2006/relationships/image" Target="media/image273.jpeg" Id="rId282" /><Relationship Type="http://schemas.openxmlformats.org/officeDocument/2006/relationships/image" Target="media/image308.jpeg" Id="rId317" /><Relationship Type="http://schemas.openxmlformats.org/officeDocument/2006/relationships/image" Target="media/image329.jpeg" Id="rId338" /><Relationship Type="http://schemas.openxmlformats.org/officeDocument/2006/relationships/hyperlink" Target="https://www.ncbi.nlm.nih.gov/pmc/articles/PMC7326340/" TargetMode="External" Id="rId359" /><Relationship Type="http://schemas.openxmlformats.org/officeDocument/2006/relationships/footer" Target="footer1.xml" Id="rId8" /><Relationship Type="http://schemas.openxmlformats.org/officeDocument/2006/relationships/image" Target="media/image90.jpg" Id="rId98" /><Relationship Type="http://schemas.openxmlformats.org/officeDocument/2006/relationships/image" Target="media/image113.jpeg" Id="rId121" /><Relationship Type="http://schemas.openxmlformats.org/officeDocument/2006/relationships/image" Target="media/image134.jpeg" Id="rId142" /><Relationship Type="http://schemas.openxmlformats.org/officeDocument/2006/relationships/image" Target="media/image154.jpeg" Id="rId163" /><Relationship Type="http://schemas.openxmlformats.org/officeDocument/2006/relationships/image" Target="media/image175.jpeg" Id="rId184" /><Relationship Type="http://schemas.openxmlformats.org/officeDocument/2006/relationships/image" Target="media/image210.jpeg" Id="rId219" /><Relationship Type="http://schemas.openxmlformats.org/officeDocument/2006/relationships/image" Target="media/image221.jpeg" Id="rId230" /><Relationship Type="http://schemas.openxmlformats.org/officeDocument/2006/relationships/image" Target="media/image242.jpg" Id="rId251" /><Relationship Type="http://schemas.openxmlformats.org/officeDocument/2006/relationships/image" Target="media/image17.jpeg" Id="rId25" /><Relationship Type="http://schemas.openxmlformats.org/officeDocument/2006/relationships/image" Target="media/image38.jpeg" Id="rId46" /><Relationship Type="http://schemas.openxmlformats.org/officeDocument/2006/relationships/image" Target="media/image59.jpeg" Id="rId67" /><Relationship Type="http://schemas.openxmlformats.org/officeDocument/2006/relationships/image" Target="media/image263.jpeg" Id="rId272" /><Relationship Type="http://schemas.openxmlformats.org/officeDocument/2006/relationships/image" Target="media/image284.jpeg" Id="rId293" /><Relationship Type="http://schemas.openxmlformats.org/officeDocument/2006/relationships/image" Target="media/image298.jpeg" Id="rId307" /><Relationship Type="http://schemas.openxmlformats.org/officeDocument/2006/relationships/image" Target="media/image319.jpeg" Id="rId328" /><Relationship Type="http://schemas.openxmlformats.org/officeDocument/2006/relationships/image" Target="media/image340.jfif" Id="rId349" /><Relationship Type="http://schemas.openxmlformats.org/officeDocument/2006/relationships/image" Target="media/image80.jpeg" Id="rId88" /><Relationship Type="http://schemas.openxmlformats.org/officeDocument/2006/relationships/image" Target="media/image103.jpeg" Id="rId111" /><Relationship Type="http://schemas.openxmlformats.org/officeDocument/2006/relationships/image" Target="media/image124.jpeg" Id="rId132" /><Relationship Type="http://schemas.openxmlformats.org/officeDocument/2006/relationships/image" Target="media/image144.jpeg" Id="rId153" /><Relationship Type="http://schemas.openxmlformats.org/officeDocument/2006/relationships/image" Target="media/image165.jpeg" Id="rId174" /><Relationship Type="http://schemas.openxmlformats.org/officeDocument/2006/relationships/image" Target="media/image186.jpg" Id="rId195" /><Relationship Type="http://schemas.openxmlformats.org/officeDocument/2006/relationships/image" Target="media/image200.jpeg" Id="rId209" /><Relationship Type="http://schemas.openxmlformats.org/officeDocument/2006/relationships/fontTable" Target="fontTable.xml" Id="rId360" /><Relationship Type="http://schemas.openxmlformats.org/officeDocument/2006/relationships/image" Target="media/image211.jpeg" Id="rId220" /><Relationship Type="http://schemas.openxmlformats.org/officeDocument/2006/relationships/image" Target="media/image232.png" Id="rId241" /><Relationship Type="http://schemas.microsoft.com/office/2007/relationships/hdphoto" Target="media/hdphoto1.wdp" Id="rId15" /><Relationship Type="http://schemas.openxmlformats.org/officeDocument/2006/relationships/image" Target="media/image28.jpeg" Id="rId36" /><Relationship Type="http://schemas.openxmlformats.org/officeDocument/2006/relationships/image" Target="media/image49.jpeg" Id="rId57" /><Relationship Type="http://schemas.openxmlformats.org/officeDocument/2006/relationships/image" Target="media/image98.jpeg" Id="rId106" /><Relationship Type="http://schemas.openxmlformats.org/officeDocument/2006/relationships/image" Target="media/image119.emf" Id="rId127" /><Relationship Type="http://schemas.openxmlformats.org/officeDocument/2006/relationships/image" Target="media/image253.jpeg" Id="rId262" /><Relationship Type="http://schemas.openxmlformats.org/officeDocument/2006/relationships/image" Target="media/image274.jpeg" Id="rId283" /><Relationship Type="http://schemas.openxmlformats.org/officeDocument/2006/relationships/image" Target="media/image304.jpeg" Id="rId313" /><Relationship Type="http://schemas.openxmlformats.org/officeDocument/2006/relationships/image" Target="media/image309.png" Id="rId318" /><Relationship Type="http://schemas.openxmlformats.org/officeDocument/2006/relationships/image" Target="media/image330.jpeg" Id="rId339" /><Relationship Type="http://schemas.openxmlformats.org/officeDocument/2006/relationships/image" Target="media/image3.jpeg" Id="rId10" /><Relationship Type="http://schemas.openxmlformats.org/officeDocument/2006/relationships/image" Target="media/image23.jpeg" Id="rId31" /><Relationship Type="http://schemas.openxmlformats.org/officeDocument/2006/relationships/image" Target="media/image44.jpeg" Id="rId52" /><Relationship Type="http://schemas.openxmlformats.org/officeDocument/2006/relationships/image" Target="media/image65.jpeg" Id="rId73" /><Relationship Type="http://schemas.openxmlformats.org/officeDocument/2006/relationships/image" Target="media/image70.jpeg" Id="rId78" /><Relationship Type="http://schemas.openxmlformats.org/officeDocument/2006/relationships/image" Target="media/image86.jpeg" Id="rId94" /><Relationship Type="http://schemas.openxmlformats.org/officeDocument/2006/relationships/image" Target="media/image91.jpeg" Id="rId99" /><Relationship Type="http://schemas.openxmlformats.org/officeDocument/2006/relationships/image" Target="media/image93.jpeg" Id="rId101" /><Relationship Type="http://schemas.openxmlformats.org/officeDocument/2006/relationships/image" Target="media/image114.jpeg" Id="rId122" /><Relationship Type="http://schemas.microsoft.com/office/2007/relationships/hdphoto" Target="media/hdphoto2.wdp" Id="rId143" /><Relationship Type="http://schemas.openxmlformats.org/officeDocument/2006/relationships/image" Target="media/image139.jpeg" Id="rId148" /><Relationship Type="http://schemas.openxmlformats.org/officeDocument/2006/relationships/image" Target="media/image155.png" Id="rId164" /><Relationship Type="http://schemas.openxmlformats.org/officeDocument/2006/relationships/image" Target="media/image160.png" Id="rId169" /><Relationship Type="http://schemas.openxmlformats.org/officeDocument/2006/relationships/image" Target="media/image176.jpg" Id="rId185" /><Relationship Type="http://schemas.openxmlformats.org/officeDocument/2006/relationships/image" Target="media/image325.jpeg" Id="rId334" /><Relationship Type="http://schemas.openxmlformats.org/officeDocument/2006/relationships/image" Target="media/image341.jpeg" Id="rId350" /><Relationship Type="http://schemas.openxmlformats.org/officeDocument/2006/relationships/image" Target="media/image346.png" Id="rId355" /><Relationship Type="http://schemas.openxmlformats.org/officeDocument/2006/relationships/webSettings" Target="webSettings.xml" Id="rId4" /><Relationship Type="http://schemas.openxmlformats.org/officeDocument/2006/relationships/image" Target="media/image2.jpeg" Id="rId9" /><Relationship Type="http://schemas.openxmlformats.org/officeDocument/2006/relationships/image" Target="media/image171.jpg" Id="rId180" /><Relationship Type="http://schemas.openxmlformats.org/officeDocument/2006/relationships/image" Target="media/image201.jpeg" Id="rId210" /><Relationship Type="http://schemas.openxmlformats.org/officeDocument/2006/relationships/image" Target="media/image206.jpeg" Id="rId215" /><Relationship Type="http://schemas.openxmlformats.org/officeDocument/2006/relationships/image" Target="media/image227.jpeg" Id="rId236" /><Relationship Type="http://schemas.openxmlformats.org/officeDocument/2006/relationships/image" Target="media/image248.jpeg" Id="rId257" /><Relationship Type="http://schemas.openxmlformats.org/officeDocument/2006/relationships/image" Target="media/image269.jpeg" Id="rId278" /><Relationship Type="http://schemas.openxmlformats.org/officeDocument/2006/relationships/image" Target="media/image18.jpeg" Id="rId26" /><Relationship Type="http://schemas.openxmlformats.org/officeDocument/2006/relationships/image" Target="media/image222.jpeg" Id="rId231" /><Relationship Type="http://schemas.openxmlformats.org/officeDocument/2006/relationships/image" Target="media/image243.jpeg" Id="rId252" /><Relationship Type="http://schemas.openxmlformats.org/officeDocument/2006/relationships/image" Target="media/image264.jpeg" Id="rId273" /><Relationship Type="http://schemas.openxmlformats.org/officeDocument/2006/relationships/image" Target="media/image285.jpeg" Id="rId294" /><Relationship Type="http://schemas.openxmlformats.org/officeDocument/2006/relationships/image" Target="media/image299.jpeg" Id="rId308" /><Relationship Type="http://schemas.openxmlformats.org/officeDocument/2006/relationships/image" Target="media/image320.jpeg" Id="rId329" /><Relationship Type="http://schemas.openxmlformats.org/officeDocument/2006/relationships/image" Target="media/image39.jpeg" Id="rId47" /><Relationship Type="http://schemas.openxmlformats.org/officeDocument/2006/relationships/image" Target="media/image60.jpeg" Id="rId68" /><Relationship Type="http://schemas.openxmlformats.org/officeDocument/2006/relationships/image" Target="media/image81.jpeg" Id="rId89" /><Relationship Type="http://schemas.openxmlformats.org/officeDocument/2006/relationships/image" Target="media/image104.jpeg" Id="rId112" /><Relationship Type="http://schemas.openxmlformats.org/officeDocument/2006/relationships/image" Target="media/image125.jpeg" Id="rId133" /><Relationship Type="http://schemas.openxmlformats.org/officeDocument/2006/relationships/image" Target="media/image145.jpeg" Id="rId154" /><Relationship Type="http://schemas.openxmlformats.org/officeDocument/2006/relationships/image" Target="media/image166.jpeg" Id="rId175" /><Relationship Type="http://schemas.openxmlformats.org/officeDocument/2006/relationships/image" Target="media/image331.jpeg" Id="rId340" /><Relationship Type="http://schemas.openxmlformats.org/officeDocument/2006/relationships/theme" Target="theme/theme1.xml" Id="rId361" /><Relationship Type="http://schemas.openxmlformats.org/officeDocument/2006/relationships/image" Target="media/image187.jpeg" Id="rId196" /><Relationship Type="http://schemas.openxmlformats.org/officeDocument/2006/relationships/image" Target="media/image191.jpeg" Id="rId200" /><Relationship Type="http://schemas.openxmlformats.org/officeDocument/2006/relationships/image" Target="media/image8.jpeg" Id="rId16" /><Relationship Type="http://schemas.openxmlformats.org/officeDocument/2006/relationships/image" Target="media/image212.jpeg" Id="rId221" /><Relationship Type="http://schemas.openxmlformats.org/officeDocument/2006/relationships/image" Target="media/image233.jpeg" Id="rId242" /><Relationship Type="http://schemas.openxmlformats.org/officeDocument/2006/relationships/image" Target="media/image254.jpeg" Id="rId263" /><Relationship Type="http://schemas.openxmlformats.org/officeDocument/2006/relationships/image" Target="media/image275.jpeg" Id="rId284" /><Relationship Type="http://schemas.openxmlformats.org/officeDocument/2006/relationships/image" Target="media/image310.jpeg" Id="rId319" /><Relationship Type="http://schemas.openxmlformats.org/officeDocument/2006/relationships/image" Target="media/image29.jpeg" Id="rId37" /><Relationship Type="http://schemas.openxmlformats.org/officeDocument/2006/relationships/image" Target="media/image50.jpeg" Id="rId58" /><Relationship Type="http://schemas.openxmlformats.org/officeDocument/2006/relationships/image" Target="media/image71.jpeg" Id="rId79" /><Relationship Type="http://schemas.openxmlformats.org/officeDocument/2006/relationships/image" Target="media/image94.jpeg" Id="rId102" /><Relationship Type="http://schemas.openxmlformats.org/officeDocument/2006/relationships/image" Target="media/image115.jpeg" Id="rId123" /><Relationship Type="http://schemas.openxmlformats.org/officeDocument/2006/relationships/image" Target="media/image135.jpeg" Id="rId144" /><Relationship Type="http://schemas.openxmlformats.org/officeDocument/2006/relationships/image" Target="media/image321.jpeg" Id="rId330" /><Relationship Type="http://schemas.openxmlformats.org/officeDocument/2006/relationships/image" Target="media/image82.jpeg" Id="rId90" /><Relationship Type="http://schemas.openxmlformats.org/officeDocument/2006/relationships/image" Target="media/image156.jpeg" Id="rId165" /><Relationship Type="http://schemas.openxmlformats.org/officeDocument/2006/relationships/image" Target="media/image177.jpeg" Id="rId186" /><Relationship Type="http://schemas.openxmlformats.org/officeDocument/2006/relationships/image" Target="media/image342.jpeg" Id="rId351" /><Relationship Type="http://schemas.openxmlformats.org/officeDocument/2006/relationships/image" Target="media/image202.jpeg" Id="rId211" /><Relationship Type="http://schemas.openxmlformats.org/officeDocument/2006/relationships/image" Target="media/image223.jpeg" Id="rId232" /><Relationship Type="http://schemas.openxmlformats.org/officeDocument/2006/relationships/image" Target="media/image244.png" Id="rId253" /><Relationship Type="http://schemas.openxmlformats.org/officeDocument/2006/relationships/image" Target="media/image265.jpeg" Id="rId274" /><Relationship Type="http://schemas.openxmlformats.org/officeDocument/2006/relationships/image" Target="media/image286.jpeg" Id="rId295" /><Relationship Type="http://schemas.openxmlformats.org/officeDocument/2006/relationships/image" Target="media/image300.jpeg" Id="rId309" /><Relationship Type="http://schemas.openxmlformats.org/officeDocument/2006/relationships/image" Target="media/image19.jpeg" Id="rId27" /><Relationship Type="http://schemas.openxmlformats.org/officeDocument/2006/relationships/image" Target="media/image40.jpeg" Id="rId48" /><Relationship Type="http://schemas.openxmlformats.org/officeDocument/2006/relationships/image" Target="media/image61.jpeg" Id="rId69" /><Relationship Type="http://schemas.openxmlformats.org/officeDocument/2006/relationships/image" Target="media/image105.jpeg" Id="rId113" /><Relationship Type="http://schemas.openxmlformats.org/officeDocument/2006/relationships/image" Target="media/image126.jpeg" Id="rId134" /><Relationship Type="http://schemas.openxmlformats.org/officeDocument/2006/relationships/image" Target="media/image311.jpeg" Id="rId320" /><Relationship Type="http://schemas.openxmlformats.org/officeDocument/2006/relationships/image" Target="media/image72.jpeg" Id="rId80" /><Relationship Type="http://schemas.openxmlformats.org/officeDocument/2006/relationships/image" Target="media/image146.jpeg" Id="rId155" /><Relationship Type="http://schemas.openxmlformats.org/officeDocument/2006/relationships/image" Target="media/image167.jpeg" Id="rId176" /><Relationship Type="http://schemas.openxmlformats.org/officeDocument/2006/relationships/image" Target="media/image188.jpeg" Id="rId197" /><Relationship Type="http://schemas.openxmlformats.org/officeDocument/2006/relationships/image" Target="media/image332.jpeg" Id="rId341" /><Relationship Type="http://schemas.openxmlformats.org/officeDocument/2006/relationships/image" Target="media/image192.jpg" Id="rId201" /><Relationship Type="http://schemas.openxmlformats.org/officeDocument/2006/relationships/image" Target="media/image213.jpeg" Id="rId222" /><Relationship Type="http://schemas.openxmlformats.org/officeDocument/2006/relationships/image" Target="media/image234.jpeg" Id="rId243" /><Relationship Type="http://schemas.openxmlformats.org/officeDocument/2006/relationships/image" Target="media/image255.jpeg" Id="rId264" /><Relationship Type="http://schemas.openxmlformats.org/officeDocument/2006/relationships/image" Target="media/image276.jpeg" Id="rId285" /><Relationship Type="http://schemas.openxmlformats.org/officeDocument/2006/relationships/image" Target="media/image9.jpeg" Id="rId17" /><Relationship Type="http://schemas.openxmlformats.org/officeDocument/2006/relationships/image" Target="media/image30.jpeg" Id="rId38" /><Relationship Type="http://schemas.openxmlformats.org/officeDocument/2006/relationships/image" Target="media/image51.jpeg" Id="rId59" /><Relationship Type="http://schemas.openxmlformats.org/officeDocument/2006/relationships/image" Target="media/image95.jpeg" Id="rId103" /><Relationship Type="http://schemas.openxmlformats.org/officeDocument/2006/relationships/image" Target="media/image116.jpeg" Id="rId124" /><Relationship Type="http://schemas.openxmlformats.org/officeDocument/2006/relationships/image" Target="media/image301.jpeg" Id="rId310" /><Relationship Type="http://schemas.openxmlformats.org/officeDocument/2006/relationships/image" Target="media/image62.jpeg" Id="rId70" /><Relationship Type="http://schemas.openxmlformats.org/officeDocument/2006/relationships/image" Target="media/image83.jpeg" Id="rId91" /><Relationship Type="http://schemas.openxmlformats.org/officeDocument/2006/relationships/image" Target="media/image136.jpeg" Id="rId145" /><Relationship Type="http://schemas.openxmlformats.org/officeDocument/2006/relationships/image" Target="media/image157.jpeg" Id="rId166" /><Relationship Type="http://schemas.openxmlformats.org/officeDocument/2006/relationships/image" Target="media/image178.jpeg" Id="rId187" /><Relationship Type="http://schemas.openxmlformats.org/officeDocument/2006/relationships/image" Target="media/image322.jpeg" Id="rId331" /><Relationship Type="http://schemas.openxmlformats.org/officeDocument/2006/relationships/image" Target="media/image343.jpeg" Id="rId352" /><Relationship Type="http://schemas.openxmlformats.org/officeDocument/2006/relationships/numbering" Target="numbering.xml" Id="rId1" /><Relationship Type="http://schemas.openxmlformats.org/officeDocument/2006/relationships/image" Target="media/image203.jpeg" Id="rId212" /><Relationship Type="http://schemas.openxmlformats.org/officeDocument/2006/relationships/image" Target="media/image224.jpeg" Id="rId233" /><Relationship Type="http://schemas.openxmlformats.org/officeDocument/2006/relationships/image" Target="media/image245.jpeg" Id="rId254" /><Relationship Type="http://schemas.openxmlformats.org/officeDocument/2006/relationships/image" Target="media/image20.jpeg" Id="rId28" /><Relationship Type="http://schemas.openxmlformats.org/officeDocument/2006/relationships/image" Target="media/image41.jpg" Id="rId49" /><Relationship Type="http://schemas.openxmlformats.org/officeDocument/2006/relationships/image" Target="media/image106.jpeg" Id="rId114" /><Relationship Type="http://schemas.openxmlformats.org/officeDocument/2006/relationships/image" Target="media/image266.jpeg" Id="rId275" /><Relationship Type="http://schemas.openxmlformats.org/officeDocument/2006/relationships/image" Target="media/image287.jpeg" Id="rId296" /><Relationship Type="http://schemas.openxmlformats.org/officeDocument/2006/relationships/image" Target="media/image291.jpeg" Id="rId300" /><Relationship Type="http://schemas.openxmlformats.org/officeDocument/2006/relationships/image" Target="media/image52.jpeg" Id="rId60" /><Relationship Type="http://schemas.openxmlformats.org/officeDocument/2006/relationships/image" Target="media/image73.jpeg" Id="rId81" /><Relationship Type="http://schemas.openxmlformats.org/officeDocument/2006/relationships/image" Target="media/image127.jpeg" Id="rId135" /><Relationship Type="http://schemas.openxmlformats.org/officeDocument/2006/relationships/image" Target="media/image147.jpeg" Id="rId156" /><Relationship Type="http://schemas.openxmlformats.org/officeDocument/2006/relationships/image" Target="media/image168.emf" Id="rId177" /><Relationship Type="http://schemas.openxmlformats.org/officeDocument/2006/relationships/image" Target="media/image189.jpg" Id="rId198" /><Relationship Type="http://schemas.openxmlformats.org/officeDocument/2006/relationships/image" Target="media/image312.jpeg" Id="rId321" /><Relationship Type="http://schemas.openxmlformats.org/officeDocument/2006/relationships/image" Target="media/image333.jpeg" Id="rId342" /><Relationship Type="http://schemas.openxmlformats.org/officeDocument/2006/relationships/image" Target="media/image193.jpeg" Id="rId202" /><Relationship Type="http://schemas.openxmlformats.org/officeDocument/2006/relationships/image" Target="media/image214.jpeg" Id="rId223" /><Relationship Type="http://schemas.openxmlformats.org/officeDocument/2006/relationships/image" Target="media/image235.jpeg" Id="rId244" /><Relationship Type="http://schemas.openxmlformats.org/officeDocument/2006/relationships/image" Target="media/image10.jpeg" Id="rId18" /><Relationship Type="http://schemas.openxmlformats.org/officeDocument/2006/relationships/image" Target="media/image31.jpeg" Id="rId39" /><Relationship Type="http://schemas.openxmlformats.org/officeDocument/2006/relationships/image" Target="media/image256.jpeg" Id="rId265" /><Relationship Type="http://schemas.openxmlformats.org/officeDocument/2006/relationships/image" Target="media/image277.jpeg" Id="rId286" /><Relationship Type="http://schemas.openxmlformats.org/officeDocument/2006/relationships/image" Target="media/image42.jpeg" Id="rId50" /><Relationship Type="http://schemas.openxmlformats.org/officeDocument/2006/relationships/image" Target="media/image96.jpeg" Id="rId104" /><Relationship Type="http://schemas.openxmlformats.org/officeDocument/2006/relationships/image" Target="media/image117.png" Id="rId125" /><Relationship Type="http://schemas.openxmlformats.org/officeDocument/2006/relationships/image" Target="media/image137.jpeg" Id="rId146" /><Relationship Type="http://schemas.openxmlformats.org/officeDocument/2006/relationships/image" Target="media/image158.jpeg" Id="rId167" /><Relationship Type="http://schemas.openxmlformats.org/officeDocument/2006/relationships/image" Target="media/image179.jpeg" Id="rId188" /><Relationship Type="http://schemas.openxmlformats.org/officeDocument/2006/relationships/image" Target="media/image302.jpeg" Id="rId311" /><Relationship Type="http://schemas.openxmlformats.org/officeDocument/2006/relationships/image" Target="media/image323.jpeg" Id="rId332" /><Relationship Type="http://schemas.openxmlformats.org/officeDocument/2006/relationships/image" Target="media/image344.jfif" Id="rId353" /><Relationship Type="http://schemas.openxmlformats.org/officeDocument/2006/relationships/image" Target="media/image63.jpeg" Id="rId71" /><Relationship Type="http://schemas.openxmlformats.org/officeDocument/2006/relationships/image" Target="media/image84.jpeg" Id="rId92" /><Relationship Type="http://schemas.openxmlformats.org/officeDocument/2006/relationships/image" Target="media/image204.jpeg" Id="rId213" /><Relationship Type="http://schemas.openxmlformats.org/officeDocument/2006/relationships/image" Target="media/image225.jpeg" Id="rId234" /><Relationship Type="http://schemas.openxmlformats.org/officeDocument/2006/relationships/styles" Target="styles.xml" Id="rId2" /><Relationship Type="http://schemas.openxmlformats.org/officeDocument/2006/relationships/image" Target="media/image21.png" Id="rId29" /><Relationship Type="http://schemas.openxmlformats.org/officeDocument/2006/relationships/image" Target="media/image246.png" Id="rId255" /><Relationship Type="http://schemas.openxmlformats.org/officeDocument/2006/relationships/image" Target="media/image267.jpeg" Id="rId276" /><Relationship Type="http://schemas.openxmlformats.org/officeDocument/2006/relationships/image" Target="media/image288.jpeg" Id="rId297" /><Relationship Type="http://schemas.openxmlformats.org/officeDocument/2006/relationships/image" Target="media/image32.jpeg" Id="rId40" /><Relationship Type="http://schemas.openxmlformats.org/officeDocument/2006/relationships/image" Target="media/image107.jpeg" Id="rId115" /><Relationship Type="http://schemas.openxmlformats.org/officeDocument/2006/relationships/image" Target="media/image128.jpeg" Id="rId136" /><Relationship Type="http://schemas.openxmlformats.org/officeDocument/2006/relationships/image" Target="media/image148.jpeg" Id="rId157" /><Relationship Type="http://schemas.openxmlformats.org/officeDocument/2006/relationships/image" Target="media/image169.jpeg" Id="rId178" /><Relationship Type="http://schemas.openxmlformats.org/officeDocument/2006/relationships/image" Target="media/image292.jpeg" Id="rId301" /><Relationship Type="http://schemas.openxmlformats.org/officeDocument/2006/relationships/image" Target="media/image313.jpeg" Id="rId322" /><Relationship Type="http://schemas.openxmlformats.org/officeDocument/2006/relationships/image" Target="media/image334.jfif" Id="rId343" /><Relationship Type="http://schemas.openxmlformats.org/officeDocument/2006/relationships/image" Target="media/image53.jpeg" Id="rId61" /><Relationship Type="http://schemas.openxmlformats.org/officeDocument/2006/relationships/image" Target="media/image74.jpg" Id="rId82" /><Relationship Type="http://schemas.openxmlformats.org/officeDocument/2006/relationships/image" Target="media/image190.jpeg" Id="rId199" /><Relationship Type="http://schemas.openxmlformats.org/officeDocument/2006/relationships/image" Target="media/image194.jpeg" Id="rId203" /><Relationship Type="http://schemas.openxmlformats.org/officeDocument/2006/relationships/image" Target="media/image11.jpeg" Id="rId19" /><Relationship Type="http://schemas.openxmlformats.org/officeDocument/2006/relationships/image" Target="media/image215.emf" Id="rId224" /><Relationship Type="http://schemas.openxmlformats.org/officeDocument/2006/relationships/image" Target="media/image236.png" Id="rId245" /><Relationship Type="http://schemas.openxmlformats.org/officeDocument/2006/relationships/image" Target="media/image257.jpeg" Id="rId266" /><Relationship Type="http://schemas.openxmlformats.org/officeDocument/2006/relationships/image" Target="media/image278.jpeg" Id="rId287" /><Relationship Type="http://schemas.openxmlformats.org/officeDocument/2006/relationships/image" Target="media/image22.jpeg" Id="rId30" /><Relationship Type="http://schemas.openxmlformats.org/officeDocument/2006/relationships/image" Target="media/image97.jpeg" Id="rId105" /><Relationship Type="http://schemas.openxmlformats.org/officeDocument/2006/relationships/image" Target="media/image118.emf" Id="rId126" /><Relationship Type="http://schemas.openxmlformats.org/officeDocument/2006/relationships/image" Target="media/image138.jpeg" Id="rId147" /><Relationship Type="http://schemas.openxmlformats.org/officeDocument/2006/relationships/image" Target="media/image159.jpeg" Id="rId168" /><Relationship Type="http://schemas.openxmlformats.org/officeDocument/2006/relationships/image" Target="media/image303.jpeg" Id="rId312" /><Relationship Type="http://schemas.openxmlformats.org/officeDocument/2006/relationships/image" Target="media/image324.jpeg" Id="rId333" /><Relationship Type="http://schemas.openxmlformats.org/officeDocument/2006/relationships/image" Target="media/image345.jpeg" Id="rId354" /><Relationship Type="http://schemas.openxmlformats.org/officeDocument/2006/relationships/image" Target="media/image43.jpeg" Id="rId51" /><Relationship Type="http://schemas.openxmlformats.org/officeDocument/2006/relationships/image" Target="media/image64.jpeg" Id="rId72" /><Relationship Type="http://schemas.openxmlformats.org/officeDocument/2006/relationships/image" Target="media/image85.jpeg" Id="rId93" /><Relationship Type="http://schemas.openxmlformats.org/officeDocument/2006/relationships/image" Target="media/image180.jpeg" Id="rId189" /><Relationship Type="http://schemas.openxmlformats.org/officeDocument/2006/relationships/settings" Target="settings.xml" Id="rId3" /><Relationship Type="http://schemas.openxmlformats.org/officeDocument/2006/relationships/image" Target="media/image205.jpeg" Id="rId214" /><Relationship Type="http://schemas.openxmlformats.org/officeDocument/2006/relationships/image" Target="media/image226.jpeg" Id="rId235" /><Relationship Type="http://schemas.openxmlformats.org/officeDocument/2006/relationships/image" Target="media/image247.png" Id="rId256" /><Relationship Type="http://schemas.openxmlformats.org/officeDocument/2006/relationships/image" Target="media/image268.jpeg" Id="rId277" /><Relationship Type="http://schemas.openxmlformats.org/officeDocument/2006/relationships/image" Target="media/image289.jpeg" Id="rId298" /><Relationship Type="http://schemas.openxmlformats.org/officeDocument/2006/relationships/image" Target="media/image108.jpeg" Id="rId116" /><Relationship Type="http://schemas.openxmlformats.org/officeDocument/2006/relationships/image" Target="media/image129.jpeg" Id="rId137" /><Relationship Type="http://schemas.openxmlformats.org/officeDocument/2006/relationships/image" Target="media/image149.jpeg" Id="rId158" /><Relationship Type="http://schemas.openxmlformats.org/officeDocument/2006/relationships/image" Target="media/image293.jpeg" Id="rId302" /><Relationship Type="http://schemas.openxmlformats.org/officeDocument/2006/relationships/image" Target="media/image314.jpeg" Id="rId323" /><Relationship Type="http://schemas.openxmlformats.org/officeDocument/2006/relationships/image" Target="media/image335.png" Id="rId344" /><Relationship Type="http://schemas.openxmlformats.org/officeDocument/2006/relationships/image" Target="media/image12.jpeg" Id="rId20" /><Relationship Type="http://schemas.openxmlformats.org/officeDocument/2006/relationships/image" Target="media/image33.jpeg" Id="rId41" /><Relationship Type="http://schemas.openxmlformats.org/officeDocument/2006/relationships/image" Target="media/image54.jpg" Id="rId62" /><Relationship Type="http://schemas.openxmlformats.org/officeDocument/2006/relationships/image" Target="media/image75.jpeg" Id="rId83" /><Relationship Type="http://schemas.openxmlformats.org/officeDocument/2006/relationships/image" Target="media/image170.jpeg" Id="rId179" /><Relationship Type="http://schemas.openxmlformats.org/officeDocument/2006/relationships/image" Target="media/image181.jpg" Id="rId190" /><Relationship Type="http://schemas.openxmlformats.org/officeDocument/2006/relationships/image" Target="media/image195.png" Id="rId204" /><Relationship Type="http://schemas.openxmlformats.org/officeDocument/2006/relationships/image" Target="media/image216.jpeg" Id="rId225" /><Relationship Type="http://schemas.openxmlformats.org/officeDocument/2006/relationships/image" Target="media/image237.jpeg" Id="rId246" /><Relationship Type="http://schemas.openxmlformats.org/officeDocument/2006/relationships/image" Target="media/image258.jpeg" Id="rId267" /><Relationship Type="http://schemas.openxmlformats.org/officeDocument/2006/relationships/image" Target="media/image279.jpeg" Id="rId288" /><Relationship Type="http://schemas.openxmlformats.org/officeDocument/2006/relationships/customXml" Target="/customXml/item.xml" Id="Rd43571e83c514ed8" /></Relationships>
</file>

<file path=word/_rels/footnotes.xml.rels><?xml version="1.0" encoding="UTF-8" standalone="yes"?>
<Relationships xmlns="http://schemas.openxmlformats.org/package/2006/relationships"><Relationship Id="rId3" Type="http://schemas.openxmlformats.org/officeDocument/2006/relationships/hyperlink" Target="http://phidu.torrens.edu.au/social-health-atlases/data" TargetMode="External"/><Relationship Id="rId2" Type="http://schemas.openxmlformats.org/officeDocument/2006/relationships/hyperlink" Target="http://www.gendercentre.org.au/resources/polare-archive/archived-articles/how-many-of-us-are-there.htm" TargetMode="External"/><Relationship Id="rId1" Type="http://schemas.openxmlformats.org/officeDocument/2006/relationships/hyperlink" Target="http://www.roymorgan.com/findings/6263-exactly-how-many-australians-are-gay-december-2014-201506020136" TargetMode="External"/><Relationship Id="rId6" Type="http://schemas.openxmlformats.org/officeDocument/2006/relationships/hyperlink" Target="http://www.aihw.gov.au/publication-detail/?id=60129549469" TargetMode="External"/><Relationship Id="rId5" Type="http://schemas.openxmlformats.org/officeDocument/2006/relationships/hyperlink" Target="http://www.abs.gov.au/ausstats/abs@.nsf/Lookup/4841.0Chapter32011" TargetMode="External"/><Relationship Id="rId4" Type="http://schemas.openxmlformats.org/officeDocument/2006/relationships/hyperlink" Target="https://bmcmedicine.biomedcentral.com/articles/10.1186/s12916-015-0281-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9676E22B47CC48CBA49BA16071DCFF24" version="1.0.0">
  <systemFields>
    <field name="Objective-Id">
      <value order="0">A9699617</value>
    </field>
    <field name="Objective-Title">
      <value order="0">2023 Profile - Text</value>
    </field>
    <field name="Objective-Description">
      <value order="0"/>
    </field>
    <field name="Objective-CreationStamp">
      <value order="0">2023-04-13T23:01:21Z</value>
    </field>
    <field name="Objective-IsApproved">
      <value order="0">false</value>
    </field>
    <field name="Objective-IsPublished">
      <value order="0">true</value>
    </field>
    <field name="Objective-DatePublished">
      <value order="0">2023-04-13T23:01:39Z</value>
    </field>
    <field name="Objective-ModificationStamp">
      <value order="0">2023-08-21T01:26:41Z</value>
    </field>
    <field name="Objective-Owner">
      <value order="0">Hayden Brown</value>
    </field>
    <field name="Objective-Path">
      <value order="0">Classified Object:Classified Object:Classified Object:Classified Object:Profile of Health and Wellbeinng 2023</value>
    </field>
    <field name="Objective-Parent">
      <value order="0">Profile of Health and Wellbeinng 2023</value>
    </field>
    <field name="Objective-State">
      <value order="0">Published</value>
    </field>
    <field name="Objective-VersionId">
      <value order="0">vA12352450</value>
    </field>
    <field name="Objective-Version">
      <value order="0">1.0</value>
    </field>
    <field name="Objective-VersionNumber">
      <value order="0">1</value>
    </field>
    <field name="Objective-VersionComment">
      <value order="0">First version</value>
    </field>
    <field name="Objective-FileNumber">
      <value order="0">qA1098</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129</Pages>
  <Words>27412</Words>
  <Characters>156253</Characters>
  <Application>Microsoft Office Word</Application>
  <DocSecurity>0</DocSecurity>
  <Lines>1302</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Hayden Brown</dc:creator>
  <cp:keywords/>
  <dc:description/>
  <cp:lastModifiedBy>Hayden Brown</cp:lastModifiedBy>
  <cp:revision>2</cp:revision>
  <cp:lastPrinted>2023-04-10T23:36:00Z</cp:lastPrinted>
  <dcterms:created xsi:type="dcterms:W3CDTF">2023-04-13T23:00:00Z</dcterms:created>
  <dcterms:modified xsi:type="dcterms:W3CDTF">2023-04-13T23:00:00Z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A9699617</vt:lpwstr>
  </op:property>
  <op:property fmtid="{D5CDD505-2E9C-101B-9397-08002B2CF9AE}" pid="4" name="Objective-Title">
    <vt:lpwstr xmlns:vt="http://schemas.openxmlformats.org/officeDocument/2006/docPropsVTypes">2023 Profile - Text</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2023-04-13T23:01:21Z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2023-04-13T23:01:39Z</vt:filetime>
  </op:property>
  <op:property fmtid="{D5CDD505-2E9C-101B-9397-08002B2CF9AE}" pid="10" name="Objective-ModificationStamp">
    <vt:filetime xmlns:vt="http://schemas.openxmlformats.org/officeDocument/2006/docPropsVTypes">2023-08-21T01:26:41Z</vt:filetime>
  </op:property>
  <op:property fmtid="{D5CDD505-2E9C-101B-9397-08002B2CF9AE}" pid="11" name="Objective-Owner">
    <vt:lpwstr xmlns:vt="http://schemas.openxmlformats.org/officeDocument/2006/docPropsVTypes">Hayden Brown</vt:lpwstr>
  </op:property>
  <op:property fmtid="{D5CDD505-2E9C-101B-9397-08002B2CF9AE}" pid="12" name="Objective-Path">
    <vt:lpwstr xmlns:vt="http://schemas.openxmlformats.org/officeDocument/2006/docPropsVTypes">Classified Object:Classified Object:Classified Object:Classified Object:Profile of Health and Wellbeinng 2023</vt:lpwstr>
  </op:property>
  <op:property fmtid="{D5CDD505-2E9C-101B-9397-08002B2CF9AE}" pid="13" name="Objective-Parent">
    <vt:lpwstr xmlns:vt="http://schemas.openxmlformats.org/officeDocument/2006/docPropsVTypes">Profile of Health and Wellbeinng 2023</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vA12352450</vt:lpwstr>
  </op:property>
  <op:property fmtid="{D5CDD505-2E9C-101B-9397-08002B2CF9AE}" pid="16" name="Objective-Version">
    <vt:lpwstr xmlns:vt="http://schemas.openxmlformats.org/officeDocument/2006/docPropsVTypes">1.0</vt:lpwstr>
  </op:property>
  <op:property fmtid="{D5CDD505-2E9C-101B-9397-08002B2CF9AE}" pid="17" name="Objective-VersionNumber">
    <vt:r8 xmlns:vt="http://schemas.openxmlformats.org/officeDocument/2006/docPropsVTypes">1</vt:r8>
  </op:property>
  <op:property fmtid="{D5CDD505-2E9C-101B-9397-08002B2CF9AE}" pid="18" name="Objective-VersionComment">
    <vt:lpwstr xmlns:vt="http://schemas.openxmlformats.org/officeDocument/2006/docPropsVTypes">First version</vt:lpwstr>
  </op:property>
  <op:property fmtid="{D5CDD505-2E9C-101B-9397-08002B2CF9AE}" pid="19" name="Objective-FileNumber">
    <vt:lpwstr xmlns:vt="http://schemas.openxmlformats.org/officeDocument/2006/docPropsVTypes">qA1098</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Community Development</vt:lpwstr>
  </op:property>
  <op:property fmtid="{D5CDD505-2E9C-101B-9397-08002B2CF9AE}" pid="23" name="Objective-Corporate Document Type">
    <vt:lpwstr xmlns:vt="http://schemas.openxmlformats.org/officeDocument/2006/docPropsVTypes"/>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